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0F955" w14:textId="77777777" w:rsidR="00EA37E9" w:rsidRDefault="00932888" w:rsidP="00797A29">
      <w:pPr>
        <w:pStyle w:val="SWACoverintroparagraph"/>
        <w:ind w:left="-1276"/>
      </w:pPr>
      <w:r>
        <w:rPr>
          <w:noProof/>
          <w:lang w:val="en-AU" w:eastAsia="en-AU"/>
        </w:rPr>
        <w:drawing>
          <wp:inline distT="0" distB="0" distL="0" distR="0" wp14:anchorId="56915110" wp14:editId="51559418">
            <wp:extent cx="7568735" cy="10706099"/>
            <wp:effectExtent l="0" t="0" r="0" b="635"/>
            <wp:docPr id="9" name="Picture 9" title="Comparative Performance Monitoring Report Part 3 - Premiums, Entitlements and Scheme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M 19 part 3 180420 - COVER.jpg"/>
                    <pic:cNvPicPr/>
                  </pic:nvPicPr>
                  <pic:blipFill>
                    <a:blip r:embed="rId8">
                      <a:extLst>
                        <a:ext uri="{28A0092B-C50C-407E-A947-70E740481C1C}">
                          <a14:useLocalDpi xmlns:a14="http://schemas.microsoft.com/office/drawing/2010/main" val="0"/>
                        </a:ext>
                      </a:extLst>
                    </a:blip>
                    <a:stretch>
                      <a:fillRect/>
                    </a:stretch>
                  </pic:blipFill>
                  <pic:spPr>
                    <a:xfrm>
                      <a:off x="0" y="0"/>
                      <a:ext cx="7568735" cy="10706099"/>
                    </a:xfrm>
                    <a:prstGeom prst="rect">
                      <a:avLst/>
                    </a:prstGeom>
                  </pic:spPr>
                </pic:pic>
              </a:graphicData>
            </a:graphic>
          </wp:inline>
        </w:drawing>
      </w:r>
    </w:p>
    <w:p w14:paraId="1A69F445" w14:textId="77777777" w:rsidR="001D7C48" w:rsidRDefault="001D7C48" w:rsidP="00EA37E9">
      <w:pPr>
        <w:pStyle w:val="SWACoverintroparagraph"/>
        <w:spacing w:before="1800"/>
        <w:jc w:val="right"/>
        <w:sectPr w:rsidR="001D7C48" w:rsidSect="00563583">
          <w:headerReference w:type="even" r:id="rId9"/>
          <w:headerReference w:type="default" r:id="rId10"/>
          <w:footerReference w:type="even" r:id="rId11"/>
          <w:footerReference w:type="default" r:id="rId12"/>
          <w:headerReference w:type="first" r:id="rId13"/>
          <w:footerReference w:type="first" r:id="rId14"/>
          <w:type w:val="continuous"/>
          <w:pgSz w:w="11906" w:h="16838"/>
          <w:pgMar w:top="426" w:right="1800" w:bottom="1440" w:left="1276" w:header="0" w:footer="708" w:gutter="0"/>
          <w:cols w:space="242"/>
          <w:titlePg/>
          <w:docGrid w:linePitch="360"/>
        </w:sectPr>
      </w:pPr>
    </w:p>
    <w:p w14:paraId="6DCCABFE" w14:textId="77777777" w:rsidR="007F03B6" w:rsidRPr="001D7C48" w:rsidRDefault="007F03B6" w:rsidP="001D7C48">
      <w:pPr>
        <w:spacing w:after="120"/>
      </w:pPr>
    </w:p>
    <w:p w14:paraId="5FEF2090" w14:textId="77777777" w:rsidR="007F03B6" w:rsidRPr="001D7C48" w:rsidRDefault="007F03B6" w:rsidP="006A3D58">
      <w:pPr>
        <w:pStyle w:val="SWADisclaimerheading"/>
      </w:pPr>
      <w:r w:rsidRPr="001D7C48">
        <w:t>Disclaimer</w:t>
      </w:r>
    </w:p>
    <w:p w14:paraId="73C126BA" w14:textId="77777777" w:rsidR="00F81B48" w:rsidRPr="00F81B48" w:rsidRDefault="00F81B48" w:rsidP="006A3D58">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t>eir particular circumstances.</w:t>
      </w:r>
      <w:r w:rsidR="00FB0257">
        <w:t xml:space="preserve"> </w:t>
      </w:r>
    </w:p>
    <w:p w14:paraId="53F7956C" w14:textId="77777777" w:rsidR="00F81B48" w:rsidRPr="00F81B48" w:rsidRDefault="00F81B48" w:rsidP="006A3D58">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14:paraId="5C2C20C8" w14:textId="77777777" w:rsidR="007F03B6" w:rsidRPr="001D7C48" w:rsidRDefault="00F81B48" w:rsidP="006A3D58">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26E1E5B6" w14:textId="77777777" w:rsidR="00294F2B" w:rsidRPr="00294F2B" w:rsidRDefault="00294F2B" w:rsidP="00294F2B">
      <w:pPr>
        <w:autoSpaceDE w:val="0"/>
        <w:autoSpaceDN w:val="0"/>
        <w:rPr>
          <w:rFonts w:ascii="Calibri" w:hAnsi="Calibri"/>
          <w:color w:val="000000"/>
          <w:sz w:val="16"/>
          <w:szCs w:val="16"/>
          <w:lang w:eastAsia="ko-KR"/>
        </w:rPr>
      </w:pPr>
      <w:r w:rsidRPr="00294F2B">
        <w:rPr>
          <w:b/>
          <w:bCs/>
          <w:color w:val="000000"/>
          <w:sz w:val="16"/>
          <w:szCs w:val="16"/>
          <w:lang w:eastAsia="ko-KR"/>
        </w:rPr>
        <w:t>ISSN  2209-9182</w:t>
      </w:r>
    </w:p>
    <w:p w14:paraId="1C9B0CD5" w14:textId="77777777" w:rsidR="007F03B6" w:rsidRPr="001D7C48" w:rsidRDefault="007F03B6" w:rsidP="001D7C48">
      <w:pPr>
        <w:spacing w:after="120" w:line="276" w:lineRule="auto"/>
        <w:rPr>
          <w:sz w:val="14"/>
          <w:szCs w:val="14"/>
          <w:vertAlign w:val="subscript"/>
        </w:rPr>
      </w:pPr>
      <w:r w:rsidRPr="001D7C48">
        <w:rPr>
          <w:noProof/>
          <w:sz w:val="14"/>
          <w:szCs w:val="14"/>
        </w:rPr>
        <w:drawing>
          <wp:inline distT="0" distB="0" distL="0" distR="0" wp14:anchorId="629ED7F6" wp14:editId="02CFD20F">
            <wp:extent cx="1513205" cy="535940"/>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14:paraId="0347FB75" w14:textId="77777777" w:rsidR="007F03B6" w:rsidRPr="001D7C48" w:rsidRDefault="007F03B6" w:rsidP="006A3D58">
      <w:pPr>
        <w:pStyle w:val="SWADisclaimerheading"/>
      </w:pPr>
      <w:r w:rsidRPr="001D7C48">
        <w:t>Creative Commons</w:t>
      </w:r>
    </w:p>
    <w:p w14:paraId="7B867431" w14:textId="77777777" w:rsidR="007F03B6" w:rsidRPr="001D7C48" w:rsidRDefault="007F03B6" w:rsidP="006A3D58">
      <w:pPr>
        <w:pStyle w:val="SWADisclaimerbodytext"/>
      </w:pPr>
      <w:r w:rsidRPr="001D7C48">
        <w:t>With the exception of the Safe Work Australia logo, this report is licensed by Safe Work Aust</w:t>
      </w:r>
      <w:r w:rsidR="00301906">
        <w:t>ralia under a Creative Commons 4</w:t>
      </w:r>
      <w:r w:rsidRPr="001D7C48">
        <w:t xml:space="preserve">.0 </w:t>
      </w:r>
      <w:r w:rsidR="00797A29">
        <w:t>International</w:t>
      </w:r>
      <w:r w:rsidRPr="001D7C48">
        <w:t xml:space="preserve"> Licence. To view a copy of this licence, visit </w:t>
      </w:r>
    </w:p>
    <w:p w14:paraId="702480F3" w14:textId="77777777" w:rsidR="00301906" w:rsidRDefault="001A760F" w:rsidP="006A3D58">
      <w:pPr>
        <w:pStyle w:val="SWADisclaimerbodytext"/>
        <w:rPr>
          <w:rStyle w:val="Hyperlink"/>
          <w:rFonts w:eastAsiaTheme="majorEastAsia"/>
        </w:rPr>
      </w:pPr>
      <w:hyperlink r:id="rId16" w:history="1">
        <w:r w:rsidR="00301906" w:rsidRPr="00E329CD">
          <w:rPr>
            <w:rStyle w:val="Hyperlink"/>
            <w:rFonts w:eastAsiaTheme="majorEastAsia"/>
          </w:rPr>
          <w:t>https://creativecommons.org/licenses/by/4.0/</w:t>
        </w:r>
      </w:hyperlink>
    </w:p>
    <w:p w14:paraId="4373D281" w14:textId="77777777" w:rsidR="007F03B6" w:rsidRPr="00D641FF" w:rsidRDefault="007F03B6" w:rsidP="006A3D58">
      <w:pPr>
        <w:pStyle w:val="SWADisclaimerbodytext"/>
        <w:rPr>
          <w:i/>
        </w:rPr>
      </w:pPr>
      <w:r w:rsidRPr="001D7C48">
        <w:t xml:space="preserve">In essence, you are free to copy, communicate and adapt the work, as long as you attribute the work to Safe Work Australia and abide by the other licensing terms. The report should be attributed as the </w:t>
      </w:r>
      <w:r w:rsidRPr="00D641FF">
        <w:rPr>
          <w:i/>
        </w:rPr>
        <w:t>Comparative Performance Monitoring Report 1</w:t>
      </w:r>
      <w:r w:rsidR="00301906" w:rsidRPr="00D641FF">
        <w:rPr>
          <w:i/>
        </w:rPr>
        <w:t>9</w:t>
      </w:r>
      <w:r w:rsidRPr="00D641FF">
        <w:rPr>
          <w:i/>
        </w:rPr>
        <w:t>th Edition</w:t>
      </w:r>
      <w:r w:rsidR="00D641FF" w:rsidRPr="00D641FF">
        <w:rPr>
          <w:i/>
        </w:rPr>
        <w:t xml:space="preserve"> Part 3 – Premium, entitlements and scheme performance</w:t>
      </w:r>
      <w:r w:rsidRPr="00D641FF">
        <w:rPr>
          <w:i/>
        </w:rPr>
        <w:t>.</w:t>
      </w:r>
    </w:p>
    <w:p w14:paraId="4D5F6BD0" w14:textId="77777777" w:rsidR="007F03B6" w:rsidRPr="001D7C48" w:rsidRDefault="007F03B6" w:rsidP="006A3D58">
      <w:pPr>
        <w:pStyle w:val="SWADisclaimerbodytext"/>
      </w:pPr>
      <w:r w:rsidRPr="001D7C48">
        <w:t>Enquiries regarding the licence and any use of the report are welcome at:</w:t>
      </w:r>
    </w:p>
    <w:p w14:paraId="60B7F94E" w14:textId="77777777" w:rsidR="007F03B6" w:rsidRPr="001D7C48" w:rsidRDefault="007F03B6" w:rsidP="006A3D58">
      <w:pPr>
        <w:pStyle w:val="SWADisclaimerbodytext"/>
      </w:pPr>
      <w:r w:rsidRPr="001D7C48">
        <w:t>Copyright Officer</w:t>
      </w:r>
      <w:r w:rsidRPr="001D7C48">
        <w:br/>
        <w:t xml:space="preserve">Safe Work Australia </w:t>
      </w:r>
      <w:r w:rsidRPr="001D7C48">
        <w:br/>
        <w:t>GPO Box 641 Canberra ACT 2601</w:t>
      </w:r>
    </w:p>
    <w:p w14:paraId="0CE41103" w14:textId="77777777" w:rsidR="007F03B6" w:rsidRPr="001D7C48" w:rsidRDefault="007F03B6" w:rsidP="006A3D58">
      <w:pPr>
        <w:pStyle w:val="SWADisclaimerbodytext"/>
      </w:pPr>
      <w:r w:rsidRPr="001D7C48">
        <w:t xml:space="preserve">Email: </w:t>
      </w:r>
      <w:hyperlink r:id="rId17" w:history="1">
        <w:r w:rsidR="0077238D" w:rsidRPr="00AD3EF7">
          <w:rPr>
            <w:rStyle w:val="Hyperlink"/>
            <w:rFonts w:eastAsiaTheme="majorEastAsia"/>
          </w:rPr>
          <w:t>info@swa.gov.au</w:t>
        </w:r>
      </w:hyperlink>
      <w:r w:rsidR="006E3796">
        <w:rPr>
          <w:rStyle w:val="Hyperlink"/>
          <w:rFonts w:eastAsiaTheme="majorEastAsia"/>
        </w:rPr>
        <w:softHyphen/>
      </w:r>
      <w:r w:rsidR="006E3796">
        <w:rPr>
          <w:rStyle w:val="Hyperlink"/>
          <w:rFonts w:eastAsiaTheme="majorEastAsia"/>
        </w:rPr>
        <w:softHyphen/>
      </w:r>
      <w:r w:rsidR="006E3796">
        <w:rPr>
          <w:rStyle w:val="Hyperlink"/>
          <w:rFonts w:eastAsiaTheme="majorEastAsia"/>
        </w:rPr>
        <w:softHyphen/>
      </w:r>
    </w:p>
    <w:p w14:paraId="246D543E" w14:textId="77777777" w:rsidR="007F03B6" w:rsidRPr="001D7C48" w:rsidRDefault="007F03B6" w:rsidP="006A3D58">
      <w:pPr>
        <w:pStyle w:val="SWADisclaimerheading"/>
      </w:pPr>
      <w:r w:rsidRPr="001D7C48">
        <w:t>Important Notice</w:t>
      </w:r>
    </w:p>
    <w:p w14:paraId="11459230" w14:textId="77777777" w:rsidR="00D60313" w:rsidRPr="00D60313" w:rsidRDefault="007F03B6" w:rsidP="006A3D58">
      <w:pPr>
        <w:pStyle w:val="SWADisclaimerbodytext"/>
        <w:sectPr w:rsidR="00D60313" w:rsidRPr="00D60313" w:rsidSect="001D7C48">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14:paraId="3505EFBD" w14:textId="77777777" w:rsidR="00D60313" w:rsidRPr="00D60313" w:rsidRDefault="00D60313" w:rsidP="00816022">
          <w:pPr>
            <w:pStyle w:val="TOCHeading"/>
          </w:pPr>
          <w:r w:rsidRPr="00816022">
            <w:t>Contents</w:t>
          </w:r>
        </w:p>
        <w:p w14:paraId="540DFDFD" w14:textId="73F2061C" w:rsidR="0053393D" w:rsidRDefault="00C00338">
          <w:pPr>
            <w:pStyle w:val="TOC1"/>
            <w:rPr>
              <w:rFonts w:asciiTheme="minorHAnsi" w:eastAsiaTheme="minorEastAsia" w:hAnsiTheme="minorHAnsi" w:cstheme="minorBidi"/>
              <w:sz w:val="22"/>
              <w:szCs w:val="22"/>
            </w:rPr>
          </w:pPr>
          <w:r>
            <w:fldChar w:fldCharType="begin"/>
          </w:r>
          <w:r>
            <w:instrText xml:space="preserve"> TOC \h \z \t "Title,1,SWA Section numbering heading,1,SWA Section title,1,SWA Section num 2,2" </w:instrText>
          </w:r>
          <w:r>
            <w:fldChar w:fldCharType="separate"/>
          </w:r>
          <w:hyperlink w:anchor="_Toc4508764" w:history="1">
            <w:r w:rsidR="0053393D" w:rsidRPr="008F1BC3">
              <w:rPr>
                <w:rStyle w:val="Hyperlink"/>
              </w:rPr>
              <w:t>Foreword</w:t>
            </w:r>
            <w:r w:rsidR="0053393D">
              <w:rPr>
                <w:webHidden/>
              </w:rPr>
              <w:tab/>
            </w:r>
            <w:r w:rsidR="0053393D">
              <w:rPr>
                <w:webHidden/>
              </w:rPr>
              <w:fldChar w:fldCharType="begin"/>
            </w:r>
            <w:r w:rsidR="0053393D">
              <w:rPr>
                <w:webHidden/>
              </w:rPr>
              <w:instrText xml:space="preserve"> PAGEREF _Toc4508764 \h </w:instrText>
            </w:r>
            <w:r w:rsidR="0053393D">
              <w:rPr>
                <w:webHidden/>
              </w:rPr>
            </w:r>
            <w:r w:rsidR="0053393D">
              <w:rPr>
                <w:webHidden/>
              </w:rPr>
              <w:fldChar w:fldCharType="separate"/>
            </w:r>
            <w:r w:rsidR="001A760F">
              <w:rPr>
                <w:webHidden/>
              </w:rPr>
              <w:t>4</w:t>
            </w:r>
            <w:r w:rsidR="0053393D">
              <w:rPr>
                <w:webHidden/>
              </w:rPr>
              <w:fldChar w:fldCharType="end"/>
            </w:r>
          </w:hyperlink>
        </w:p>
        <w:p w14:paraId="37D5A8A1" w14:textId="48851FC1" w:rsidR="0053393D" w:rsidRDefault="001A760F">
          <w:pPr>
            <w:pStyle w:val="TOC1"/>
            <w:rPr>
              <w:rFonts w:asciiTheme="minorHAnsi" w:eastAsiaTheme="minorEastAsia" w:hAnsiTheme="minorHAnsi" w:cstheme="minorBidi"/>
              <w:sz w:val="22"/>
              <w:szCs w:val="22"/>
            </w:rPr>
          </w:pPr>
          <w:hyperlink w:anchor="_Toc4508765" w:history="1">
            <w:r w:rsidR="0053393D" w:rsidRPr="008F1BC3">
              <w:rPr>
                <w:rStyle w:val="Hyperlink"/>
              </w:rPr>
              <w:t>1.</w:t>
            </w:r>
            <w:r w:rsidR="0053393D">
              <w:rPr>
                <w:rFonts w:asciiTheme="minorHAnsi" w:eastAsiaTheme="minorEastAsia" w:hAnsiTheme="minorHAnsi" w:cstheme="minorBidi"/>
                <w:sz w:val="22"/>
                <w:szCs w:val="22"/>
              </w:rPr>
              <w:tab/>
            </w:r>
            <w:r w:rsidR="0053393D" w:rsidRPr="008F1BC3">
              <w:rPr>
                <w:rStyle w:val="Hyperlink"/>
              </w:rPr>
              <w:t>Workers’ compensation premiums</w:t>
            </w:r>
            <w:r w:rsidR="0053393D">
              <w:rPr>
                <w:webHidden/>
              </w:rPr>
              <w:tab/>
            </w:r>
            <w:r w:rsidR="0053393D">
              <w:rPr>
                <w:webHidden/>
              </w:rPr>
              <w:fldChar w:fldCharType="begin"/>
            </w:r>
            <w:r w:rsidR="0053393D">
              <w:rPr>
                <w:webHidden/>
              </w:rPr>
              <w:instrText xml:space="preserve"> PAGEREF _Toc4508765 \h </w:instrText>
            </w:r>
            <w:r w:rsidR="0053393D">
              <w:rPr>
                <w:webHidden/>
              </w:rPr>
            </w:r>
            <w:r w:rsidR="0053393D">
              <w:rPr>
                <w:webHidden/>
              </w:rPr>
              <w:fldChar w:fldCharType="separate"/>
            </w:r>
            <w:r>
              <w:rPr>
                <w:webHidden/>
              </w:rPr>
              <w:t>8</w:t>
            </w:r>
            <w:r w:rsidR="0053393D">
              <w:rPr>
                <w:webHidden/>
              </w:rPr>
              <w:fldChar w:fldCharType="end"/>
            </w:r>
          </w:hyperlink>
        </w:p>
        <w:p w14:paraId="1AB2FA8A" w14:textId="086E4E83" w:rsidR="0053393D" w:rsidRDefault="001A760F">
          <w:pPr>
            <w:pStyle w:val="TOC2"/>
            <w:rPr>
              <w:rFonts w:asciiTheme="minorHAnsi" w:eastAsiaTheme="minorEastAsia" w:hAnsiTheme="minorHAnsi" w:cstheme="minorBidi"/>
              <w:noProof/>
              <w:sz w:val="22"/>
              <w:szCs w:val="22"/>
            </w:rPr>
          </w:pPr>
          <w:hyperlink w:anchor="_Toc4508766" w:history="1">
            <w:r w:rsidR="0053393D" w:rsidRPr="008F1BC3">
              <w:rPr>
                <w:rStyle w:val="Hyperlink"/>
                <w:noProof/>
              </w:rPr>
              <w:t>1.1</w:t>
            </w:r>
            <w:r w:rsidR="0053393D">
              <w:rPr>
                <w:rFonts w:asciiTheme="minorHAnsi" w:eastAsiaTheme="minorEastAsia" w:hAnsiTheme="minorHAnsi" w:cstheme="minorBidi"/>
                <w:noProof/>
                <w:sz w:val="22"/>
                <w:szCs w:val="22"/>
              </w:rPr>
              <w:tab/>
            </w:r>
            <w:r w:rsidR="0053393D" w:rsidRPr="008F1BC3">
              <w:rPr>
                <w:rStyle w:val="Hyperlink"/>
                <w:noProof/>
              </w:rPr>
              <w:t>Standardised average premium rates by jurisdiction</w:t>
            </w:r>
            <w:r w:rsidR="0053393D">
              <w:rPr>
                <w:noProof/>
                <w:webHidden/>
              </w:rPr>
              <w:tab/>
            </w:r>
            <w:r w:rsidR="0053393D">
              <w:rPr>
                <w:noProof/>
                <w:webHidden/>
              </w:rPr>
              <w:fldChar w:fldCharType="begin"/>
            </w:r>
            <w:r w:rsidR="0053393D">
              <w:rPr>
                <w:noProof/>
                <w:webHidden/>
              </w:rPr>
              <w:instrText xml:space="preserve"> PAGEREF _Toc4508766 \h </w:instrText>
            </w:r>
            <w:r w:rsidR="0053393D">
              <w:rPr>
                <w:noProof/>
                <w:webHidden/>
              </w:rPr>
            </w:r>
            <w:r w:rsidR="0053393D">
              <w:rPr>
                <w:noProof/>
                <w:webHidden/>
              </w:rPr>
              <w:fldChar w:fldCharType="separate"/>
            </w:r>
            <w:r>
              <w:rPr>
                <w:noProof/>
                <w:webHidden/>
              </w:rPr>
              <w:t>8</w:t>
            </w:r>
            <w:r w:rsidR="0053393D">
              <w:rPr>
                <w:noProof/>
                <w:webHidden/>
              </w:rPr>
              <w:fldChar w:fldCharType="end"/>
            </w:r>
          </w:hyperlink>
        </w:p>
        <w:p w14:paraId="5F422FA3" w14:textId="01FF63F7" w:rsidR="0053393D" w:rsidRDefault="001A760F">
          <w:pPr>
            <w:pStyle w:val="TOC2"/>
            <w:rPr>
              <w:rFonts w:asciiTheme="minorHAnsi" w:eastAsiaTheme="minorEastAsia" w:hAnsiTheme="minorHAnsi" w:cstheme="minorBidi"/>
              <w:noProof/>
              <w:sz w:val="22"/>
              <w:szCs w:val="22"/>
            </w:rPr>
          </w:pPr>
          <w:hyperlink w:anchor="_Toc4508767" w:history="1">
            <w:r w:rsidR="0053393D" w:rsidRPr="008F1BC3">
              <w:rPr>
                <w:rStyle w:val="Hyperlink"/>
                <w:noProof/>
              </w:rPr>
              <w:t>1.2</w:t>
            </w:r>
            <w:r w:rsidR="0053393D">
              <w:rPr>
                <w:rFonts w:asciiTheme="minorHAnsi" w:eastAsiaTheme="minorEastAsia" w:hAnsiTheme="minorHAnsi" w:cstheme="minorBidi"/>
                <w:noProof/>
                <w:sz w:val="22"/>
                <w:szCs w:val="22"/>
              </w:rPr>
              <w:tab/>
            </w:r>
            <w:r w:rsidR="0053393D" w:rsidRPr="008F1BC3">
              <w:rPr>
                <w:rStyle w:val="Hyperlink"/>
                <w:noProof/>
              </w:rPr>
              <w:t>Standardised average premium rates by industry</w:t>
            </w:r>
            <w:r w:rsidR="0053393D">
              <w:rPr>
                <w:noProof/>
                <w:webHidden/>
              </w:rPr>
              <w:tab/>
            </w:r>
            <w:r w:rsidR="0053393D">
              <w:rPr>
                <w:noProof/>
                <w:webHidden/>
              </w:rPr>
              <w:fldChar w:fldCharType="begin"/>
            </w:r>
            <w:r w:rsidR="0053393D">
              <w:rPr>
                <w:noProof/>
                <w:webHidden/>
              </w:rPr>
              <w:instrText xml:space="preserve"> PAGEREF _Toc4508767 \h </w:instrText>
            </w:r>
            <w:r w:rsidR="0053393D">
              <w:rPr>
                <w:noProof/>
                <w:webHidden/>
              </w:rPr>
            </w:r>
            <w:r w:rsidR="0053393D">
              <w:rPr>
                <w:noProof/>
                <w:webHidden/>
              </w:rPr>
              <w:fldChar w:fldCharType="separate"/>
            </w:r>
            <w:r>
              <w:rPr>
                <w:noProof/>
                <w:webHidden/>
              </w:rPr>
              <w:t>9</w:t>
            </w:r>
            <w:r w:rsidR="0053393D">
              <w:rPr>
                <w:noProof/>
                <w:webHidden/>
              </w:rPr>
              <w:fldChar w:fldCharType="end"/>
            </w:r>
          </w:hyperlink>
        </w:p>
        <w:p w14:paraId="092A6034" w14:textId="57519FC8" w:rsidR="0053393D" w:rsidRDefault="001A760F">
          <w:pPr>
            <w:pStyle w:val="TOC1"/>
            <w:rPr>
              <w:rFonts w:asciiTheme="minorHAnsi" w:eastAsiaTheme="minorEastAsia" w:hAnsiTheme="minorHAnsi" w:cstheme="minorBidi"/>
              <w:sz w:val="22"/>
              <w:szCs w:val="22"/>
            </w:rPr>
          </w:pPr>
          <w:hyperlink w:anchor="_Toc4508768" w:history="1">
            <w:r w:rsidR="0053393D" w:rsidRPr="008F1BC3">
              <w:rPr>
                <w:rStyle w:val="Hyperlink"/>
              </w:rPr>
              <w:t>2.</w:t>
            </w:r>
            <w:r w:rsidR="0053393D">
              <w:rPr>
                <w:rFonts w:asciiTheme="minorHAnsi" w:eastAsiaTheme="minorEastAsia" w:hAnsiTheme="minorHAnsi" w:cstheme="minorBidi"/>
                <w:sz w:val="22"/>
                <w:szCs w:val="22"/>
              </w:rPr>
              <w:tab/>
            </w:r>
            <w:r w:rsidR="0053393D" w:rsidRPr="008F1BC3">
              <w:rPr>
                <w:rStyle w:val="Hyperlink"/>
              </w:rPr>
              <w:t>Entitlements under workers’ compensation</w:t>
            </w:r>
            <w:r w:rsidR="0053393D">
              <w:rPr>
                <w:webHidden/>
              </w:rPr>
              <w:tab/>
            </w:r>
            <w:r w:rsidR="0053393D">
              <w:rPr>
                <w:webHidden/>
              </w:rPr>
              <w:fldChar w:fldCharType="begin"/>
            </w:r>
            <w:r w:rsidR="0053393D">
              <w:rPr>
                <w:webHidden/>
              </w:rPr>
              <w:instrText xml:space="preserve"> PAGEREF _Toc4508768 \h </w:instrText>
            </w:r>
            <w:r w:rsidR="0053393D">
              <w:rPr>
                <w:webHidden/>
              </w:rPr>
            </w:r>
            <w:r w:rsidR="0053393D">
              <w:rPr>
                <w:webHidden/>
              </w:rPr>
              <w:fldChar w:fldCharType="separate"/>
            </w:r>
            <w:r>
              <w:rPr>
                <w:webHidden/>
              </w:rPr>
              <w:t>21</w:t>
            </w:r>
            <w:r w:rsidR="0053393D">
              <w:rPr>
                <w:webHidden/>
              </w:rPr>
              <w:fldChar w:fldCharType="end"/>
            </w:r>
          </w:hyperlink>
        </w:p>
        <w:p w14:paraId="39B95227" w14:textId="48F0E82F" w:rsidR="0053393D" w:rsidRDefault="001A760F">
          <w:pPr>
            <w:pStyle w:val="TOC2"/>
            <w:rPr>
              <w:rFonts w:asciiTheme="minorHAnsi" w:eastAsiaTheme="minorEastAsia" w:hAnsiTheme="minorHAnsi" w:cstheme="minorBidi"/>
              <w:noProof/>
              <w:sz w:val="22"/>
              <w:szCs w:val="22"/>
            </w:rPr>
          </w:pPr>
          <w:hyperlink w:anchor="_Toc4508769" w:history="1">
            <w:r w:rsidR="0053393D" w:rsidRPr="008F1BC3">
              <w:rPr>
                <w:rStyle w:val="Hyperlink"/>
                <w:noProof/>
              </w:rPr>
              <w:t>2.1</w:t>
            </w:r>
            <w:r w:rsidR="0053393D">
              <w:rPr>
                <w:rFonts w:asciiTheme="minorHAnsi" w:eastAsiaTheme="minorEastAsia" w:hAnsiTheme="minorHAnsi" w:cstheme="minorBidi"/>
                <w:noProof/>
                <w:sz w:val="22"/>
                <w:szCs w:val="22"/>
              </w:rPr>
              <w:tab/>
            </w:r>
            <w:r w:rsidR="0053393D" w:rsidRPr="008F1BC3">
              <w:rPr>
                <w:rStyle w:val="Hyperlink"/>
                <w:noProof/>
              </w:rPr>
              <w:t>Temporary impairment</w:t>
            </w:r>
            <w:r w:rsidR="0053393D">
              <w:rPr>
                <w:noProof/>
                <w:webHidden/>
              </w:rPr>
              <w:tab/>
            </w:r>
            <w:r w:rsidR="0053393D">
              <w:rPr>
                <w:noProof/>
                <w:webHidden/>
              </w:rPr>
              <w:fldChar w:fldCharType="begin"/>
            </w:r>
            <w:r w:rsidR="0053393D">
              <w:rPr>
                <w:noProof/>
                <w:webHidden/>
              </w:rPr>
              <w:instrText xml:space="preserve"> PAGEREF _Toc4508769 \h </w:instrText>
            </w:r>
            <w:r w:rsidR="0053393D">
              <w:rPr>
                <w:noProof/>
                <w:webHidden/>
              </w:rPr>
            </w:r>
            <w:r w:rsidR="0053393D">
              <w:rPr>
                <w:noProof/>
                <w:webHidden/>
              </w:rPr>
              <w:fldChar w:fldCharType="separate"/>
            </w:r>
            <w:r>
              <w:rPr>
                <w:noProof/>
                <w:webHidden/>
              </w:rPr>
              <w:t>21</w:t>
            </w:r>
            <w:r w:rsidR="0053393D">
              <w:rPr>
                <w:noProof/>
                <w:webHidden/>
              </w:rPr>
              <w:fldChar w:fldCharType="end"/>
            </w:r>
          </w:hyperlink>
        </w:p>
        <w:p w14:paraId="159182E7" w14:textId="20B23C06" w:rsidR="0053393D" w:rsidRDefault="001A760F">
          <w:pPr>
            <w:pStyle w:val="TOC2"/>
            <w:rPr>
              <w:rFonts w:asciiTheme="minorHAnsi" w:eastAsiaTheme="minorEastAsia" w:hAnsiTheme="minorHAnsi" w:cstheme="minorBidi"/>
              <w:noProof/>
              <w:sz w:val="22"/>
              <w:szCs w:val="22"/>
            </w:rPr>
          </w:pPr>
          <w:hyperlink w:anchor="_Toc4508770" w:history="1">
            <w:r w:rsidR="0053393D" w:rsidRPr="008F1BC3">
              <w:rPr>
                <w:rStyle w:val="Hyperlink"/>
                <w:noProof/>
              </w:rPr>
              <w:t>2.2</w:t>
            </w:r>
            <w:r w:rsidR="0053393D">
              <w:rPr>
                <w:rFonts w:asciiTheme="minorHAnsi" w:eastAsiaTheme="minorEastAsia" w:hAnsiTheme="minorHAnsi" w:cstheme="minorBidi"/>
                <w:noProof/>
                <w:sz w:val="22"/>
                <w:szCs w:val="22"/>
              </w:rPr>
              <w:tab/>
            </w:r>
            <w:r w:rsidR="0053393D" w:rsidRPr="008F1BC3">
              <w:rPr>
                <w:rStyle w:val="Hyperlink"/>
                <w:noProof/>
              </w:rPr>
              <w:t>Permanent impairment</w:t>
            </w:r>
            <w:r w:rsidR="0053393D">
              <w:rPr>
                <w:noProof/>
                <w:webHidden/>
              </w:rPr>
              <w:tab/>
            </w:r>
            <w:r w:rsidR="0053393D">
              <w:rPr>
                <w:noProof/>
                <w:webHidden/>
              </w:rPr>
              <w:fldChar w:fldCharType="begin"/>
            </w:r>
            <w:r w:rsidR="0053393D">
              <w:rPr>
                <w:noProof/>
                <w:webHidden/>
              </w:rPr>
              <w:instrText xml:space="preserve"> PAGEREF _Toc4508770 \h </w:instrText>
            </w:r>
            <w:r w:rsidR="0053393D">
              <w:rPr>
                <w:noProof/>
                <w:webHidden/>
              </w:rPr>
            </w:r>
            <w:r w:rsidR="0053393D">
              <w:rPr>
                <w:noProof/>
                <w:webHidden/>
              </w:rPr>
              <w:fldChar w:fldCharType="separate"/>
            </w:r>
            <w:r>
              <w:rPr>
                <w:noProof/>
                <w:webHidden/>
              </w:rPr>
              <w:t>23</w:t>
            </w:r>
            <w:r w:rsidR="0053393D">
              <w:rPr>
                <w:noProof/>
                <w:webHidden/>
              </w:rPr>
              <w:fldChar w:fldCharType="end"/>
            </w:r>
          </w:hyperlink>
        </w:p>
        <w:p w14:paraId="0A579E81" w14:textId="7B2EE282" w:rsidR="0053393D" w:rsidRDefault="001A760F">
          <w:pPr>
            <w:pStyle w:val="TOC2"/>
            <w:rPr>
              <w:rFonts w:asciiTheme="minorHAnsi" w:eastAsiaTheme="minorEastAsia" w:hAnsiTheme="minorHAnsi" w:cstheme="minorBidi"/>
              <w:noProof/>
              <w:sz w:val="22"/>
              <w:szCs w:val="22"/>
            </w:rPr>
          </w:pPr>
          <w:hyperlink w:anchor="_Toc4508771" w:history="1">
            <w:r w:rsidR="0053393D" w:rsidRPr="008F1BC3">
              <w:rPr>
                <w:rStyle w:val="Hyperlink"/>
                <w:noProof/>
              </w:rPr>
              <w:t>2.3</w:t>
            </w:r>
            <w:r w:rsidR="0053393D">
              <w:rPr>
                <w:rFonts w:asciiTheme="minorHAnsi" w:eastAsiaTheme="minorEastAsia" w:hAnsiTheme="minorHAnsi" w:cstheme="minorBidi"/>
                <w:noProof/>
                <w:sz w:val="22"/>
                <w:szCs w:val="22"/>
              </w:rPr>
              <w:tab/>
            </w:r>
            <w:r w:rsidR="0053393D" w:rsidRPr="008F1BC3">
              <w:rPr>
                <w:rStyle w:val="Hyperlink"/>
                <w:noProof/>
              </w:rPr>
              <w:t>Workplace fatality</w:t>
            </w:r>
            <w:r w:rsidR="0053393D">
              <w:rPr>
                <w:noProof/>
                <w:webHidden/>
              </w:rPr>
              <w:tab/>
            </w:r>
            <w:r w:rsidR="0053393D">
              <w:rPr>
                <w:noProof/>
                <w:webHidden/>
              </w:rPr>
              <w:fldChar w:fldCharType="begin"/>
            </w:r>
            <w:r w:rsidR="0053393D">
              <w:rPr>
                <w:noProof/>
                <w:webHidden/>
              </w:rPr>
              <w:instrText xml:space="preserve"> PAGEREF _Toc4508771 \h </w:instrText>
            </w:r>
            <w:r w:rsidR="0053393D">
              <w:rPr>
                <w:noProof/>
                <w:webHidden/>
              </w:rPr>
            </w:r>
            <w:r w:rsidR="0053393D">
              <w:rPr>
                <w:noProof/>
                <w:webHidden/>
              </w:rPr>
              <w:fldChar w:fldCharType="separate"/>
            </w:r>
            <w:r>
              <w:rPr>
                <w:noProof/>
                <w:webHidden/>
              </w:rPr>
              <w:t>24</w:t>
            </w:r>
            <w:r w:rsidR="0053393D">
              <w:rPr>
                <w:noProof/>
                <w:webHidden/>
              </w:rPr>
              <w:fldChar w:fldCharType="end"/>
            </w:r>
          </w:hyperlink>
        </w:p>
        <w:p w14:paraId="5E687262" w14:textId="3B036CA4" w:rsidR="0053393D" w:rsidRDefault="001A760F">
          <w:pPr>
            <w:pStyle w:val="TOC1"/>
            <w:rPr>
              <w:rFonts w:asciiTheme="minorHAnsi" w:eastAsiaTheme="minorEastAsia" w:hAnsiTheme="minorHAnsi" w:cstheme="minorBidi"/>
              <w:sz w:val="22"/>
              <w:szCs w:val="22"/>
            </w:rPr>
          </w:pPr>
          <w:hyperlink w:anchor="_Toc4508772" w:history="1">
            <w:r w:rsidR="0053393D" w:rsidRPr="008F1BC3">
              <w:rPr>
                <w:rStyle w:val="Hyperlink"/>
              </w:rPr>
              <w:t>3.</w:t>
            </w:r>
            <w:r w:rsidR="0053393D">
              <w:rPr>
                <w:rFonts w:asciiTheme="minorHAnsi" w:eastAsiaTheme="minorEastAsia" w:hAnsiTheme="minorHAnsi" w:cstheme="minorBidi"/>
                <w:sz w:val="22"/>
                <w:szCs w:val="22"/>
              </w:rPr>
              <w:tab/>
            </w:r>
            <w:r w:rsidR="0053393D" w:rsidRPr="008F1BC3">
              <w:rPr>
                <w:rStyle w:val="Hyperlink"/>
              </w:rPr>
              <w:t>Workers’ compensation scheme performance</w:t>
            </w:r>
            <w:r w:rsidR="0053393D">
              <w:rPr>
                <w:webHidden/>
              </w:rPr>
              <w:tab/>
            </w:r>
            <w:r w:rsidR="0053393D">
              <w:rPr>
                <w:webHidden/>
              </w:rPr>
              <w:fldChar w:fldCharType="begin"/>
            </w:r>
            <w:r w:rsidR="0053393D">
              <w:rPr>
                <w:webHidden/>
              </w:rPr>
              <w:instrText xml:space="preserve"> PAGEREF _Toc4508772 \h </w:instrText>
            </w:r>
            <w:r w:rsidR="0053393D">
              <w:rPr>
                <w:webHidden/>
              </w:rPr>
            </w:r>
            <w:r w:rsidR="0053393D">
              <w:rPr>
                <w:webHidden/>
              </w:rPr>
              <w:fldChar w:fldCharType="separate"/>
            </w:r>
            <w:r>
              <w:rPr>
                <w:webHidden/>
              </w:rPr>
              <w:t>26</w:t>
            </w:r>
            <w:r w:rsidR="0053393D">
              <w:rPr>
                <w:webHidden/>
              </w:rPr>
              <w:fldChar w:fldCharType="end"/>
            </w:r>
          </w:hyperlink>
        </w:p>
        <w:p w14:paraId="67F90A4B" w14:textId="732783E1" w:rsidR="0053393D" w:rsidRDefault="001A760F">
          <w:pPr>
            <w:pStyle w:val="TOC2"/>
            <w:rPr>
              <w:rFonts w:asciiTheme="minorHAnsi" w:eastAsiaTheme="minorEastAsia" w:hAnsiTheme="minorHAnsi" w:cstheme="minorBidi"/>
              <w:noProof/>
              <w:sz w:val="22"/>
              <w:szCs w:val="22"/>
            </w:rPr>
          </w:pPr>
          <w:hyperlink w:anchor="_Toc4508773" w:history="1">
            <w:r w:rsidR="0053393D" w:rsidRPr="008F1BC3">
              <w:rPr>
                <w:rStyle w:val="Hyperlink"/>
                <w:noProof/>
              </w:rPr>
              <w:t>3.1</w:t>
            </w:r>
            <w:r w:rsidR="0053393D">
              <w:rPr>
                <w:rFonts w:asciiTheme="minorHAnsi" w:eastAsiaTheme="minorEastAsia" w:hAnsiTheme="minorHAnsi" w:cstheme="minorBidi"/>
                <w:noProof/>
                <w:sz w:val="22"/>
                <w:szCs w:val="22"/>
              </w:rPr>
              <w:tab/>
            </w:r>
            <w:r w:rsidR="0053393D" w:rsidRPr="008F1BC3">
              <w:rPr>
                <w:rStyle w:val="Hyperlink"/>
                <w:noProof/>
              </w:rPr>
              <w:t>Assets to liabilities ratio</w:t>
            </w:r>
            <w:r w:rsidR="0053393D">
              <w:rPr>
                <w:noProof/>
                <w:webHidden/>
              </w:rPr>
              <w:tab/>
            </w:r>
            <w:r w:rsidR="0053393D">
              <w:rPr>
                <w:noProof/>
                <w:webHidden/>
              </w:rPr>
              <w:fldChar w:fldCharType="begin"/>
            </w:r>
            <w:r w:rsidR="0053393D">
              <w:rPr>
                <w:noProof/>
                <w:webHidden/>
              </w:rPr>
              <w:instrText xml:space="preserve"> PAGEREF _Toc4508773 \h </w:instrText>
            </w:r>
            <w:r w:rsidR="0053393D">
              <w:rPr>
                <w:noProof/>
                <w:webHidden/>
              </w:rPr>
            </w:r>
            <w:r w:rsidR="0053393D">
              <w:rPr>
                <w:noProof/>
                <w:webHidden/>
              </w:rPr>
              <w:fldChar w:fldCharType="separate"/>
            </w:r>
            <w:r>
              <w:rPr>
                <w:noProof/>
                <w:webHidden/>
              </w:rPr>
              <w:t>26</w:t>
            </w:r>
            <w:r w:rsidR="0053393D">
              <w:rPr>
                <w:noProof/>
                <w:webHidden/>
              </w:rPr>
              <w:fldChar w:fldCharType="end"/>
            </w:r>
          </w:hyperlink>
        </w:p>
        <w:p w14:paraId="580CC047" w14:textId="3E1019B7" w:rsidR="0053393D" w:rsidRDefault="001A760F">
          <w:pPr>
            <w:pStyle w:val="TOC2"/>
            <w:rPr>
              <w:rFonts w:asciiTheme="minorHAnsi" w:eastAsiaTheme="minorEastAsia" w:hAnsiTheme="minorHAnsi" w:cstheme="minorBidi"/>
              <w:noProof/>
              <w:sz w:val="22"/>
              <w:szCs w:val="22"/>
            </w:rPr>
          </w:pPr>
          <w:hyperlink w:anchor="_Toc4508774" w:history="1">
            <w:r w:rsidR="0053393D" w:rsidRPr="008F1BC3">
              <w:rPr>
                <w:rStyle w:val="Hyperlink"/>
                <w:noProof/>
              </w:rPr>
              <w:t>3.2</w:t>
            </w:r>
            <w:r w:rsidR="0053393D">
              <w:rPr>
                <w:rFonts w:asciiTheme="minorHAnsi" w:eastAsiaTheme="minorEastAsia" w:hAnsiTheme="minorHAnsi" w:cstheme="minorBidi"/>
                <w:noProof/>
                <w:sz w:val="22"/>
                <w:szCs w:val="22"/>
              </w:rPr>
              <w:tab/>
            </w:r>
            <w:r w:rsidR="0053393D" w:rsidRPr="008F1BC3">
              <w:rPr>
                <w:rStyle w:val="Hyperlink"/>
                <w:noProof/>
              </w:rPr>
              <w:t>Scheme expenditure</w:t>
            </w:r>
            <w:r w:rsidR="0053393D">
              <w:rPr>
                <w:noProof/>
                <w:webHidden/>
              </w:rPr>
              <w:tab/>
            </w:r>
            <w:r w:rsidR="0053393D">
              <w:rPr>
                <w:noProof/>
                <w:webHidden/>
              </w:rPr>
              <w:fldChar w:fldCharType="begin"/>
            </w:r>
            <w:r w:rsidR="0053393D">
              <w:rPr>
                <w:noProof/>
                <w:webHidden/>
              </w:rPr>
              <w:instrText xml:space="preserve"> PAGEREF _Toc4508774 \h </w:instrText>
            </w:r>
            <w:r w:rsidR="0053393D">
              <w:rPr>
                <w:noProof/>
                <w:webHidden/>
              </w:rPr>
            </w:r>
            <w:r w:rsidR="0053393D">
              <w:rPr>
                <w:noProof/>
                <w:webHidden/>
              </w:rPr>
              <w:fldChar w:fldCharType="separate"/>
            </w:r>
            <w:r>
              <w:rPr>
                <w:noProof/>
                <w:webHidden/>
              </w:rPr>
              <w:t>28</w:t>
            </w:r>
            <w:r w:rsidR="0053393D">
              <w:rPr>
                <w:noProof/>
                <w:webHidden/>
              </w:rPr>
              <w:fldChar w:fldCharType="end"/>
            </w:r>
          </w:hyperlink>
        </w:p>
        <w:p w14:paraId="7C39463F" w14:textId="33ECF05B" w:rsidR="0053393D" w:rsidRDefault="001A760F">
          <w:pPr>
            <w:pStyle w:val="TOC2"/>
            <w:rPr>
              <w:rFonts w:asciiTheme="minorHAnsi" w:eastAsiaTheme="minorEastAsia" w:hAnsiTheme="minorHAnsi" w:cstheme="minorBidi"/>
              <w:noProof/>
              <w:sz w:val="22"/>
              <w:szCs w:val="22"/>
            </w:rPr>
          </w:pPr>
          <w:hyperlink w:anchor="_Toc4508775" w:history="1">
            <w:r w:rsidR="0053393D" w:rsidRPr="008F1BC3">
              <w:rPr>
                <w:rStyle w:val="Hyperlink"/>
                <w:noProof/>
              </w:rPr>
              <w:t>3.3</w:t>
            </w:r>
            <w:r w:rsidR="0053393D">
              <w:rPr>
                <w:rFonts w:asciiTheme="minorHAnsi" w:eastAsiaTheme="minorEastAsia" w:hAnsiTheme="minorHAnsi" w:cstheme="minorBidi"/>
                <w:noProof/>
                <w:sz w:val="22"/>
                <w:szCs w:val="22"/>
              </w:rPr>
              <w:tab/>
            </w:r>
            <w:r w:rsidR="0053393D" w:rsidRPr="008F1BC3">
              <w:rPr>
                <w:rStyle w:val="Hyperlink"/>
                <w:noProof/>
              </w:rPr>
              <w:t>Current return to work</w:t>
            </w:r>
            <w:r w:rsidR="0053393D">
              <w:rPr>
                <w:noProof/>
                <w:webHidden/>
              </w:rPr>
              <w:tab/>
            </w:r>
            <w:r w:rsidR="0053393D">
              <w:rPr>
                <w:noProof/>
                <w:webHidden/>
              </w:rPr>
              <w:fldChar w:fldCharType="begin"/>
            </w:r>
            <w:r w:rsidR="0053393D">
              <w:rPr>
                <w:noProof/>
                <w:webHidden/>
              </w:rPr>
              <w:instrText xml:space="preserve"> PAGEREF _Toc4508775 \h </w:instrText>
            </w:r>
            <w:r w:rsidR="0053393D">
              <w:rPr>
                <w:noProof/>
                <w:webHidden/>
              </w:rPr>
            </w:r>
            <w:r w:rsidR="0053393D">
              <w:rPr>
                <w:noProof/>
                <w:webHidden/>
              </w:rPr>
              <w:fldChar w:fldCharType="separate"/>
            </w:r>
            <w:r>
              <w:rPr>
                <w:noProof/>
                <w:webHidden/>
              </w:rPr>
              <w:t>31</w:t>
            </w:r>
            <w:r w:rsidR="0053393D">
              <w:rPr>
                <w:noProof/>
                <w:webHidden/>
              </w:rPr>
              <w:fldChar w:fldCharType="end"/>
            </w:r>
          </w:hyperlink>
        </w:p>
        <w:p w14:paraId="3C48D2A7" w14:textId="215848CB" w:rsidR="0053393D" w:rsidRDefault="001A760F">
          <w:pPr>
            <w:pStyle w:val="TOC2"/>
            <w:rPr>
              <w:rFonts w:asciiTheme="minorHAnsi" w:eastAsiaTheme="minorEastAsia" w:hAnsiTheme="minorHAnsi" w:cstheme="minorBidi"/>
              <w:noProof/>
              <w:sz w:val="22"/>
              <w:szCs w:val="22"/>
            </w:rPr>
          </w:pPr>
          <w:hyperlink w:anchor="_Toc4508776" w:history="1">
            <w:r w:rsidR="0053393D" w:rsidRPr="008F1BC3">
              <w:rPr>
                <w:rStyle w:val="Hyperlink"/>
                <w:noProof/>
              </w:rPr>
              <w:t>3.4</w:t>
            </w:r>
            <w:r w:rsidR="0053393D">
              <w:rPr>
                <w:rFonts w:asciiTheme="minorHAnsi" w:eastAsiaTheme="minorEastAsia" w:hAnsiTheme="minorHAnsi" w:cstheme="minorBidi"/>
                <w:noProof/>
                <w:sz w:val="22"/>
                <w:szCs w:val="22"/>
              </w:rPr>
              <w:tab/>
            </w:r>
            <w:r w:rsidR="0053393D" w:rsidRPr="008F1BC3">
              <w:rPr>
                <w:rStyle w:val="Hyperlink"/>
                <w:noProof/>
              </w:rPr>
              <w:t>Disputation rate</w:t>
            </w:r>
            <w:r w:rsidR="0053393D">
              <w:rPr>
                <w:noProof/>
                <w:webHidden/>
              </w:rPr>
              <w:tab/>
            </w:r>
            <w:r w:rsidR="0053393D">
              <w:rPr>
                <w:noProof/>
                <w:webHidden/>
              </w:rPr>
              <w:fldChar w:fldCharType="begin"/>
            </w:r>
            <w:r w:rsidR="0053393D">
              <w:rPr>
                <w:noProof/>
                <w:webHidden/>
              </w:rPr>
              <w:instrText xml:space="preserve"> PAGEREF _Toc4508776 \h </w:instrText>
            </w:r>
            <w:r w:rsidR="0053393D">
              <w:rPr>
                <w:noProof/>
                <w:webHidden/>
              </w:rPr>
            </w:r>
            <w:r w:rsidR="0053393D">
              <w:rPr>
                <w:noProof/>
                <w:webHidden/>
              </w:rPr>
              <w:fldChar w:fldCharType="separate"/>
            </w:r>
            <w:r>
              <w:rPr>
                <w:noProof/>
                <w:webHidden/>
              </w:rPr>
              <w:t>32</w:t>
            </w:r>
            <w:r w:rsidR="0053393D">
              <w:rPr>
                <w:noProof/>
                <w:webHidden/>
              </w:rPr>
              <w:fldChar w:fldCharType="end"/>
            </w:r>
          </w:hyperlink>
        </w:p>
        <w:p w14:paraId="50C61C92" w14:textId="76DD2454" w:rsidR="0053393D" w:rsidRDefault="001A760F">
          <w:pPr>
            <w:pStyle w:val="TOC2"/>
            <w:rPr>
              <w:rFonts w:asciiTheme="minorHAnsi" w:eastAsiaTheme="minorEastAsia" w:hAnsiTheme="minorHAnsi" w:cstheme="minorBidi"/>
              <w:noProof/>
              <w:sz w:val="22"/>
              <w:szCs w:val="22"/>
            </w:rPr>
          </w:pPr>
          <w:hyperlink w:anchor="_Toc4508777" w:history="1">
            <w:r w:rsidR="0053393D" w:rsidRPr="008F1BC3">
              <w:rPr>
                <w:rStyle w:val="Hyperlink"/>
                <w:noProof/>
              </w:rPr>
              <w:t>3.5</w:t>
            </w:r>
            <w:r w:rsidR="0053393D">
              <w:rPr>
                <w:rFonts w:asciiTheme="minorHAnsi" w:eastAsiaTheme="minorEastAsia" w:hAnsiTheme="minorHAnsi" w:cstheme="minorBidi"/>
                <w:noProof/>
                <w:sz w:val="22"/>
                <w:szCs w:val="22"/>
              </w:rPr>
              <w:tab/>
            </w:r>
            <w:r w:rsidR="0053393D" w:rsidRPr="008F1BC3">
              <w:rPr>
                <w:rStyle w:val="Hyperlink"/>
                <w:noProof/>
              </w:rPr>
              <w:t>Dispute resolution</w:t>
            </w:r>
            <w:r w:rsidR="0053393D">
              <w:rPr>
                <w:noProof/>
                <w:webHidden/>
              </w:rPr>
              <w:tab/>
            </w:r>
            <w:r w:rsidR="0053393D">
              <w:rPr>
                <w:noProof/>
                <w:webHidden/>
              </w:rPr>
              <w:fldChar w:fldCharType="begin"/>
            </w:r>
            <w:r w:rsidR="0053393D">
              <w:rPr>
                <w:noProof/>
                <w:webHidden/>
              </w:rPr>
              <w:instrText xml:space="preserve"> PAGEREF _Toc4508777 \h </w:instrText>
            </w:r>
            <w:r w:rsidR="0053393D">
              <w:rPr>
                <w:noProof/>
                <w:webHidden/>
              </w:rPr>
            </w:r>
            <w:r w:rsidR="0053393D">
              <w:rPr>
                <w:noProof/>
                <w:webHidden/>
              </w:rPr>
              <w:fldChar w:fldCharType="separate"/>
            </w:r>
            <w:r>
              <w:rPr>
                <w:noProof/>
                <w:webHidden/>
              </w:rPr>
              <w:t>34</w:t>
            </w:r>
            <w:r w:rsidR="0053393D">
              <w:rPr>
                <w:noProof/>
                <w:webHidden/>
              </w:rPr>
              <w:fldChar w:fldCharType="end"/>
            </w:r>
          </w:hyperlink>
        </w:p>
        <w:p w14:paraId="5B42E6F4" w14:textId="32380EAA" w:rsidR="0053393D" w:rsidRDefault="001A760F">
          <w:pPr>
            <w:pStyle w:val="TOC1"/>
            <w:rPr>
              <w:rFonts w:asciiTheme="minorHAnsi" w:eastAsiaTheme="minorEastAsia" w:hAnsiTheme="minorHAnsi" w:cstheme="minorBidi"/>
              <w:sz w:val="22"/>
              <w:szCs w:val="22"/>
            </w:rPr>
          </w:pPr>
          <w:hyperlink w:anchor="_Toc4508778" w:history="1">
            <w:r w:rsidR="0053393D" w:rsidRPr="008F1BC3">
              <w:rPr>
                <w:rStyle w:val="Hyperlink"/>
              </w:rPr>
              <w:t>4.</w:t>
            </w:r>
            <w:r w:rsidR="0053393D">
              <w:rPr>
                <w:rFonts w:asciiTheme="minorHAnsi" w:eastAsiaTheme="minorEastAsia" w:hAnsiTheme="minorHAnsi" w:cstheme="minorBidi"/>
                <w:sz w:val="22"/>
                <w:szCs w:val="22"/>
              </w:rPr>
              <w:tab/>
            </w:r>
            <w:r w:rsidR="0053393D" w:rsidRPr="008F1BC3">
              <w:rPr>
                <w:rStyle w:val="Hyperlink"/>
              </w:rPr>
              <w:t>Appendix 1 — Explanatory notes</w:t>
            </w:r>
            <w:r w:rsidR="0053393D">
              <w:rPr>
                <w:webHidden/>
              </w:rPr>
              <w:tab/>
            </w:r>
            <w:r w:rsidR="0053393D">
              <w:rPr>
                <w:webHidden/>
              </w:rPr>
              <w:fldChar w:fldCharType="begin"/>
            </w:r>
            <w:r w:rsidR="0053393D">
              <w:rPr>
                <w:webHidden/>
              </w:rPr>
              <w:instrText xml:space="preserve"> PAGEREF _Toc4508778 \h </w:instrText>
            </w:r>
            <w:r w:rsidR="0053393D">
              <w:rPr>
                <w:webHidden/>
              </w:rPr>
            </w:r>
            <w:r w:rsidR="0053393D">
              <w:rPr>
                <w:webHidden/>
              </w:rPr>
              <w:fldChar w:fldCharType="separate"/>
            </w:r>
            <w:r>
              <w:rPr>
                <w:webHidden/>
              </w:rPr>
              <w:t>36</w:t>
            </w:r>
            <w:r w:rsidR="0053393D">
              <w:rPr>
                <w:webHidden/>
              </w:rPr>
              <w:fldChar w:fldCharType="end"/>
            </w:r>
          </w:hyperlink>
        </w:p>
        <w:p w14:paraId="30A2F748" w14:textId="6953946B" w:rsidR="0053393D" w:rsidRDefault="001A760F">
          <w:pPr>
            <w:pStyle w:val="TOC2"/>
            <w:rPr>
              <w:rFonts w:asciiTheme="minorHAnsi" w:eastAsiaTheme="minorEastAsia" w:hAnsiTheme="minorHAnsi" w:cstheme="minorBidi"/>
              <w:noProof/>
              <w:sz w:val="22"/>
              <w:szCs w:val="22"/>
            </w:rPr>
          </w:pPr>
          <w:hyperlink w:anchor="_Toc4508779" w:history="1">
            <w:r w:rsidR="0053393D" w:rsidRPr="008F1BC3">
              <w:rPr>
                <w:rStyle w:val="Hyperlink"/>
                <w:noProof/>
              </w:rPr>
              <w:t>4.1</w:t>
            </w:r>
            <w:r w:rsidR="0053393D">
              <w:rPr>
                <w:rFonts w:asciiTheme="minorHAnsi" w:eastAsiaTheme="minorEastAsia" w:hAnsiTheme="minorHAnsi" w:cstheme="minorBidi"/>
                <w:noProof/>
                <w:sz w:val="22"/>
                <w:szCs w:val="22"/>
              </w:rPr>
              <w:tab/>
            </w:r>
            <w:r w:rsidR="0053393D" w:rsidRPr="008F1BC3">
              <w:rPr>
                <w:rStyle w:val="Hyperlink"/>
                <w:noProof/>
              </w:rPr>
              <w:t>Premium rates and entitlements</w:t>
            </w:r>
            <w:r w:rsidR="0053393D">
              <w:rPr>
                <w:noProof/>
                <w:webHidden/>
              </w:rPr>
              <w:tab/>
            </w:r>
            <w:r w:rsidR="0053393D">
              <w:rPr>
                <w:noProof/>
                <w:webHidden/>
              </w:rPr>
              <w:fldChar w:fldCharType="begin"/>
            </w:r>
            <w:r w:rsidR="0053393D">
              <w:rPr>
                <w:noProof/>
                <w:webHidden/>
              </w:rPr>
              <w:instrText xml:space="preserve"> PAGEREF _Toc4508779 \h </w:instrText>
            </w:r>
            <w:r w:rsidR="0053393D">
              <w:rPr>
                <w:noProof/>
                <w:webHidden/>
              </w:rPr>
            </w:r>
            <w:r w:rsidR="0053393D">
              <w:rPr>
                <w:noProof/>
                <w:webHidden/>
              </w:rPr>
              <w:fldChar w:fldCharType="separate"/>
            </w:r>
            <w:r>
              <w:rPr>
                <w:noProof/>
                <w:webHidden/>
              </w:rPr>
              <w:t>36</w:t>
            </w:r>
            <w:r w:rsidR="0053393D">
              <w:rPr>
                <w:noProof/>
                <w:webHidden/>
              </w:rPr>
              <w:fldChar w:fldCharType="end"/>
            </w:r>
          </w:hyperlink>
        </w:p>
        <w:p w14:paraId="76F55A6C" w14:textId="1379AA3F" w:rsidR="0053393D" w:rsidRDefault="001A760F">
          <w:pPr>
            <w:pStyle w:val="TOC2"/>
            <w:rPr>
              <w:rFonts w:asciiTheme="minorHAnsi" w:eastAsiaTheme="minorEastAsia" w:hAnsiTheme="minorHAnsi" w:cstheme="minorBidi"/>
              <w:noProof/>
              <w:sz w:val="22"/>
              <w:szCs w:val="22"/>
            </w:rPr>
          </w:pPr>
          <w:hyperlink w:anchor="_Toc4508780" w:history="1">
            <w:r w:rsidR="0053393D" w:rsidRPr="008F1BC3">
              <w:rPr>
                <w:rStyle w:val="Hyperlink"/>
                <w:noProof/>
              </w:rPr>
              <w:t>4.2</w:t>
            </w:r>
            <w:r w:rsidR="0053393D">
              <w:rPr>
                <w:rFonts w:asciiTheme="minorHAnsi" w:eastAsiaTheme="minorEastAsia" w:hAnsiTheme="minorHAnsi" w:cstheme="minorBidi"/>
                <w:noProof/>
                <w:sz w:val="22"/>
                <w:szCs w:val="22"/>
              </w:rPr>
              <w:tab/>
            </w:r>
            <w:r w:rsidR="0053393D" w:rsidRPr="008F1BC3">
              <w:rPr>
                <w:rStyle w:val="Hyperlink"/>
                <w:noProof/>
              </w:rPr>
              <w:t>Return to work data</w:t>
            </w:r>
            <w:r w:rsidR="0053393D">
              <w:rPr>
                <w:noProof/>
                <w:webHidden/>
              </w:rPr>
              <w:tab/>
            </w:r>
            <w:r w:rsidR="0053393D">
              <w:rPr>
                <w:noProof/>
                <w:webHidden/>
              </w:rPr>
              <w:fldChar w:fldCharType="begin"/>
            </w:r>
            <w:r w:rsidR="0053393D">
              <w:rPr>
                <w:noProof/>
                <w:webHidden/>
              </w:rPr>
              <w:instrText xml:space="preserve"> PAGEREF _Toc4508780 \h </w:instrText>
            </w:r>
            <w:r w:rsidR="0053393D">
              <w:rPr>
                <w:noProof/>
                <w:webHidden/>
              </w:rPr>
            </w:r>
            <w:r w:rsidR="0053393D">
              <w:rPr>
                <w:noProof/>
                <w:webHidden/>
              </w:rPr>
              <w:fldChar w:fldCharType="separate"/>
            </w:r>
            <w:r>
              <w:rPr>
                <w:noProof/>
                <w:webHidden/>
              </w:rPr>
              <w:t>39</w:t>
            </w:r>
            <w:r w:rsidR="0053393D">
              <w:rPr>
                <w:noProof/>
                <w:webHidden/>
              </w:rPr>
              <w:fldChar w:fldCharType="end"/>
            </w:r>
          </w:hyperlink>
        </w:p>
        <w:p w14:paraId="3D9AD633" w14:textId="2F246858" w:rsidR="0053393D" w:rsidRDefault="001A760F">
          <w:pPr>
            <w:pStyle w:val="TOC2"/>
            <w:rPr>
              <w:rFonts w:asciiTheme="minorHAnsi" w:eastAsiaTheme="minorEastAsia" w:hAnsiTheme="minorHAnsi" w:cstheme="minorBidi"/>
              <w:noProof/>
              <w:sz w:val="22"/>
              <w:szCs w:val="22"/>
            </w:rPr>
          </w:pPr>
          <w:hyperlink w:anchor="_Toc4508781" w:history="1">
            <w:r w:rsidR="0053393D" w:rsidRPr="008F1BC3">
              <w:rPr>
                <w:rStyle w:val="Hyperlink"/>
                <w:noProof/>
              </w:rPr>
              <w:t>4.3</w:t>
            </w:r>
            <w:r w:rsidR="0053393D">
              <w:rPr>
                <w:rFonts w:asciiTheme="minorHAnsi" w:eastAsiaTheme="minorEastAsia" w:hAnsiTheme="minorHAnsi" w:cstheme="minorBidi"/>
                <w:noProof/>
                <w:sz w:val="22"/>
                <w:szCs w:val="22"/>
              </w:rPr>
              <w:tab/>
            </w:r>
            <w:r w:rsidR="0053393D" w:rsidRPr="008F1BC3">
              <w:rPr>
                <w:rStyle w:val="Hyperlink"/>
                <w:noProof/>
              </w:rPr>
              <w:t>Assets to liabilities ratio (funding ratio) data</w:t>
            </w:r>
            <w:r w:rsidR="0053393D">
              <w:rPr>
                <w:noProof/>
                <w:webHidden/>
              </w:rPr>
              <w:tab/>
            </w:r>
            <w:r w:rsidR="0053393D">
              <w:rPr>
                <w:noProof/>
                <w:webHidden/>
              </w:rPr>
              <w:fldChar w:fldCharType="begin"/>
            </w:r>
            <w:r w:rsidR="0053393D">
              <w:rPr>
                <w:noProof/>
                <w:webHidden/>
              </w:rPr>
              <w:instrText xml:space="preserve"> PAGEREF _Toc4508781 \h </w:instrText>
            </w:r>
            <w:r w:rsidR="0053393D">
              <w:rPr>
                <w:noProof/>
                <w:webHidden/>
              </w:rPr>
            </w:r>
            <w:r w:rsidR="0053393D">
              <w:rPr>
                <w:noProof/>
                <w:webHidden/>
              </w:rPr>
              <w:fldChar w:fldCharType="separate"/>
            </w:r>
            <w:r>
              <w:rPr>
                <w:noProof/>
                <w:webHidden/>
              </w:rPr>
              <w:t>40</w:t>
            </w:r>
            <w:r w:rsidR="0053393D">
              <w:rPr>
                <w:noProof/>
                <w:webHidden/>
              </w:rPr>
              <w:fldChar w:fldCharType="end"/>
            </w:r>
          </w:hyperlink>
        </w:p>
        <w:p w14:paraId="78182AD4" w14:textId="4DCA9E91" w:rsidR="0053393D" w:rsidRDefault="001A760F">
          <w:pPr>
            <w:pStyle w:val="TOC2"/>
            <w:rPr>
              <w:rFonts w:asciiTheme="minorHAnsi" w:eastAsiaTheme="minorEastAsia" w:hAnsiTheme="minorHAnsi" w:cstheme="minorBidi"/>
              <w:noProof/>
              <w:sz w:val="22"/>
              <w:szCs w:val="22"/>
            </w:rPr>
          </w:pPr>
          <w:hyperlink w:anchor="_Toc4508782" w:history="1">
            <w:r w:rsidR="0053393D" w:rsidRPr="008F1BC3">
              <w:rPr>
                <w:rStyle w:val="Hyperlink"/>
                <w:noProof/>
              </w:rPr>
              <w:t>4.4</w:t>
            </w:r>
            <w:r w:rsidR="0053393D">
              <w:rPr>
                <w:rFonts w:asciiTheme="minorHAnsi" w:eastAsiaTheme="minorEastAsia" w:hAnsiTheme="minorHAnsi" w:cstheme="minorBidi"/>
                <w:noProof/>
                <w:sz w:val="22"/>
                <w:szCs w:val="22"/>
              </w:rPr>
              <w:tab/>
            </w:r>
            <w:r w:rsidR="0053393D" w:rsidRPr="008F1BC3">
              <w:rPr>
                <w:rStyle w:val="Hyperlink"/>
                <w:noProof/>
              </w:rPr>
              <w:t>Scheme expenditure data</w:t>
            </w:r>
            <w:r w:rsidR="0053393D">
              <w:rPr>
                <w:noProof/>
                <w:webHidden/>
              </w:rPr>
              <w:tab/>
            </w:r>
            <w:r w:rsidR="0053393D">
              <w:rPr>
                <w:noProof/>
                <w:webHidden/>
              </w:rPr>
              <w:fldChar w:fldCharType="begin"/>
            </w:r>
            <w:r w:rsidR="0053393D">
              <w:rPr>
                <w:noProof/>
                <w:webHidden/>
              </w:rPr>
              <w:instrText xml:space="preserve"> PAGEREF _Toc4508782 \h </w:instrText>
            </w:r>
            <w:r w:rsidR="0053393D">
              <w:rPr>
                <w:noProof/>
                <w:webHidden/>
              </w:rPr>
            </w:r>
            <w:r w:rsidR="0053393D">
              <w:rPr>
                <w:noProof/>
                <w:webHidden/>
              </w:rPr>
              <w:fldChar w:fldCharType="separate"/>
            </w:r>
            <w:r>
              <w:rPr>
                <w:noProof/>
                <w:webHidden/>
              </w:rPr>
              <w:t>41</w:t>
            </w:r>
            <w:r w:rsidR="0053393D">
              <w:rPr>
                <w:noProof/>
                <w:webHidden/>
              </w:rPr>
              <w:fldChar w:fldCharType="end"/>
            </w:r>
          </w:hyperlink>
        </w:p>
        <w:p w14:paraId="52301215" w14:textId="28BFE4F5" w:rsidR="0053393D" w:rsidRDefault="001A760F">
          <w:pPr>
            <w:pStyle w:val="TOC1"/>
            <w:rPr>
              <w:rFonts w:asciiTheme="minorHAnsi" w:eastAsiaTheme="minorEastAsia" w:hAnsiTheme="minorHAnsi" w:cstheme="minorBidi"/>
              <w:sz w:val="22"/>
              <w:szCs w:val="22"/>
            </w:rPr>
          </w:pPr>
          <w:hyperlink w:anchor="_Toc4508783" w:history="1">
            <w:r w:rsidR="0053393D" w:rsidRPr="008F1BC3">
              <w:rPr>
                <w:rStyle w:val="Hyperlink"/>
              </w:rPr>
              <w:t>5.</w:t>
            </w:r>
            <w:r w:rsidR="0053393D">
              <w:rPr>
                <w:rFonts w:asciiTheme="minorHAnsi" w:eastAsiaTheme="minorEastAsia" w:hAnsiTheme="minorHAnsi" w:cstheme="minorBidi"/>
                <w:sz w:val="22"/>
                <w:szCs w:val="22"/>
              </w:rPr>
              <w:tab/>
            </w:r>
            <w:r w:rsidR="0053393D" w:rsidRPr="008F1BC3">
              <w:rPr>
                <w:rStyle w:val="Hyperlink"/>
              </w:rPr>
              <w:t>Appendix 2 — Key features of Australian workers’ compensation schemes</w:t>
            </w:r>
            <w:r w:rsidR="0053393D">
              <w:rPr>
                <w:webHidden/>
              </w:rPr>
              <w:tab/>
            </w:r>
            <w:r w:rsidR="0053393D">
              <w:rPr>
                <w:webHidden/>
              </w:rPr>
              <w:fldChar w:fldCharType="begin"/>
            </w:r>
            <w:r w:rsidR="0053393D">
              <w:rPr>
                <w:webHidden/>
              </w:rPr>
              <w:instrText xml:space="preserve"> PAGEREF _Toc4508783 \h </w:instrText>
            </w:r>
            <w:r w:rsidR="0053393D">
              <w:rPr>
                <w:webHidden/>
              </w:rPr>
            </w:r>
            <w:r w:rsidR="0053393D">
              <w:rPr>
                <w:webHidden/>
              </w:rPr>
              <w:fldChar w:fldCharType="separate"/>
            </w:r>
            <w:r>
              <w:rPr>
                <w:webHidden/>
              </w:rPr>
              <w:t>43</w:t>
            </w:r>
            <w:r w:rsidR="0053393D">
              <w:rPr>
                <w:webHidden/>
              </w:rPr>
              <w:fldChar w:fldCharType="end"/>
            </w:r>
          </w:hyperlink>
        </w:p>
        <w:p w14:paraId="19328E44" w14:textId="1CCECCAE" w:rsidR="0053393D" w:rsidRDefault="001A760F">
          <w:pPr>
            <w:pStyle w:val="TOC1"/>
            <w:rPr>
              <w:rFonts w:asciiTheme="minorHAnsi" w:eastAsiaTheme="minorEastAsia" w:hAnsiTheme="minorHAnsi" w:cstheme="minorBidi"/>
              <w:sz w:val="22"/>
              <w:szCs w:val="22"/>
            </w:rPr>
          </w:pPr>
          <w:hyperlink w:anchor="_Toc4508784" w:history="1">
            <w:r w:rsidR="0053393D" w:rsidRPr="008F1BC3">
              <w:rPr>
                <w:rStyle w:val="Hyperlink"/>
              </w:rPr>
              <w:t>6.</w:t>
            </w:r>
            <w:r w:rsidR="0053393D">
              <w:rPr>
                <w:rFonts w:asciiTheme="minorHAnsi" w:eastAsiaTheme="minorEastAsia" w:hAnsiTheme="minorHAnsi" w:cstheme="minorBidi"/>
                <w:sz w:val="22"/>
                <w:szCs w:val="22"/>
              </w:rPr>
              <w:tab/>
            </w:r>
            <w:r w:rsidR="0053393D" w:rsidRPr="008F1BC3">
              <w:rPr>
                <w:rStyle w:val="Hyperlink"/>
              </w:rPr>
              <w:t>Appendix 3 – Jurisdictional contact information</w:t>
            </w:r>
            <w:r w:rsidR="0053393D">
              <w:rPr>
                <w:webHidden/>
              </w:rPr>
              <w:tab/>
            </w:r>
            <w:r w:rsidR="0053393D">
              <w:rPr>
                <w:webHidden/>
              </w:rPr>
              <w:fldChar w:fldCharType="begin"/>
            </w:r>
            <w:r w:rsidR="0053393D">
              <w:rPr>
                <w:webHidden/>
              </w:rPr>
              <w:instrText xml:space="preserve"> PAGEREF _Toc4508784 \h </w:instrText>
            </w:r>
            <w:r w:rsidR="0053393D">
              <w:rPr>
                <w:webHidden/>
              </w:rPr>
            </w:r>
            <w:r w:rsidR="0053393D">
              <w:rPr>
                <w:webHidden/>
              </w:rPr>
              <w:fldChar w:fldCharType="separate"/>
            </w:r>
            <w:r>
              <w:rPr>
                <w:webHidden/>
              </w:rPr>
              <w:t>46</w:t>
            </w:r>
            <w:r w:rsidR="0053393D">
              <w:rPr>
                <w:webHidden/>
              </w:rPr>
              <w:fldChar w:fldCharType="end"/>
            </w:r>
          </w:hyperlink>
        </w:p>
        <w:p w14:paraId="165E7003" w14:textId="0C8B38C8" w:rsidR="00D60313" w:rsidRDefault="00C00338">
          <w:r>
            <w:rPr>
              <w:noProof/>
            </w:rPr>
            <w:fldChar w:fldCharType="end"/>
          </w:r>
        </w:p>
      </w:sdtContent>
    </w:sdt>
    <w:p w14:paraId="3FFBED1F" w14:textId="77777777" w:rsidR="004B79B6" w:rsidRDefault="00D60313" w:rsidP="00CE5E41">
      <w:pPr>
        <w:spacing w:before="0" w:after="200" w:line="276" w:lineRule="auto"/>
        <w:jc w:val="left"/>
      </w:pPr>
      <w:r>
        <w:br w:type="page"/>
      </w:r>
    </w:p>
    <w:p w14:paraId="3EC4836C" w14:textId="77777777" w:rsidR="003411E8" w:rsidRDefault="007231AE" w:rsidP="00BC6D23">
      <w:pPr>
        <w:pStyle w:val="Title"/>
        <w:tabs>
          <w:tab w:val="center" w:pos="8222"/>
        </w:tabs>
      </w:pPr>
      <w:bookmarkStart w:id="0" w:name="_Toc4508764"/>
      <w:r>
        <w:lastRenderedPageBreak/>
        <w:t>Foreword</w:t>
      </w:r>
      <w:bookmarkEnd w:id="0"/>
    </w:p>
    <w:p w14:paraId="13F292D0" w14:textId="6904F245" w:rsidR="00930669" w:rsidRDefault="007231AE" w:rsidP="007231AE">
      <w:r>
        <w:t>The Labour Ministers’ Council released the first Comparative Performance Monitoring (CPM) report in December 1998. The CPM project was transferred to Safe Work Australia when it was established in 2009. The CPM reports provide trend analysis on the work health and safety and workers’ compensation schemes operating in Australia</w:t>
      </w:r>
      <w:r w:rsidR="00CE5E41">
        <w:t xml:space="preserve"> and New Zealand. This is the </w:t>
      </w:r>
      <w:r w:rsidR="00F15709">
        <w:t>20</w:t>
      </w:r>
      <w:r>
        <w:t xml:space="preserve">th annual report of the CPM project. </w:t>
      </w:r>
    </w:p>
    <w:p w14:paraId="5BF70177" w14:textId="77777777" w:rsidR="00930669" w:rsidRDefault="00930669" w:rsidP="007231AE">
      <w:r>
        <w:t xml:space="preserve">The </w:t>
      </w:r>
      <w:r w:rsidR="00556C1E">
        <w:t>20</w:t>
      </w:r>
      <w:r>
        <w:t>th CPM report has been split into three stand-alone parts:</w:t>
      </w:r>
    </w:p>
    <w:p w14:paraId="2E000C25" w14:textId="7DC83815" w:rsidR="00930669" w:rsidRDefault="001A760F" w:rsidP="007231AE">
      <w:hyperlink r:id="rId18" w:history="1">
        <w:r w:rsidR="00930669" w:rsidRPr="00031D5C">
          <w:rPr>
            <w:rStyle w:val="SWALinkChar"/>
          </w:rPr>
          <w:t>Part 1 – Work health and safety performance</w:t>
        </w:r>
      </w:hyperlink>
      <w:r w:rsidR="00C357DF">
        <w:t xml:space="preserve"> </w:t>
      </w:r>
      <w:r w:rsidR="001B03D9">
        <w:t xml:space="preserve">contains </w:t>
      </w:r>
      <w:r w:rsidR="0059508B">
        <w:t>workers</w:t>
      </w:r>
      <w:r w:rsidR="00FE66CA">
        <w:t>’</w:t>
      </w:r>
      <w:r w:rsidR="0059508B">
        <w:t xml:space="preserve"> compensation statistics on jurisdictional performance between 201</w:t>
      </w:r>
      <w:r w:rsidR="00F15709">
        <w:t>2</w:t>
      </w:r>
      <w:r w:rsidR="0059508B">
        <w:t>–1</w:t>
      </w:r>
      <w:r w:rsidR="00F15709">
        <w:t>3</w:t>
      </w:r>
      <w:r w:rsidR="0059508B">
        <w:t xml:space="preserve"> and 201</w:t>
      </w:r>
      <w:r w:rsidR="00F15709">
        <w:t>6</w:t>
      </w:r>
      <w:r w:rsidR="0059508B">
        <w:t>–1</w:t>
      </w:r>
      <w:r w:rsidR="00F15709">
        <w:t>7</w:t>
      </w:r>
      <w:r w:rsidR="0059508B">
        <w:t>.</w:t>
      </w:r>
    </w:p>
    <w:p w14:paraId="52DEC015" w14:textId="3FA63FF7" w:rsidR="0059508B" w:rsidRDefault="001A760F" w:rsidP="007231AE">
      <w:hyperlink r:id="rId19" w:history="1">
        <w:r w:rsidR="00930669" w:rsidRPr="00031D5C">
          <w:rPr>
            <w:rStyle w:val="SWALinkChar"/>
          </w:rPr>
          <w:t>Part 2 – Work health and safety compliance and enforcement activities</w:t>
        </w:r>
      </w:hyperlink>
      <w:r w:rsidR="00C357DF">
        <w:t xml:space="preserve"> </w:t>
      </w:r>
      <w:r w:rsidR="0059508B">
        <w:t>contains information on compliance and enforcement activities of all jurisdictions during a five year period from 201</w:t>
      </w:r>
      <w:r w:rsidR="00F15709">
        <w:t>2</w:t>
      </w:r>
      <w:r w:rsidR="0059508B">
        <w:t>–1</w:t>
      </w:r>
      <w:r w:rsidR="00F15709">
        <w:t>3</w:t>
      </w:r>
      <w:r w:rsidR="0059508B">
        <w:t xml:space="preserve"> to 201</w:t>
      </w:r>
      <w:r w:rsidR="00F15709">
        <w:t>6</w:t>
      </w:r>
      <w:r w:rsidR="0059508B">
        <w:t>–1</w:t>
      </w:r>
      <w:r w:rsidR="00F15709">
        <w:t>7</w:t>
      </w:r>
      <w:r w:rsidR="0059508B">
        <w:t>.</w:t>
      </w:r>
    </w:p>
    <w:p w14:paraId="467BBAE6" w14:textId="102D4448" w:rsidR="002B1A51" w:rsidRPr="002B1A51" w:rsidRDefault="002B1A51" w:rsidP="007231AE">
      <w:r w:rsidRPr="002B1A51">
        <w:rPr>
          <w:u w:val="single"/>
        </w:rPr>
        <w:t>Part 3 – Premium, entitlements and scheme performance</w:t>
      </w:r>
      <w:r w:rsidRPr="002B1A51">
        <w:t xml:space="preserve"> (this report) contains information on premium rates, entitlements and scheme performance of all jurisdictions during a five year period between 201</w:t>
      </w:r>
      <w:r w:rsidR="00F15709">
        <w:t>2</w:t>
      </w:r>
      <w:r w:rsidRPr="002B1A51">
        <w:t>–1</w:t>
      </w:r>
      <w:r w:rsidR="00F15709">
        <w:t>3</w:t>
      </w:r>
      <w:r w:rsidR="002C3997">
        <w:t xml:space="preserve"> and</w:t>
      </w:r>
      <w:r>
        <w:t xml:space="preserve"> 201</w:t>
      </w:r>
      <w:r w:rsidR="00F15709">
        <w:t>6</w:t>
      </w:r>
      <w:r>
        <w:t>–1</w:t>
      </w:r>
      <w:r w:rsidR="00F15709">
        <w:t>7</w:t>
      </w:r>
      <w:r>
        <w:t>.</w:t>
      </w:r>
    </w:p>
    <w:p w14:paraId="13BDD828" w14:textId="4F057AD6" w:rsidR="007231AE" w:rsidRPr="005D0128" w:rsidRDefault="007231AE" w:rsidP="007231AE">
      <w:r>
        <w:t xml:space="preserve">The CPM is complemented by the </w:t>
      </w:r>
      <w:hyperlink r:id="rId20" w:history="1">
        <w:r w:rsidRPr="004B79B6">
          <w:rPr>
            <w:rStyle w:val="SWALinkChar"/>
            <w:i/>
          </w:rPr>
          <w:t>Australian Workers’ Compensation Statistics</w:t>
        </w:r>
      </w:hyperlink>
      <w:r>
        <w:t xml:space="preserve"> report, which provides more detailed analysis of national workers’ compensation data using key variables such as occupation, industry, age and sex with supporting information on the circumstances surrounding work-related injury and disease occurrences. The</w:t>
      </w:r>
      <w:r w:rsidR="00FE66CA">
        <w:t xml:space="preserve"> </w:t>
      </w:r>
      <w:hyperlink r:id="rId21" w:history="1">
        <w:r w:rsidRPr="004B79B6">
          <w:rPr>
            <w:rStyle w:val="SWALinkChar"/>
            <w:i/>
          </w:rPr>
          <w:t>Comparison of Workers’ Compensation Arrangements in Australia and New Zealand</w:t>
        </w:r>
      </w:hyperlink>
      <w:r w:rsidR="00FE66CA">
        <w:t xml:space="preserve"> provides more detailed infor</w:t>
      </w:r>
      <w:r w:rsidR="003A54E2">
        <w:t>mation on each scheme</w:t>
      </w:r>
      <w:r>
        <w:t xml:space="preserve"> </w:t>
      </w:r>
      <w:r w:rsidR="00FE66CA">
        <w:t xml:space="preserve">including </w:t>
      </w:r>
      <w:r>
        <w:t xml:space="preserve">coverage, benefits, self-insurance, </w:t>
      </w:r>
      <w:r w:rsidR="00FE66CA">
        <w:t xml:space="preserve">access to </w:t>
      </w:r>
      <w:r>
        <w:t>common law and dispute resolution. The</w:t>
      </w:r>
      <w:r w:rsidR="00FE66CA">
        <w:t>se</w:t>
      </w:r>
      <w:r>
        <w:t xml:space="preserve"> publications can be found at the </w:t>
      </w:r>
      <w:hyperlink r:id="rId22" w:history="1">
        <w:r w:rsidRPr="00694A71">
          <w:rPr>
            <w:rStyle w:val="Hyperlink"/>
          </w:rPr>
          <w:t>Safe Work Australia</w:t>
        </w:r>
      </w:hyperlink>
      <w:r>
        <w:t xml:space="preserve"> website.</w:t>
      </w:r>
    </w:p>
    <w:p w14:paraId="751A3EC2" w14:textId="77777777" w:rsidR="002C2153" w:rsidRPr="002C2153" w:rsidRDefault="002C2153" w:rsidP="002C2153">
      <w:pPr>
        <w:pStyle w:val="Heading1"/>
      </w:pPr>
      <w:r w:rsidRPr="002C2153">
        <w:t>Statement of purpose</w:t>
      </w:r>
    </w:p>
    <w:p w14:paraId="0AE69C94" w14:textId="77777777" w:rsidR="002C2153" w:rsidRPr="002C2153" w:rsidRDefault="002C2153" w:rsidP="002C2153">
      <w:r w:rsidRPr="002C2153">
        <w:t>The role of the CPM report is to facilitate improv</w:t>
      </w:r>
      <w:r w:rsidR="005354A4">
        <w:t xml:space="preserve">ement of </w:t>
      </w:r>
      <w:r w:rsidRPr="002C2153">
        <w:t>work health and safety, workers’ compensation and related service outcomes in Australian and New Zealand schemes through an accessible report that:</w:t>
      </w:r>
    </w:p>
    <w:p w14:paraId="4C11963B" w14:textId="77777777" w:rsidR="002C2153" w:rsidRPr="002C2153" w:rsidRDefault="002C2153" w:rsidP="008E3886">
      <w:pPr>
        <w:pStyle w:val="SWAnumbering"/>
        <w:spacing w:before="120"/>
      </w:pPr>
      <w:r w:rsidRPr="002C2153">
        <w:t>monitors the comparative performance of jurisdictions over time, and</w:t>
      </w:r>
    </w:p>
    <w:p w14:paraId="59BD45AD" w14:textId="77777777" w:rsidR="002C2153" w:rsidRPr="002C2153" w:rsidRDefault="002C2153" w:rsidP="008E3886">
      <w:pPr>
        <w:pStyle w:val="SWAnumbering"/>
        <w:spacing w:before="120"/>
      </w:pPr>
      <w:r>
        <w:t>e</w:t>
      </w:r>
      <w:r w:rsidRPr="002C2153">
        <w:t>nables benchmarking across jurisdictions and the identification of best practice to support policy making.</w:t>
      </w:r>
    </w:p>
    <w:p w14:paraId="4D26DB6F" w14:textId="77777777" w:rsidR="002C2153" w:rsidRDefault="002C2153" w:rsidP="003411E8">
      <w:pPr>
        <w:pStyle w:val="Heading1"/>
      </w:pPr>
      <w:r>
        <w:t>Data</w:t>
      </w:r>
    </w:p>
    <w:p w14:paraId="66BD0624" w14:textId="7BA036B5" w:rsidR="002C2153" w:rsidRDefault="002C2153" w:rsidP="002C2153">
      <w:r>
        <w:t>The data used in this report were supplied by jurisdictions for the 201</w:t>
      </w:r>
      <w:r w:rsidR="00556C1E">
        <w:t>6</w:t>
      </w:r>
      <w:r>
        <w:t>–1</w:t>
      </w:r>
      <w:r w:rsidR="00556C1E">
        <w:t>7</w:t>
      </w:r>
      <w:r>
        <w:t xml:space="preserve"> financial year plus updates back to 201</w:t>
      </w:r>
      <w:r w:rsidR="00283A14">
        <w:t>2</w:t>
      </w:r>
      <w:r>
        <w:t>–1</w:t>
      </w:r>
      <w:r w:rsidR="00283A14">
        <w:t>3</w:t>
      </w:r>
      <w:r>
        <w:t xml:space="preserve">. Readers should be aware that the data presented here may differ from jurisdictional annual reports due to the use of different definitions and the application of adjustment factors to aid in the comparability of data. Explanatory commentary on the data items is contained within each chapter with additional information included in Appendix 1 – Explanatory Notes, at the end of this publication. </w:t>
      </w:r>
    </w:p>
    <w:p w14:paraId="7CA18497" w14:textId="77777777" w:rsidR="002C2153" w:rsidRDefault="002C2153" w:rsidP="002C2153">
      <w:r>
        <w:t>The data in this report were collected from:</w:t>
      </w:r>
    </w:p>
    <w:p w14:paraId="5B689C2D" w14:textId="77777777" w:rsidR="002C2153" w:rsidRDefault="002C2153" w:rsidP="002C2153">
      <w:pPr>
        <w:pStyle w:val="SWABullets"/>
      </w:pPr>
      <w:r>
        <w:t>workers’ compensation schemes and work health and safety authorities as follows:</w:t>
      </w:r>
    </w:p>
    <w:p w14:paraId="573C45FC" w14:textId="5B36E870" w:rsidR="002C2153" w:rsidRDefault="002C2153" w:rsidP="007A0E5C">
      <w:pPr>
        <w:pStyle w:val="SWABullets"/>
        <w:numPr>
          <w:ilvl w:val="1"/>
          <w:numId w:val="2"/>
        </w:numPr>
      </w:pPr>
      <w:r>
        <w:t>New South Wales — State Insurance Regulatory Authority</w:t>
      </w:r>
      <w:r w:rsidR="00D934F5">
        <w:t>; SafeWork NSW; icare; NSW Workers’ Compensation Commission.</w:t>
      </w:r>
    </w:p>
    <w:p w14:paraId="3E55B402" w14:textId="77777777" w:rsidR="002C2153" w:rsidRDefault="002C2153" w:rsidP="007A0E5C">
      <w:pPr>
        <w:pStyle w:val="SWABullets"/>
        <w:numPr>
          <w:ilvl w:val="1"/>
          <w:numId w:val="2"/>
        </w:numPr>
      </w:pPr>
      <w:r>
        <w:t>Victoria — WorkSafe Victoria</w:t>
      </w:r>
    </w:p>
    <w:p w14:paraId="78E773EF" w14:textId="77777777" w:rsidR="002C2153" w:rsidRDefault="002C2153" w:rsidP="007A0E5C">
      <w:pPr>
        <w:pStyle w:val="SWABullets"/>
        <w:numPr>
          <w:ilvl w:val="1"/>
          <w:numId w:val="2"/>
        </w:numPr>
      </w:pPr>
      <w:r>
        <w:t xml:space="preserve">Queensland — </w:t>
      </w:r>
      <w:r w:rsidR="003F23F2">
        <w:t>Office of Industrial Relations</w:t>
      </w:r>
    </w:p>
    <w:p w14:paraId="62579567" w14:textId="77777777" w:rsidR="002C2153" w:rsidRDefault="002C2153" w:rsidP="007A0E5C">
      <w:pPr>
        <w:pStyle w:val="SWABullets"/>
        <w:numPr>
          <w:ilvl w:val="1"/>
          <w:numId w:val="2"/>
        </w:numPr>
      </w:pPr>
      <w:r>
        <w:t xml:space="preserve">Western Australia — </w:t>
      </w:r>
      <w:r w:rsidR="004912D3">
        <w:t>WorkCover Western Australia</w:t>
      </w:r>
    </w:p>
    <w:p w14:paraId="550B7ABE" w14:textId="77777777" w:rsidR="002C2153" w:rsidRDefault="002C2153" w:rsidP="007A0E5C">
      <w:pPr>
        <w:pStyle w:val="SWABullets"/>
        <w:numPr>
          <w:ilvl w:val="1"/>
          <w:numId w:val="2"/>
        </w:numPr>
      </w:pPr>
      <w:r>
        <w:t>South Australia — Return to Work South Australia and SafeWork SA</w:t>
      </w:r>
    </w:p>
    <w:p w14:paraId="34709B33" w14:textId="77777777" w:rsidR="002C2153" w:rsidRDefault="002C2153" w:rsidP="007A0E5C">
      <w:pPr>
        <w:pStyle w:val="SWABullets"/>
        <w:numPr>
          <w:ilvl w:val="1"/>
          <w:numId w:val="2"/>
        </w:numPr>
      </w:pPr>
      <w:r>
        <w:lastRenderedPageBreak/>
        <w:t>Tasmania — WorkSafe Tasmania and WorkCover Tasmania</w:t>
      </w:r>
    </w:p>
    <w:p w14:paraId="5EFEB4A3" w14:textId="77777777" w:rsidR="002C2153" w:rsidRDefault="002C2153" w:rsidP="007A0E5C">
      <w:pPr>
        <w:pStyle w:val="SWABullets"/>
        <w:numPr>
          <w:ilvl w:val="1"/>
          <w:numId w:val="2"/>
        </w:numPr>
      </w:pPr>
      <w:r>
        <w:t>Northern Territory — NT WorkSafe, Department of Attorney-General and Justice</w:t>
      </w:r>
    </w:p>
    <w:p w14:paraId="6C64CB7F" w14:textId="77777777" w:rsidR="002C2153" w:rsidRDefault="002C2153" w:rsidP="007A0E5C">
      <w:pPr>
        <w:pStyle w:val="SWABullets"/>
        <w:numPr>
          <w:ilvl w:val="1"/>
          <w:numId w:val="2"/>
        </w:numPr>
      </w:pPr>
      <w:r>
        <w:t>Australian Capital Territory — Access Canberra, Worksafe ACT within Chief Minister Treasury and Economic Development Directorate</w:t>
      </w:r>
    </w:p>
    <w:p w14:paraId="71DFB1C2" w14:textId="77777777" w:rsidR="002C2153" w:rsidRDefault="002C2153" w:rsidP="007A0E5C">
      <w:pPr>
        <w:pStyle w:val="SWABullets"/>
        <w:numPr>
          <w:ilvl w:val="1"/>
          <w:numId w:val="2"/>
        </w:numPr>
      </w:pPr>
      <w:r>
        <w:t>Australian Government — Comcare</w:t>
      </w:r>
    </w:p>
    <w:p w14:paraId="2DB34B99" w14:textId="77777777" w:rsidR="002C2153" w:rsidRDefault="002C2153" w:rsidP="007A0E5C">
      <w:pPr>
        <w:pStyle w:val="SWABullets"/>
        <w:numPr>
          <w:ilvl w:val="1"/>
          <w:numId w:val="2"/>
        </w:numPr>
      </w:pPr>
      <w:r>
        <w:t>Seacare — Seacare Authority (Seafarers Safety, Rehabilitation and Compensation Authority), and</w:t>
      </w:r>
    </w:p>
    <w:p w14:paraId="52680A9E" w14:textId="77777777" w:rsidR="002C2153" w:rsidRDefault="002C2153" w:rsidP="007A0E5C">
      <w:pPr>
        <w:pStyle w:val="SWABullets"/>
        <w:numPr>
          <w:ilvl w:val="1"/>
          <w:numId w:val="2"/>
        </w:numPr>
      </w:pPr>
      <w:r>
        <w:t>New Zealand — Accident Compensation Corporation and WorkSafe New Zealand</w:t>
      </w:r>
    </w:p>
    <w:p w14:paraId="7C6C27A9" w14:textId="77777777" w:rsidR="002C2153" w:rsidRDefault="002C2153" w:rsidP="002C2153">
      <w:pPr>
        <w:pStyle w:val="SWABullets"/>
      </w:pPr>
      <w:r>
        <w:t xml:space="preserve">the National Data Set for Compensation-based Statistics and the Work-related Traumatic Injury Fatalities data set compiled by Safe Work Australia. Further information on these data sets can be found on the </w:t>
      </w:r>
      <w:hyperlink r:id="rId23" w:history="1">
        <w:r w:rsidRPr="004B79B6">
          <w:rPr>
            <w:rStyle w:val="SWALinkChar"/>
          </w:rPr>
          <w:t>Safe Work Australia</w:t>
        </w:r>
      </w:hyperlink>
      <w:r>
        <w:t xml:space="preserve"> website </w:t>
      </w:r>
    </w:p>
    <w:p w14:paraId="5C3A7D8C" w14:textId="148149E1" w:rsidR="002C2153" w:rsidRDefault="002C2153" w:rsidP="002C2153">
      <w:pPr>
        <w:pStyle w:val="SWABullets"/>
      </w:pPr>
      <w:r>
        <w:t xml:space="preserve">the Return to Work Survey that replaced the Return to Work Monitor previously published by the Heads of Workers’ Compensation Authorities. The full results of which can be accessed at </w:t>
      </w:r>
      <w:hyperlink r:id="rId24" w:history="1">
        <w:r w:rsidRPr="004B79B6">
          <w:rPr>
            <w:rStyle w:val="SWALinkChar"/>
          </w:rPr>
          <w:t>Safe Work Australia</w:t>
        </w:r>
      </w:hyperlink>
      <w:r>
        <w:t xml:space="preserve"> website, and</w:t>
      </w:r>
    </w:p>
    <w:p w14:paraId="4AEF4724" w14:textId="77777777" w:rsidR="002C2153" w:rsidRDefault="002C2153" w:rsidP="002C2153">
      <w:pPr>
        <w:pStyle w:val="SWABullets"/>
      </w:pPr>
      <w:r>
        <w:t xml:space="preserve">the Australian Bureau of Statistics (ABS) which provides estimates of the number of employees and hours worked based on the Labour Force Survey, the Survey of Employment and Earnings and data provided by Comcare. Further adjustments are performed using data from the Census, the Forms of Employment Survey and the Survey of Employment Arrangements, Retirement and Superannuation. </w:t>
      </w:r>
    </w:p>
    <w:p w14:paraId="5888FD67" w14:textId="77777777" w:rsidR="003411E8" w:rsidRDefault="004B79B6" w:rsidP="003411E8">
      <w:pPr>
        <w:pStyle w:val="Heading1"/>
      </w:pPr>
      <w:r>
        <w:t>Coordination</w:t>
      </w:r>
    </w:p>
    <w:p w14:paraId="1A6E43A5" w14:textId="77777777" w:rsidR="004B79B6" w:rsidRDefault="004B79B6" w:rsidP="004B79B6">
      <w:r>
        <w:t xml:space="preserve">This report has been compiled and coordinated by Safe Work Australia with assistance from representatives of all work health and safety and workers’ compensation authorities in Australia and New Zealand. </w:t>
      </w:r>
      <w:r w:rsidRPr="005E0079">
        <w:t>As agreed with Comcare in this report the name ‘Australian Government’ is used for indicators relating to the Australian Government jurisdiction in work health and safety and workers’ compensation matters, while ‘Comcare’ is used to describe Comcare – the entity for indicators relating to scheme performance.</w:t>
      </w:r>
    </w:p>
    <w:p w14:paraId="1325C1A6" w14:textId="77777777" w:rsidR="004B79B6" w:rsidRPr="004B79B6" w:rsidRDefault="004B79B6" w:rsidP="004B79B6">
      <w:r>
        <w:t>Through a partnership of governments, employers and employees, Safe Work Australia leads the development of national policy to improve work health and safety and workers’ compensation arrangements across Australia.</w:t>
      </w:r>
    </w:p>
    <w:p w14:paraId="2A82B354" w14:textId="77777777" w:rsidR="004B79B6" w:rsidRDefault="004B79B6" w:rsidP="003411E8">
      <w:pPr>
        <w:pStyle w:val="Heading2"/>
        <w:sectPr w:rsidR="004B79B6" w:rsidSect="00C50144">
          <w:headerReference w:type="first" r:id="rId25"/>
          <w:footerReference w:type="first" r:id="rId26"/>
          <w:pgSz w:w="11906" w:h="16838"/>
          <w:pgMar w:top="993" w:right="1800" w:bottom="1440" w:left="1276" w:header="708" w:footer="708" w:gutter="0"/>
          <w:cols w:space="242"/>
          <w:titlePg/>
          <w:docGrid w:linePitch="360"/>
        </w:sectPr>
      </w:pPr>
    </w:p>
    <w:p w14:paraId="732675EE" w14:textId="77777777" w:rsidR="00E22C81" w:rsidRPr="00E22C81" w:rsidRDefault="00E22C81" w:rsidP="0053393D">
      <w:r w:rsidRPr="0053393D">
        <w:rPr>
          <w:noProof/>
        </w:rPr>
        <w:lastRenderedPageBreak/>
        <w:drawing>
          <wp:anchor distT="0" distB="0" distL="114300" distR="114300" simplePos="0" relativeHeight="251658240" behindDoc="0" locked="0" layoutInCell="1" allowOverlap="1" wp14:anchorId="5594778F" wp14:editId="0459489F">
            <wp:simplePos x="0" y="0"/>
            <wp:positionH relativeFrom="page">
              <wp:align>left</wp:align>
            </wp:positionH>
            <wp:positionV relativeFrom="paragraph">
              <wp:posOffset>0</wp:posOffset>
            </wp:positionV>
            <wp:extent cx="7532370" cy="10652760"/>
            <wp:effectExtent l="0" t="0" r="0" b="0"/>
            <wp:wrapSquare wrapText="bothSides"/>
            <wp:docPr id="4" name="Picture 4" descr="Premium rates:&#10;- The standardised average premium rate has decreased by 13% since 2012-13.&#10;- Comcare had the lowest premium rate (1.03%).&#10;- South Australia had the highest premium rate (1.93%).&#10;- The agriculture, forestry and fishing industry had the highest premium rate (3.3% of payroll).&#10;- The finance and insurance industry had the lowest premium rate (0.2% of payroll).&#10;&#10;Scheme performance:&#10;- Average funding ratio in Australia: &#10;136% - centrally funded schemes&#10;116% - privately underwritten schemes&#10;- The funding ratio for centrally funded schemes increased by 21% (since 2012-13).&#10;- The funding ratio for privately underwritten schemes increased by 20% (since 2012-13).&#10;- Queensland (201%) and Tasmania (141%) had the highest funding ratios.&#10;- Australian schemes paid a total of $8.248 billion in workers’ compensation payments including:&#10;51% direct to claimant&#10;29% services to claimant&#10;14% insurance operations&#10;2% dispute resolution &#10;3% other administration&#10;1% regulation.&#10;&#10;Data note: All figures relate to 2016-17 unless otherwise specified." title="Comparative Performance Monitoring Report 20th edition part 3: Premiums, entitlements and scheme performance 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20 - CPM 19 - Part 3 - Key Findings Page 1.jpg"/>
                    <pic:cNvPicPr/>
                  </pic:nvPicPr>
                  <pic:blipFill>
                    <a:blip r:embed="rId27">
                      <a:extLst>
                        <a:ext uri="{28A0092B-C50C-407E-A947-70E740481C1C}">
                          <a14:useLocalDpi xmlns:a14="http://schemas.microsoft.com/office/drawing/2010/main" val="0"/>
                        </a:ext>
                      </a:extLst>
                    </a:blip>
                    <a:stretch>
                      <a:fillRect/>
                    </a:stretch>
                  </pic:blipFill>
                  <pic:spPr>
                    <a:xfrm>
                      <a:off x="0" y="0"/>
                      <a:ext cx="7533004" cy="10652778"/>
                    </a:xfrm>
                    <a:prstGeom prst="rect">
                      <a:avLst/>
                    </a:prstGeom>
                  </pic:spPr>
                </pic:pic>
              </a:graphicData>
            </a:graphic>
            <wp14:sizeRelH relativeFrom="page">
              <wp14:pctWidth>0</wp14:pctWidth>
            </wp14:sizeRelH>
            <wp14:sizeRelV relativeFrom="page">
              <wp14:pctHeight>0</wp14:pctHeight>
            </wp14:sizeRelV>
          </wp:anchor>
        </w:drawing>
      </w:r>
      <w:r>
        <w:br w:type="page"/>
      </w:r>
    </w:p>
    <w:p w14:paraId="25871231" w14:textId="77777777" w:rsidR="004B79B6" w:rsidRPr="004B79B6" w:rsidRDefault="00E22C81" w:rsidP="0053393D">
      <w:r w:rsidRPr="0053393D">
        <w:rPr>
          <w:noProof/>
        </w:rPr>
        <w:lastRenderedPageBreak/>
        <w:drawing>
          <wp:anchor distT="0" distB="0" distL="114300" distR="114300" simplePos="0" relativeHeight="251659264" behindDoc="0" locked="0" layoutInCell="1" allowOverlap="1" wp14:anchorId="756BA57C" wp14:editId="79E2D449">
            <wp:simplePos x="0" y="0"/>
            <wp:positionH relativeFrom="page">
              <wp:align>center</wp:align>
            </wp:positionH>
            <wp:positionV relativeFrom="paragraph">
              <wp:posOffset>0</wp:posOffset>
            </wp:positionV>
            <wp:extent cx="7539990" cy="10663555"/>
            <wp:effectExtent l="0" t="0" r="3810" b="4445"/>
            <wp:wrapSquare wrapText="bothSides"/>
            <wp:docPr id="6" name="Picture 6" descr="Return to work: &#10;- ACT had the highest return to work rate (86%).&#10;- Seacare had the lowest return to work rate (68%).&#10;- 82% of injured workers in Australia returned to work.&#10;- 80% of injured workers in New Zealand returned to work.&#10;&#10;Workers' compensation disputation:&#10;- 5% - the Australian disputation rate.&#10;- The disputation rate in Australia has increased by 19% since 2012-13.&#10;- 63% of disputes were resolved within three months. &#10;&#10;Data note: All figures relate to 2016-17 unless otherwise specified." title="Comparative Performance Monitoring Report 20th edition part 3: Premiums, entitlements and scheme performance 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20 - CPM 19 - Part 3 - Key Findings Page 2.jpg"/>
                    <pic:cNvPicPr/>
                  </pic:nvPicPr>
                  <pic:blipFill>
                    <a:blip r:embed="rId28">
                      <a:extLst>
                        <a:ext uri="{28A0092B-C50C-407E-A947-70E740481C1C}">
                          <a14:useLocalDpi xmlns:a14="http://schemas.microsoft.com/office/drawing/2010/main" val="0"/>
                        </a:ext>
                      </a:extLst>
                    </a:blip>
                    <a:stretch>
                      <a:fillRect/>
                    </a:stretch>
                  </pic:blipFill>
                  <pic:spPr>
                    <a:xfrm>
                      <a:off x="0" y="0"/>
                      <a:ext cx="7540624" cy="10663556"/>
                    </a:xfrm>
                    <a:prstGeom prst="rect">
                      <a:avLst/>
                    </a:prstGeom>
                  </pic:spPr>
                </pic:pic>
              </a:graphicData>
            </a:graphic>
            <wp14:sizeRelH relativeFrom="page">
              <wp14:pctWidth>0</wp14:pctWidth>
            </wp14:sizeRelH>
            <wp14:sizeRelV relativeFrom="page">
              <wp14:pctHeight>0</wp14:pctHeight>
            </wp14:sizeRelV>
          </wp:anchor>
        </w:drawing>
      </w:r>
      <w:r w:rsidR="003535BF">
        <w:br w:type="page"/>
      </w:r>
    </w:p>
    <w:p w14:paraId="49D1967A" w14:textId="77777777" w:rsidR="004B79B6" w:rsidRDefault="004B79B6" w:rsidP="003411E8">
      <w:pPr>
        <w:pStyle w:val="Heading3"/>
        <w:sectPr w:rsidR="004B79B6" w:rsidSect="00C57EFE">
          <w:headerReference w:type="first" r:id="rId29"/>
          <w:pgSz w:w="11906" w:h="16838"/>
          <w:pgMar w:top="-142" w:right="1800" w:bottom="1440" w:left="1276" w:header="0" w:footer="708" w:gutter="0"/>
          <w:cols w:space="242"/>
          <w:titlePg/>
          <w:docGrid w:linePitch="360"/>
        </w:sectPr>
      </w:pPr>
    </w:p>
    <w:p w14:paraId="08869466" w14:textId="2D213F9E" w:rsidR="006D31F5" w:rsidRPr="005C2E0B" w:rsidRDefault="006D31F5" w:rsidP="00763976">
      <w:pPr>
        <w:pStyle w:val="SWASectionnumberingheading"/>
      </w:pPr>
      <w:bookmarkStart w:id="1" w:name="_Toc4508765"/>
      <w:bookmarkStart w:id="2" w:name="_Toc476564186"/>
      <w:r w:rsidRPr="005C2E0B">
        <w:lastRenderedPageBreak/>
        <w:t>Workers’ compensation premiums</w:t>
      </w:r>
      <w:bookmarkEnd w:id="1"/>
      <w:r w:rsidR="00A13926">
        <w:t xml:space="preserve"> </w:t>
      </w:r>
    </w:p>
    <w:p w14:paraId="2DF7CADF" w14:textId="77777777" w:rsidR="00117CAF" w:rsidRDefault="00117CAF" w:rsidP="000E20AE">
      <w:pPr>
        <w:pStyle w:val="BodyJustified"/>
      </w:pPr>
      <w:r>
        <w:t xml:space="preserve">Workers’ compensation </w:t>
      </w:r>
      <w:r w:rsidR="00187D32">
        <w:t xml:space="preserve">is a compulsory form of insurance for all employers in Australia. It provides protection to employees if they suffer a work-related injury or disease. Workers’ compensation </w:t>
      </w:r>
      <w:r>
        <w:t xml:space="preserve">premiums are paid by employers </w:t>
      </w:r>
      <w:r w:rsidR="00187D32">
        <w:t xml:space="preserve">for this insurance, with the premium generally determined based on the amount of wages paid, as well as the industry and claim history of the employer. </w:t>
      </w:r>
    </w:p>
    <w:p w14:paraId="162EA13C" w14:textId="4E25377C" w:rsidR="006D31F5" w:rsidRPr="007C2060" w:rsidRDefault="006D31F5" w:rsidP="00C40C57">
      <w:pPr>
        <w:pStyle w:val="BodyJustified"/>
        <w:keepNext/>
      </w:pPr>
      <w:r w:rsidRPr="007C2060">
        <w:t>The rates in this chapter are for policies that provided coverage during the financial years</w:t>
      </w:r>
      <w:r w:rsidR="00117CAF">
        <w:t xml:space="preserve"> 201</w:t>
      </w:r>
      <w:r w:rsidR="009223C9">
        <w:t>2</w:t>
      </w:r>
      <w:r w:rsidR="00117CAF">
        <w:t>–1</w:t>
      </w:r>
      <w:r w:rsidR="009223C9">
        <w:t>3</w:t>
      </w:r>
      <w:r w:rsidR="00117CAF">
        <w:t xml:space="preserve"> to </w:t>
      </w:r>
      <w:r w:rsidR="003A54E2">
        <w:br/>
      </w:r>
      <w:r w:rsidR="00117CAF">
        <w:t>201</w:t>
      </w:r>
      <w:r w:rsidR="009223C9">
        <w:t>6</w:t>
      </w:r>
      <w:r w:rsidR="00117CAF">
        <w:t>–1</w:t>
      </w:r>
      <w:r w:rsidR="009223C9">
        <w:t>7</w:t>
      </w:r>
      <w:r w:rsidRPr="007C2060">
        <w:t xml:space="preserve">. The premium rates reported are ‘earned premium’. Earned premium is defined as the amount allocated for cover in a financial year from premiums collected during the previous and current financial years, while written premium is defined as the amount of premium recorded for a policy at the time it is issued. The premiums reported are allocated for defined periods of risk, irrespective of when they were actually paid, enabling rates to be compared for each financial year. Goods and Services Tax charged on premiums is not included in the reported rates as most Australian employers recoup part or all of this tax through input tax credits. </w:t>
      </w:r>
    </w:p>
    <w:p w14:paraId="15EC3492" w14:textId="2EFD211A" w:rsidR="006D31F5" w:rsidRDefault="006D31F5" w:rsidP="00763976">
      <w:pPr>
        <w:pStyle w:val="SWASectionnum2"/>
      </w:pPr>
      <w:bookmarkStart w:id="3" w:name="_Toc476564184"/>
      <w:bookmarkStart w:id="4" w:name="_Toc4508766"/>
      <w:r w:rsidRPr="00763976">
        <w:t>Standardised average premium rates</w:t>
      </w:r>
      <w:bookmarkEnd w:id="3"/>
      <w:r w:rsidRPr="00763976">
        <w:t xml:space="preserve"> </w:t>
      </w:r>
      <w:r w:rsidR="00A72B7E">
        <w:t>by jurisdiction</w:t>
      </w:r>
      <w:bookmarkEnd w:id="4"/>
    </w:p>
    <w:p w14:paraId="7E4F44C7" w14:textId="402FE4F8" w:rsidR="009223C9" w:rsidRPr="0053393D" w:rsidRDefault="009223C9" w:rsidP="0053393D">
      <w:r w:rsidRPr="0053393D">
        <w:t>Readers should be aware that the historic standardised average premium rates reported here are slightly different to the rates published in previous CPM report</w:t>
      </w:r>
      <w:r w:rsidR="00C40C57" w:rsidRPr="0053393D">
        <w:t>s</w:t>
      </w:r>
      <w:r w:rsidRPr="0053393D">
        <w:t>. This difference result</w:t>
      </w:r>
      <w:r w:rsidR="00C40C57" w:rsidRPr="0053393D">
        <w:t>s</w:t>
      </w:r>
      <w:r w:rsidRPr="0053393D">
        <w:t xml:space="preserve"> from concording remuneration and premium</w:t>
      </w:r>
      <w:r w:rsidR="00EA0981" w:rsidRPr="0053393D">
        <w:t xml:space="preserve"> figures provided by ANZSIC 06 back to ANZSIC 93</w:t>
      </w:r>
      <w:r w:rsidRPr="0053393D">
        <w:t xml:space="preserve"> </w:t>
      </w:r>
      <w:r w:rsidR="00EA0981" w:rsidRPr="0053393D">
        <w:t>industry classification system.</w:t>
      </w:r>
    </w:p>
    <w:p w14:paraId="21A97A3E" w14:textId="4A7DBCEC" w:rsidR="006D31F5" w:rsidRPr="00075FA9" w:rsidRDefault="006D31F5" w:rsidP="000E20AE">
      <w:pPr>
        <w:pStyle w:val="BodyJustified"/>
      </w:pPr>
      <w:r>
        <w:t xml:space="preserve">Indicator </w:t>
      </w:r>
      <w:r>
        <w:rPr>
          <w:noProof/>
        </w:rPr>
        <w:t>1</w:t>
      </w:r>
      <w:r w:rsidR="00826689">
        <w:rPr>
          <w:noProof/>
        </w:rPr>
        <w:t>3</w:t>
      </w:r>
      <w:r>
        <w:t xml:space="preserve"> </w:t>
      </w:r>
      <w:r w:rsidRPr="007C2060">
        <w:t xml:space="preserve">shows that the standardised Australian average premium rate was </w:t>
      </w:r>
      <w:r>
        <w:t>1.3</w:t>
      </w:r>
      <w:r w:rsidR="009223C9">
        <w:t>3</w:t>
      </w:r>
      <w:r w:rsidR="00FB0257">
        <w:t> per cent</w:t>
      </w:r>
      <w:r w:rsidRPr="007C2060">
        <w:t xml:space="preserve"> of </w:t>
      </w:r>
      <w:r w:rsidRPr="00075FA9">
        <w:t>payroll in 201</w:t>
      </w:r>
      <w:r w:rsidR="009223C9">
        <w:t>6</w:t>
      </w:r>
      <w:r w:rsidRPr="00075FA9">
        <w:t>−1</w:t>
      </w:r>
      <w:r w:rsidR="009223C9">
        <w:t>7</w:t>
      </w:r>
      <w:r w:rsidRPr="00075FA9">
        <w:t xml:space="preserve">, a </w:t>
      </w:r>
      <w:r w:rsidR="009223C9">
        <w:t>1</w:t>
      </w:r>
      <w:r w:rsidR="00FB0257">
        <w:t> per cent</w:t>
      </w:r>
      <w:r w:rsidRPr="00075FA9">
        <w:t xml:space="preserve"> decrease from the previous financial year.</w:t>
      </w:r>
    </w:p>
    <w:p w14:paraId="7DC34EA6" w14:textId="050BF5B2" w:rsidR="006D31F5" w:rsidRDefault="006D31F5" w:rsidP="005F2ED9">
      <w:pPr>
        <w:pStyle w:val="SWATableheader"/>
      </w:pPr>
      <w:bookmarkStart w:id="5" w:name="_Ref463954894"/>
      <w:r w:rsidRPr="00075FA9">
        <w:t xml:space="preserve">Indicator </w:t>
      </w:r>
      <w:r w:rsidRPr="00075FA9">
        <w:rPr>
          <w:noProof/>
        </w:rPr>
        <w:t>1</w:t>
      </w:r>
      <w:r w:rsidR="00826689">
        <w:rPr>
          <w:noProof/>
        </w:rPr>
        <w:t>3</w:t>
      </w:r>
      <w:bookmarkEnd w:id="5"/>
      <w:r w:rsidRPr="00075FA9">
        <w:t xml:space="preserve"> – Standardised average premium rates (including insured and self-insured sectors) by</w:t>
      </w:r>
      <w:r w:rsidRPr="003F5A98">
        <w:t xml:space="preserve"> jurisdiction</w:t>
      </w:r>
    </w:p>
    <w:p w14:paraId="48AD2400" w14:textId="77777777" w:rsidR="006D31F5" w:rsidRPr="001940E2" w:rsidRDefault="00491E98" w:rsidP="006D31F5">
      <w:pPr>
        <w:jc w:val="center"/>
        <w:rPr>
          <w:b/>
          <w:szCs w:val="20"/>
        </w:rPr>
      </w:pPr>
      <w:r>
        <w:rPr>
          <w:b/>
          <w:noProof/>
          <w:szCs w:val="20"/>
        </w:rPr>
        <w:drawing>
          <wp:inline distT="0" distB="0" distL="0" distR="0" wp14:anchorId="18CDD2A4" wp14:editId="7DCC7196">
            <wp:extent cx="5077744" cy="2971977"/>
            <wp:effectExtent l="0" t="0" r="8890" b="0"/>
            <wp:docPr id="3" name="Picture 3" descr="This chart shows the standardised average premium rates for insured and self-insured sectors combined by jurisdiction for the years 2011-12 to 2015-16." title="Standardised average premium rates(including insured and self-insured sector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3 - Standardised Avg Premium Rates-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744" cy="2971977"/>
                    </a:xfrm>
                    <a:prstGeom prst="rect">
                      <a:avLst/>
                    </a:prstGeom>
                  </pic:spPr>
                </pic:pic>
              </a:graphicData>
            </a:graphic>
          </wp:inline>
        </w:drawing>
      </w:r>
    </w:p>
    <w:p w14:paraId="354AEAD8" w14:textId="79715E83" w:rsidR="00CF24E7" w:rsidRPr="00CF24E7" w:rsidRDefault="00910C47" w:rsidP="000E20AE">
      <w:pPr>
        <w:pStyle w:val="BodyJustified"/>
      </w:pPr>
      <w:r>
        <w:t xml:space="preserve">The </w:t>
      </w:r>
      <w:r w:rsidR="0021715C">
        <w:t>South Australian</w:t>
      </w:r>
      <w:r w:rsidR="0029290B">
        <w:t xml:space="preserve"> scheme</w:t>
      </w:r>
      <w:r w:rsidR="006D31F5" w:rsidRPr="007C2060">
        <w:t xml:space="preserve"> recorded the </w:t>
      </w:r>
      <w:r w:rsidR="000D49B9">
        <w:t>highest premium rate in 201</w:t>
      </w:r>
      <w:r w:rsidR="00EA0981">
        <w:t>6</w:t>
      </w:r>
      <w:r w:rsidR="000D49B9">
        <w:t>–1</w:t>
      </w:r>
      <w:r w:rsidR="00EA0981">
        <w:t>7</w:t>
      </w:r>
      <w:r w:rsidR="000D49B9">
        <w:t xml:space="preserve"> (1.</w:t>
      </w:r>
      <w:r w:rsidR="00EA0981">
        <w:t>93</w:t>
      </w:r>
      <w:r w:rsidR="000D49B9">
        <w:t> per cent of payroll)</w:t>
      </w:r>
      <w:r w:rsidR="00283A14">
        <w:t xml:space="preserve">. </w:t>
      </w:r>
      <w:r w:rsidR="000D49B9">
        <w:t xml:space="preserve">This was </w:t>
      </w:r>
      <w:r w:rsidR="006D31F5" w:rsidRPr="007C2060">
        <w:t xml:space="preserve">followed by </w:t>
      </w:r>
      <w:r w:rsidR="009A436A">
        <w:t>the Australian Capital Territory (1.72</w:t>
      </w:r>
      <w:r w:rsidR="00C40C57">
        <w:t> </w:t>
      </w:r>
      <w:r w:rsidR="009A436A">
        <w:t xml:space="preserve">per cent of payroll), </w:t>
      </w:r>
      <w:r w:rsidR="00C40C57">
        <w:t>and</w:t>
      </w:r>
      <w:r w:rsidR="009A436A">
        <w:t xml:space="preserve"> Tasmania (1.50 per cent of payroll). The Northern Territory </w:t>
      </w:r>
      <w:r w:rsidR="002E2CE5">
        <w:t xml:space="preserve">and the Australian Government </w:t>
      </w:r>
      <w:r w:rsidR="009A436A">
        <w:t xml:space="preserve">recorded an 11 per cent decrease in </w:t>
      </w:r>
      <w:r w:rsidR="002E2CE5">
        <w:t>their</w:t>
      </w:r>
      <w:r w:rsidR="009A436A">
        <w:t xml:space="preserve"> premium rate </w:t>
      </w:r>
      <w:r w:rsidR="002E2CE5">
        <w:t>in 2016–17 compared with</w:t>
      </w:r>
      <w:r w:rsidR="009A436A">
        <w:t xml:space="preserve"> previous year.</w:t>
      </w:r>
      <w:r w:rsidR="006D31F5" w:rsidRPr="00075FA9">
        <w:t xml:space="preserve"> </w:t>
      </w:r>
    </w:p>
    <w:p w14:paraId="162027F4" w14:textId="46D9A366" w:rsidR="00117CAF" w:rsidRDefault="0055327E" w:rsidP="000E20AE">
      <w:pPr>
        <w:pStyle w:val="BodyJustified"/>
      </w:pPr>
      <w:r>
        <w:t xml:space="preserve">The </w:t>
      </w:r>
      <w:r w:rsidR="00C20257">
        <w:t xml:space="preserve">Australian Government </w:t>
      </w:r>
      <w:r w:rsidR="002E2CE5">
        <w:t>recorded the lowest premium rate among all Australian jurisdictions at 1.03</w:t>
      </w:r>
      <w:r w:rsidR="00C40C57">
        <w:t> </w:t>
      </w:r>
      <w:r w:rsidR="002E2CE5">
        <w:t>per</w:t>
      </w:r>
      <w:r w:rsidR="00C40C57">
        <w:t> </w:t>
      </w:r>
      <w:r w:rsidR="002E2CE5">
        <w:t>cent of payroll. The Western Australian scheme</w:t>
      </w:r>
      <w:r w:rsidR="006D31F5">
        <w:t xml:space="preserve"> recorded the </w:t>
      </w:r>
      <w:r w:rsidR="002E2CE5">
        <w:t xml:space="preserve">second </w:t>
      </w:r>
      <w:r w:rsidR="006D31F5">
        <w:t>lowest premium rate at 1.1</w:t>
      </w:r>
      <w:r w:rsidR="002E2CE5">
        <w:t>4</w:t>
      </w:r>
      <w:r w:rsidR="006D31F5">
        <w:t> per cent of payroll in 201</w:t>
      </w:r>
      <w:r w:rsidR="002E2CE5">
        <w:t>6</w:t>
      </w:r>
      <w:r w:rsidR="006D31F5">
        <w:t>–1</w:t>
      </w:r>
      <w:r w:rsidR="002E2CE5">
        <w:t>7</w:t>
      </w:r>
      <w:r>
        <w:t xml:space="preserve">, followed by </w:t>
      </w:r>
      <w:r w:rsidR="00C20257">
        <w:t xml:space="preserve">Queensland </w:t>
      </w:r>
      <w:r>
        <w:t>at 1.</w:t>
      </w:r>
      <w:r w:rsidR="002E2CE5">
        <w:t>20</w:t>
      </w:r>
      <w:r w:rsidR="00FB0257">
        <w:t> per cent</w:t>
      </w:r>
      <w:r w:rsidR="006D31F5">
        <w:t xml:space="preserve"> of payroll</w:t>
      </w:r>
      <w:r>
        <w:t>.</w:t>
      </w:r>
      <w:r w:rsidR="006D31F5">
        <w:t xml:space="preserve"> </w:t>
      </w:r>
    </w:p>
    <w:p w14:paraId="6AA97A0E" w14:textId="0BD01D33" w:rsidR="006D31F5" w:rsidRDefault="006D31F5" w:rsidP="000E20AE">
      <w:pPr>
        <w:pStyle w:val="BodyJustified"/>
      </w:pPr>
      <w:r>
        <w:lastRenderedPageBreak/>
        <w:t>To be consistent with the Australian jurisdictions, the New Zealand premium information includes the levy on employers to fund the workers’ compensation portion of the ‘Residual Claims Account’. This account relates to workers’ compensation claims incurred prior to 1 July 1999 but excludes the liability for pre-1992 non-work injuries for earners. The New Zealand standardised average premium rate was 0.</w:t>
      </w:r>
      <w:r w:rsidR="002E2CE5">
        <w:t>59</w:t>
      </w:r>
      <w:r w:rsidR="00FB0257">
        <w:t> per cent</w:t>
      </w:r>
      <w:r>
        <w:t xml:space="preserve"> of payroll, a </w:t>
      </w:r>
      <w:r w:rsidR="002E2CE5">
        <w:t>16</w:t>
      </w:r>
      <w:r w:rsidR="009018DF">
        <w:t> </w:t>
      </w:r>
      <w:r>
        <w:t>per</w:t>
      </w:r>
      <w:r w:rsidR="009018DF">
        <w:t> </w:t>
      </w:r>
      <w:r>
        <w:t xml:space="preserve">cent </w:t>
      </w:r>
      <w:r w:rsidR="002E2CE5">
        <w:t>increase</w:t>
      </w:r>
      <w:r>
        <w:t xml:space="preserve"> from the previous financial year. This rate continues to be </w:t>
      </w:r>
      <w:r w:rsidR="009D5A54">
        <w:t>substantially</w:t>
      </w:r>
      <w:r>
        <w:t xml:space="preserve"> lower than the rate recorded for Australia. One reason for the lower rate in New Zealand is that the New Zealand scheme does not provide coverage for the same range of mental </w:t>
      </w:r>
      <w:r w:rsidR="008E3886">
        <w:t xml:space="preserve">health conditions </w:t>
      </w:r>
      <w:r>
        <w:t xml:space="preserve">as the Australian schemes. </w:t>
      </w:r>
    </w:p>
    <w:p w14:paraId="02BC50B1" w14:textId="601A3DC9" w:rsidR="006D31F5" w:rsidRDefault="006D31F5" w:rsidP="000E20AE">
      <w:pPr>
        <w:pStyle w:val="BodyJustified"/>
      </w:pPr>
      <w:r>
        <w:t>It should be noted that these data will be different to premium rates published directly by the jurisdictions due to the adjustments made to the data to enable more accurate jurisdictional comparisons. The principal regulatory differences that affect comparability for which adjustments have been applied in this indicator are: the exclusion of provision for coverage of journey claims; the inclusion of self-insurers; the inclusion of superannuation as part of remuneration; and the standardisation of non-compensable excesses imposed by each scheme. The effect of each of these adjustments is shown in Appendix 1 – Table 3</w:t>
      </w:r>
      <w:r w:rsidR="00283D45">
        <w:t xml:space="preserve">: </w:t>
      </w:r>
      <w:r w:rsidR="00283D45" w:rsidRPr="00EF0A14">
        <w:rPr>
          <w:lang w:val="en-GB"/>
        </w:rPr>
        <w:t>Effect of adjustment factors on premium rates in 201</w:t>
      </w:r>
      <w:r w:rsidR="00C40C57">
        <w:rPr>
          <w:lang w:val="en-GB"/>
        </w:rPr>
        <w:t>6</w:t>
      </w:r>
      <w:r w:rsidR="00283D45" w:rsidRPr="00EF0A14">
        <w:rPr>
          <w:lang w:val="en-GB"/>
        </w:rPr>
        <w:t>–1</w:t>
      </w:r>
      <w:r w:rsidR="00C40C57">
        <w:rPr>
          <w:lang w:val="en-GB"/>
        </w:rPr>
        <w:t>7</w:t>
      </w:r>
      <w:r w:rsidR="00283D45">
        <w:rPr>
          <w:lang w:val="en-GB"/>
        </w:rPr>
        <w:t>,</w:t>
      </w:r>
      <w:r>
        <w:t xml:space="preserve"> in the Explanatory Notes. Information on published rates is outlined in the publication, </w:t>
      </w:r>
      <w:r w:rsidRPr="00264B27">
        <w:rPr>
          <w:i/>
          <w:iCs/>
        </w:rPr>
        <w:t>Comparison of Workers’ Compensation Arrangements in Australia and New Zealand</w:t>
      </w:r>
      <w:r>
        <w:t xml:space="preserve"> that can be found </w:t>
      </w:r>
      <w:r w:rsidR="00C40C57">
        <w:t>on</w:t>
      </w:r>
      <w:r>
        <w:t xml:space="preserve"> the </w:t>
      </w:r>
      <w:hyperlink r:id="rId31" w:history="1">
        <w:r w:rsidRPr="00694A71">
          <w:rPr>
            <w:rStyle w:val="SWALinkChar"/>
            <w:rFonts w:eastAsiaTheme="minorHAnsi"/>
          </w:rPr>
          <w:t>Safe Work Australia</w:t>
        </w:r>
      </w:hyperlink>
      <w:r>
        <w:t xml:space="preserve"> website.</w:t>
      </w:r>
    </w:p>
    <w:p w14:paraId="0D705578" w14:textId="0DAB85A3" w:rsidR="00B94996" w:rsidRPr="00593601" w:rsidRDefault="00A72B7E" w:rsidP="00A72B7E">
      <w:pPr>
        <w:pStyle w:val="SWASectionnum2"/>
      </w:pPr>
      <w:bookmarkStart w:id="6" w:name="_Toc4508767"/>
      <w:r w:rsidRPr="00763976">
        <w:t xml:space="preserve">Standardised average premium rates </w:t>
      </w:r>
      <w:r>
        <w:t>by in</w:t>
      </w:r>
      <w:r w:rsidR="00EB6A23">
        <w:t>d</w:t>
      </w:r>
      <w:r>
        <w:t>ustry</w:t>
      </w:r>
      <w:bookmarkEnd w:id="6"/>
      <w:r w:rsidR="00B94996">
        <w:rPr>
          <w:color w:val="681E5B"/>
        </w:rPr>
        <w:t xml:space="preserve"> </w:t>
      </w:r>
    </w:p>
    <w:p w14:paraId="298B94CB" w14:textId="4916BCEB" w:rsidR="00B94996" w:rsidRDefault="00B94996" w:rsidP="000E20AE">
      <w:pPr>
        <w:pStyle w:val="BodyJustified"/>
      </w:pPr>
      <w:r>
        <w:t>Premium rates data are still shown using the 1993 version of the Industry Classification System as most jurisdictions are unable to supply premium data based on the 2006 Industry Classification System. Indicator</w:t>
      </w:r>
      <w:r w:rsidR="00C40C57">
        <w:t> </w:t>
      </w:r>
      <w:r w:rsidR="00317076">
        <w:rPr>
          <w:noProof/>
        </w:rPr>
        <w:t>14</w:t>
      </w:r>
      <w:r>
        <w:t xml:space="preserve"> shows average premium rates by industry in Australia for the period from 201</w:t>
      </w:r>
      <w:r w:rsidR="003A3BBE">
        <w:t>2</w:t>
      </w:r>
      <w:r>
        <w:t>–1</w:t>
      </w:r>
      <w:r w:rsidR="003A3BBE">
        <w:t>3</w:t>
      </w:r>
      <w:r>
        <w:t xml:space="preserve"> to </w:t>
      </w:r>
      <w:r w:rsidR="00AC0A9D">
        <w:br/>
      </w:r>
      <w:r>
        <w:t>201</w:t>
      </w:r>
      <w:r w:rsidR="003A3BBE">
        <w:t>6</w:t>
      </w:r>
      <w:r>
        <w:t>–1</w:t>
      </w:r>
      <w:r w:rsidR="003A3BBE">
        <w:t>7</w:t>
      </w:r>
      <w:r>
        <w:t>. These data show that the Agriculture, forestry and fishing industry recorded the highest average premium rate at 3.</w:t>
      </w:r>
      <w:r w:rsidR="000A2834">
        <w:t>3</w:t>
      </w:r>
      <w:r w:rsidR="00302338">
        <w:t>3</w:t>
      </w:r>
      <w:r w:rsidR="00FB0257">
        <w:t> per cent</w:t>
      </w:r>
      <w:r>
        <w:t xml:space="preserve"> of payroll in 201</w:t>
      </w:r>
      <w:r w:rsidR="000A2834">
        <w:t>6</w:t>
      </w:r>
      <w:r>
        <w:t>–1</w:t>
      </w:r>
      <w:r w:rsidR="000A2834">
        <w:t>7</w:t>
      </w:r>
      <w:r>
        <w:t>. The lowest premium rate was recorded by the Finance and insurance industry at 0.</w:t>
      </w:r>
      <w:r w:rsidR="00302338">
        <w:t>2</w:t>
      </w:r>
      <w:r w:rsidR="000A2834">
        <w:t>4</w:t>
      </w:r>
      <w:r w:rsidR="00FB0257">
        <w:t> per cent</w:t>
      </w:r>
      <w:r>
        <w:t xml:space="preserve"> of payroll. </w:t>
      </w:r>
    </w:p>
    <w:p w14:paraId="6AD80310" w14:textId="7FEA724C" w:rsidR="00B94996" w:rsidRPr="00075FA9" w:rsidRDefault="00B94996" w:rsidP="000E20AE">
      <w:pPr>
        <w:pStyle w:val="BodyJustified"/>
      </w:pPr>
      <w:r>
        <w:t xml:space="preserve">Premium rates </w:t>
      </w:r>
      <w:r w:rsidRPr="00075FA9">
        <w:t>of 1</w:t>
      </w:r>
      <w:r w:rsidR="000A2834">
        <w:t>5</w:t>
      </w:r>
      <w:r w:rsidRPr="00075FA9">
        <w:t xml:space="preserve"> out of </w:t>
      </w:r>
      <w:r w:rsidR="00C40C57">
        <w:t xml:space="preserve">the </w:t>
      </w:r>
      <w:r w:rsidRPr="00075FA9">
        <w:t>17 industries have decreased since 201</w:t>
      </w:r>
      <w:r w:rsidR="000A2834">
        <w:t>2</w:t>
      </w:r>
      <w:r w:rsidRPr="00075FA9">
        <w:t>–1</w:t>
      </w:r>
      <w:r w:rsidR="000A2834">
        <w:t>3</w:t>
      </w:r>
      <w:r w:rsidRPr="00075FA9">
        <w:t xml:space="preserve">. The largest percentage decrease was recorded by the </w:t>
      </w:r>
      <w:r w:rsidR="00933288">
        <w:t>Finance and insurance</w:t>
      </w:r>
      <w:r w:rsidR="00F53CA6">
        <w:t xml:space="preserve"> industry</w:t>
      </w:r>
      <w:r w:rsidRPr="00075FA9">
        <w:t xml:space="preserve"> </w:t>
      </w:r>
      <w:r w:rsidR="00D404BC">
        <w:t>(down 3</w:t>
      </w:r>
      <w:r w:rsidR="00F53CA6">
        <w:t>3</w:t>
      </w:r>
      <w:r w:rsidR="00FB0257">
        <w:t> per cent</w:t>
      </w:r>
      <w:r w:rsidR="00D404BC">
        <w:t xml:space="preserve">), followed by </w:t>
      </w:r>
      <w:r w:rsidR="00933288">
        <w:t>Communication services</w:t>
      </w:r>
      <w:r w:rsidR="00B67E09">
        <w:t xml:space="preserve"> (down </w:t>
      </w:r>
      <w:r w:rsidR="00F53CA6">
        <w:t>2</w:t>
      </w:r>
      <w:r w:rsidR="00933288">
        <w:t>5</w:t>
      </w:r>
      <w:r w:rsidR="00B67E09">
        <w:t> per cent),</w:t>
      </w:r>
      <w:r w:rsidR="00C40C57">
        <w:t xml:space="preserve"> </w:t>
      </w:r>
      <w:r w:rsidR="00B67E09">
        <w:t xml:space="preserve">and </w:t>
      </w:r>
      <w:r w:rsidR="00933288">
        <w:t>Health and community services</w:t>
      </w:r>
      <w:r w:rsidRPr="00075FA9">
        <w:t xml:space="preserve"> industr</w:t>
      </w:r>
      <w:r w:rsidR="00D404BC">
        <w:t>y</w:t>
      </w:r>
      <w:r w:rsidRPr="00075FA9">
        <w:t xml:space="preserve"> </w:t>
      </w:r>
      <w:r w:rsidR="006F446E">
        <w:t>(</w:t>
      </w:r>
      <w:r w:rsidRPr="00075FA9">
        <w:t>down</w:t>
      </w:r>
      <w:r w:rsidR="00B67E09">
        <w:t> </w:t>
      </w:r>
      <w:r w:rsidR="00933288">
        <w:t>17</w:t>
      </w:r>
      <w:r w:rsidR="00B67E09">
        <w:t> </w:t>
      </w:r>
      <w:r w:rsidRPr="00075FA9">
        <w:t>per</w:t>
      </w:r>
      <w:r w:rsidR="00B67E09">
        <w:t> </w:t>
      </w:r>
      <w:r w:rsidRPr="00075FA9">
        <w:t>cent</w:t>
      </w:r>
      <w:r w:rsidR="00D404BC">
        <w:t>).</w:t>
      </w:r>
      <w:r w:rsidR="00317076">
        <w:t xml:space="preserve"> </w:t>
      </w:r>
    </w:p>
    <w:p w14:paraId="7BFA7C69" w14:textId="77777777" w:rsidR="0047156B" w:rsidRDefault="0047156B" w:rsidP="00B94996">
      <w:pPr>
        <w:pStyle w:val="Figureheading"/>
      </w:pPr>
      <w:bookmarkStart w:id="7" w:name="_Ref464469525"/>
    </w:p>
    <w:p w14:paraId="5383D53C" w14:textId="77777777" w:rsidR="004D5E09" w:rsidRDefault="004D5E09" w:rsidP="00B94996">
      <w:pPr>
        <w:pStyle w:val="Figureheading"/>
        <w:sectPr w:rsidR="004D5E09" w:rsidSect="0047156B">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134" w:right="1134" w:bottom="1134" w:left="1418" w:header="720" w:footer="720" w:gutter="0"/>
          <w:cols w:space="720"/>
          <w:noEndnote/>
          <w:titlePg/>
          <w:docGrid w:linePitch="299"/>
        </w:sectPr>
      </w:pPr>
    </w:p>
    <w:p w14:paraId="039839D7" w14:textId="5FA9DA74" w:rsidR="00B94996" w:rsidRDefault="00B94996" w:rsidP="005F2ED9">
      <w:pPr>
        <w:pStyle w:val="SWATableheader"/>
      </w:pPr>
      <w:r w:rsidRPr="00075FA9">
        <w:lastRenderedPageBreak/>
        <w:t xml:space="preserve">Indicator </w:t>
      </w:r>
      <w:bookmarkEnd w:id="7"/>
      <w:r w:rsidR="00474952">
        <w:rPr>
          <w:noProof/>
        </w:rPr>
        <w:t>14</w:t>
      </w:r>
      <w:r w:rsidRPr="00075FA9">
        <w:t xml:space="preserve"> – Australian</w:t>
      </w:r>
      <w:r w:rsidRPr="00194969">
        <w:t xml:space="preserve"> average premium rates by industry</w:t>
      </w:r>
    </w:p>
    <w:p w14:paraId="01EF94D2" w14:textId="77777777" w:rsidR="00B94996" w:rsidRDefault="00477BE3" w:rsidP="00B94996">
      <w:pPr>
        <w:rPr>
          <w:noProof/>
        </w:rPr>
      </w:pPr>
      <w:r>
        <w:rPr>
          <w:noProof/>
        </w:rPr>
        <w:drawing>
          <wp:inline distT="0" distB="0" distL="0" distR="0" wp14:anchorId="1CB06D49" wp14:editId="62A8DE80">
            <wp:extent cx="8259725" cy="4631151"/>
            <wp:effectExtent l="0" t="0" r="8255" b="0"/>
            <wp:docPr id="8" name="Picture 8" descr="This chart shows the Australian average premium rates as percent of payroll by industry of employer for the years 2011-12 to 2015-16." title="Indicator 14- Australian average premium rate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3 - Australian average premium rates by industry-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59725" cy="4631151"/>
                    </a:xfrm>
                    <a:prstGeom prst="rect">
                      <a:avLst/>
                    </a:prstGeom>
                  </pic:spPr>
                </pic:pic>
              </a:graphicData>
            </a:graphic>
          </wp:inline>
        </w:drawing>
      </w:r>
    </w:p>
    <w:p w14:paraId="5F2CFA1A" w14:textId="77777777" w:rsidR="00B94996" w:rsidRDefault="00B94996" w:rsidP="00B94996">
      <w:pPr>
        <w:spacing w:before="0" w:after="200" w:line="276" w:lineRule="auto"/>
        <w:jc w:val="left"/>
        <w:rPr>
          <w:rFonts w:ascii="Arial Bold" w:eastAsiaTheme="majorEastAsia" w:hAnsi="Arial Bold" w:cs="Arial"/>
          <w:b/>
          <w:bCs/>
          <w:color w:val="C00000"/>
          <w:kern w:val="28"/>
          <w:sz w:val="36"/>
          <w:szCs w:val="32"/>
          <w:lang w:eastAsia="en-US"/>
        </w:rPr>
      </w:pPr>
      <w:r>
        <w:br w:type="page"/>
      </w:r>
    </w:p>
    <w:p w14:paraId="5B83B207" w14:textId="77777777" w:rsidR="0047156B" w:rsidRDefault="0047156B" w:rsidP="00B94996">
      <w:pPr>
        <w:rPr>
          <w:lang w:val="en-US" w:eastAsia="en-US"/>
        </w:rPr>
        <w:sectPr w:rsidR="0047156B" w:rsidSect="0047156B">
          <w:footerReference w:type="first" r:id="rId39"/>
          <w:pgSz w:w="16838" w:h="11906" w:orient="landscape"/>
          <w:pgMar w:top="1418" w:right="1134" w:bottom="1134" w:left="1134" w:header="720" w:footer="720" w:gutter="0"/>
          <w:cols w:space="720"/>
          <w:noEndnote/>
          <w:titlePg/>
          <w:docGrid w:linePitch="299"/>
        </w:sectPr>
      </w:pPr>
    </w:p>
    <w:p w14:paraId="6651ADAD" w14:textId="77777777" w:rsidR="007B4BFE" w:rsidRDefault="00EB6A23" w:rsidP="005F2ED9">
      <w:pPr>
        <w:pStyle w:val="SWASectionnum3"/>
      </w:pPr>
      <w:bookmarkStart w:id="8" w:name="_Toc474744860"/>
      <w:bookmarkStart w:id="9" w:name="_Toc476564185"/>
      <w:r w:rsidRPr="00763976">
        <w:lastRenderedPageBreak/>
        <w:t xml:space="preserve">Standardised average premium rates </w:t>
      </w:r>
      <w:r>
        <w:t>by industry</w:t>
      </w:r>
      <w:r w:rsidR="0047156B">
        <w:t xml:space="preserve"> and </w:t>
      </w:r>
      <w:r w:rsidR="007B4BFE">
        <w:t>jurisdiction</w:t>
      </w:r>
      <w:bookmarkEnd w:id="8"/>
    </w:p>
    <w:p w14:paraId="6680BEB4" w14:textId="69D40242" w:rsidR="007B4BFE" w:rsidRDefault="007B4BFE" w:rsidP="000E20AE">
      <w:pPr>
        <w:pStyle w:val="BodyJustified"/>
      </w:pPr>
      <w:r>
        <w:t xml:space="preserve">This section contains supplementary information to Indicator </w:t>
      </w:r>
      <w:r w:rsidR="00B62EA1">
        <w:t>14</w:t>
      </w:r>
      <w:r w:rsidR="00117CAF">
        <w:t xml:space="preserve"> – Australian average premium rates by industry</w:t>
      </w:r>
      <w:r w:rsidR="00B62EA1">
        <w:t>.</w:t>
      </w:r>
      <w:r>
        <w:t xml:space="preserve"> Presented below is a comparison of standardised average premium rates across the Australian jurisdictions for the </w:t>
      </w:r>
      <w:r w:rsidR="00DA15A7">
        <w:t xml:space="preserve">17 </w:t>
      </w:r>
      <w:r>
        <w:t xml:space="preserve">different industries. Premium rates data are still shown using the 1993 version of the Industry Classification System as most jurisdictions are unable to supply data based on the </w:t>
      </w:r>
      <w:r w:rsidR="008E3886">
        <w:t>2006 version of the Industry Classification System.</w:t>
      </w:r>
    </w:p>
    <w:p w14:paraId="7420FF11" w14:textId="77777777" w:rsidR="007B4BFE" w:rsidRPr="00285B6A" w:rsidRDefault="007B4BFE" w:rsidP="00C61C0B">
      <w:pPr>
        <w:pStyle w:val="Heading1"/>
      </w:pPr>
      <w:r w:rsidRPr="00285B6A">
        <w:t xml:space="preserve">Agriculture, forestry and fishing </w:t>
      </w:r>
    </w:p>
    <w:p w14:paraId="30E61CCC" w14:textId="136DF097" w:rsidR="007B4BFE" w:rsidRDefault="00535035" w:rsidP="000E20AE">
      <w:pPr>
        <w:pStyle w:val="BodyJustified"/>
      </w:pPr>
      <w:r>
        <w:t>Indicator 14</w:t>
      </w:r>
      <w:r w:rsidR="007B4BFE">
        <w:t xml:space="preserve">a </w:t>
      </w:r>
      <w:r w:rsidR="007B4BFE" w:rsidRPr="007E141F">
        <w:t>shows that in 201</w:t>
      </w:r>
      <w:r w:rsidR="00C96AF9">
        <w:t>6</w:t>
      </w:r>
      <w:r w:rsidR="007B4BFE">
        <w:t>–</w:t>
      </w:r>
      <w:r w:rsidR="007B4BFE" w:rsidRPr="007E141F">
        <w:t>1</w:t>
      </w:r>
      <w:r w:rsidR="00C96AF9">
        <w:t>7</w:t>
      </w:r>
      <w:r w:rsidR="007B4BFE" w:rsidRPr="007E141F">
        <w:t xml:space="preserve"> the standardised Australian average premium rate </w:t>
      </w:r>
      <w:r w:rsidR="007B4BFE">
        <w:t>for Agriculture, forestry and fishing was 3.</w:t>
      </w:r>
      <w:r w:rsidR="00C96AF9">
        <w:t>33</w:t>
      </w:r>
      <w:r w:rsidR="00FB0257">
        <w:t> per cent</w:t>
      </w:r>
      <w:r w:rsidR="006F446E">
        <w:t xml:space="preserve"> of payroll</w:t>
      </w:r>
      <w:r w:rsidR="007B4BFE">
        <w:t xml:space="preserve">. This rate was also the highest Australian average premium rate across all industries. </w:t>
      </w:r>
      <w:r w:rsidR="004C4108">
        <w:t>Three</w:t>
      </w:r>
      <w:r w:rsidR="008D1699">
        <w:t xml:space="preserve"> out of </w:t>
      </w:r>
      <w:r w:rsidR="004C4108">
        <w:t>eight</w:t>
      </w:r>
      <w:r w:rsidR="00C96AF9">
        <w:t xml:space="preserve"> </w:t>
      </w:r>
      <w:r w:rsidR="00D934F5">
        <w:t xml:space="preserve">Australian </w:t>
      </w:r>
      <w:r w:rsidR="008D1699">
        <w:t xml:space="preserve">jurisdictions </w:t>
      </w:r>
      <w:r w:rsidR="007B4BFE">
        <w:t xml:space="preserve">showed a decrease in premium rates </w:t>
      </w:r>
      <w:r w:rsidR="00C40C57">
        <w:t xml:space="preserve">in this industry </w:t>
      </w:r>
      <w:r w:rsidR="007B4BFE">
        <w:t>in 201</w:t>
      </w:r>
      <w:r w:rsidR="00C96AF9">
        <w:t>6</w:t>
      </w:r>
      <w:r w:rsidR="007B4BFE">
        <w:t>−1</w:t>
      </w:r>
      <w:r w:rsidR="00C96AF9">
        <w:t>7</w:t>
      </w:r>
      <w:r w:rsidR="007B4BFE">
        <w:t xml:space="preserve"> compared to the previous f</w:t>
      </w:r>
      <w:r w:rsidR="00727DDC">
        <w:t xml:space="preserve">inancial year, with the largest </w:t>
      </w:r>
      <w:r w:rsidR="007B4BFE">
        <w:t xml:space="preserve">decrease observed in the </w:t>
      </w:r>
      <w:r w:rsidR="00B94982">
        <w:t xml:space="preserve">Australian Capital </w:t>
      </w:r>
      <w:r w:rsidR="00CD071D">
        <w:t>Territory</w:t>
      </w:r>
      <w:r w:rsidR="007B4BFE">
        <w:t xml:space="preserve"> scheme (down</w:t>
      </w:r>
      <w:r w:rsidR="00210A4A">
        <w:t> </w:t>
      </w:r>
      <w:r w:rsidR="0007727D">
        <w:t>24</w:t>
      </w:r>
      <w:r w:rsidR="00210A4A">
        <w:t> </w:t>
      </w:r>
      <w:r w:rsidR="007B4BFE">
        <w:t>per</w:t>
      </w:r>
      <w:r w:rsidR="00210A4A">
        <w:t> </w:t>
      </w:r>
      <w:r w:rsidR="007B4BFE">
        <w:t xml:space="preserve">cent). Victoria </w:t>
      </w:r>
      <w:r w:rsidR="00CD071D">
        <w:t xml:space="preserve">recorded </w:t>
      </w:r>
      <w:r w:rsidR="007B4BFE">
        <w:t>the lowest premium rate for the industry in 201</w:t>
      </w:r>
      <w:r w:rsidR="00B94982">
        <w:t>6</w:t>
      </w:r>
      <w:r w:rsidR="00910C47">
        <w:noBreakHyphen/>
      </w:r>
      <w:r w:rsidR="007B4BFE">
        <w:t>1</w:t>
      </w:r>
      <w:r w:rsidR="00B94982">
        <w:t>7</w:t>
      </w:r>
      <w:r w:rsidR="007B4BFE">
        <w:t xml:space="preserve"> (2.6</w:t>
      </w:r>
      <w:r w:rsidR="00CD071D">
        <w:t>5</w:t>
      </w:r>
      <w:r w:rsidR="00FB0257">
        <w:t> per cent</w:t>
      </w:r>
      <w:r w:rsidR="007B4BFE">
        <w:t xml:space="preserve"> of payroll), followed by </w:t>
      </w:r>
      <w:r w:rsidR="00CD071D">
        <w:t>Queensland</w:t>
      </w:r>
      <w:r w:rsidR="007B4BFE">
        <w:t xml:space="preserve"> (</w:t>
      </w:r>
      <w:r w:rsidR="00CD071D">
        <w:t>2.</w:t>
      </w:r>
      <w:r w:rsidR="00B94982">
        <w:t>81</w:t>
      </w:r>
      <w:r w:rsidR="00FB0257">
        <w:t> per cent</w:t>
      </w:r>
      <w:r w:rsidR="007B4BFE">
        <w:t>).</w:t>
      </w:r>
      <w:r w:rsidR="00D934F5">
        <w:t xml:space="preserve"> Four out of </w:t>
      </w:r>
      <w:r w:rsidR="00A079D0">
        <w:t xml:space="preserve">eight </w:t>
      </w:r>
      <w:r w:rsidR="00D934F5">
        <w:t>jurisdictions recorded an increase in premium rates</w:t>
      </w:r>
      <w:r w:rsidR="00A079D0">
        <w:t xml:space="preserve"> in this industry in 2016−17</w:t>
      </w:r>
      <w:r w:rsidR="00F31C4C">
        <w:t xml:space="preserve"> </w:t>
      </w:r>
      <w:r w:rsidR="00A079D0">
        <w:t>compared to the previous year, with the largest increase was in the Northern Territory (up 31 per cent).</w:t>
      </w:r>
    </w:p>
    <w:p w14:paraId="06EB8E10" w14:textId="42468C33" w:rsidR="00910C47" w:rsidRPr="00910C47" w:rsidRDefault="00910C47" w:rsidP="00910C47">
      <w:pPr>
        <w:rPr>
          <w:lang w:val="en-US" w:eastAsia="en-US"/>
        </w:rPr>
      </w:pPr>
      <w:r>
        <w:t xml:space="preserve">The New Zealand premium rate for this industry </w:t>
      </w:r>
      <w:r w:rsidR="00072117">
        <w:t xml:space="preserve">(1.77 per cent of payroll) </w:t>
      </w:r>
      <w:r>
        <w:t>was much lower than the rate recorded for Australia (</w:t>
      </w:r>
      <w:r w:rsidR="00072117">
        <w:t>3.33 per cent of payroll)</w:t>
      </w:r>
      <w:r>
        <w:t xml:space="preserve"> in 201</w:t>
      </w:r>
      <w:r w:rsidR="00B94982">
        <w:t>6</w:t>
      </w:r>
      <w:r>
        <w:t>–1</w:t>
      </w:r>
      <w:r w:rsidR="00B94982">
        <w:t>7</w:t>
      </w:r>
      <w:r>
        <w:t>.</w:t>
      </w:r>
    </w:p>
    <w:p w14:paraId="15B5A806" w14:textId="77777777" w:rsidR="007B4BFE" w:rsidRDefault="00535035" w:rsidP="00C61C0B">
      <w:pPr>
        <w:pStyle w:val="SWATableheader"/>
      </w:pPr>
      <w:r>
        <w:t>Indicator 14</w:t>
      </w:r>
      <w:r w:rsidR="007B4BFE">
        <w:t>a</w:t>
      </w:r>
      <w:r w:rsidR="007B4BFE" w:rsidRPr="002D04B4">
        <w:t xml:space="preserve"> – </w:t>
      </w:r>
      <w:r w:rsidR="007B4BFE">
        <w:tab/>
        <w:t>Standardised premium rates</w:t>
      </w:r>
      <w:r w:rsidR="007B4BFE" w:rsidRPr="002D04B4">
        <w:t xml:space="preserve"> for </w:t>
      </w:r>
      <w:r w:rsidR="007B4BFE">
        <w:t xml:space="preserve">Agriculture, forestry and fishing </w:t>
      </w:r>
      <w:r w:rsidR="007B4BFE" w:rsidRPr="002D04B4">
        <w:t>by jurisdiction</w:t>
      </w:r>
    </w:p>
    <w:p w14:paraId="74FBA819" w14:textId="17FB04EA" w:rsidR="00584E3E" w:rsidRDefault="004B6A8E" w:rsidP="00F42172">
      <w:pPr>
        <w:pStyle w:val="BodyJustified"/>
        <w:jc w:val="center"/>
      </w:pPr>
      <w:r>
        <w:rPr>
          <w:noProof/>
          <w:lang w:val="en-AU" w:eastAsia="en-AU"/>
        </w:rPr>
        <w:drawing>
          <wp:inline distT="0" distB="0" distL="0" distR="0" wp14:anchorId="10A0614D" wp14:editId="0174B324">
            <wp:extent cx="4772025" cy="2506544"/>
            <wp:effectExtent l="0" t="0" r="0" b="8255"/>
            <wp:docPr id="12" name="Picture 12" descr="This chart shows the standardised premium rates as per cent of payroll for the Agriculture, forestry and fishing industry by jurisdiction for the years 2011-12 to 2015-16. Please refer to body text for more information." title="Indicator 14a- Standardised premium rates for Agriculture, forestry and fish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griculture, forestry &amp; fishing-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86179" cy="2513979"/>
                    </a:xfrm>
                    <a:prstGeom prst="rect">
                      <a:avLst/>
                    </a:prstGeom>
                  </pic:spPr>
                </pic:pic>
              </a:graphicData>
            </a:graphic>
          </wp:inline>
        </w:drawing>
      </w:r>
    </w:p>
    <w:p w14:paraId="756CB094" w14:textId="77777777" w:rsidR="007B4BFE" w:rsidRPr="00285B6A" w:rsidRDefault="007B4BFE" w:rsidP="00C61C0B">
      <w:pPr>
        <w:pStyle w:val="Heading1"/>
      </w:pPr>
      <w:r w:rsidRPr="00285B6A">
        <w:t xml:space="preserve">Mining </w:t>
      </w:r>
    </w:p>
    <w:p w14:paraId="65BF1460" w14:textId="79A8CC62" w:rsidR="00117CAF" w:rsidRDefault="007B4BFE" w:rsidP="000E20AE">
      <w:pPr>
        <w:pStyle w:val="BodyJustified"/>
      </w:pPr>
      <w:r>
        <w:t xml:space="preserve">Standardised average premium rates across jurisdictions for the Mining industry are shown in </w:t>
      </w:r>
      <w:r w:rsidR="00535035">
        <w:t>Indicator</w:t>
      </w:r>
      <w:r w:rsidR="00910C47">
        <w:t> </w:t>
      </w:r>
      <w:r w:rsidR="00535035">
        <w:t>14</w:t>
      </w:r>
      <w:r>
        <w:t xml:space="preserve">b. </w:t>
      </w:r>
      <w:r w:rsidR="004923DE">
        <w:t>The Australian Capital Territory</w:t>
      </w:r>
      <w:r>
        <w:t xml:space="preserve"> </w:t>
      </w:r>
      <w:r w:rsidR="00072117">
        <w:t xml:space="preserve">recorded </w:t>
      </w:r>
      <w:r>
        <w:t xml:space="preserve">the largest </w:t>
      </w:r>
      <w:r w:rsidR="001649A1">
        <w:t>decrease</w:t>
      </w:r>
      <w:r>
        <w:t xml:space="preserve"> in the premium rate (</w:t>
      </w:r>
      <w:r w:rsidR="001649A1">
        <w:t>down</w:t>
      </w:r>
      <w:r>
        <w:t> </w:t>
      </w:r>
      <w:r w:rsidR="001649A1">
        <w:t>33</w:t>
      </w:r>
      <w:r>
        <w:t> per cent) in 201</w:t>
      </w:r>
      <w:r w:rsidR="00D86E05">
        <w:t>6</w:t>
      </w:r>
      <w:r>
        <w:t>–1</w:t>
      </w:r>
      <w:r w:rsidR="00D86E05">
        <w:t>7</w:t>
      </w:r>
      <w:r>
        <w:t xml:space="preserve"> compared to the previous year, followed by </w:t>
      </w:r>
      <w:r w:rsidR="001649A1">
        <w:t xml:space="preserve">the Northern Territory </w:t>
      </w:r>
      <w:r w:rsidR="00C277C9">
        <w:t>(</w:t>
      </w:r>
      <w:r w:rsidR="001649A1">
        <w:t>down</w:t>
      </w:r>
      <w:r w:rsidR="00C277C9">
        <w:t> </w:t>
      </w:r>
      <w:r w:rsidR="001649A1">
        <w:t>22</w:t>
      </w:r>
      <w:r w:rsidR="00C277C9">
        <w:t> </w:t>
      </w:r>
      <w:r>
        <w:t>per</w:t>
      </w:r>
      <w:r w:rsidR="00C277C9">
        <w:t> </w:t>
      </w:r>
      <w:r>
        <w:t>cent)</w:t>
      </w:r>
      <w:r w:rsidR="00C277C9">
        <w:t xml:space="preserve"> and </w:t>
      </w:r>
      <w:r w:rsidR="001649A1">
        <w:t>Western Australia</w:t>
      </w:r>
      <w:r w:rsidR="00C277C9">
        <w:t xml:space="preserve"> (</w:t>
      </w:r>
      <w:r w:rsidR="001649A1">
        <w:t>down 3</w:t>
      </w:r>
      <w:r w:rsidR="00C277C9">
        <w:t> per cent)</w:t>
      </w:r>
      <w:r>
        <w:t xml:space="preserve">. The largest </w:t>
      </w:r>
      <w:r w:rsidR="001649A1">
        <w:t>increase</w:t>
      </w:r>
      <w:r>
        <w:t xml:space="preserve"> in premium rates in 201</w:t>
      </w:r>
      <w:r w:rsidR="001649A1">
        <w:t>6</w:t>
      </w:r>
      <w:r>
        <w:t>–1</w:t>
      </w:r>
      <w:r w:rsidR="001649A1">
        <w:t>7</w:t>
      </w:r>
      <w:r w:rsidR="004923DE">
        <w:t xml:space="preserve"> was observed in Tasmania</w:t>
      </w:r>
      <w:r>
        <w:t xml:space="preserve"> </w:t>
      </w:r>
      <w:r w:rsidR="00072117">
        <w:t>(</w:t>
      </w:r>
      <w:r w:rsidR="001649A1">
        <w:t>up</w:t>
      </w:r>
      <w:r>
        <w:t> </w:t>
      </w:r>
      <w:r w:rsidR="001649A1">
        <w:t>21</w:t>
      </w:r>
      <w:r w:rsidR="006F446E">
        <w:t xml:space="preserve"> </w:t>
      </w:r>
      <w:r>
        <w:t>per cent)</w:t>
      </w:r>
      <w:r w:rsidR="001649A1">
        <w:t>, followed by New South Wales (up by 4 per cent)</w:t>
      </w:r>
      <w:r>
        <w:t>. Western Australia had the lowest premium rate (0.6</w:t>
      </w:r>
      <w:r w:rsidR="001649A1">
        <w:t>7</w:t>
      </w:r>
      <w:r w:rsidR="00FB0257">
        <w:t> per cent</w:t>
      </w:r>
      <w:r>
        <w:t xml:space="preserve"> of payroll) for this industry in 201</w:t>
      </w:r>
      <w:r w:rsidR="001649A1">
        <w:t>6</w:t>
      </w:r>
      <w:r>
        <w:t>–1</w:t>
      </w:r>
      <w:r w:rsidR="001649A1">
        <w:t>7</w:t>
      </w:r>
      <w:r w:rsidR="00117CAF">
        <w:t>.</w:t>
      </w:r>
      <w:r>
        <w:t xml:space="preserve"> </w:t>
      </w:r>
    </w:p>
    <w:p w14:paraId="6E7D9564" w14:textId="1FEB7320" w:rsidR="007B4BFE" w:rsidRDefault="00117CAF" w:rsidP="000E20AE">
      <w:pPr>
        <w:pStyle w:val="BodyJustified"/>
      </w:pPr>
      <w:r>
        <w:t>T</w:t>
      </w:r>
      <w:r w:rsidR="007B4BFE">
        <w:t>he New Zealand premium rate</w:t>
      </w:r>
      <w:r w:rsidR="00CF75E8">
        <w:t xml:space="preserve"> for mining</w:t>
      </w:r>
      <w:r w:rsidR="007B4BFE">
        <w:t xml:space="preserve"> was </w:t>
      </w:r>
      <w:r w:rsidR="004923DE">
        <w:t>0.8</w:t>
      </w:r>
      <w:r w:rsidR="001649A1">
        <w:t>8</w:t>
      </w:r>
      <w:r w:rsidR="00FB0257">
        <w:t> per cent</w:t>
      </w:r>
      <w:r w:rsidR="007B4BFE">
        <w:t xml:space="preserve"> of payroll</w:t>
      </w:r>
      <w:r>
        <w:t xml:space="preserve"> in 201</w:t>
      </w:r>
      <w:r w:rsidR="001649A1">
        <w:t>6</w:t>
      </w:r>
      <w:r>
        <w:t>–1</w:t>
      </w:r>
      <w:r w:rsidR="001649A1">
        <w:t>7</w:t>
      </w:r>
      <w:r>
        <w:t xml:space="preserve">, which is lower than the Australian average </w:t>
      </w:r>
      <w:r w:rsidR="00CF75E8">
        <w:t xml:space="preserve">mining </w:t>
      </w:r>
      <w:r>
        <w:t xml:space="preserve">premium rate </w:t>
      </w:r>
      <w:r w:rsidR="006737C8">
        <w:t>(</w:t>
      </w:r>
      <w:r w:rsidR="001649A1">
        <w:t xml:space="preserve">1.26 </w:t>
      </w:r>
      <w:r w:rsidR="006737C8">
        <w:t>per cent of payroll)</w:t>
      </w:r>
      <w:r w:rsidR="007B4BFE">
        <w:t xml:space="preserve">. </w:t>
      </w:r>
    </w:p>
    <w:p w14:paraId="62D91A75" w14:textId="77777777" w:rsidR="007B4BFE" w:rsidRDefault="00535035" w:rsidP="0047156B">
      <w:pPr>
        <w:pStyle w:val="SWATableheader"/>
      </w:pPr>
      <w:r>
        <w:lastRenderedPageBreak/>
        <w:t>Indicator 14</w:t>
      </w:r>
      <w:r w:rsidR="007B4BFE">
        <w:t>b</w:t>
      </w:r>
      <w:r w:rsidR="007B4BFE" w:rsidRPr="002D04B4">
        <w:t xml:space="preserve"> – </w:t>
      </w:r>
      <w:r w:rsidR="007B4BFE">
        <w:tab/>
        <w:t>Standardised premium rates</w:t>
      </w:r>
      <w:r w:rsidR="007B4BFE" w:rsidRPr="002D04B4">
        <w:t xml:space="preserve"> for </w:t>
      </w:r>
      <w:r w:rsidR="007B4BFE">
        <w:t xml:space="preserve">Mining </w:t>
      </w:r>
      <w:r w:rsidR="007B4BFE" w:rsidRPr="002D04B4">
        <w:t>by jurisdiction</w:t>
      </w:r>
    </w:p>
    <w:p w14:paraId="3DD8E188" w14:textId="77777777" w:rsidR="007B4BFE" w:rsidRDefault="00584E3E" w:rsidP="007B4BFE">
      <w:pPr>
        <w:jc w:val="center"/>
      </w:pPr>
      <w:r>
        <w:rPr>
          <w:noProof/>
        </w:rPr>
        <w:drawing>
          <wp:inline distT="0" distB="0" distL="0" distR="0" wp14:anchorId="61A5B263" wp14:editId="298C1381">
            <wp:extent cx="4807139" cy="2445536"/>
            <wp:effectExtent l="0" t="0" r="0" b="0"/>
            <wp:docPr id="13" name="Picture 13" descr="This chart shows the standardised premium rates (per cent of payroll) for the Mining industry between 2011-12 and 2015-16 by jurisdiction. Please refer to body text for more information." title="Indicator 14b- Standardised premium rates for Min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ning-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07139" cy="2445536"/>
                    </a:xfrm>
                    <a:prstGeom prst="rect">
                      <a:avLst/>
                    </a:prstGeom>
                  </pic:spPr>
                </pic:pic>
              </a:graphicData>
            </a:graphic>
          </wp:inline>
        </w:drawing>
      </w:r>
    </w:p>
    <w:p w14:paraId="4450EEE1" w14:textId="77777777" w:rsidR="007B4BFE" w:rsidRPr="00285B6A" w:rsidRDefault="007B4BFE" w:rsidP="00C61C0B">
      <w:pPr>
        <w:pStyle w:val="Heading1"/>
      </w:pPr>
      <w:r w:rsidRPr="00285B6A">
        <w:t xml:space="preserve">Manufacturing </w:t>
      </w:r>
    </w:p>
    <w:p w14:paraId="6FE90AB9" w14:textId="479456E6" w:rsidR="00117CAF" w:rsidRDefault="007B4BFE" w:rsidP="000E20AE">
      <w:pPr>
        <w:pStyle w:val="BodyJustified"/>
      </w:pPr>
      <w:r>
        <w:t xml:space="preserve">As shown in </w:t>
      </w:r>
      <w:r w:rsidR="00535035">
        <w:t>Indicator 14</w:t>
      </w:r>
      <w:r>
        <w:t xml:space="preserve">c, </w:t>
      </w:r>
      <w:r w:rsidR="009C171A">
        <w:t>five</w:t>
      </w:r>
      <w:r w:rsidR="00A95FAE">
        <w:t xml:space="preserve"> out of nine jurisdictions showed </w:t>
      </w:r>
      <w:r>
        <w:t xml:space="preserve">a decrease in their premium rate in </w:t>
      </w:r>
      <w:r w:rsidR="00D766A2">
        <w:br/>
      </w:r>
      <w:r>
        <w:t>201</w:t>
      </w:r>
      <w:r w:rsidR="009C171A">
        <w:t>6</w:t>
      </w:r>
      <w:r>
        <w:t>–1</w:t>
      </w:r>
      <w:r w:rsidR="009C171A">
        <w:t>7</w:t>
      </w:r>
      <w:r>
        <w:t xml:space="preserve"> compared to the previous year. </w:t>
      </w:r>
      <w:r w:rsidR="009C171A">
        <w:t xml:space="preserve">The Australian Government had the largest decrease </w:t>
      </w:r>
      <w:r>
        <w:t>in its premium rate (down</w:t>
      </w:r>
      <w:r w:rsidR="00D766A2">
        <w:t> </w:t>
      </w:r>
      <w:r w:rsidR="009C171A">
        <w:t>65</w:t>
      </w:r>
      <w:r w:rsidR="00D766A2">
        <w:t> </w:t>
      </w:r>
      <w:r>
        <w:t>per</w:t>
      </w:r>
      <w:r w:rsidR="00D766A2">
        <w:t> </w:t>
      </w:r>
      <w:r>
        <w:t>cent) in 201</w:t>
      </w:r>
      <w:r w:rsidR="009C171A">
        <w:t>6</w:t>
      </w:r>
      <w:r>
        <w:t>–1</w:t>
      </w:r>
      <w:r w:rsidR="009C171A">
        <w:t>7</w:t>
      </w:r>
      <w:r>
        <w:t xml:space="preserve"> compared to 201</w:t>
      </w:r>
      <w:r w:rsidR="009C171A">
        <w:t>5</w:t>
      </w:r>
      <w:r>
        <w:t>–1</w:t>
      </w:r>
      <w:r w:rsidR="009C171A">
        <w:t>6</w:t>
      </w:r>
      <w:r>
        <w:t xml:space="preserve">, followed by </w:t>
      </w:r>
      <w:r w:rsidR="009C171A">
        <w:t>South Australia</w:t>
      </w:r>
      <w:r w:rsidR="00283D45">
        <w:t xml:space="preserve"> (down </w:t>
      </w:r>
      <w:r w:rsidR="005B07D1">
        <w:t>1</w:t>
      </w:r>
      <w:r w:rsidR="009C171A">
        <w:t>1</w:t>
      </w:r>
      <w:r w:rsidR="00910C47">
        <w:t> </w:t>
      </w:r>
      <w:r w:rsidR="005B07D1">
        <w:t>per</w:t>
      </w:r>
      <w:r w:rsidR="00910C47">
        <w:t> </w:t>
      </w:r>
      <w:r w:rsidR="005B07D1">
        <w:t xml:space="preserve">cent) and Tasmania (down </w:t>
      </w:r>
      <w:r w:rsidR="009C171A">
        <w:t xml:space="preserve">3 </w:t>
      </w:r>
      <w:r w:rsidR="005B07D1">
        <w:t>per cent)</w:t>
      </w:r>
      <w:r>
        <w:t>.</w:t>
      </w:r>
      <w:r w:rsidR="00DA15A7">
        <w:t xml:space="preserve"> </w:t>
      </w:r>
      <w:r w:rsidR="00A95FAE">
        <w:t xml:space="preserve">The largest increase in premium rate was recorded by </w:t>
      </w:r>
      <w:r w:rsidR="00D766A2">
        <w:t xml:space="preserve">the Australian </w:t>
      </w:r>
      <w:r w:rsidR="009C171A">
        <w:t>Capital Territory</w:t>
      </w:r>
      <w:r w:rsidR="00D766A2">
        <w:t xml:space="preserve"> (up </w:t>
      </w:r>
      <w:r w:rsidR="006F446E">
        <w:t>6</w:t>
      </w:r>
      <w:r w:rsidR="00D766A2">
        <w:t> per cent)</w:t>
      </w:r>
      <w:r w:rsidR="00A95FAE">
        <w:t xml:space="preserve">, </w:t>
      </w:r>
      <w:r w:rsidR="00166316">
        <w:t xml:space="preserve">while </w:t>
      </w:r>
      <w:r w:rsidR="00072117">
        <w:t xml:space="preserve">remaining </w:t>
      </w:r>
      <w:r w:rsidR="00166316">
        <w:t xml:space="preserve">jurisdictions recorded premium rates similar to those recorded in the previous year. </w:t>
      </w:r>
      <w:r w:rsidR="00072117">
        <w:t>T</w:t>
      </w:r>
      <w:r>
        <w:t>he Australian Government recorded the lowest premium rate (0.</w:t>
      </w:r>
      <w:r w:rsidR="00166316">
        <w:t>09</w:t>
      </w:r>
      <w:r>
        <w:t xml:space="preserve"> per cent of payroll) of all Australian jurisdictions. </w:t>
      </w:r>
    </w:p>
    <w:p w14:paraId="5A4D4501" w14:textId="5AA0BAE9" w:rsidR="007B4BFE" w:rsidRDefault="007B4BFE" w:rsidP="000E20AE">
      <w:pPr>
        <w:pStyle w:val="BodyJustified"/>
      </w:pPr>
      <w:r>
        <w:t xml:space="preserve">The New Zealand standardised average premium rate </w:t>
      </w:r>
      <w:r w:rsidR="00540AC8">
        <w:t xml:space="preserve">in </w:t>
      </w:r>
      <w:r w:rsidR="00086275">
        <w:t xml:space="preserve">the </w:t>
      </w:r>
      <w:r w:rsidR="00540AC8">
        <w:t xml:space="preserve">Manufacturing industry </w:t>
      </w:r>
      <w:r>
        <w:t xml:space="preserve">was </w:t>
      </w:r>
      <w:r w:rsidR="00D766A2">
        <w:t>0.</w:t>
      </w:r>
      <w:r w:rsidR="005328B6">
        <w:t>61</w:t>
      </w:r>
      <w:r>
        <w:t> per cent of payroll in 201</w:t>
      </w:r>
      <w:r w:rsidR="005328B6">
        <w:t>6</w:t>
      </w:r>
      <w:r>
        <w:t>–1</w:t>
      </w:r>
      <w:r w:rsidR="005328B6">
        <w:t>7</w:t>
      </w:r>
      <w:r>
        <w:t xml:space="preserve">, a </w:t>
      </w:r>
      <w:r w:rsidR="005328B6">
        <w:t>15</w:t>
      </w:r>
      <w:r w:rsidR="00FB0257">
        <w:t> per cent</w:t>
      </w:r>
      <w:r>
        <w:t xml:space="preserve"> </w:t>
      </w:r>
      <w:r w:rsidR="005328B6">
        <w:t>inc</w:t>
      </w:r>
      <w:r>
        <w:t xml:space="preserve">rease from the previous year. </w:t>
      </w:r>
    </w:p>
    <w:p w14:paraId="615D237C" w14:textId="77777777" w:rsidR="007B4BFE" w:rsidRDefault="00535035" w:rsidP="0047156B">
      <w:pPr>
        <w:pStyle w:val="SWATableheader"/>
      </w:pPr>
      <w:r>
        <w:t>Indicator 14</w:t>
      </w:r>
      <w:r w:rsidR="007B4BFE">
        <w:t>c</w:t>
      </w:r>
      <w:r w:rsidR="007B4BFE" w:rsidRPr="002D04B4">
        <w:t xml:space="preserve"> – </w:t>
      </w:r>
      <w:r w:rsidR="007B4BFE">
        <w:tab/>
        <w:t>Standardised premium rates</w:t>
      </w:r>
      <w:r w:rsidR="007B4BFE" w:rsidRPr="002D04B4">
        <w:t xml:space="preserve"> for </w:t>
      </w:r>
      <w:r w:rsidR="007B4BFE">
        <w:t xml:space="preserve">Manufacturing </w:t>
      </w:r>
      <w:r w:rsidR="007B4BFE" w:rsidRPr="002D04B4">
        <w:t>by jurisdiction</w:t>
      </w:r>
    </w:p>
    <w:p w14:paraId="4D272A02" w14:textId="77777777" w:rsidR="007B4BFE" w:rsidRDefault="00492C37" w:rsidP="007B4BFE">
      <w:pPr>
        <w:jc w:val="center"/>
        <w:rPr>
          <w:lang w:val="en-GB"/>
        </w:rPr>
      </w:pPr>
      <w:r>
        <w:rPr>
          <w:noProof/>
        </w:rPr>
        <w:drawing>
          <wp:inline distT="0" distB="0" distL="0" distR="0" wp14:anchorId="5E85FC32" wp14:editId="27C13293">
            <wp:extent cx="4964399" cy="2497803"/>
            <wp:effectExtent l="0" t="0" r="8255" b="0"/>
            <wp:docPr id="14" name="Picture 14" descr="This chart shows the standardised premium rates (per cent of payroll) for Manufacturing industry between 2011-12 and 2015-16 by jurisdiction. Please refer to body text for more information." title="Standardised premium rates for Manufactur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nufacturing-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64399" cy="2497803"/>
                    </a:xfrm>
                    <a:prstGeom prst="rect">
                      <a:avLst/>
                    </a:prstGeom>
                  </pic:spPr>
                </pic:pic>
              </a:graphicData>
            </a:graphic>
          </wp:inline>
        </w:drawing>
      </w:r>
    </w:p>
    <w:p w14:paraId="72836005" w14:textId="77777777" w:rsidR="0044769B" w:rsidRDefault="0044769B">
      <w:pPr>
        <w:spacing w:before="0" w:after="200" w:line="276" w:lineRule="auto"/>
        <w:jc w:val="left"/>
        <w:rPr>
          <w:rFonts w:ascii="Arial Bold" w:eastAsiaTheme="majorEastAsia" w:hAnsi="Arial Bold" w:cs="Arial"/>
          <w:b/>
          <w:noProof/>
          <w:kern w:val="32"/>
          <w:sz w:val="28"/>
          <w:szCs w:val="22"/>
        </w:rPr>
      </w:pPr>
      <w:r>
        <w:rPr>
          <w:noProof/>
        </w:rPr>
        <w:br w:type="page"/>
      </w:r>
    </w:p>
    <w:p w14:paraId="3507A317" w14:textId="77777777" w:rsidR="007B4BFE" w:rsidRPr="00285B6A" w:rsidRDefault="007B4BFE" w:rsidP="00C61C0B">
      <w:pPr>
        <w:pStyle w:val="Heading1"/>
      </w:pPr>
      <w:r w:rsidRPr="00285B6A">
        <w:rPr>
          <w:noProof/>
        </w:rPr>
        <w:lastRenderedPageBreak/>
        <w:t xml:space="preserve">Electricity, gas and water </w:t>
      </w:r>
      <w:r w:rsidRPr="00285B6A">
        <w:t xml:space="preserve">supply </w:t>
      </w:r>
    </w:p>
    <w:p w14:paraId="01088C31" w14:textId="651CB9B6" w:rsidR="0044769B" w:rsidRDefault="00535035" w:rsidP="000E20AE">
      <w:pPr>
        <w:pStyle w:val="BodyJustified"/>
      </w:pPr>
      <w:r>
        <w:t>Indicator 14</w:t>
      </w:r>
      <w:r w:rsidR="007B4BFE">
        <w:t xml:space="preserve">d compares the premium rates across jurisdictions for the Electricity, gas and water supply industry. </w:t>
      </w:r>
      <w:r w:rsidR="00A87A93">
        <w:t xml:space="preserve">The </w:t>
      </w:r>
      <w:r w:rsidR="009F6D58">
        <w:t xml:space="preserve">Northern Territory (up 267 per cent), the </w:t>
      </w:r>
      <w:r w:rsidR="00A87A93">
        <w:t>Australian Capital Territory</w:t>
      </w:r>
      <w:r w:rsidR="00BD385D">
        <w:t xml:space="preserve"> (up </w:t>
      </w:r>
      <w:r w:rsidR="00CE49CB">
        <w:t>4</w:t>
      </w:r>
      <w:r w:rsidR="00A87A93">
        <w:t>7</w:t>
      </w:r>
      <w:r w:rsidR="00BD385D">
        <w:t xml:space="preserve"> per cent), </w:t>
      </w:r>
      <w:r w:rsidR="009F6D58">
        <w:t>Queensland</w:t>
      </w:r>
      <w:r w:rsidR="00BD385D">
        <w:t xml:space="preserve"> (up </w:t>
      </w:r>
      <w:r w:rsidR="009F6D58">
        <w:t>5</w:t>
      </w:r>
      <w:r w:rsidR="00BD385D">
        <w:t xml:space="preserve"> per cent) and </w:t>
      </w:r>
      <w:r w:rsidR="009F6D58">
        <w:t>Western Australia</w:t>
      </w:r>
      <w:r w:rsidR="00BD385D">
        <w:t xml:space="preserve"> (up </w:t>
      </w:r>
      <w:r w:rsidR="009F6D58">
        <w:t>3</w:t>
      </w:r>
      <w:r w:rsidR="00BD385D">
        <w:t xml:space="preserve"> per cent) </w:t>
      </w:r>
      <w:r w:rsidR="007B4BFE">
        <w:t xml:space="preserve">were the only </w:t>
      </w:r>
      <w:r w:rsidR="002D4192">
        <w:t xml:space="preserve">Australian </w:t>
      </w:r>
      <w:r w:rsidR="007B4BFE">
        <w:t>jurisdictions to show increases in premium rates in 201</w:t>
      </w:r>
      <w:r w:rsidR="009F6D58">
        <w:t>6</w:t>
      </w:r>
      <w:r w:rsidR="007B4BFE">
        <w:t>–1</w:t>
      </w:r>
      <w:r w:rsidR="009F6D58">
        <w:t>7</w:t>
      </w:r>
      <w:r w:rsidR="007B4BFE">
        <w:t xml:space="preserve"> compared to the previous year. </w:t>
      </w:r>
      <w:r w:rsidR="00072117">
        <w:t>T</w:t>
      </w:r>
      <w:r w:rsidR="00BD385D">
        <w:t xml:space="preserve">he </w:t>
      </w:r>
      <w:r w:rsidR="009F6D58">
        <w:t>Australian Government</w:t>
      </w:r>
      <w:r w:rsidR="00BD385D">
        <w:t xml:space="preserve"> </w:t>
      </w:r>
      <w:r w:rsidR="00072117">
        <w:t xml:space="preserve">recorded </w:t>
      </w:r>
      <w:r w:rsidR="007B4BFE">
        <w:t>the largest fall (down </w:t>
      </w:r>
      <w:r w:rsidR="009F6D58">
        <w:t>11</w:t>
      </w:r>
      <w:r w:rsidR="00BD385D">
        <w:t> </w:t>
      </w:r>
      <w:r w:rsidR="007B4BFE">
        <w:t xml:space="preserve">per cent), followed by </w:t>
      </w:r>
      <w:r w:rsidR="009F6D58">
        <w:t>Tasmania</w:t>
      </w:r>
      <w:r w:rsidR="000E109F">
        <w:t xml:space="preserve"> (down </w:t>
      </w:r>
      <w:r w:rsidR="009F6D58">
        <w:t>3</w:t>
      </w:r>
      <w:r w:rsidR="000E109F">
        <w:t xml:space="preserve"> per cent</w:t>
      </w:r>
      <w:r w:rsidR="0044769B">
        <w:t>)</w:t>
      </w:r>
      <w:r w:rsidR="000E109F">
        <w:t xml:space="preserve">, Victoria (down </w:t>
      </w:r>
      <w:r w:rsidR="009F6D58">
        <w:t>2</w:t>
      </w:r>
      <w:r w:rsidR="00072117">
        <w:t> </w:t>
      </w:r>
      <w:r w:rsidR="000E109F">
        <w:t>per</w:t>
      </w:r>
      <w:r w:rsidR="00072117">
        <w:t> </w:t>
      </w:r>
      <w:r w:rsidR="000E109F">
        <w:t xml:space="preserve">cent) and </w:t>
      </w:r>
      <w:r w:rsidR="009F6D58">
        <w:t xml:space="preserve">New South Wales </w:t>
      </w:r>
      <w:r w:rsidR="00F869D3">
        <w:t>(down </w:t>
      </w:r>
      <w:r w:rsidR="009F6D58">
        <w:t>1</w:t>
      </w:r>
      <w:r w:rsidR="00F869D3">
        <w:t> per cent</w:t>
      </w:r>
      <w:r w:rsidR="0044769B">
        <w:t>)</w:t>
      </w:r>
      <w:r w:rsidR="00F869D3">
        <w:t xml:space="preserve">. </w:t>
      </w:r>
      <w:r w:rsidR="00072117">
        <w:t xml:space="preserve">The premium rate in </w:t>
      </w:r>
      <w:r w:rsidR="00CB5C8E">
        <w:t xml:space="preserve">South Australia </w:t>
      </w:r>
      <w:r w:rsidR="00072117">
        <w:t xml:space="preserve">was unchanged from </w:t>
      </w:r>
      <w:r w:rsidR="00CB5C8E">
        <w:t>the previous year.</w:t>
      </w:r>
    </w:p>
    <w:p w14:paraId="3FF6D751" w14:textId="3CC32317" w:rsidR="007B4BFE" w:rsidRPr="00B94407" w:rsidRDefault="007B4BFE" w:rsidP="000E20AE">
      <w:pPr>
        <w:pStyle w:val="BodyJustified"/>
      </w:pPr>
      <w:r>
        <w:t xml:space="preserve">New Zealand had a premium rate of </w:t>
      </w:r>
      <w:r w:rsidR="00A944F2">
        <w:t>1.</w:t>
      </w:r>
      <w:r w:rsidR="00CB5C8E">
        <w:t>28</w:t>
      </w:r>
      <w:r w:rsidR="00FB0257">
        <w:t> per cent</w:t>
      </w:r>
      <w:r>
        <w:t xml:space="preserve"> of payroll in 201</w:t>
      </w:r>
      <w:r w:rsidR="00CB5C8E">
        <w:t>6</w:t>
      </w:r>
      <w:r>
        <w:t>–1</w:t>
      </w:r>
      <w:r w:rsidR="00CB5C8E">
        <w:t>7</w:t>
      </w:r>
      <w:r>
        <w:t>, a</w:t>
      </w:r>
      <w:r w:rsidR="00CB5C8E">
        <w:t>n</w:t>
      </w:r>
      <w:r>
        <w:t xml:space="preserve"> </w:t>
      </w:r>
      <w:r w:rsidR="00CB5C8E">
        <w:t>increase</w:t>
      </w:r>
      <w:r>
        <w:t xml:space="preserve"> of </w:t>
      </w:r>
      <w:r w:rsidR="00CB5C8E">
        <w:t>7</w:t>
      </w:r>
      <w:r w:rsidR="00FB0257">
        <w:t> per cent</w:t>
      </w:r>
      <w:r>
        <w:t xml:space="preserve"> from the previous year. </w:t>
      </w:r>
    </w:p>
    <w:p w14:paraId="7BAF1C02" w14:textId="77777777" w:rsidR="007B4BFE" w:rsidRDefault="00535035" w:rsidP="0047156B">
      <w:pPr>
        <w:pStyle w:val="SWATableheader"/>
      </w:pPr>
      <w:r>
        <w:t>Indicator 14</w:t>
      </w:r>
      <w:r w:rsidR="007B4BFE">
        <w:t>d</w:t>
      </w:r>
      <w:r w:rsidR="007B4BFE" w:rsidRPr="002D04B4">
        <w:t xml:space="preserve"> – </w:t>
      </w:r>
      <w:r w:rsidR="007B4BFE">
        <w:tab/>
        <w:t>Standardised premium rates</w:t>
      </w:r>
      <w:r w:rsidR="007B4BFE" w:rsidRPr="002D04B4">
        <w:t xml:space="preserve"> for </w:t>
      </w:r>
      <w:r w:rsidR="00884561">
        <w:t xml:space="preserve">Electricity, gas </w:t>
      </w:r>
      <w:r w:rsidR="007B4BFE">
        <w:t xml:space="preserve">and water supply </w:t>
      </w:r>
      <w:r w:rsidR="007B4BFE" w:rsidRPr="002D04B4">
        <w:t>by jurisdiction</w:t>
      </w:r>
    </w:p>
    <w:p w14:paraId="07D27F60" w14:textId="77777777" w:rsidR="007B4BFE" w:rsidRDefault="00492C37" w:rsidP="007B4BFE">
      <w:pPr>
        <w:jc w:val="center"/>
        <w:rPr>
          <w:lang w:val="en-GB"/>
        </w:rPr>
      </w:pPr>
      <w:r>
        <w:rPr>
          <w:noProof/>
        </w:rPr>
        <w:drawing>
          <wp:inline distT="0" distB="0" distL="0" distR="0" wp14:anchorId="1E357B3A" wp14:editId="2E5AACB4">
            <wp:extent cx="4615400" cy="2305366"/>
            <wp:effectExtent l="0" t="0" r="0" b="0"/>
            <wp:docPr id="15" name="Picture 15" descr="This chart shows the standardised premium rates (per cent of payroll) for Electricity, gas &amp; water supply industry between 2011-12 and 2015-16 by jurisdiction. Please refer to body text for more information." title="Standardised premium rates for Electricity, gas and water supply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ctricity, gas &amp; water-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15400" cy="2305366"/>
                    </a:xfrm>
                    <a:prstGeom prst="rect">
                      <a:avLst/>
                    </a:prstGeom>
                  </pic:spPr>
                </pic:pic>
              </a:graphicData>
            </a:graphic>
          </wp:inline>
        </w:drawing>
      </w:r>
    </w:p>
    <w:p w14:paraId="316D4916" w14:textId="77777777" w:rsidR="007B4BFE" w:rsidRPr="00285B6A" w:rsidRDefault="007B4BFE" w:rsidP="00C61C0B">
      <w:pPr>
        <w:pStyle w:val="Heading1"/>
      </w:pPr>
      <w:r w:rsidRPr="00285B6A">
        <w:t xml:space="preserve">Construction </w:t>
      </w:r>
    </w:p>
    <w:p w14:paraId="4899A835" w14:textId="5F953DAF" w:rsidR="0044769B" w:rsidRDefault="00535035" w:rsidP="000E20AE">
      <w:pPr>
        <w:pStyle w:val="BodyJustified"/>
      </w:pPr>
      <w:r>
        <w:t>Indicator 14</w:t>
      </w:r>
      <w:r w:rsidR="007B4BFE">
        <w:t xml:space="preserve">e shows that in </w:t>
      </w:r>
      <w:r w:rsidR="009C2B3D">
        <w:t>201</w:t>
      </w:r>
      <w:r w:rsidR="004627D8">
        <w:t>6</w:t>
      </w:r>
      <w:r w:rsidR="009C2B3D">
        <w:t>–1</w:t>
      </w:r>
      <w:r w:rsidR="004627D8">
        <w:t>7</w:t>
      </w:r>
      <w:r w:rsidR="007B4BFE">
        <w:t xml:space="preserve"> the Construction industry recorded an Australian average premium rate of </w:t>
      </w:r>
      <w:r w:rsidR="009C2B3D">
        <w:t>2.</w:t>
      </w:r>
      <w:r w:rsidR="00C01B18">
        <w:t>13</w:t>
      </w:r>
      <w:r w:rsidR="00FB0257">
        <w:t> per cent</w:t>
      </w:r>
      <w:r w:rsidR="007B4BFE">
        <w:t xml:space="preserve"> of payroll, which was a </w:t>
      </w:r>
      <w:r w:rsidR="00C01B18">
        <w:t>5</w:t>
      </w:r>
      <w:r w:rsidR="009C2B3D">
        <w:t> per cent</w:t>
      </w:r>
      <w:r w:rsidR="007B4BFE">
        <w:t xml:space="preserve"> </w:t>
      </w:r>
      <w:r w:rsidR="00C01B18">
        <w:t>increase</w:t>
      </w:r>
      <w:r w:rsidR="007B4BFE">
        <w:t xml:space="preserve"> compared to </w:t>
      </w:r>
      <w:r w:rsidR="009C2B3D">
        <w:t>201</w:t>
      </w:r>
      <w:r w:rsidR="00C01B18">
        <w:t>5</w:t>
      </w:r>
      <w:r w:rsidR="009C2B3D">
        <w:t>–1</w:t>
      </w:r>
      <w:r w:rsidR="00C01B18">
        <w:t>6</w:t>
      </w:r>
      <w:r w:rsidR="007B4BFE">
        <w:t xml:space="preserve">. The </w:t>
      </w:r>
      <w:r w:rsidR="009C2B3D">
        <w:t>Australian Government</w:t>
      </w:r>
      <w:r w:rsidR="007B4BFE">
        <w:t xml:space="preserve"> </w:t>
      </w:r>
      <w:r w:rsidR="00072117">
        <w:t xml:space="preserve">recorded </w:t>
      </w:r>
      <w:r w:rsidR="007B4BFE">
        <w:t>the largest decrease (down</w:t>
      </w:r>
      <w:r w:rsidR="009C2B3D">
        <w:t> 4</w:t>
      </w:r>
      <w:r w:rsidR="00C01B18">
        <w:t>9</w:t>
      </w:r>
      <w:r w:rsidR="009C2B3D">
        <w:t> per cent</w:t>
      </w:r>
      <w:r w:rsidR="007B4BFE">
        <w:t xml:space="preserve">) among Australian jurisdictions, followed by </w:t>
      </w:r>
      <w:r w:rsidR="00C01B18">
        <w:t xml:space="preserve">Tasmania </w:t>
      </w:r>
      <w:r w:rsidR="009C2B3D">
        <w:t>(down </w:t>
      </w:r>
      <w:r w:rsidR="00C01B18">
        <w:t>7</w:t>
      </w:r>
      <w:r w:rsidR="009C2B3D">
        <w:t> per cent), the Northern Territory (down </w:t>
      </w:r>
      <w:r w:rsidR="00C01B18">
        <w:t>6</w:t>
      </w:r>
      <w:r w:rsidR="009C2B3D">
        <w:t xml:space="preserve"> per cent) and </w:t>
      </w:r>
      <w:r w:rsidR="00C01B18">
        <w:t>the Australian Capital Territory</w:t>
      </w:r>
      <w:r w:rsidR="009C2B3D">
        <w:t xml:space="preserve"> (down </w:t>
      </w:r>
      <w:r w:rsidR="00C01B18">
        <w:t>5</w:t>
      </w:r>
      <w:r w:rsidR="009C2B3D">
        <w:t> per cent)</w:t>
      </w:r>
      <w:r w:rsidR="007B4BFE">
        <w:t>. The Australian Government had the lowest premium rate (</w:t>
      </w:r>
      <w:r w:rsidR="00C01B18">
        <w:t>0.24</w:t>
      </w:r>
      <w:r w:rsidR="009C2B3D">
        <w:t> per cent</w:t>
      </w:r>
      <w:r w:rsidR="007B4BFE">
        <w:t xml:space="preserve"> of payroll) of all Australian jurisdictions in </w:t>
      </w:r>
      <w:r w:rsidR="009C2B3D">
        <w:t>201</w:t>
      </w:r>
      <w:r w:rsidR="00C01B18">
        <w:t>6</w:t>
      </w:r>
      <w:r w:rsidR="009C2B3D">
        <w:t>–1</w:t>
      </w:r>
      <w:r w:rsidR="00C01B18">
        <w:t>7</w:t>
      </w:r>
      <w:r w:rsidR="007B4BFE">
        <w:t xml:space="preserve">. </w:t>
      </w:r>
    </w:p>
    <w:p w14:paraId="49D6E394" w14:textId="1BCE43C2" w:rsidR="007B4BFE" w:rsidRPr="00B94407" w:rsidRDefault="007B4BFE" w:rsidP="000E20AE">
      <w:pPr>
        <w:pStyle w:val="BodyJustified"/>
      </w:pPr>
      <w:r>
        <w:t>New Zealand recorded a</w:t>
      </w:r>
      <w:r w:rsidR="00C01B18">
        <w:t>n average premium rate of 1.37 per cent of payroll</w:t>
      </w:r>
      <w:r w:rsidR="00DF7E9F">
        <w:t>,</w:t>
      </w:r>
      <w:r w:rsidR="00C01B18">
        <w:t xml:space="preserve"> </w:t>
      </w:r>
      <w:r w:rsidR="00EE3D50">
        <w:t>up</w:t>
      </w:r>
      <w:r>
        <w:t xml:space="preserve"> </w:t>
      </w:r>
      <w:r w:rsidR="002A43DF">
        <w:t>1</w:t>
      </w:r>
      <w:r w:rsidR="00EE3D50">
        <w:t>2</w:t>
      </w:r>
      <w:r>
        <w:t xml:space="preserve"> per cent in </w:t>
      </w:r>
      <w:r w:rsidR="002A43DF">
        <w:t>201</w:t>
      </w:r>
      <w:r w:rsidR="00C01B18">
        <w:t>6</w:t>
      </w:r>
      <w:r w:rsidR="002A43DF">
        <w:t>–1</w:t>
      </w:r>
      <w:r w:rsidR="00C01B18">
        <w:t>7</w:t>
      </w:r>
      <w:r>
        <w:t xml:space="preserve"> compared to the previous year.</w:t>
      </w:r>
    </w:p>
    <w:p w14:paraId="53E574F0" w14:textId="6949E4D7" w:rsidR="007B4BFE" w:rsidRPr="00CD5FDB" w:rsidRDefault="00535035" w:rsidP="0047156B">
      <w:pPr>
        <w:pStyle w:val="SWATableheader"/>
        <w:rPr>
          <w:color w:val="0070C0"/>
        </w:rPr>
      </w:pPr>
      <w:r>
        <w:t>Indicator 14</w:t>
      </w:r>
      <w:r w:rsidR="007B4BFE">
        <w:t>e</w:t>
      </w:r>
      <w:r w:rsidR="007B4BFE" w:rsidRPr="002D04B4">
        <w:t xml:space="preserve"> – </w:t>
      </w:r>
      <w:r w:rsidR="007B4BFE">
        <w:tab/>
        <w:t>Standardised premium rates</w:t>
      </w:r>
      <w:r w:rsidR="007B4BFE" w:rsidRPr="002D04B4">
        <w:t xml:space="preserve"> for </w:t>
      </w:r>
      <w:r w:rsidR="007B4BFE">
        <w:t xml:space="preserve">Construction </w:t>
      </w:r>
      <w:r w:rsidR="007B4BFE" w:rsidRPr="002D04B4">
        <w:t xml:space="preserve">by </w:t>
      </w:r>
      <w:r w:rsidR="001D69AD">
        <w:t>jurisdiction</w:t>
      </w:r>
    </w:p>
    <w:p w14:paraId="24C402AA" w14:textId="77777777" w:rsidR="007B4BFE" w:rsidRDefault="0088163B" w:rsidP="007B4BFE">
      <w:pPr>
        <w:jc w:val="center"/>
        <w:rPr>
          <w:lang w:val="en-GB"/>
        </w:rPr>
      </w:pPr>
      <w:r>
        <w:rPr>
          <w:noProof/>
        </w:rPr>
        <w:drawing>
          <wp:inline distT="0" distB="0" distL="0" distR="0" wp14:anchorId="17AE31FB" wp14:editId="703E3AD7">
            <wp:extent cx="4901128" cy="2226783"/>
            <wp:effectExtent l="0" t="0" r="0" b="2540"/>
            <wp:docPr id="17" name="Picture 17" descr="This chart shows the standardised premium rates (per cent of payroll) for Construction industry between 2011-12 and 2015-16 by jurisdiction. Please refer to body text for more information." title="Standardised premium rates for Constructi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struction-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01128" cy="2226783"/>
                    </a:xfrm>
                    <a:prstGeom prst="rect">
                      <a:avLst/>
                    </a:prstGeom>
                  </pic:spPr>
                </pic:pic>
              </a:graphicData>
            </a:graphic>
          </wp:inline>
        </w:drawing>
      </w:r>
    </w:p>
    <w:p w14:paraId="0EA707AE" w14:textId="77777777" w:rsidR="007B4BFE" w:rsidRPr="00285B6A" w:rsidRDefault="007B4BFE" w:rsidP="00C61C0B">
      <w:pPr>
        <w:pStyle w:val="Heading1"/>
      </w:pPr>
      <w:r w:rsidRPr="00285B6A">
        <w:lastRenderedPageBreak/>
        <w:t xml:space="preserve">Wholesale trade </w:t>
      </w:r>
    </w:p>
    <w:p w14:paraId="38DE6279" w14:textId="348EC5D1" w:rsidR="0044769B" w:rsidRDefault="00535035" w:rsidP="000E20AE">
      <w:pPr>
        <w:pStyle w:val="BodyJustified"/>
      </w:pPr>
      <w:r>
        <w:t>Indicator 14</w:t>
      </w:r>
      <w:r w:rsidR="007B4BFE">
        <w:t xml:space="preserve">f shows a </w:t>
      </w:r>
      <w:r w:rsidR="008F659A">
        <w:t xml:space="preserve">slight </w:t>
      </w:r>
      <w:r w:rsidR="00C8195B">
        <w:t>increase</w:t>
      </w:r>
      <w:r w:rsidR="007B4BFE">
        <w:t xml:space="preserve"> in the Australian average premium rate in the Wholesale trade industry (</w:t>
      </w:r>
      <w:r w:rsidR="008F659A">
        <w:t>up</w:t>
      </w:r>
      <w:r w:rsidR="00DA2118">
        <w:t> </w:t>
      </w:r>
      <w:r w:rsidR="008F659A">
        <w:t>1</w:t>
      </w:r>
      <w:r w:rsidR="00DA2118">
        <w:t> per cent</w:t>
      </w:r>
      <w:r w:rsidR="007B4BFE">
        <w:t xml:space="preserve">) in </w:t>
      </w:r>
      <w:r w:rsidR="00DA2118">
        <w:t>201</w:t>
      </w:r>
      <w:r w:rsidR="008F659A">
        <w:t>6</w:t>
      </w:r>
      <w:r w:rsidR="00DA2118">
        <w:t>–1</w:t>
      </w:r>
      <w:r w:rsidR="008F659A">
        <w:t>7</w:t>
      </w:r>
      <w:r w:rsidR="007B4BFE">
        <w:t xml:space="preserve"> compared to the previous year. </w:t>
      </w:r>
      <w:r w:rsidR="00C8195B">
        <w:t xml:space="preserve">Three out of the eight </w:t>
      </w:r>
      <w:r w:rsidR="002D4192">
        <w:t xml:space="preserve">Australian </w:t>
      </w:r>
      <w:r w:rsidR="00C8195B">
        <w:t xml:space="preserve">jurisdictions showed a reduction </w:t>
      </w:r>
      <w:r w:rsidR="007B4BFE">
        <w:t xml:space="preserve">in their standardised </w:t>
      </w:r>
      <w:r w:rsidR="00DC7630">
        <w:t xml:space="preserve">average </w:t>
      </w:r>
      <w:r w:rsidR="007B4BFE">
        <w:t xml:space="preserve">premium rates in </w:t>
      </w:r>
      <w:r w:rsidR="00DA2118">
        <w:t>201</w:t>
      </w:r>
      <w:r w:rsidR="00C8195B">
        <w:t>6</w:t>
      </w:r>
      <w:r w:rsidR="00DA2118">
        <w:t>–1</w:t>
      </w:r>
      <w:r w:rsidR="00C8195B">
        <w:t>7</w:t>
      </w:r>
      <w:r w:rsidR="007B4BFE">
        <w:t xml:space="preserve">, with </w:t>
      </w:r>
      <w:r w:rsidR="00C8195B">
        <w:t>Tasmania</w:t>
      </w:r>
      <w:r w:rsidR="00DA2118">
        <w:t xml:space="preserve"> </w:t>
      </w:r>
      <w:r w:rsidR="007B4BFE">
        <w:t>showing the largest reduction (down</w:t>
      </w:r>
      <w:r w:rsidR="00DA2118">
        <w:t> </w:t>
      </w:r>
      <w:r w:rsidR="00C8195B">
        <w:t>7</w:t>
      </w:r>
      <w:r w:rsidR="00DA2118">
        <w:t> per cent</w:t>
      </w:r>
      <w:r w:rsidR="007B4BFE">
        <w:t xml:space="preserve">). </w:t>
      </w:r>
      <w:r w:rsidR="00A123E1">
        <w:t xml:space="preserve">The Australian Capital Territory recorded the highest increase in its premium rate (up </w:t>
      </w:r>
      <w:r w:rsidR="000F74D0">
        <w:t>8</w:t>
      </w:r>
      <w:r w:rsidR="00A123E1">
        <w:t xml:space="preserve"> per cent), followed by the Northern Territory (up 6 per cent). </w:t>
      </w:r>
      <w:r w:rsidR="007B4BFE">
        <w:t>Queensland had the lowest premium rate of all Australian jurisdictions (</w:t>
      </w:r>
      <w:r w:rsidR="00DA2118">
        <w:t>0.9</w:t>
      </w:r>
      <w:r w:rsidR="00A123E1">
        <w:t>5</w:t>
      </w:r>
      <w:r w:rsidR="00DA2118">
        <w:t> </w:t>
      </w:r>
      <w:r w:rsidR="007B4BFE">
        <w:t>per</w:t>
      </w:r>
      <w:r w:rsidR="00DA2118">
        <w:t> </w:t>
      </w:r>
      <w:r w:rsidR="007B4BFE">
        <w:t xml:space="preserve">cent of payroll) in </w:t>
      </w:r>
      <w:r w:rsidR="00DA2118">
        <w:t>201</w:t>
      </w:r>
      <w:r w:rsidR="00A123E1">
        <w:t>6</w:t>
      </w:r>
      <w:r w:rsidR="00DA2118">
        <w:t>–1</w:t>
      </w:r>
      <w:r w:rsidR="00A123E1">
        <w:t>7</w:t>
      </w:r>
      <w:r w:rsidR="007B4BFE">
        <w:t xml:space="preserve">. </w:t>
      </w:r>
    </w:p>
    <w:p w14:paraId="467481A4" w14:textId="36913ED0" w:rsidR="007B4BFE" w:rsidRPr="00B94407" w:rsidRDefault="007B4BFE" w:rsidP="000E20AE">
      <w:pPr>
        <w:pStyle w:val="BodyJustified"/>
      </w:pPr>
      <w:r>
        <w:t xml:space="preserve">New Zealand </w:t>
      </w:r>
      <w:r w:rsidR="00072117">
        <w:t xml:space="preserve">recorded </w:t>
      </w:r>
      <w:r>
        <w:t>a</w:t>
      </w:r>
      <w:r w:rsidR="00DA2118">
        <w:t xml:space="preserve"> </w:t>
      </w:r>
      <w:r w:rsidR="00072117">
        <w:t>12</w:t>
      </w:r>
      <w:r w:rsidR="00DA2118">
        <w:t> per cent</w:t>
      </w:r>
      <w:r>
        <w:t xml:space="preserve"> </w:t>
      </w:r>
      <w:r w:rsidR="00072117">
        <w:t xml:space="preserve">increase </w:t>
      </w:r>
      <w:r>
        <w:t xml:space="preserve">in </w:t>
      </w:r>
      <w:r w:rsidR="00072117">
        <w:t xml:space="preserve">the </w:t>
      </w:r>
      <w:r>
        <w:t>premium rate</w:t>
      </w:r>
      <w:r w:rsidR="00072117">
        <w:t xml:space="preserve"> for this industry</w:t>
      </w:r>
      <w:r>
        <w:t xml:space="preserve"> in </w:t>
      </w:r>
      <w:r w:rsidR="00DA2118">
        <w:t>201</w:t>
      </w:r>
      <w:r w:rsidR="00072117">
        <w:t>6</w:t>
      </w:r>
      <w:r w:rsidR="00DA2118">
        <w:t>–1</w:t>
      </w:r>
      <w:r w:rsidR="00072117">
        <w:t>7, up to 0.46 per cent of payroll</w:t>
      </w:r>
      <w:r>
        <w:t>.</w:t>
      </w:r>
    </w:p>
    <w:p w14:paraId="7E9E4791" w14:textId="77777777" w:rsidR="007B4BFE" w:rsidRDefault="00535035" w:rsidP="0047156B">
      <w:pPr>
        <w:pStyle w:val="SWATableheader"/>
      </w:pPr>
      <w:r>
        <w:t>Indicator 14</w:t>
      </w:r>
      <w:r w:rsidR="007B4BFE">
        <w:t>f</w:t>
      </w:r>
      <w:r w:rsidR="007B4BFE" w:rsidRPr="002D04B4">
        <w:t xml:space="preserve"> – </w:t>
      </w:r>
      <w:r w:rsidR="007B4BFE">
        <w:tab/>
        <w:t>Standardised premium rates</w:t>
      </w:r>
      <w:r w:rsidR="007B4BFE" w:rsidRPr="002D04B4">
        <w:t xml:space="preserve"> for </w:t>
      </w:r>
      <w:r w:rsidR="007B4BFE">
        <w:t xml:space="preserve">Wholesale trade </w:t>
      </w:r>
      <w:r w:rsidR="007B4BFE" w:rsidRPr="002D04B4">
        <w:t>by jurisdiction</w:t>
      </w:r>
    </w:p>
    <w:p w14:paraId="192C8176" w14:textId="77777777" w:rsidR="007B4BFE" w:rsidRDefault="00AF128A" w:rsidP="007B4BFE">
      <w:pPr>
        <w:jc w:val="center"/>
        <w:rPr>
          <w:lang w:val="en-GB"/>
        </w:rPr>
      </w:pPr>
      <w:r>
        <w:rPr>
          <w:noProof/>
        </w:rPr>
        <w:drawing>
          <wp:inline distT="0" distB="0" distL="0" distR="0" wp14:anchorId="3943BFC5" wp14:editId="1385DCBC">
            <wp:extent cx="4465686" cy="2261197"/>
            <wp:effectExtent l="0" t="0" r="0" b="6350"/>
            <wp:docPr id="18" name="Picture 18" descr="This chart shows the standardised premium rates (pe rcent of payroll) for Wholesale trade industry between 2011-12 and 2015-16 by jurisdiction. Please refer to body text for more information." title="Indicator 14f- Standardised premium rates for Wholesale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olesale trade-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65686" cy="2261197"/>
                    </a:xfrm>
                    <a:prstGeom prst="rect">
                      <a:avLst/>
                    </a:prstGeom>
                  </pic:spPr>
                </pic:pic>
              </a:graphicData>
            </a:graphic>
          </wp:inline>
        </w:drawing>
      </w:r>
    </w:p>
    <w:p w14:paraId="5B6F420A" w14:textId="77777777" w:rsidR="007B4BFE" w:rsidRPr="00285B6A" w:rsidRDefault="007B4BFE" w:rsidP="00C61C0B">
      <w:pPr>
        <w:pStyle w:val="Heading1"/>
      </w:pPr>
      <w:r w:rsidRPr="00285B6A">
        <w:t xml:space="preserve">Retail trade </w:t>
      </w:r>
    </w:p>
    <w:p w14:paraId="56455FFC" w14:textId="11156129" w:rsidR="0044769B" w:rsidRDefault="00535035" w:rsidP="000E20AE">
      <w:pPr>
        <w:pStyle w:val="BodyJustified"/>
      </w:pPr>
      <w:r>
        <w:t>Indicator 14</w:t>
      </w:r>
      <w:r w:rsidR="007B4BFE">
        <w:t xml:space="preserve">g shows that in </w:t>
      </w:r>
      <w:r w:rsidR="00BD6081">
        <w:t>201</w:t>
      </w:r>
      <w:r w:rsidR="00DB4BB1">
        <w:t>6</w:t>
      </w:r>
      <w:r w:rsidR="00BD6081">
        <w:t>–1</w:t>
      </w:r>
      <w:r w:rsidR="00DB4BB1">
        <w:t>7</w:t>
      </w:r>
      <w:r w:rsidR="007B4BFE">
        <w:t xml:space="preserve"> </w:t>
      </w:r>
      <w:r w:rsidR="003162E3">
        <w:t>South Australia</w:t>
      </w:r>
      <w:r w:rsidR="00BD6081">
        <w:t xml:space="preserve"> </w:t>
      </w:r>
      <w:r w:rsidR="007B4BFE">
        <w:t>recorded the largest decrease in premium rate (down </w:t>
      </w:r>
      <w:r w:rsidR="00DB4BB1">
        <w:t>10</w:t>
      </w:r>
      <w:r w:rsidR="007B4BFE">
        <w:t xml:space="preserve"> per cent) in the Retail trade industry compared to the previous year, followed by </w:t>
      </w:r>
      <w:r w:rsidR="00D12EC5">
        <w:t>the Northern Territory</w:t>
      </w:r>
      <w:r w:rsidR="007B4BFE">
        <w:t xml:space="preserve"> (down</w:t>
      </w:r>
      <w:r w:rsidR="00BD6081">
        <w:t> </w:t>
      </w:r>
      <w:r w:rsidR="00D12EC5">
        <w:t>5</w:t>
      </w:r>
      <w:r w:rsidR="00BD6081">
        <w:t> per cent</w:t>
      </w:r>
      <w:r w:rsidR="003162E3">
        <w:t>).</w:t>
      </w:r>
      <w:r w:rsidR="00D12EC5">
        <w:t xml:space="preserve"> Tasmania recorded a standardized premium rate of 1.09 per cent of payroll in 2016–17</w:t>
      </w:r>
      <w:r w:rsidR="006A264B">
        <w:t>,</w:t>
      </w:r>
      <w:r w:rsidR="00D12EC5">
        <w:t xml:space="preserve"> the lowest among all Australian jurisdictions</w:t>
      </w:r>
      <w:r w:rsidR="00F47F9D">
        <w:t xml:space="preserve"> </w:t>
      </w:r>
    </w:p>
    <w:p w14:paraId="3E802508" w14:textId="0C863566" w:rsidR="007B4BFE" w:rsidRDefault="007B4BFE" w:rsidP="000E20AE">
      <w:pPr>
        <w:pStyle w:val="BodyJustified"/>
      </w:pPr>
      <w:r>
        <w:t xml:space="preserve">In </w:t>
      </w:r>
      <w:r w:rsidR="00BD6081">
        <w:t>201</w:t>
      </w:r>
      <w:r w:rsidR="00D12EC5">
        <w:t>6</w:t>
      </w:r>
      <w:r w:rsidR="00BD6081">
        <w:t>–1</w:t>
      </w:r>
      <w:r w:rsidR="00D12EC5">
        <w:t>7</w:t>
      </w:r>
      <w:r>
        <w:t xml:space="preserve">, New Zealand had a premium rate of </w:t>
      </w:r>
      <w:r w:rsidR="00BD6081">
        <w:t>0.</w:t>
      </w:r>
      <w:r w:rsidR="00D12EC5">
        <w:t>52</w:t>
      </w:r>
      <w:r w:rsidR="00FB0257">
        <w:t> per cent</w:t>
      </w:r>
      <w:r>
        <w:t xml:space="preserve"> of payroll</w:t>
      </w:r>
      <w:r w:rsidR="00072117">
        <w:t xml:space="preserve"> for the Retail industry, </w:t>
      </w:r>
      <w:r w:rsidR="00D12EC5">
        <w:t xml:space="preserve">an increase </w:t>
      </w:r>
      <w:r>
        <w:t xml:space="preserve">of </w:t>
      </w:r>
      <w:r w:rsidR="00D12EC5">
        <w:t>16</w:t>
      </w:r>
      <w:r w:rsidR="00BD6081">
        <w:t> </w:t>
      </w:r>
      <w:r>
        <w:t xml:space="preserve">per cent compared to </w:t>
      </w:r>
      <w:r w:rsidR="00BD6081">
        <w:t>201</w:t>
      </w:r>
      <w:r w:rsidR="00DB4BB1">
        <w:t>5</w:t>
      </w:r>
      <w:r w:rsidR="00BD6081">
        <w:t>–1</w:t>
      </w:r>
      <w:r w:rsidR="00DB4BB1">
        <w:t>6</w:t>
      </w:r>
      <w:r>
        <w:t xml:space="preserve">. </w:t>
      </w:r>
    </w:p>
    <w:p w14:paraId="55197F9E" w14:textId="77777777" w:rsidR="007B4BFE" w:rsidRDefault="00535035" w:rsidP="0047156B">
      <w:pPr>
        <w:pStyle w:val="SWATableheader"/>
      </w:pPr>
      <w:r>
        <w:t>Indicator 14</w:t>
      </w:r>
      <w:r w:rsidR="007B4BFE">
        <w:t>g</w:t>
      </w:r>
      <w:r w:rsidR="007B4BFE" w:rsidRPr="002D04B4">
        <w:t xml:space="preserve"> – </w:t>
      </w:r>
      <w:r w:rsidR="007B4BFE">
        <w:tab/>
        <w:t>Standardised premium rates</w:t>
      </w:r>
      <w:r w:rsidR="007B4BFE" w:rsidRPr="002D04B4">
        <w:t xml:space="preserve"> for </w:t>
      </w:r>
      <w:r w:rsidR="007B4BFE">
        <w:t xml:space="preserve">Retail trade </w:t>
      </w:r>
      <w:r w:rsidR="007B4BFE" w:rsidRPr="002D04B4">
        <w:t>by jurisdiction</w:t>
      </w:r>
    </w:p>
    <w:p w14:paraId="4E41B6D3" w14:textId="77777777" w:rsidR="007B4BFE" w:rsidRDefault="00863205" w:rsidP="007B4BFE">
      <w:pPr>
        <w:jc w:val="center"/>
        <w:rPr>
          <w:lang w:val="en-GB"/>
        </w:rPr>
      </w:pPr>
      <w:r>
        <w:rPr>
          <w:noProof/>
        </w:rPr>
        <w:drawing>
          <wp:inline distT="0" distB="0" distL="0" distR="0" wp14:anchorId="3C1D007E" wp14:editId="26A36B9B">
            <wp:extent cx="5095387" cy="2228850"/>
            <wp:effectExtent l="0" t="0" r="0" b="0"/>
            <wp:docPr id="19" name="Picture 19" descr="This chart shows the standardised premium rates (per cent of payroll) for Retail trade industry between 2011-12 and 2015-16 by jurisdiction. Please refer to body text for more information." title="Indicator 14g- Standardised premium rates for Retail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tail trade-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96225" cy="2229217"/>
                    </a:xfrm>
                    <a:prstGeom prst="rect">
                      <a:avLst/>
                    </a:prstGeom>
                  </pic:spPr>
                </pic:pic>
              </a:graphicData>
            </a:graphic>
          </wp:inline>
        </w:drawing>
      </w:r>
    </w:p>
    <w:p w14:paraId="4A0FA21B" w14:textId="5614132B" w:rsidR="007B4BFE" w:rsidRPr="00285B6A" w:rsidRDefault="007B4BFE" w:rsidP="00C61C0B">
      <w:pPr>
        <w:pStyle w:val="Heading1"/>
      </w:pPr>
      <w:r w:rsidRPr="00285B6A">
        <w:lastRenderedPageBreak/>
        <w:t xml:space="preserve">Accommodation, cafes and restaurants </w:t>
      </w:r>
    </w:p>
    <w:p w14:paraId="54CABD66" w14:textId="61E7730B" w:rsidR="0044769B" w:rsidRDefault="00535035" w:rsidP="000E20AE">
      <w:pPr>
        <w:pStyle w:val="BodyJustified"/>
      </w:pPr>
      <w:r>
        <w:t>Indicator 14</w:t>
      </w:r>
      <w:r w:rsidR="007B4BFE">
        <w:t xml:space="preserve">h shows that the Australian average premium rate for Accommodation, cafes and restaurants was </w:t>
      </w:r>
      <w:r w:rsidR="00BA4A9B">
        <w:t>1.</w:t>
      </w:r>
      <w:r w:rsidR="009F34EA">
        <w:t>67</w:t>
      </w:r>
      <w:r w:rsidR="00DF7E9F">
        <w:t xml:space="preserve"> </w:t>
      </w:r>
      <w:r w:rsidR="00BA4A9B">
        <w:t>per cent of payroll in 201</w:t>
      </w:r>
      <w:r w:rsidR="008F4219">
        <w:t>6</w:t>
      </w:r>
      <w:r w:rsidR="00BA4A9B">
        <w:t>–1</w:t>
      </w:r>
      <w:r w:rsidR="008F4219">
        <w:t>7</w:t>
      </w:r>
      <w:r w:rsidR="007B4BFE">
        <w:t xml:space="preserve">, a </w:t>
      </w:r>
      <w:r w:rsidR="009F34EA">
        <w:t>3</w:t>
      </w:r>
      <w:r w:rsidR="00BA4A9B">
        <w:t> per cent</w:t>
      </w:r>
      <w:r w:rsidR="007B4BFE">
        <w:t xml:space="preserve"> reductio</w:t>
      </w:r>
      <w:r w:rsidR="00324224">
        <w:t>n compared to the previous year</w:t>
      </w:r>
      <w:r w:rsidR="0014102D">
        <w:t>.</w:t>
      </w:r>
      <w:r w:rsidR="00283D45">
        <w:t xml:space="preserve"> </w:t>
      </w:r>
      <w:r w:rsidR="00283D45">
        <w:br/>
      </w:r>
      <w:r w:rsidR="007B4BFE">
        <w:t xml:space="preserve">All jurisdictions, except </w:t>
      </w:r>
      <w:r w:rsidR="0014102D">
        <w:t>t</w:t>
      </w:r>
      <w:r w:rsidR="009F34EA">
        <w:t>he Australian Government (up 59 per cent) and t</w:t>
      </w:r>
      <w:r w:rsidR="00324224">
        <w:t>he Northern Territory (up 5</w:t>
      </w:r>
      <w:r w:rsidR="0014102D">
        <w:t> </w:t>
      </w:r>
      <w:r w:rsidR="00324224">
        <w:t>per</w:t>
      </w:r>
      <w:r w:rsidR="0014102D">
        <w:t> </w:t>
      </w:r>
      <w:r w:rsidR="009F34EA">
        <w:t xml:space="preserve">cent), </w:t>
      </w:r>
      <w:r w:rsidR="007B4BFE">
        <w:t>recorded a</w:t>
      </w:r>
      <w:r w:rsidR="00324224">
        <w:t xml:space="preserve"> fall in their premium rates in </w:t>
      </w:r>
      <w:r w:rsidR="00BA4A9B">
        <w:t>201</w:t>
      </w:r>
      <w:r w:rsidR="009F34EA">
        <w:t>6</w:t>
      </w:r>
      <w:r w:rsidR="00BA4A9B">
        <w:t>–1</w:t>
      </w:r>
      <w:r w:rsidR="009F34EA">
        <w:t>7</w:t>
      </w:r>
      <w:r w:rsidR="007B4BFE">
        <w:t xml:space="preserve"> compared to </w:t>
      </w:r>
      <w:r w:rsidR="00BA4A9B">
        <w:t>201</w:t>
      </w:r>
      <w:r w:rsidR="008F4219">
        <w:t>5</w:t>
      </w:r>
      <w:r w:rsidR="00BA4A9B">
        <w:t>–1</w:t>
      </w:r>
      <w:r w:rsidR="008F4219">
        <w:t>6</w:t>
      </w:r>
      <w:r w:rsidR="0014102D">
        <w:t xml:space="preserve">. </w:t>
      </w:r>
      <w:r w:rsidR="009F34EA">
        <w:t>Tasmania</w:t>
      </w:r>
      <w:r w:rsidR="00E62C7F">
        <w:t xml:space="preserve"> </w:t>
      </w:r>
      <w:r w:rsidR="0014102D">
        <w:t>recorded</w:t>
      </w:r>
      <w:r w:rsidR="007B4BFE">
        <w:t xml:space="preserve"> the largest reduction</w:t>
      </w:r>
      <w:r w:rsidR="00E62C7F">
        <w:t xml:space="preserve"> </w:t>
      </w:r>
      <w:r w:rsidR="007B4BFE">
        <w:t>(down</w:t>
      </w:r>
      <w:r w:rsidR="00BA4A9B">
        <w:t> </w:t>
      </w:r>
      <w:r w:rsidR="009F34EA">
        <w:t>7</w:t>
      </w:r>
      <w:r w:rsidR="00BA4A9B">
        <w:t> per cent</w:t>
      </w:r>
      <w:r w:rsidR="00324224">
        <w:t>), followed by New South Wales (down 4 per cent).</w:t>
      </w:r>
    </w:p>
    <w:p w14:paraId="00D0D8DC" w14:textId="02C87EB1" w:rsidR="007B4BFE" w:rsidRDefault="007B4BFE" w:rsidP="000E20AE">
      <w:pPr>
        <w:pStyle w:val="BodyJustified"/>
      </w:pPr>
      <w:r>
        <w:t xml:space="preserve">The New Zealand average premium rate was </w:t>
      </w:r>
      <w:r w:rsidR="00BA4A9B">
        <w:t>0.</w:t>
      </w:r>
      <w:r w:rsidR="009F34EA">
        <w:t>65</w:t>
      </w:r>
      <w:r>
        <w:t xml:space="preserve"> per cent of payroll in </w:t>
      </w:r>
      <w:r w:rsidR="00BA4A9B">
        <w:t>201</w:t>
      </w:r>
      <w:r w:rsidR="009F34EA">
        <w:t>6</w:t>
      </w:r>
      <w:r w:rsidR="00BA4A9B">
        <w:t>–1</w:t>
      </w:r>
      <w:r w:rsidR="009F34EA">
        <w:t>7</w:t>
      </w:r>
      <w:r>
        <w:t xml:space="preserve">, </w:t>
      </w:r>
      <w:r w:rsidR="009F34EA">
        <w:t>up</w:t>
      </w:r>
      <w:r>
        <w:t xml:space="preserve"> by </w:t>
      </w:r>
      <w:r w:rsidR="00BA4A9B">
        <w:t>1</w:t>
      </w:r>
      <w:r w:rsidR="009F34EA">
        <w:t>4</w:t>
      </w:r>
      <w:r w:rsidR="00FB0257">
        <w:t> per cent</w:t>
      </w:r>
      <w:r>
        <w:t xml:space="preserve"> compared to the previous year.</w:t>
      </w:r>
      <w:r w:rsidR="00FB0257">
        <w:t xml:space="preserve"> </w:t>
      </w:r>
    </w:p>
    <w:p w14:paraId="671C2B7D" w14:textId="77777777" w:rsidR="007B4BFE" w:rsidRDefault="00535035" w:rsidP="0047156B">
      <w:pPr>
        <w:pStyle w:val="SWATableheader"/>
      </w:pPr>
      <w:r>
        <w:t>Indicator 14</w:t>
      </w:r>
      <w:r w:rsidR="007B4BFE">
        <w:t>h</w:t>
      </w:r>
      <w:r w:rsidR="007B4BFE" w:rsidRPr="002D04B4">
        <w:t xml:space="preserve"> – </w:t>
      </w:r>
      <w:r w:rsidR="007B4BFE">
        <w:tab/>
        <w:t>Standardised premium rates</w:t>
      </w:r>
      <w:r w:rsidR="007B4BFE" w:rsidRPr="002D04B4">
        <w:t xml:space="preserve"> for </w:t>
      </w:r>
      <w:r w:rsidR="007B4BFE">
        <w:t xml:space="preserve">Accommodation, cafes and restaurants </w:t>
      </w:r>
      <w:r w:rsidR="007B4BFE" w:rsidRPr="002D04B4">
        <w:t>by jurisdiction</w:t>
      </w:r>
    </w:p>
    <w:p w14:paraId="3EBD43C3" w14:textId="77777777" w:rsidR="007B4BFE" w:rsidRDefault="00D2103A" w:rsidP="007B4BFE">
      <w:pPr>
        <w:jc w:val="center"/>
        <w:rPr>
          <w:lang w:val="en-GB"/>
        </w:rPr>
      </w:pPr>
      <w:r>
        <w:rPr>
          <w:noProof/>
        </w:rPr>
        <w:drawing>
          <wp:inline distT="0" distB="0" distL="0" distR="0" wp14:anchorId="45E4D6B5" wp14:editId="6B4FF6A0">
            <wp:extent cx="4454824" cy="2416515"/>
            <wp:effectExtent l="0" t="0" r="3175" b="3175"/>
            <wp:docPr id="20" name="Picture 20" descr="This chart shows the standardised premium rates (percent of payroll) for Accommodation, cafes and restaurants industry between 2011-12 and 2015-16 by jurisdiction. Please refer to body text for more information." title="Standardised premium rates for Accommodation, cafes and restaurant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commodation, cafe &amp; restaurants-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54824" cy="2416515"/>
                    </a:xfrm>
                    <a:prstGeom prst="rect">
                      <a:avLst/>
                    </a:prstGeom>
                  </pic:spPr>
                </pic:pic>
              </a:graphicData>
            </a:graphic>
          </wp:inline>
        </w:drawing>
      </w:r>
    </w:p>
    <w:p w14:paraId="7DDD5D9D" w14:textId="77777777" w:rsidR="007B4BFE" w:rsidRPr="00285B6A" w:rsidRDefault="007B4BFE" w:rsidP="00C61C0B">
      <w:pPr>
        <w:pStyle w:val="Heading1"/>
      </w:pPr>
      <w:r w:rsidRPr="00285B6A">
        <w:t xml:space="preserve">Transport and storage </w:t>
      </w:r>
    </w:p>
    <w:p w14:paraId="305D3EB5" w14:textId="4E1DFB15" w:rsidR="00142B5E" w:rsidRDefault="007B4BFE" w:rsidP="000E20AE">
      <w:pPr>
        <w:pStyle w:val="BodyJustified"/>
      </w:pPr>
      <w:r>
        <w:t xml:space="preserve">The standardised average premium rates for the Transport and storage industry are shown in </w:t>
      </w:r>
      <w:r w:rsidR="00535035">
        <w:t>Indicator</w:t>
      </w:r>
      <w:r w:rsidR="00142B5E">
        <w:t> </w:t>
      </w:r>
      <w:r w:rsidR="00535035">
        <w:t>14</w:t>
      </w:r>
      <w:r>
        <w:t xml:space="preserve">i. </w:t>
      </w:r>
      <w:r w:rsidR="0059540B">
        <w:t xml:space="preserve">The Australian Capital Territory </w:t>
      </w:r>
      <w:r>
        <w:t>had the highest premium rate (</w:t>
      </w:r>
      <w:r w:rsidR="007D629E">
        <w:t>3.94</w:t>
      </w:r>
      <w:r w:rsidR="0059540B">
        <w:t> per cent</w:t>
      </w:r>
      <w:r>
        <w:t xml:space="preserve"> of payroll) of all Australian jurisdictions, while the Australian Government recorded the lowest (</w:t>
      </w:r>
      <w:r w:rsidR="0059540B">
        <w:t>1.</w:t>
      </w:r>
      <w:r w:rsidR="007D629E">
        <w:t>41</w:t>
      </w:r>
      <w:r>
        <w:t xml:space="preserve"> per cent of payroll) in </w:t>
      </w:r>
      <w:r w:rsidR="0059540B">
        <w:t>201</w:t>
      </w:r>
      <w:r w:rsidR="000D7590">
        <w:t>6</w:t>
      </w:r>
      <w:r w:rsidR="0059540B">
        <w:t>–1</w:t>
      </w:r>
      <w:r w:rsidR="000D7590">
        <w:t>7</w:t>
      </w:r>
      <w:r>
        <w:t xml:space="preserve">. </w:t>
      </w:r>
      <w:r w:rsidR="007D629E">
        <w:t>The Northern Territory</w:t>
      </w:r>
      <w:r w:rsidR="0059540B">
        <w:t xml:space="preserve"> </w:t>
      </w:r>
      <w:r>
        <w:t>showed the largest decrease (down</w:t>
      </w:r>
      <w:r w:rsidR="0059540B">
        <w:t> </w:t>
      </w:r>
      <w:r w:rsidR="007D629E">
        <w:t>9</w:t>
      </w:r>
      <w:r w:rsidR="0059540B">
        <w:t> </w:t>
      </w:r>
      <w:r>
        <w:t>per</w:t>
      </w:r>
      <w:r w:rsidR="0059540B">
        <w:t> </w:t>
      </w:r>
      <w:r>
        <w:t xml:space="preserve">cent) in its premium rate in </w:t>
      </w:r>
      <w:r w:rsidR="0059540B">
        <w:t>201</w:t>
      </w:r>
      <w:r w:rsidR="000D7590">
        <w:t>6</w:t>
      </w:r>
      <w:r w:rsidR="0059540B">
        <w:t>–1</w:t>
      </w:r>
      <w:r w:rsidR="000D7590">
        <w:t>7</w:t>
      </w:r>
      <w:r>
        <w:t xml:space="preserve"> compared to the previous year, followed by </w:t>
      </w:r>
      <w:r w:rsidR="007D629E">
        <w:t>Tasmania</w:t>
      </w:r>
      <w:r w:rsidR="005A64C8">
        <w:t xml:space="preserve"> (down </w:t>
      </w:r>
      <w:r w:rsidR="007D629E">
        <w:t>3</w:t>
      </w:r>
      <w:r w:rsidR="005A64C8">
        <w:t xml:space="preserve"> per cent) and </w:t>
      </w:r>
      <w:r w:rsidR="00AE579C">
        <w:t>Western Australia</w:t>
      </w:r>
      <w:r>
        <w:t xml:space="preserve"> (down </w:t>
      </w:r>
      <w:r w:rsidR="007D629E">
        <w:t>2</w:t>
      </w:r>
      <w:r w:rsidR="005A64C8">
        <w:t> </w:t>
      </w:r>
      <w:r>
        <w:t xml:space="preserve">per cent). </w:t>
      </w:r>
      <w:r w:rsidR="00AE579C">
        <w:t>The Australian Capital Territory recorded the highest increase in its premium rate (up 11</w:t>
      </w:r>
      <w:r w:rsidR="0014102D">
        <w:t> </w:t>
      </w:r>
      <w:r w:rsidR="00AE579C">
        <w:t>per cent) in 201</w:t>
      </w:r>
      <w:r w:rsidR="000D7590">
        <w:t>6</w:t>
      </w:r>
      <w:r w:rsidR="00AE579C">
        <w:t>–1</w:t>
      </w:r>
      <w:r w:rsidR="000D7590">
        <w:t>7</w:t>
      </w:r>
      <w:r w:rsidR="00AE579C">
        <w:t xml:space="preserve"> compared to the previous year</w:t>
      </w:r>
      <w:r w:rsidR="00142B5E">
        <w:t>.</w:t>
      </w:r>
      <w:r w:rsidR="00AE579C">
        <w:t xml:space="preserve"> </w:t>
      </w:r>
    </w:p>
    <w:p w14:paraId="043B642C" w14:textId="572B3DB3" w:rsidR="007B4BFE" w:rsidRPr="00B94407" w:rsidRDefault="007B4BFE" w:rsidP="000E20AE">
      <w:pPr>
        <w:pStyle w:val="BodyJustified"/>
      </w:pPr>
      <w:r>
        <w:t xml:space="preserve">The New Zealand premium rate </w:t>
      </w:r>
      <w:r w:rsidR="00086275">
        <w:t xml:space="preserve">for Transport and storage </w:t>
      </w:r>
      <w:r>
        <w:t>(</w:t>
      </w:r>
      <w:r w:rsidR="005A64C8">
        <w:t>0.</w:t>
      </w:r>
      <w:r w:rsidR="0014102D">
        <w:t>90</w:t>
      </w:r>
      <w:r>
        <w:t xml:space="preserve"> per cent of payroll) was less than half that of </w:t>
      </w:r>
      <w:r w:rsidR="00142B5E">
        <w:t xml:space="preserve">the </w:t>
      </w:r>
      <w:r>
        <w:t>Australia</w:t>
      </w:r>
      <w:r w:rsidR="00142B5E">
        <w:t>n average</w:t>
      </w:r>
      <w:r>
        <w:t xml:space="preserve"> </w:t>
      </w:r>
      <w:r w:rsidR="00086275">
        <w:t xml:space="preserve">for the industry </w:t>
      </w:r>
      <w:r w:rsidR="0014102D">
        <w:t xml:space="preserve">(2.16 per cent of payroll) </w:t>
      </w:r>
      <w:r>
        <w:t xml:space="preserve">in </w:t>
      </w:r>
      <w:r w:rsidR="005A64C8">
        <w:t>201</w:t>
      </w:r>
      <w:r w:rsidR="000D7590">
        <w:t>6</w:t>
      </w:r>
      <w:r w:rsidR="005A64C8">
        <w:t>–1</w:t>
      </w:r>
      <w:r w:rsidR="000D7590">
        <w:t>7</w:t>
      </w:r>
      <w:r>
        <w:t xml:space="preserve">. </w:t>
      </w:r>
    </w:p>
    <w:p w14:paraId="757EAB39" w14:textId="77777777" w:rsidR="007B4BFE" w:rsidRDefault="00535035" w:rsidP="0047156B">
      <w:pPr>
        <w:pStyle w:val="SWATableheader"/>
      </w:pPr>
      <w:r>
        <w:lastRenderedPageBreak/>
        <w:t>Indicator 14</w:t>
      </w:r>
      <w:r w:rsidR="007B4BFE">
        <w:t>i</w:t>
      </w:r>
      <w:r w:rsidR="007B4BFE" w:rsidRPr="002D04B4">
        <w:t xml:space="preserve"> – </w:t>
      </w:r>
      <w:r w:rsidR="007B4BFE">
        <w:tab/>
        <w:t>Standardised premium rates</w:t>
      </w:r>
      <w:r w:rsidR="007B4BFE" w:rsidRPr="002D04B4">
        <w:t xml:space="preserve"> for </w:t>
      </w:r>
      <w:r w:rsidR="007B4BFE">
        <w:t xml:space="preserve">Transport and storage </w:t>
      </w:r>
      <w:r w:rsidR="007B4BFE" w:rsidRPr="002D04B4">
        <w:t>by jurisdiction</w:t>
      </w:r>
    </w:p>
    <w:p w14:paraId="177B8F3D" w14:textId="77777777" w:rsidR="007B4BFE" w:rsidRDefault="00C73357" w:rsidP="007B4BFE">
      <w:pPr>
        <w:jc w:val="center"/>
        <w:rPr>
          <w:lang w:val="en-GB"/>
        </w:rPr>
      </w:pPr>
      <w:r>
        <w:rPr>
          <w:noProof/>
        </w:rPr>
        <w:drawing>
          <wp:inline distT="0" distB="0" distL="0" distR="0" wp14:anchorId="66DE3625" wp14:editId="7229C719">
            <wp:extent cx="4164043" cy="2297748"/>
            <wp:effectExtent l="0" t="0" r="8255" b="7620"/>
            <wp:docPr id="21" name="Picture 21" descr="This chart shows the standardised premium rates (per cent of payroll) for Transport &amp; storage industry between 2011-12 and 2015-16 by jurisdiction. Please refer to body text for more information." title="Standardised premium rates fro Transport and storag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ansport &amp; storage-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64043" cy="2297748"/>
                    </a:xfrm>
                    <a:prstGeom prst="rect">
                      <a:avLst/>
                    </a:prstGeom>
                  </pic:spPr>
                </pic:pic>
              </a:graphicData>
            </a:graphic>
          </wp:inline>
        </w:drawing>
      </w:r>
    </w:p>
    <w:p w14:paraId="7A32CF6E" w14:textId="77777777" w:rsidR="007B4BFE" w:rsidRPr="00285B6A" w:rsidRDefault="007B4BFE" w:rsidP="00C61C0B">
      <w:pPr>
        <w:pStyle w:val="Heading1"/>
      </w:pPr>
      <w:r w:rsidRPr="00285B6A">
        <w:t xml:space="preserve">Communication services </w:t>
      </w:r>
    </w:p>
    <w:p w14:paraId="0A4C989D" w14:textId="7D88A496" w:rsidR="00A226E4" w:rsidRPr="00A541BB" w:rsidRDefault="00535035" w:rsidP="000E20AE">
      <w:pPr>
        <w:pStyle w:val="BodyJustified"/>
      </w:pPr>
      <w:r w:rsidRPr="00A541BB">
        <w:t>Indicator 14</w:t>
      </w:r>
      <w:r w:rsidR="007B4BFE" w:rsidRPr="00A541BB">
        <w:t xml:space="preserve">j shows that the Australian average premium rate for the Communication services industry was </w:t>
      </w:r>
      <w:r w:rsidR="00FB183A" w:rsidRPr="00A541BB">
        <w:t>0.</w:t>
      </w:r>
      <w:r w:rsidR="00F605B3">
        <w:t>61</w:t>
      </w:r>
      <w:r w:rsidR="00FB183A" w:rsidRPr="00A541BB">
        <w:t xml:space="preserve"> per cent </w:t>
      </w:r>
      <w:r w:rsidR="007B4BFE" w:rsidRPr="00A541BB">
        <w:t xml:space="preserve">of payroll in </w:t>
      </w:r>
      <w:r w:rsidR="00FB183A" w:rsidRPr="00A541BB">
        <w:t>201</w:t>
      </w:r>
      <w:r w:rsidR="00A541BB" w:rsidRPr="00A541BB">
        <w:t>6</w:t>
      </w:r>
      <w:r w:rsidR="00FB183A" w:rsidRPr="00A541BB">
        <w:t>–1</w:t>
      </w:r>
      <w:r w:rsidR="00A541BB" w:rsidRPr="00A541BB">
        <w:t>7</w:t>
      </w:r>
      <w:r w:rsidR="007B4BFE" w:rsidRPr="00A541BB">
        <w:t xml:space="preserve">, a </w:t>
      </w:r>
      <w:r w:rsidR="00A541BB" w:rsidRPr="00A541BB">
        <w:t>2</w:t>
      </w:r>
      <w:r w:rsidR="00FB0257" w:rsidRPr="00A541BB">
        <w:t> per cent</w:t>
      </w:r>
      <w:r w:rsidR="007B4BFE" w:rsidRPr="00A541BB">
        <w:t xml:space="preserve"> </w:t>
      </w:r>
      <w:r w:rsidR="00A541BB">
        <w:t>increase</w:t>
      </w:r>
      <w:r w:rsidR="007B4BFE" w:rsidRPr="00A541BB">
        <w:t xml:space="preserve"> from the previous year. </w:t>
      </w:r>
      <w:r w:rsidR="00893152" w:rsidRPr="00A541BB">
        <w:t xml:space="preserve">The </w:t>
      </w:r>
      <w:r w:rsidR="00F605B3">
        <w:t>Northern Territory</w:t>
      </w:r>
      <w:r w:rsidR="00FB183A" w:rsidRPr="00A541BB">
        <w:t xml:space="preserve"> </w:t>
      </w:r>
      <w:r w:rsidR="007B4BFE" w:rsidRPr="00A541BB">
        <w:t>recorded the largest decrease (</w:t>
      </w:r>
      <w:r w:rsidR="00FB183A" w:rsidRPr="00A541BB">
        <w:t>down </w:t>
      </w:r>
      <w:r w:rsidR="00F605B3">
        <w:t>13</w:t>
      </w:r>
      <w:r w:rsidR="00FB183A" w:rsidRPr="00A541BB">
        <w:t> per cent</w:t>
      </w:r>
      <w:r w:rsidR="007B4BFE" w:rsidRPr="00A541BB">
        <w:t xml:space="preserve">) in the premium rate in </w:t>
      </w:r>
      <w:r w:rsidR="00FB183A" w:rsidRPr="00A541BB">
        <w:t>201</w:t>
      </w:r>
      <w:r w:rsidR="00A541BB">
        <w:t>6</w:t>
      </w:r>
      <w:r w:rsidR="00FB183A" w:rsidRPr="00A541BB">
        <w:t>–1</w:t>
      </w:r>
      <w:r w:rsidR="00A541BB">
        <w:t>7</w:t>
      </w:r>
      <w:r w:rsidR="00FB183A" w:rsidRPr="00A541BB">
        <w:t xml:space="preserve"> </w:t>
      </w:r>
      <w:r w:rsidR="00F605B3">
        <w:t>followed by the Australian Government (down 10 per cent)</w:t>
      </w:r>
      <w:r w:rsidR="0014102D">
        <w:t>.</w:t>
      </w:r>
      <w:r w:rsidR="007B4BFE" w:rsidRPr="00A541BB">
        <w:t xml:space="preserve"> </w:t>
      </w:r>
      <w:r w:rsidR="00F605B3">
        <w:t>Victoria</w:t>
      </w:r>
      <w:r w:rsidR="00A541BB">
        <w:t xml:space="preserve"> </w:t>
      </w:r>
      <w:r w:rsidR="007B4BFE" w:rsidRPr="00A541BB">
        <w:t>recorded the largest increase</w:t>
      </w:r>
      <w:r w:rsidR="00A226E4" w:rsidRPr="00A541BB">
        <w:t xml:space="preserve"> compared to the previous year</w:t>
      </w:r>
      <w:r w:rsidR="0014102D">
        <w:t xml:space="preserve">, </w:t>
      </w:r>
      <w:r w:rsidR="007B4BFE" w:rsidRPr="00A541BB">
        <w:t>up</w:t>
      </w:r>
      <w:r w:rsidR="0014102D">
        <w:t xml:space="preserve"> by</w:t>
      </w:r>
      <w:r w:rsidR="00A226E4" w:rsidRPr="00A541BB">
        <w:t> </w:t>
      </w:r>
      <w:r w:rsidR="00F605B3">
        <w:t>24</w:t>
      </w:r>
      <w:r w:rsidR="00FB0257" w:rsidRPr="00A541BB">
        <w:t> per cent</w:t>
      </w:r>
      <w:r w:rsidR="00A226E4" w:rsidRPr="00A541BB">
        <w:t>.</w:t>
      </w:r>
      <w:r w:rsidR="00893152" w:rsidRPr="00A541BB">
        <w:t xml:space="preserve"> </w:t>
      </w:r>
    </w:p>
    <w:p w14:paraId="37877702" w14:textId="222C164B" w:rsidR="007B4BFE" w:rsidRPr="00A541BB" w:rsidRDefault="007B4BFE" w:rsidP="000E20AE">
      <w:pPr>
        <w:pStyle w:val="BodyJustified"/>
      </w:pPr>
      <w:r w:rsidRPr="00A541BB">
        <w:t xml:space="preserve">New Zealand’s premium rate was </w:t>
      </w:r>
      <w:r w:rsidR="00FB183A" w:rsidRPr="00A541BB">
        <w:t>0.</w:t>
      </w:r>
      <w:r w:rsidR="00F605B3">
        <w:t>58</w:t>
      </w:r>
      <w:r w:rsidR="00FB183A" w:rsidRPr="00A541BB">
        <w:t> per cent</w:t>
      </w:r>
      <w:r w:rsidRPr="00A541BB">
        <w:t xml:space="preserve"> of payroll in </w:t>
      </w:r>
      <w:r w:rsidR="00FB183A" w:rsidRPr="00A541BB">
        <w:t>201</w:t>
      </w:r>
      <w:r w:rsidR="00F605B3">
        <w:t>6</w:t>
      </w:r>
      <w:r w:rsidR="00FB183A" w:rsidRPr="00A541BB">
        <w:t>–1</w:t>
      </w:r>
      <w:r w:rsidR="00F605B3">
        <w:t>7</w:t>
      </w:r>
      <w:r w:rsidRPr="00A541BB">
        <w:t xml:space="preserve">, </w:t>
      </w:r>
      <w:r w:rsidR="00F605B3">
        <w:t>in</w:t>
      </w:r>
      <w:r w:rsidRPr="00A541BB">
        <w:t xml:space="preserve">creasing by </w:t>
      </w:r>
      <w:r w:rsidR="00F605B3">
        <w:t>16</w:t>
      </w:r>
      <w:r w:rsidR="00FB0257" w:rsidRPr="00A541BB">
        <w:t> per cent</w:t>
      </w:r>
      <w:r w:rsidRPr="00A541BB">
        <w:t xml:space="preserve"> since </w:t>
      </w:r>
      <w:r w:rsidR="00FB183A" w:rsidRPr="00A541BB">
        <w:t>201</w:t>
      </w:r>
      <w:r w:rsidR="00F605B3">
        <w:t>5</w:t>
      </w:r>
      <w:r w:rsidR="00FB183A" w:rsidRPr="00A541BB">
        <w:t>–1</w:t>
      </w:r>
      <w:r w:rsidR="00F605B3">
        <w:t>6</w:t>
      </w:r>
      <w:r w:rsidRPr="00A541BB">
        <w:t>.</w:t>
      </w:r>
    </w:p>
    <w:p w14:paraId="62ED5580" w14:textId="77777777" w:rsidR="007B4BFE" w:rsidRDefault="00535035" w:rsidP="0047156B">
      <w:pPr>
        <w:pStyle w:val="SWATableheader"/>
      </w:pPr>
      <w:r>
        <w:t>Indicator 14</w:t>
      </w:r>
      <w:r w:rsidR="007B4BFE">
        <w:t>j</w:t>
      </w:r>
      <w:r w:rsidR="007B4BFE" w:rsidRPr="002D04B4">
        <w:t xml:space="preserve"> – </w:t>
      </w:r>
      <w:r w:rsidR="007B4BFE">
        <w:tab/>
        <w:t>Standardised premium rates</w:t>
      </w:r>
      <w:r w:rsidR="007B4BFE" w:rsidRPr="002D04B4">
        <w:t xml:space="preserve"> for </w:t>
      </w:r>
      <w:r w:rsidR="007B4BFE">
        <w:t xml:space="preserve">Communication services </w:t>
      </w:r>
      <w:r w:rsidR="007B4BFE" w:rsidRPr="002D04B4">
        <w:t>by jurisdiction</w:t>
      </w:r>
    </w:p>
    <w:p w14:paraId="45F5FE2B" w14:textId="77777777" w:rsidR="007B4BFE" w:rsidRDefault="00C73357" w:rsidP="007B4BFE">
      <w:pPr>
        <w:jc w:val="center"/>
      </w:pPr>
      <w:r>
        <w:rPr>
          <w:noProof/>
        </w:rPr>
        <w:drawing>
          <wp:inline distT="0" distB="0" distL="0" distR="0" wp14:anchorId="49B8A034" wp14:editId="5F37607A">
            <wp:extent cx="4118668" cy="2318933"/>
            <wp:effectExtent l="0" t="0" r="0" b="5715"/>
            <wp:docPr id="24" name="Picture 24" descr="This chart shows the standardised premium rates (percent of payroll) for Communication services industry between 2011-12 and 2015-16 by jurisdiction. Please refer to body text for more information." title="Standardised premium rates for Communication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ommunication services-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18668" cy="2318933"/>
                    </a:xfrm>
                    <a:prstGeom prst="rect">
                      <a:avLst/>
                    </a:prstGeom>
                  </pic:spPr>
                </pic:pic>
              </a:graphicData>
            </a:graphic>
          </wp:inline>
        </w:drawing>
      </w:r>
    </w:p>
    <w:p w14:paraId="09249C54" w14:textId="77777777" w:rsidR="007B4BFE" w:rsidRPr="00285B6A" w:rsidRDefault="007B4BFE" w:rsidP="00C61C0B">
      <w:pPr>
        <w:pStyle w:val="Heading1"/>
      </w:pPr>
      <w:r w:rsidRPr="00285B6A">
        <w:t xml:space="preserve">Finance and insurance </w:t>
      </w:r>
    </w:p>
    <w:p w14:paraId="5C8DFAC9" w14:textId="62B1F8FB" w:rsidR="00443F37" w:rsidRDefault="00535035" w:rsidP="000E20AE">
      <w:pPr>
        <w:pStyle w:val="BodyJustified"/>
      </w:pPr>
      <w:r>
        <w:t>Indicator 14</w:t>
      </w:r>
      <w:r w:rsidR="007B4BFE">
        <w:t xml:space="preserve">k shows that in </w:t>
      </w:r>
      <w:r w:rsidR="00FB183A">
        <w:t>201</w:t>
      </w:r>
      <w:r w:rsidR="00AD1AC6">
        <w:t>6</w:t>
      </w:r>
      <w:r w:rsidR="00FB183A">
        <w:t>–1</w:t>
      </w:r>
      <w:r w:rsidR="00AD1AC6">
        <w:t>7</w:t>
      </w:r>
      <w:r w:rsidR="007B4BFE">
        <w:t xml:space="preserve">, the Finance and insurance industry had an average premium rate of </w:t>
      </w:r>
      <w:r w:rsidR="00FB183A">
        <w:t>0.2</w:t>
      </w:r>
      <w:r w:rsidR="00AD1AC6">
        <w:t>4</w:t>
      </w:r>
      <w:r w:rsidR="00FB183A">
        <w:t xml:space="preserve"> per cent </w:t>
      </w:r>
      <w:r w:rsidR="007B4BFE">
        <w:t xml:space="preserve">of payroll. </w:t>
      </w:r>
      <w:r w:rsidR="004F02BC">
        <w:t>Four</w:t>
      </w:r>
      <w:r w:rsidR="00345C5E">
        <w:t xml:space="preserve"> jurisdictions recorded </w:t>
      </w:r>
      <w:r w:rsidR="007B4BFE">
        <w:t>decreases in their premium rates</w:t>
      </w:r>
      <w:r w:rsidR="00345C5E">
        <w:t xml:space="preserve"> compared to the previous year.</w:t>
      </w:r>
      <w:r w:rsidR="000C79F4">
        <w:t xml:space="preserve"> </w:t>
      </w:r>
      <w:r w:rsidR="00AD1AC6">
        <w:t xml:space="preserve">The Australian </w:t>
      </w:r>
      <w:r w:rsidR="009509CB">
        <w:t xml:space="preserve">Government </w:t>
      </w:r>
      <w:r w:rsidR="00345C5E">
        <w:t>recorded the largest decrease</w:t>
      </w:r>
      <w:r w:rsidR="000C79F4">
        <w:t xml:space="preserve"> in the premium rates of this industry</w:t>
      </w:r>
      <w:r w:rsidR="00283D45">
        <w:t xml:space="preserve"> </w:t>
      </w:r>
      <w:r w:rsidR="0014102D">
        <w:t xml:space="preserve">compared to the previous year </w:t>
      </w:r>
      <w:r w:rsidR="00283D45">
        <w:t>(down </w:t>
      </w:r>
      <w:r w:rsidR="009509CB">
        <w:t>61</w:t>
      </w:r>
      <w:r w:rsidR="00283D45">
        <w:t> </w:t>
      </w:r>
      <w:r w:rsidR="00345C5E">
        <w:t>per</w:t>
      </w:r>
      <w:r w:rsidR="00283D45">
        <w:t> </w:t>
      </w:r>
      <w:r w:rsidR="00345C5E">
        <w:t>cent)</w:t>
      </w:r>
      <w:r w:rsidR="0014102D">
        <w:t>,</w:t>
      </w:r>
      <w:r w:rsidR="00345C5E">
        <w:t xml:space="preserve"> followed by </w:t>
      </w:r>
      <w:r w:rsidR="009509CB">
        <w:t>the Northern Territory</w:t>
      </w:r>
      <w:r w:rsidR="00345C5E">
        <w:t xml:space="preserve"> (down 2</w:t>
      </w:r>
      <w:r w:rsidR="009509CB">
        <w:t>1</w:t>
      </w:r>
      <w:r w:rsidR="00345C5E">
        <w:t xml:space="preserve"> per cent)</w:t>
      </w:r>
      <w:r w:rsidR="0014102D">
        <w:t>, and</w:t>
      </w:r>
      <w:r w:rsidR="00283D45">
        <w:t xml:space="preserve"> </w:t>
      </w:r>
      <w:r w:rsidR="009509CB">
        <w:t>Tasmania</w:t>
      </w:r>
      <w:r w:rsidR="00283D45">
        <w:t xml:space="preserve"> (down </w:t>
      </w:r>
      <w:r w:rsidR="009E3D90">
        <w:t>5</w:t>
      </w:r>
      <w:r w:rsidR="00283D45">
        <w:t> per </w:t>
      </w:r>
      <w:r w:rsidR="00345C5E">
        <w:t xml:space="preserve">cent). </w:t>
      </w:r>
      <w:r w:rsidR="000C79F4">
        <w:t xml:space="preserve">The Australian </w:t>
      </w:r>
      <w:r w:rsidR="009509CB">
        <w:t>Capital Territory</w:t>
      </w:r>
      <w:r w:rsidR="000C79F4">
        <w:t xml:space="preserve"> recorded a </w:t>
      </w:r>
      <w:r w:rsidR="009509CB">
        <w:t>34</w:t>
      </w:r>
      <w:r w:rsidR="00283D45">
        <w:t> </w:t>
      </w:r>
      <w:r w:rsidR="000C79F4">
        <w:t>per</w:t>
      </w:r>
      <w:r w:rsidR="00283D45">
        <w:t> </w:t>
      </w:r>
      <w:r w:rsidR="000C79F4">
        <w:t>cent increase in the premium rates in 201</w:t>
      </w:r>
      <w:r w:rsidR="009509CB">
        <w:t>6</w:t>
      </w:r>
      <w:r w:rsidR="000C79F4">
        <w:t>–1</w:t>
      </w:r>
      <w:r w:rsidR="009509CB">
        <w:t>7</w:t>
      </w:r>
      <w:r w:rsidR="004F02BC">
        <w:t>, followed by South Australia (up 25 per cent)</w:t>
      </w:r>
      <w:r w:rsidR="000C79F4">
        <w:t xml:space="preserve">. </w:t>
      </w:r>
    </w:p>
    <w:p w14:paraId="4DDADAAB" w14:textId="08542D9A" w:rsidR="007B4BFE" w:rsidRDefault="007B4BFE" w:rsidP="000E20AE">
      <w:pPr>
        <w:pStyle w:val="BodyJustified"/>
      </w:pPr>
      <w:r>
        <w:t xml:space="preserve">New Zealand reported a premium rate of </w:t>
      </w:r>
      <w:r w:rsidR="00FB183A">
        <w:t>0.</w:t>
      </w:r>
      <w:r w:rsidR="009509CB">
        <w:t>13</w:t>
      </w:r>
      <w:r w:rsidR="00FB183A">
        <w:t> per cent</w:t>
      </w:r>
      <w:r>
        <w:t xml:space="preserve"> of payroll for th</w:t>
      </w:r>
      <w:r w:rsidR="009509CB">
        <w:t>is</w:t>
      </w:r>
      <w:r>
        <w:t xml:space="preserve"> industry,</w:t>
      </w:r>
      <w:r w:rsidR="00FB183A">
        <w:t xml:space="preserve"> which is about </w:t>
      </w:r>
      <w:r w:rsidR="009509CB">
        <w:t>half</w:t>
      </w:r>
      <w:r w:rsidR="00FB183A">
        <w:t xml:space="preserve"> tha</w:t>
      </w:r>
      <w:r w:rsidR="009509CB">
        <w:t>t</w:t>
      </w:r>
      <w:r w:rsidR="00FB183A">
        <w:t xml:space="preserve"> </w:t>
      </w:r>
      <w:r w:rsidR="009509CB">
        <w:t xml:space="preserve">of the </w:t>
      </w:r>
      <w:r>
        <w:t>Australian average</w:t>
      </w:r>
      <w:r w:rsidR="0014102D">
        <w:t xml:space="preserve"> (0.24 per cent of payroll)</w:t>
      </w:r>
      <w:r>
        <w:t>.</w:t>
      </w:r>
    </w:p>
    <w:p w14:paraId="6003B04E" w14:textId="77777777" w:rsidR="007B4BFE" w:rsidRDefault="00535035" w:rsidP="0047156B">
      <w:pPr>
        <w:pStyle w:val="SWATableheader"/>
      </w:pPr>
      <w:r>
        <w:lastRenderedPageBreak/>
        <w:t>Indicator 14</w:t>
      </w:r>
      <w:r w:rsidR="007B4BFE">
        <w:t>k</w:t>
      </w:r>
      <w:r w:rsidR="007B4BFE" w:rsidRPr="002D04B4">
        <w:t xml:space="preserve"> – </w:t>
      </w:r>
      <w:r w:rsidR="007B4BFE">
        <w:tab/>
        <w:t>Standardised premium rates</w:t>
      </w:r>
      <w:r w:rsidR="007B4BFE" w:rsidRPr="002D04B4">
        <w:t xml:space="preserve"> for </w:t>
      </w:r>
      <w:r w:rsidR="007B4BFE">
        <w:t xml:space="preserve">Finance and insurance </w:t>
      </w:r>
      <w:r w:rsidR="007B4BFE" w:rsidRPr="002D04B4">
        <w:t>by jurisdiction</w:t>
      </w:r>
    </w:p>
    <w:p w14:paraId="088F868B" w14:textId="77777777" w:rsidR="007B4BFE" w:rsidRDefault="00C73357" w:rsidP="007B4BFE">
      <w:pPr>
        <w:jc w:val="center"/>
        <w:rPr>
          <w:lang w:val="en-GB"/>
        </w:rPr>
      </w:pPr>
      <w:r>
        <w:rPr>
          <w:noProof/>
        </w:rPr>
        <w:drawing>
          <wp:inline distT="0" distB="0" distL="0" distR="0" wp14:anchorId="151868F3" wp14:editId="56BE7873">
            <wp:extent cx="4453934" cy="2495812"/>
            <wp:effectExtent l="0" t="0" r="3810" b="0"/>
            <wp:docPr id="26" name="Picture 26" descr="This chart shows the standardised premium rates (percent of payroll) for Finance &amp; insurance industry between 2011-12 and 2015-16 by jurisdiction. Please refer to body text for more information." title="Standardised premium rates for Finanace and insuranc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inance &amp; Insurance-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53934" cy="2495812"/>
                    </a:xfrm>
                    <a:prstGeom prst="rect">
                      <a:avLst/>
                    </a:prstGeom>
                  </pic:spPr>
                </pic:pic>
              </a:graphicData>
            </a:graphic>
          </wp:inline>
        </w:drawing>
      </w:r>
    </w:p>
    <w:p w14:paraId="05292CAF" w14:textId="77777777" w:rsidR="007B4BFE" w:rsidRPr="00285B6A" w:rsidRDefault="007B4BFE" w:rsidP="00C61C0B">
      <w:pPr>
        <w:pStyle w:val="Heading1"/>
      </w:pPr>
      <w:r w:rsidRPr="00285B6A">
        <w:t xml:space="preserve">Property and business services </w:t>
      </w:r>
    </w:p>
    <w:p w14:paraId="17A3F32B" w14:textId="1D64D57C" w:rsidR="00443F37" w:rsidRDefault="007B4BFE" w:rsidP="000E20AE">
      <w:pPr>
        <w:pStyle w:val="BodyJustified"/>
      </w:pPr>
      <w:r>
        <w:t xml:space="preserve">As shown in </w:t>
      </w:r>
      <w:r w:rsidR="00535035">
        <w:t>Indicator 14</w:t>
      </w:r>
      <w:r>
        <w:t xml:space="preserve">l, </w:t>
      </w:r>
      <w:r w:rsidR="001B5B9B">
        <w:t>s</w:t>
      </w:r>
      <w:r w:rsidR="009158AF">
        <w:t>ix</w:t>
      </w:r>
      <w:r>
        <w:t xml:space="preserve"> out of the nine </w:t>
      </w:r>
      <w:r w:rsidR="00E23470">
        <w:t xml:space="preserve">Australian </w:t>
      </w:r>
      <w:r>
        <w:t xml:space="preserve">jurisdictions reported a reduction in their premium rates </w:t>
      </w:r>
      <w:r w:rsidR="0014102D">
        <w:t xml:space="preserve">for the Property and business services industry </w:t>
      </w:r>
      <w:r>
        <w:t xml:space="preserve">in </w:t>
      </w:r>
      <w:r w:rsidR="008162A9">
        <w:t>201</w:t>
      </w:r>
      <w:r w:rsidR="009158AF">
        <w:t>6</w:t>
      </w:r>
      <w:r w:rsidR="008162A9">
        <w:t>–1</w:t>
      </w:r>
      <w:r w:rsidR="009158AF">
        <w:t>7</w:t>
      </w:r>
      <w:r>
        <w:t xml:space="preserve"> when compared to </w:t>
      </w:r>
      <w:r w:rsidR="008162A9">
        <w:t>201</w:t>
      </w:r>
      <w:r w:rsidR="009158AF">
        <w:t>5</w:t>
      </w:r>
      <w:r w:rsidR="008162A9">
        <w:t>–1</w:t>
      </w:r>
      <w:r w:rsidR="009158AF">
        <w:t>6</w:t>
      </w:r>
      <w:r>
        <w:t xml:space="preserve">. </w:t>
      </w:r>
      <w:r w:rsidR="009158AF">
        <w:t>The Northern Territory</w:t>
      </w:r>
      <w:r w:rsidR="001B5B9B">
        <w:t xml:space="preserve"> showed the largest decrease</w:t>
      </w:r>
      <w:r w:rsidR="0014102D">
        <w:t xml:space="preserve"> over the last year </w:t>
      </w:r>
      <w:r w:rsidR="001B5B9B">
        <w:t xml:space="preserve">in its premium rates (down </w:t>
      </w:r>
      <w:r w:rsidR="009158AF">
        <w:t>22</w:t>
      </w:r>
      <w:r w:rsidR="001B5B9B">
        <w:t xml:space="preserve"> per cent)</w:t>
      </w:r>
      <w:r w:rsidR="0014102D">
        <w:t>,</w:t>
      </w:r>
      <w:r w:rsidR="001B5B9B">
        <w:t xml:space="preserve"> followed by t</w:t>
      </w:r>
      <w:r w:rsidR="008162A9">
        <w:t xml:space="preserve">he Australian </w:t>
      </w:r>
      <w:r w:rsidR="009158AF">
        <w:t>Government and Western Australia</w:t>
      </w:r>
      <w:r w:rsidR="008162A9">
        <w:t xml:space="preserve"> (down </w:t>
      </w:r>
      <w:r w:rsidR="009158AF">
        <w:t>4</w:t>
      </w:r>
      <w:r w:rsidR="008162A9">
        <w:t> per cent</w:t>
      </w:r>
      <w:r w:rsidR="009158AF">
        <w:t xml:space="preserve"> each</w:t>
      </w:r>
      <w:r w:rsidR="008162A9">
        <w:t xml:space="preserve">). </w:t>
      </w:r>
      <w:r w:rsidR="009158AF">
        <w:t>South Australia</w:t>
      </w:r>
      <w:r>
        <w:t xml:space="preserve"> recorded the highest premium rate (</w:t>
      </w:r>
      <w:r w:rsidR="008162A9">
        <w:t>1.</w:t>
      </w:r>
      <w:r w:rsidR="009158AF">
        <w:t>54</w:t>
      </w:r>
      <w:r>
        <w:t> per cent of payroll)</w:t>
      </w:r>
      <w:r w:rsidR="001B5B9B">
        <w:t>, while New South Wales recorded the lowest (0.4</w:t>
      </w:r>
      <w:r w:rsidR="009158AF">
        <w:t>9</w:t>
      </w:r>
      <w:r w:rsidR="001B5B9B">
        <w:t xml:space="preserve"> per cent of payroll).</w:t>
      </w:r>
      <w:r>
        <w:t xml:space="preserve"> </w:t>
      </w:r>
    </w:p>
    <w:p w14:paraId="07B477F0" w14:textId="3A59C7EE" w:rsidR="007B4BFE" w:rsidRPr="00B94407" w:rsidRDefault="007B4BFE" w:rsidP="000E20AE">
      <w:pPr>
        <w:pStyle w:val="BodyJustified"/>
      </w:pPr>
      <w:r>
        <w:t xml:space="preserve">New Zealand recorded a </w:t>
      </w:r>
      <w:r w:rsidR="009158AF">
        <w:t>23</w:t>
      </w:r>
      <w:r w:rsidR="00FB0257">
        <w:t> per cent</w:t>
      </w:r>
      <w:r>
        <w:t xml:space="preserve"> </w:t>
      </w:r>
      <w:r w:rsidR="009158AF">
        <w:t>increase</w:t>
      </w:r>
      <w:r>
        <w:t xml:space="preserve"> in its premium rate </w:t>
      </w:r>
      <w:r w:rsidR="008162A9">
        <w:t>from 0.2</w:t>
      </w:r>
      <w:r w:rsidR="009158AF">
        <w:t>6</w:t>
      </w:r>
      <w:r w:rsidR="008162A9">
        <w:t xml:space="preserve"> per cent of payroll in </w:t>
      </w:r>
      <w:r w:rsidR="00283D45">
        <w:br/>
      </w:r>
      <w:r w:rsidR="008162A9">
        <w:t>201</w:t>
      </w:r>
      <w:r w:rsidR="009158AF">
        <w:t>5</w:t>
      </w:r>
      <w:r w:rsidR="008162A9">
        <w:t>–1</w:t>
      </w:r>
      <w:r w:rsidR="009158AF">
        <w:t>6</w:t>
      </w:r>
      <w:r w:rsidR="008162A9">
        <w:t xml:space="preserve"> </w:t>
      </w:r>
      <w:r>
        <w:t xml:space="preserve">to </w:t>
      </w:r>
      <w:r w:rsidR="008162A9">
        <w:t>0.</w:t>
      </w:r>
      <w:r w:rsidR="009158AF">
        <w:t>32</w:t>
      </w:r>
      <w:r>
        <w:t xml:space="preserve"> per cent of payroll in </w:t>
      </w:r>
      <w:r w:rsidR="008162A9">
        <w:t>201</w:t>
      </w:r>
      <w:r w:rsidR="009158AF">
        <w:t>6</w:t>
      </w:r>
      <w:r w:rsidR="008162A9">
        <w:t>–1</w:t>
      </w:r>
      <w:r w:rsidR="009158AF">
        <w:t>7</w:t>
      </w:r>
      <w:r>
        <w:t>.</w:t>
      </w:r>
    </w:p>
    <w:p w14:paraId="3169F852" w14:textId="77777777" w:rsidR="007B4BFE" w:rsidRDefault="00535035" w:rsidP="0047156B">
      <w:pPr>
        <w:pStyle w:val="SWATableheader"/>
      </w:pPr>
      <w:r>
        <w:t>Indicator 14</w:t>
      </w:r>
      <w:r w:rsidR="00474952">
        <w:t>l</w:t>
      </w:r>
      <w:r w:rsidR="007B4BFE" w:rsidRPr="002D04B4">
        <w:t xml:space="preserve"> – </w:t>
      </w:r>
      <w:r w:rsidR="007B4BFE">
        <w:tab/>
        <w:t>Standardised premium rates</w:t>
      </w:r>
      <w:r w:rsidR="007B4BFE" w:rsidRPr="002D04B4">
        <w:t xml:space="preserve"> for </w:t>
      </w:r>
      <w:r w:rsidR="007B4BFE">
        <w:t xml:space="preserve">Property and business services </w:t>
      </w:r>
      <w:r w:rsidR="007B4BFE" w:rsidRPr="002D04B4">
        <w:t>by jurisdiction</w:t>
      </w:r>
    </w:p>
    <w:p w14:paraId="49683C3A" w14:textId="4F79F7A9" w:rsidR="007B4BFE" w:rsidRDefault="00774F84" w:rsidP="007B4BFE">
      <w:pPr>
        <w:jc w:val="center"/>
        <w:rPr>
          <w:lang w:val="en-GB"/>
        </w:rPr>
      </w:pPr>
      <w:r>
        <w:rPr>
          <w:lang w:val="en-GB"/>
        </w:rPr>
        <w:t xml:space="preserve"> </w:t>
      </w:r>
      <w:r w:rsidR="00C73357">
        <w:rPr>
          <w:noProof/>
        </w:rPr>
        <w:drawing>
          <wp:inline distT="0" distB="0" distL="0" distR="0" wp14:anchorId="74662197" wp14:editId="7A93F01C">
            <wp:extent cx="4245219" cy="2462109"/>
            <wp:effectExtent l="0" t="0" r="3175" b="0"/>
            <wp:docPr id="27" name="Picture 27" descr="This chart shows the standardised premium rates (percentage of payroll) for Property &amp; business services industry between 2011-12 and 2015-16 by jurisdiction. Please refer to body text for more information." title="Standardised premium rates for Property and business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roperty &amp; busines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45219" cy="2462109"/>
                    </a:xfrm>
                    <a:prstGeom prst="rect">
                      <a:avLst/>
                    </a:prstGeom>
                  </pic:spPr>
                </pic:pic>
              </a:graphicData>
            </a:graphic>
          </wp:inline>
        </w:drawing>
      </w:r>
    </w:p>
    <w:p w14:paraId="3EDB6020" w14:textId="77777777" w:rsidR="007B4BFE" w:rsidRPr="00285B6A" w:rsidRDefault="007B4BFE" w:rsidP="00C61C0B">
      <w:pPr>
        <w:pStyle w:val="Heading1"/>
      </w:pPr>
      <w:r w:rsidRPr="00285B6A">
        <w:t xml:space="preserve">Government administration and defence </w:t>
      </w:r>
    </w:p>
    <w:p w14:paraId="67F94853" w14:textId="2A27697C" w:rsidR="0014102D" w:rsidRDefault="00535035" w:rsidP="000E20AE">
      <w:pPr>
        <w:pStyle w:val="BodyJustified"/>
      </w:pPr>
      <w:r>
        <w:t>Indicator 14</w:t>
      </w:r>
      <w:r w:rsidR="007B4BFE">
        <w:t xml:space="preserve">m shows that </w:t>
      </w:r>
      <w:r w:rsidR="0014102D">
        <w:t xml:space="preserve">while </w:t>
      </w:r>
      <w:r w:rsidR="00CD39F9">
        <w:t>South</w:t>
      </w:r>
      <w:r w:rsidR="007B4BFE">
        <w:t xml:space="preserve"> Australia recorded the lowest premium rate </w:t>
      </w:r>
      <w:r w:rsidR="00A71AD9">
        <w:t>in</w:t>
      </w:r>
      <w:r w:rsidR="0014102D">
        <w:t xml:space="preserve"> the Government administration and defence industry (1.09 per cent of payroll) in</w:t>
      </w:r>
      <w:r w:rsidR="00A71AD9">
        <w:t xml:space="preserve"> 201</w:t>
      </w:r>
      <w:r w:rsidR="00CD39F9">
        <w:t>6</w:t>
      </w:r>
      <w:r w:rsidR="00A71AD9">
        <w:t>–1</w:t>
      </w:r>
      <w:r w:rsidR="00CD39F9">
        <w:t>7</w:t>
      </w:r>
      <w:r w:rsidR="0014102D">
        <w:t>, it also had</w:t>
      </w:r>
      <w:r w:rsidR="00A71AD9">
        <w:t xml:space="preserve"> the highest </w:t>
      </w:r>
      <w:r w:rsidR="00CD39F9">
        <w:t>increase</w:t>
      </w:r>
      <w:r w:rsidR="00A71AD9">
        <w:t xml:space="preserve"> (</w:t>
      </w:r>
      <w:r w:rsidR="00CD39F9">
        <w:t>up</w:t>
      </w:r>
      <w:r w:rsidR="00A71AD9">
        <w:t> </w:t>
      </w:r>
      <w:r w:rsidR="00CD39F9">
        <w:t>5</w:t>
      </w:r>
      <w:r w:rsidR="009E3D90">
        <w:t>6</w:t>
      </w:r>
      <w:r w:rsidR="00A71AD9">
        <w:t> per cent) from the previous year.</w:t>
      </w:r>
      <w:r w:rsidR="007B4BFE">
        <w:t xml:space="preserve"> </w:t>
      </w:r>
      <w:r w:rsidR="00CD39F9">
        <w:t>T</w:t>
      </w:r>
      <w:r w:rsidR="00A71AD9">
        <w:t xml:space="preserve">he </w:t>
      </w:r>
      <w:r w:rsidR="00CD39F9">
        <w:t xml:space="preserve">Northern Territory recorded the </w:t>
      </w:r>
      <w:r w:rsidR="00615DD6">
        <w:t xml:space="preserve">largest </w:t>
      </w:r>
      <w:r w:rsidR="00CD39F9">
        <w:t>decrease (down</w:t>
      </w:r>
      <w:r w:rsidR="0014102D">
        <w:t xml:space="preserve"> </w:t>
      </w:r>
      <w:r w:rsidR="00CD39F9">
        <w:t>18</w:t>
      </w:r>
      <w:r w:rsidR="0014102D">
        <w:t> </w:t>
      </w:r>
      <w:r w:rsidR="00CD39F9">
        <w:t>per</w:t>
      </w:r>
      <w:r w:rsidR="0014102D">
        <w:t> </w:t>
      </w:r>
      <w:r w:rsidR="00CD39F9">
        <w:t>cent) in its premium rate, followed by the Australian Government (down</w:t>
      </w:r>
      <w:r w:rsidR="00E23470">
        <w:t xml:space="preserve"> 9 </w:t>
      </w:r>
      <w:r w:rsidR="00CD39F9">
        <w:t xml:space="preserve">per cent), </w:t>
      </w:r>
      <w:r w:rsidR="0014102D">
        <w:t xml:space="preserve">and </w:t>
      </w:r>
      <w:r w:rsidR="00CD39F9">
        <w:t>the Australian Capital Territory (down</w:t>
      </w:r>
      <w:r w:rsidR="002440B4">
        <w:t xml:space="preserve"> </w:t>
      </w:r>
      <w:r w:rsidR="000F40B9">
        <w:t>13 per cent).</w:t>
      </w:r>
      <w:r w:rsidR="00A051D9">
        <w:t xml:space="preserve"> The scheme covering the Australian </w:t>
      </w:r>
      <w:r w:rsidR="0014102D">
        <w:t>D</w:t>
      </w:r>
      <w:r w:rsidR="00A051D9">
        <w:t xml:space="preserve">efence </w:t>
      </w:r>
      <w:r w:rsidR="0014102D">
        <w:t>F</w:t>
      </w:r>
      <w:r w:rsidR="00A051D9">
        <w:t>orce (ADF) personnel is excluded from th</w:t>
      </w:r>
      <w:r w:rsidR="00516ADB">
        <w:t xml:space="preserve">is industry division </w:t>
      </w:r>
      <w:r w:rsidR="00A051D9">
        <w:t>as they are covered by the Military Rehabilitation and Compensation (MRC) Act administered by the Department of Veteran</w:t>
      </w:r>
      <w:r w:rsidR="004C1ACE">
        <w:t>s</w:t>
      </w:r>
      <w:r w:rsidR="0014102D">
        <w:t xml:space="preserve">’ Affairs (DVA). </w:t>
      </w:r>
    </w:p>
    <w:p w14:paraId="7FE1AF5D" w14:textId="22C12D73" w:rsidR="007B4BFE" w:rsidRPr="00B94407" w:rsidRDefault="007B4BFE" w:rsidP="000E20AE">
      <w:pPr>
        <w:pStyle w:val="BodyJustified"/>
      </w:pPr>
      <w:r>
        <w:lastRenderedPageBreak/>
        <w:t xml:space="preserve">The New Zealand average premium rate was </w:t>
      </w:r>
      <w:r w:rsidR="00A71AD9">
        <w:t>0.</w:t>
      </w:r>
      <w:r w:rsidR="000F40B9">
        <w:t>20</w:t>
      </w:r>
      <w:r w:rsidR="00FB0257">
        <w:t> per cent</w:t>
      </w:r>
      <w:r>
        <w:t xml:space="preserve"> of payroll in </w:t>
      </w:r>
      <w:r w:rsidR="00A71AD9">
        <w:t>201</w:t>
      </w:r>
      <w:r w:rsidR="000F40B9">
        <w:t>6</w:t>
      </w:r>
      <w:r w:rsidR="00A71AD9">
        <w:t>–1</w:t>
      </w:r>
      <w:r w:rsidR="000F40B9">
        <w:t>7</w:t>
      </w:r>
    </w:p>
    <w:p w14:paraId="10117F18" w14:textId="77777777" w:rsidR="007B4BFE" w:rsidRDefault="00535035" w:rsidP="0047156B">
      <w:pPr>
        <w:pStyle w:val="SWATableheader"/>
      </w:pPr>
      <w:r>
        <w:t>Indicator 14</w:t>
      </w:r>
      <w:r w:rsidR="007B4BFE">
        <w:t>m</w:t>
      </w:r>
      <w:r w:rsidR="007B4BFE" w:rsidRPr="002D04B4">
        <w:t xml:space="preserve"> – </w:t>
      </w:r>
      <w:r w:rsidR="007B4BFE">
        <w:t>Standardised premium rates</w:t>
      </w:r>
      <w:r w:rsidR="007B4BFE" w:rsidRPr="002D04B4">
        <w:t xml:space="preserve"> for </w:t>
      </w:r>
      <w:r w:rsidR="007B4BFE">
        <w:t xml:space="preserve">Government administration and defence </w:t>
      </w:r>
      <w:r w:rsidR="007B4BFE" w:rsidRPr="002D04B4">
        <w:t>by jurisdiction</w:t>
      </w:r>
    </w:p>
    <w:p w14:paraId="0A4587ED" w14:textId="77777777" w:rsidR="007B4BFE" w:rsidRDefault="00C73357" w:rsidP="007B4BFE">
      <w:pPr>
        <w:jc w:val="center"/>
        <w:rPr>
          <w:lang w:val="en-GB"/>
        </w:rPr>
      </w:pPr>
      <w:r>
        <w:rPr>
          <w:noProof/>
        </w:rPr>
        <w:drawing>
          <wp:inline distT="0" distB="0" distL="0" distR="0" wp14:anchorId="2AA17521" wp14:editId="218FDC5F">
            <wp:extent cx="3755311" cy="2181617"/>
            <wp:effectExtent l="0" t="0" r="0" b="9525"/>
            <wp:docPr id="64" name="Picture 64" descr="This chart shows the standardised premium rates (percent of payroll) for Government administration &amp; defence industry between 2011-12 and 2015-16 by jurisdiction. Please refer to body text for more information." title="Standardised premium rates for Government administration and defenc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overnment admin &amp; defence-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55311" cy="2181617"/>
                    </a:xfrm>
                    <a:prstGeom prst="rect">
                      <a:avLst/>
                    </a:prstGeom>
                  </pic:spPr>
                </pic:pic>
              </a:graphicData>
            </a:graphic>
          </wp:inline>
        </w:drawing>
      </w:r>
    </w:p>
    <w:p w14:paraId="287C3829" w14:textId="77777777" w:rsidR="007B4BFE" w:rsidRPr="00285B6A" w:rsidRDefault="007B4BFE" w:rsidP="00C61C0B">
      <w:pPr>
        <w:pStyle w:val="Heading1"/>
      </w:pPr>
      <w:r w:rsidRPr="00285B6A">
        <w:t xml:space="preserve">Education </w:t>
      </w:r>
    </w:p>
    <w:p w14:paraId="4083450D" w14:textId="64A5E71D" w:rsidR="00443F37" w:rsidRDefault="007B4BFE" w:rsidP="000E20AE">
      <w:pPr>
        <w:pStyle w:val="BodyJustified"/>
      </w:pPr>
      <w:r>
        <w:t xml:space="preserve">As shown in Indicator </w:t>
      </w:r>
      <w:r w:rsidR="00A71AD9">
        <w:t>14n</w:t>
      </w:r>
      <w:r>
        <w:t xml:space="preserve">, the Australian average premium rate for the Education industry fell by </w:t>
      </w:r>
      <w:r w:rsidR="00892C80">
        <w:t>1</w:t>
      </w:r>
      <w:r w:rsidR="00A71AD9">
        <w:t> </w:t>
      </w:r>
      <w:r>
        <w:t xml:space="preserve">per cent in </w:t>
      </w:r>
      <w:r w:rsidR="00A71AD9">
        <w:t>201</w:t>
      </w:r>
      <w:r w:rsidR="00892C80">
        <w:t>6</w:t>
      </w:r>
      <w:r w:rsidR="00A71AD9">
        <w:t>–1</w:t>
      </w:r>
      <w:r w:rsidR="00892C80">
        <w:t>7</w:t>
      </w:r>
      <w:r w:rsidR="00A71AD9">
        <w:t xml:space="preserve"> </w:t>
      </w:r>
      <w:r>
        <w:t xml:space="preserve">compared to the previous year. </w:t>
      </w:r>
      <w:r w:rsidR="00A71AD9">
        <w:t xml:space="preserve">The </w:t>
      </w:r>
      <w:r w:rsidR="00892C80">
        <w:t>Northern Territory recorded the largest decrease (down 13</w:t>
      </w:r>
      <w:r w:rsidR="0014102D">
        <w:t> </w:t>
      </w:r>
      <w:r w:rsidR="00892C80">
        <w:t xml:space="preserve">per cent), followed by the Australian Capital Territory (down 7 per cent). The </w:t>
      </w:r>
      <w:r w:rsidR="00A71AD9">
        <w:t xml:space="preserve">Australian Government recorded the largest </w:t>
      </w:r>
      <w:r w:rsidR="00892C80">
        <w:t>increase</w:t>
      </w:r>
      <w:r w:rsidR="00A71AD9">
        <w:t xml:space="preserve"> (</w:t>
      </w:r>
      <w:r w:rsidR="00892C80">
        <w:t>up</w:t>
      </w:r>
      <w:r w:rsidR="009506E0">
        <w:t xml:space="preserve"> </w:t>
      </w:r>
      <w:r w:rsidR="00892C80">
        <w:t>23 per cent)</w:t>
      </w:r>
      <w:r w:rsidR="00A71AD9">
        <w:t xml:space="preserve"> in 201</w:t>
      </w:r>
      <w:r w:rsidR="00892C80">
        <w:t>6</w:t>
      </w:r>
      <w:r w:rsidR="00A71AD9">
        <w:t>–1</w:t>
      </w:r>
      <w:r w:rsidR="00892C80">
        <w:t>7</w:t>
      </w:r>
      <w:r w:rsidR="009506E0">
        <w:t xml:space="preserve">, </w:t>
      </w:r>
      <w:r w:rsidR="00A71AD9">
        <w:t xml:space="preserve">followed by </w:t>
      </w:r>
      <w:r w:rsidR="009506E0">
        <w:t>South Australia</w:t>
      </w:r>
      <w:r w:rsidR="00A71AD9">
        <w:t xml:space="preserve"> (</w:t>
      </w:r>
      <w:r w:rsidR="009506E0">
        <w:t>up</w:t>
      </w:r>
      <w:r w:rsidR="00A71AD9">
        <w:t> </w:t>
      </w:r>
      <w:r w:rsidR="009506E0">
        <w:t>12</w:t>
      </w:r>
      <w:r w:rsidR="00A71AD9">
        <w:t> per cent)</w:t>
      </w:r>
      <w:r>
        <w:t xml:space="preserve">. The premium rate for </w:t>
      </w:r>
      <w:r w:rsidR="009506E0">
        <w:t>Queensland</w:t>
      </w:r>
      <w:r w:rsidR="00A71AD9">
        <w:t xml:space="preserve"> was the lowest (0.6</w:t>
      </w:r>
      <w:r w:rsidR="009506E0">
        <w:t>6</w:t>
      </w:r>
      <w:r w:rsidR="00A71AD9">
        <w:t xml:space="preserve"> per cent of payroll) among Australian jurisdictions, closely followed by </w:t>
      </w:r>
      <w:r w:rsidR="009506E0">
        <w:t>New South Wales</w:t>
      </w:r>
      <w:r>
        <w:t xml:space="preserve"> (</w:t>
      </w:r>
      <w:r w:rsidR="00A71AD9">
        <w:t>0.</w:t>
      </w:r>
      <w:r w:rsidR="009506E0">
        <w:t>70</w:t>
      </w:r>
      <w:r w:rsidR="00A71AD9">
        <w:t> per cent</w:t>
      </w:r>
      <w:r>
        <w:t xml:space="preserve"> of payroll). </w:t>
      </w:r>
    </w:p>
    <w:p w14:paraId="06FCDA7E" w14:textId="6D0D37D0" w:rsidR="007B4BFE" w:rsidRPr="00B94407" w:rsidRDefault="007B4BFE" w:rsidP="000E20AE">
      <w:pPr>
        <w:pStyle w:val="BodyJustified"/>
      </w:pPr>
      <w:r>
        <w:t xml:space="preserve">New Zealand showed a </w:t>
      </w:r>
      <w:r w:rsidR="009506E0">
        <w:t xml:space="preserve">19 </w:t>
      </w:r>
      <w:r w:rsidR="00A71AD9">
        <w:t xml:space="preserve">per cent </w:t>
      </w:r>
      <w:r w:rsidR="009506E0">
        <w:t>increase</w:t>
      </w:r>
      <w:r>
        <w:t xml:space="preserve">, from </w:t>
      </w:r>
      <w:r w:rsidR="00A71AD9">
        <w:t>0.2</w:t>
      </w:r>
      <w:r w:rsidR="009506E0">
        <w:t>7</w:t>
      </w:r>
      <w:r>
        <w:t xml:space="preserve"> per cent of payroll in </w:t>
      </w:r>
      <w:r w:rsidR="00A71AD9">
        <w:t>201</w:t>
      </w:r>
      <w:r w:rsidR="009506E0">
        <w:t>5</w:t>
      </w:r>
      <w:r w:rsidR="00A71AD9">
        <w:t>–1</w:t>
      </w:r>
      <w:r w:rsidR="009506E0">
        <w:t>6</w:t>
      </w:r>
      <w:r>
        <w:t xml:space="preserve"> to </w:t>
      </w:r>
      <w:r w:rsidR="00A71AD9">
        <w:t>0.</w:t>
      </w:r>
      <w:r w:rsidR="009506E0">
        <w:t>32</w:t>
      </w:r>
      <w:r>
        <w:t xml:space="preserve"> per cent of payroll in </w:t>
      </w:r>
      <w:r w:rsidR="00A71AD9">
        <w:t>201</w:t>
      </w:r>
      <w:r w:rsidR="009506E0">
        <w:t>6</w:t>
      </w:r>
      <w:r w:rsidR="00A71AD9">
        <w:t>–1</w:t>
      </w:r>
      <w:r w:rsidR="009506E0">
        <w:t>7</w:t>
      </w:r>
      <w:r>
        <w:t>.</w:t>
      </w:r>
    </w:p>
    <w:p w14:paraId="2D56D44A" w14:textId="77777777" w:rsidR="007B4BFE" w:rsidRDefault="00535035" w:rsidP="0047156B">
      <w:pPr>
        <w:pStyle w:val="SWATableheader"/>
      </w:pPr>
      <w:r>
        <w:t>Indicator 14</w:t>
      </w:r>
      <w:r w:rsidR="007B4BFE">
        <w:t>n</w:t>
      </w:r>
      <w:r w:rsidR="007B4BFE" w:rsidRPr="002D04B4">
        <w:t xml:space="preserve"> – </w:t>
      </w:r>
      <w:r w:rsidR="007B4BFE">
        <w:tab/>
        <w:t>Standardised premium rates</w:t>
      </w:r>
      <w:r w:rsidR="007B4BFE" w:rsidRPr="002D04B4">
        <w:t xml:space="preserve"> for </w:t>
      </w:r>
      <w:r w:rsidR="007B4BFE">
        <w:t xml:space="preserve">Education </w:t>
      </w:r>
      <w:r w:rsidR="007B4BFE" w:rsidRPr="002D04B4">
        <w:t>by jurisdiction</w:t>
      </w:r>
    </w:p>
    <w:p w14:paraId="771ADD6B" w14:textId="77777777" w:rsidR="007B4BFE" w:rsidRDefault="00C561CB" w:rsidP="007B4BFE">
      <w:pPr>
        <w:jc w:val="center"/>
        <w:rPr>
          <w:lang w:val="en-GB"/>
        </w:rPr>
      </w:pPr>
      <w:r>
        <w:rPr>
          <w:noProof/>
        </w:rPr>
        <w:drawing>
          <wp:inline distT="0" distB="0" distL="0" distR="0" wp14:anchorId="08C37708" wp14:editId="12188C1B">
            <wp:extent cx="4081686" cy="2320714"/>
            <wp:effectExtent l="0" t="0" r="0" b="3810"/>
            <wp:docPr id="77" name="Picture 77" descr="This chart shows the standardised premium rates (percent of payroll) for Education industry between 2011-12 and 2015-16 by jurisdiction. Please refer to body text for more information." title="Standardised premium rates for Educati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ucation-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81686" cy="2320714"/>
                    </a:xfrm>
                    <a:prstGeom prst="rect">
                      <a:avLst/>
                    </a:prstGeom>
                  </pic:spPr>
                </pic:pic>
              </a:graphicData>
            </a:graphic>
          </wp:inline>
        </w:drawing>
      </w:r>
      <w:r w:rsidR="007B4BFE">
        <w:rPr>
          <w:lang w:val="en-GB"/>
        </w:rPr>
        <w:br w:type="textWrapping" w:clear="all"/>
      </w:r>
    </w:p>
    <w:p w14:paraId="5CAD3719" w14:textId="77777777" w:rsidR="007B4BFE" w:rsidRPr="00285B6A" w:rsidRDefault="007B4BFE" w:rsidP="00C61C0B">
      <w:pPr>
        <w:pStyle w:val="Heading1"/>
      </w:pPr>
      <w:r w:rsidRPr="00285B6A">
        <w:t xml:space="preserve">Health and community services </w:t>
      </w:r>
    </w:p>
    <w:p w14:paraId="7C27A334" w14:textId="197F3E3C" w:rsidR="00443F37" w:rsidRDefault="00535035" w:rsidP="000E20AE">
      <w:pPr>
        <w:pStyle w:val="BodyJustified"/>
      </w:pPr>
      <w:r>
        <w:t>Indicator 14</w:t>
      </w:r>
      <w:r w:rsidR="007B4BFE">
        <w:t xml:space="preserve">o shows that the average Australian premium rate for the Health and community services industry has fallen by </w:t>
      </w:r>
      <w:r w:rsidR="005C5B24">
        <w:t>1</w:t>
      </w:r>
      <w:r w:rsidR="00FB0257">
        <w:t> per cent</w:t>
      </w:r>
      <w:r w:rsidR="007B4BFE">
        <w:t xml:space="preserve"> since </w:t>
      </w:r>
      <w:r w:rsidR="00166732">
        <w:t>201</w:t>
      </w:r>
      <w:r w:rsidR="004A772B">
        <w:t>5</w:t>
      </w:r>
      <w:r w:rsidR="00166732">
        <w:t>–1</w:t>
      </w:r>
      <w:r w:rsidR="004A772B">
        <w:t>6</w:t>
      </w:r>
      <w:r w:rsidR="007B4BFE">
        <w:t xml:space="preserve"> to </w:t>
      </w:r>
      <w:r w:rsidR="00166732">
        <w:t>1.</w:t>
      </w:r>
      <w:r w:rsidR="004A772B">
        <w:t>47</w:t>
      </w:r>
      <w:r w:rsidR="00166732">
        <w:t> per cent</w:t>
      </w:r>
      <w:r w:rsidR="007B4BFE">
        <w:t xml:space="preserve"> of payroll in </w:t>
      </w:r>
      <w:r w:rsidR="00166732">
        <w:t>201</w:t>
      </w:r>
      <w:r w:rsidR="004A772B">
        <w:t>6</w:t>
      </w:r>
      <w:r w:rsidR="00166732">
        <w:t>–1</w:t>
      </w:r>
      <w:r w:rsidR="004A772B">
        <w:t>7</w:t>
      </w:r>
      <w:r w:rsidR="007B4BFE">
        <w:t xml:space="preserve">. The largest reduction in premium rate </w:t>
      </w:r>
      <w:r w:rsidR="00166732">
        <w:t>in 201</w:t>
      </w:r>
      <w:r w:rsidR="004A772B">
        <w:t>6</w:t>
      </w:r>
      <w:r w:rsidR="00166732">
        <w:t>–1</w:t>
      </w:r>
      <w:r w:rsidR="004A772B">
        <w:t>7</w:t>
      </w:r>
      <w:r w:rsidR="00166732">
        <w:t xml:space="preserve"> compared to </w:t>
      </w:r>
      <w:r w:rsidR="00443F37">
        <w:t xml:space="preserve">the </w:t>
      </w:r>
      <w:r w:rsidR="00166732">
        <w:t xml:space="preserve">previous year </w:t>
      </w:r>
      <w:r w:rsidR="007B4BFE">
        <w:t xml:space="preserve">was </w:t>
      </w:r>
      <w:r w:rsidR="007B4BFE" w:rsidRPr="005C5B24">
        <w:t xml:space="preserve">seen in </w:t>
      </w:r>
      <w:r w:rsidR="004A772B">
        <w:t>the Northern Territory</w:t>
      </w:r>
      <w:r w:rsidR="00283D45">
        <w:t xml:space="preserve"> </w:t>
      </w:r>
      <w:r w:rsidR="00166732" w:rsidRPr="005C5B24">
        <w:t>(down </w:t>
      </w:r>
      <w:r w:rsidR="005C5B24" w:rsidRPr="005C5B24">
        <w:t>2</w:t>
      </w:r>
      <w:r w:rsidR="00D725B1">
        <w:t>7</w:t>
      </w:r>
      <w:r w:rsidR="00166732" w:rsidRPr="005C5B24">
        <w:t> per cent</w:t>
      </w:r>
      <w:r w:rsidR="00A021E2">
        <w:t>)</w:t>
      </w:r>
      <w:r w:rsidR="004A772B">
        <w:t>. The Australian Government recorded a 16 per cent increase in its premium rate</w:t>
      </w:r>
      <w:r w:rsidR="00483879">
        <w:t xml:space="preserve"> for this industry in 2016–17. Queensland</w:t>
      </w:r>
      <w:r w:rsidR="00166732">
        <w:t xml:space="preserve"> had the lowest premium rate (0.9</w:t>
      </w:r>
      <w:r w:rsidR="00483879">
        <w:t>3</w:t>
      </w:r>
      <w:r w:rsidR="00166732">
        <w:t> per cent of payroll) in 201</w:t>
      </w:r>
      <w:r w:rsidR="00483879">
        <w:t>6</w:t>
      </w:r>
      <w:r w:rsidR="00166732">
        <w:t>–1</w:t>
      </w:r>
      <w:r w:rsidR="00483879">
        <w:t>7</w:t>
      </w:r>
      <w:r w:rsidR="00166732">
        <w:t xml:space="preserve"> and </w:t>
      </w:r>
      <w:r w:rsidR="00483879">
        <w:t>the Australian Government had the highest (2.76 per cent of payroll).</w:t>
      </w:r>
      <w:r w:rsidR="007B4BFE">
        <w:t xml:space="preserve"> </w:t>
      </w:r>
    </w:p>
    <w:p w14:paraId="17ACFC07" w14:textId="5E86F12C" w:rsidR="007B4BFE" w:rsidRPr="00B94407" w:rsidRDefault="00166732" w:rsidP="000E20AE">
      <w:pPr>
        <w:pStyle w:val="BodyJustified"/>
      </w:pPr>
      <w:r>
        <w:lastRenderedPageBreak/>
        <w:t>New Zealand had a</w:t>
      </w:r>
      <w:r w:rsidR="005350BE">
        <w:t>n</w:t>
      </w:r>
      <w:r>
        <w:t xml:space="preserve"> </w:t>
      </w:r>
      <w:r w:rsidR="00935795">
        <w:t>18</w:t>
      </w:r>
      <w:r>
        <w:t xml:space="preserve"> per cent </w:t>
      </w:r>
      <w:r w:rsidR="00935795">
        <w:t>increase</w:t>
      </w:r>
      <w:r>
        <w:t xml:space="preserve"> in the 201</w:t>
      </w:r>
      <w:r w:rsidR="00935795">
        <w:t>6</w:t>
      </w:r>
      <w:r>
        <w:t>–1</w:t>
      </w:r>
      <w:r w:rsidR="00935795">
        <w:t>7</w:t>
      </w:r>
      <w:r>
        <w:t xml:space="preserve"> premium rates compared to 201</w:t>
      </w:r>
      <w:r w:rsidR="00935795">
        <w:t>5</w:t>
      </w:r>
      <w:r>
        <w:t>–1</w:t>
      </w:r>
      <w:r w:rsidR="00935795">
        <w:t>6</w:t>
      </w:r>
      <w:r>
        <w:t xml:space="preserve">. </w:t>
      </w:r>
    </w:p>
    <w:p w14:paraId="624D4F04" w14:textId="77777777" w:rsidR="007B4BFE" w:rsidRDefault="00535035" w:rsidP="0047156B">
      <w:pPr>
        <w:pStyle w:val="SWATableheader"/>
      </w:pPr>
      <w:r>
        <w:t>Indicator 14</w:t>
      </w:r>
      <w:r w:rsidR="007B4BFE">
        <w:t>o</w:t>
      </w:r>
      <w:r w:rsidR="007B4BFE" w:rsidRPr="002D04B4">
        <w:t xml:space="preserve"> – </w:t>
      </w:r>
      <w:r w:rsidR="007B4BFE">
        <w:tab/>
        <w:t>Standardised premium rates</w:t>
      </w:r>
      <w:r w:rsidR="007B4BFE" w:rsidRPr="002D04B4">
        <w:t xml:space="preserve"> for </w:t>
      </w:r>
      <w:r w:rsidR="007B4BFE">
        <w:t xml:space="preserve">Health and community services </w:t>
      </w:r>
      <w:r w:rsidR="007B4BFE" w:rsidRPr="002D04B4">
        <w:t>by jurisdiction</w:t>
      </w:r>
    </w:p>
    <w:p w14:paraId="4ADD2851" w14:textId="77777777" w:rsidR="007B4BFE" w:rsidRDefault="00F66616" w:rsidP="007B4BFE">
      <w:pPr>
        <w:jc w:val="center"/>
        <w:rPr>
          <w:lang w:val="en-GB"/>
        </w:rPr>
      </w:pPr>
      <w:r>
        <w:rPr>
          <w:noProof/>
        </w:rPr>
        <w:drawing>
          <wp:inline distT="0" distB="0" distL="0" distR="0" wp14:anchorId="799F52C3" wp14:editId="0EB32618">
            <wp:extent cx="3906633" cy="2238888"/>
            <wp:effectExtent l="0" t="0" r="0" b="9525"/>
            <wp:docPr id="78" name="Picture 78" descr="This chart shows the standardised premium rates (percent of payroll) for Health &amp; community services industry between 2011-12 and 2015-16 by jurisdiction. Please refer to body text for more information." title="Standardised premium rates for Health and community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ealth &amp; community-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06633" cy="2238888"/>
                    </a:xfrm>
                    <a:prstGeom prst="rect">
                      <a:avLst/>
                    </a:prstGeom>
                  </pic:spPr>
                </pic:pic>
              </a:graphicData>
            </a:graphic>
          </wp:inline>
        </w:drawing>
      </w:r>
    </w:p>
    <w:p w14:paraId="2160796E" w14:textId="77777777" w:rsidR="007B4BFE" w:rsidRPr="00285B6A" w:rsidRDefault="007B4BFE" w:rsidP="00C61C0B">
      <w:pPr>
        <w:pStyle w:val="Heading1"/>
      </w:pPr>
      <w:r w:rsidRPr="00285B6A">
        <w:t xml:space="preserve">Cultural and recreational services </w:t>
      </w:r>
    </w:p>
    <w:p w14:paraId="0D1F27D0" w14:textId="4EC3F229" w:rsidR="00443F37" w:rsidRDefault="00535035" w:rsidP="000E20AE">
      <w:pPr>
        <w:pStyle w:val="BodyJustified"/>
      </w:pPr>
      <w:r>
        <w:t>Indicator 14</w:t>
      </w:r>
      <w:r w:rsidR="008C5442">
        <w:t xml:space="preserve">p shows that </w:t>
      </w:r>
      <w:r w:rsidR="00166732">
        <w:t>in 201</w:t>
      </w:r>
      <w:r w:rsidR="002B7DAE">
        <w:t>6</w:t>
      </w:r>
      <w:r w:rsidR="00166732">
        <w:t>–1</w:t>
      </w:r>
      <w:r w:rsidR="002B7DAE">
        <w:t>7</w:t>
      </w:r>
      <w:r w:rsidR="007B4BFE">
        <w:t xml:space="preserve">, </w:t>
      </w:r>
      <w:r w:rsidR="002B7DAE">
        <w:t>five</w:t>
      </w:r>
      <w:r w:rsidR="004A4239">
        <w:t xml:space="preserve"> out of nine </w:t>
      </w:r>
      <w:r w:rsidR="00C0691E">
        <w:t xml:space="preserve">Australian </w:t>
      </w:r>
      <w:r w:rsidR="00166732">
        <w:t xml:space="preserve">jurisdictions </w:t>
      </w:r>
      <w:r w:rsidR="004A4239">
        <w:t xml:space="preserve">recorded </w:t>
      </w:r>
      <w:r w:rsidR="007B4BFE">
        <w:t>a</w:t>
      </w:r>
      <w:r w:rsidR="002B7DAE">
        <w:t>n</w:t>
      </w:r>
      <w:r w:rsidR="007B4BFE">
        <w:t xml:space="preserve"> </w:t>
      </w:r>
      <w:r w:rsidR="002B7DAE">
        <w:t>increase</w:t>
      </w:r>
      <w:r w:rsidR="007B4BFE">
        <w:t xml:space="preserve"> in their premium rates compared to the previous year. The Australian average premium rate </w:t>
      </w:r>
      <w:r w:rsidR="00166732">
        <w:t xml:space="preserve">for this industry </w:t>
      </w:r>
      <w:r w:rsidR="007B4BFE">
        <w:t xml:space="preserve">was </w:t>
      </w:r>
      <w:r w:rsidR="00166732">
        <w:t>1.</w:t>
      </w:r>
      <w:r w:rsidR="002B7DAE">
        <w:t>21</w:t>
      </w:r>
      <w:r w:rsidR="00FB0257">
        <w:t> per cent</w:t>
      </w:r>
      <w:r w:rsidR="007B4BFE">
        <w:t xml:space="preserve"> of payroll during the current year, which was a </w:t>
      </w:r>
      <w:r w:rsidR="004A4239">
        <w:t>4</w:t>
      </w:r>
      <w:r w:rsidR="00166732">
        <w:t> </w:t>
      </w:r>
      <w:r w:rsidR="007B4BFE">
        <w:t xml:space="preserve">per cent </w:t>
      </w:r>
      <w:r w:rsidR="002B7DAE">
        <w:t>increase</w:t>
      </w:r>
      <w:r w:rsidR="007B4BFE">
        <w:t xml:space="preserve"> compared to </w:t>
      </w:r>
      <w:r w:rsidR="00166732">
        <w:t>201</w:t>
      </w:r>
      <w:r w:rsidR="002B7DAE">
        <w:t>5</w:t>
      </w:r>
      <w:r w:rsidR="00166732">
        <w:t>–1</w:t>
      </w:r>
      <w:r w:rsidR="002B7DAE">
        <w:t>6</w:t>
      </w:r>
      <w:r w:rsidR="007B4BFE">
        <w:t xml:space="preserve">. </w:t>
      </w:r>
      <w:r w:rsidR="004A4239">
        <w:t xml:space="preserve">The Northern </w:t>
      </w:r>
      <w:r w:rsidR="00443F37">
        <w:t>T</w:t>
      </w:r>
      <w:r w:rsidR="004A4239">
        <w:t xml:space="preserve">erritory recorded the largest </w:t>
      </w:r>
      <w:r w:rsidR="002B7DAE">
        <w:t>increase</w:t>
      </w:r>
      <w:r w:rsidR="004A4239">
        <w:t xml:space="preserve"> in its premium rat</w:t>
      </w:r>
      <w:r w:rsidR="00443F37">
        <w:t>e</w:t>
      </w:r>
      <w:r w:rsidR="004A4239">
        <w:t>s for this industry in 201</w:t>
      </w:r>
      <w:r w:rsidR="002B7DAE">
        <w:t>6</w:t>
      </w:r>
      <w:r w:rsidR="004A4239">
        <w:t>–1</w:t>
      </w:r>
      <w:r w:rsidR="002B7DAE">
        <w:t>7 compared to the previous year (up 63 per cent), followed by the Australian Capital Territory (up 27</w:t>
      </w:r>
      <w:r w:rsidR="00A021E2">
        <w:t> </w:t>
      </w:r>
      <w:r w:rsidR="002B7DAE">
        <w:t>per</w:t>
      </w:r>
      <w:r w:rsidR="00A021E2">
        <w:t> </w:t>
      </w:r>
      <w:r w:rsidR="002B7DAE">
        <w:t>cent), then New South Wales (up 1</w:t>
      </w:r>
      <w:r w:rsidR="00BB4726">
        <w:t>2</w:t>
      </w:r>
      <w:r w:rsidR="002B7DAE">
        <w:t xml:space="preserve"> per cent).</w:t>
      </w:r>
    </w:p>
    <w:p w14:paraId="7F470889" w14:textId="18338D74" w:rsidR="007B4BFE" w:rsidRPr="00B94407" w:rsidRDefault="007B4BFE" w:rsidP="000E20AE">
      <w:pPr>
        <w:pStyle w:val="BodyJustified"/>
      </w:pPr>
      <w:r>
        <w:t>New Zealand showed a</w:t>
      </w:r>
      <w:r w:rsidR="00723768">
        <w:t>n</w:t>
      </w:r>
      <w:r>
        <w:t xml:space="preserve"> </w:t>
      </w:r>
      <w:r w:rsidR="00723768">
        <w:t>increase</w:t>
      </w:r>
      <w:r>
        <w:t xml:space="preserve"> in premium rate from </w:t>
      </w:r>
      <w:r w:rsidR="00166732">
        <w:t>0.</w:t>
      </w:r>
      <w:r w:rsidR="00723768">
        <w:t>52</w:t>
      </w:r>
      <w:r>
        <w:t xml:space="preserve"> per cent of payroll in </w:t>
      </w:r>
      <w:r w:rsidR="00166732">
        <w:t>201</w:t>
      </w:r>
      <w:r w:rsidR="00723768">
        <w:t>5</w:t>
      </w:r>
      <w:r w:rsidR="00166732">
        <w:t>–1</w:t>
      </w:r>
      <w:r w:rsidR="00723768">
        <w:t>6</w:t>
      </w:r>
      <w:r>
        <w:t xml:space="preserve"> to 0.</w:t>
      </w:r>
      <w:r w:rsidR="00723768">
        <w:t>61</w:t>
      </w:r>
      <w:r w:rsidR="00FB0257">
        <w:t> per cent</w:t>
      </w:r>
      <w:r>
        <w:t xml:space="preserve"> of payroll in </w:t>
      </w:r>
      <w:r w:rsidR="00166732">
        <w:t>201</w:t>
      </w:r>
      <w:r w:rsidR="00723768">
        <w:t>6</w:t>
      </w:r>
      <w:r w:rsidR="00166732">
        <w:t>–1</w:t>
      </w:r>
      <w:r w:rsidR="00723768">
        <w:t>7</w:t>
      </w:r>
      <w:r>
        <w:t xml:space="preserve"> (a</w:t>
      </w:r>
      <w:r w:rsidR="00723768">
        <w:t>n increase of</w:t>
      </w:r>
      <w:r>
        <w:t xml:space="preserve"> </w:t>
      </w:r>
      <w:r w:rsidR="00166732">
        <w:t>1</w:t>
      </w:r>
      <w:r w:rsidR="00723768">
        <w:t>7</w:t>
      </w:r>
      <w:r w:rsidR="00FB0257">
        <w:t> per cent</w:t>
      </w:r>
      <w:r>
        <w:t>).</w:t>
      </w:r>
    </w:p>
    <w:p w14:paraId="631F75E4" w14:textId="77777777" w:rsidR="007B4BFE" w:rsidRDefault="00535035" w:rsidP="0047156B">
      <w:pPr>
        <w:pStyle w:val="SWATableheader"/>
      </w:pPr>
      <w:r>
        <w:t>Indicator 14</w:t>
      </w:r>
      <w:r w:rsidR="007B4BFE">
        <w:t>p</w:t>
      </w:r>
      <w:r w:rsidR="007B4BFE" w:rsidRPr="002D04B4">
        <w:t xml:space="preserve"> – </w:t>
      </w:r>
      <w:r w:rsidR="007B4BFE">
        <w:tab/>
        <w:t>Standardised premium rates</w:t>
      </w:r>
      <w:r w:rsidR="007B4BFE" w:rsidRPr="002D04B4">
        <w:t xml:space="preserve"> for </w:t>
      </w:r>
      <w:r w:rsidR="007B4BFE">
        <w:t xml:space="preserve">Cultural and recreational services </w:t>
      </w:r>
      <w:r w:rsidR="007B4BFE" w:rsidRPr="002D04B4">
        <w:t>by jurisdiction</w:t>
      </w:r>
    </w:p>
    <w:p w14:paraId="48FA8B10" w14:textId="77777777" w:rsidR="007B4BFE" w:rsidRDefault="00F66616" w:rsidP="007B4BFE">
      <w:pPr>
        <w:jc w:val="center"/>
        <w:rPr>
          <w:lang w:val="en-GB"/>
        </w:rPr>
      </w:pPr>
      <w:r>
        <w:rPr>
          <w:noProof/>
        </w:rPr>
        <w:drawing>
          <wp:inline distT="0" distB="0" distL="0" distR="0" wp14:anchorId="063254B7" wp14:editId="2751FF19">
            <wp:extent cx="3988250" cy="2303999"/>
            <wp:effectExtent l="0" t="0" r="0" b="1270"/>
            <wp:docPr id="79" name="Picture 79" descr="This chart shows the standardised premium rates (per cent of payroll) for Cultural &amp; recreational services industry between 2011-12 and 2015-16 by jurisdiction. Please refer to body text for more information." title="Standardised premium rates for Cultural and recreational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ultural &amp; recreational services-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88250" cy="2303999"/>
                    </a:xfrm>
                    <a:prstGeom prst="rect">
                      <a:avLst/>
                    </a:prstGeom>
                  </pic:spPr>
                </pic:pic>
              </a:graphicData>
            </a:graphic>
          </wp:inline>
        </w:drawing>
      </w:r>
    </w:p>
    <w:p w14:paraId="4EB5B97B" w14:textId="77777777" w:rsidR="007B4BFE" w:rsidRPr="00285B6A" w:rsidRDefault="007B4BFE" w:rsidP="00C61C0B">
      <w:pPr>
        <w:pStyle w:val="Heading1"/>
      </w:pPr>
      <w:r w:rsidRPr="00285B6A">
        <w:t>Personal and other services</w:t>
      </w:r>
    </w:p>
    <w:p w14:paraId="2C998744" w14:textId="3CBA720C" w:rsidR="00B63A6C" w:rsidRDefault="007B4BFE" w:rsidP="000E20AE">
      <w:pPr>
        <w:pStyle w:val="BodyJustified"/>
      </w:pPr>
      <w:r>
        <w:t xml:space="preserve">Indicator </w:t>
      </w:r>
      <w:r w:rsidR="00166732">
        <w:t>14</w:t>
      </w:r>
      <w:r>
        <w:t xml:space="preserve">q shows that there was a </w:t>
      </w:r>
      <w:r w:rsidR="00F64B2A">
        <w:t>1</w:t>
      </w:r>
      <w:r w:rsidR="00166732">
        <w:t> per cent increase</w:t>
      </w:r>
      <w:r>
        <w:t xml:space="preserve"> in the Australian average premium rate in the Personal and other services industry in </w:t>
      </w:r>
      <w:r w:rsidR="00166732">
        <w:t>201</w:t>
      </w:r>
      <w:r w:rsidR="00F64B2A">
        <w:t>6</w:t>
      </w:r>
      <w:r w:rsidR="00166732">
        <w:t>–1</w:t>
      </w:r>
      <w:r w:rsidR="00F64B2A">
        <w:t>7</w:t>
      </w:r>
      <w:r>
        <w:t xml:space="preserve"> compared to the previous year. </w:t>
      </w:r>
      <w:r w:rsidR="00F64B2A">
        <w:t xml:space="preserve">The Australian Capital Territory </w:t>
      </w:r>
      <w:r w:rsidR="00A021E2">
        <w:t xml:space="preserve">recorded the largest decrease in premium rate over the year </w:t>
      </w:r>
      <w:r w:rsidR="00F64B2A">
        <w:t>(down 23 per cent),</w:t>
      </w:r>
      <w:r w:rsidR="00A021E2">
        <w:t xml:space="preserve"> followed by </w:t>
      </w:r>
      <w:r w:rsidR="00F64B2A">
        <w:t>Tasmania (down 11 per cent)</w:t>
      </w:r>
      <w:r>
        <w:t xml:space="preserve">. </w:t>
      </w:r>
      <w:r w:rsidR="00F64B2A">
        <w:t>T</w:t>
      </w:r>
      <w:r w:rsidR="001B0AE7">
        <w:t xml:space="preserve">he highest premium </w:t>
      </w:r>
      <w:r w:rsidR="00A021E2">
        <w:t xml:space="preserve">rate </w:t>
      </w:r>
      <w:r w:rsidR="00F64B2A">
        <w:t xml:space="preserve">was </w:t>
      </w:r>
      <w:r w:rsidR="001B0AE7">
        <w:t xml:space="preserve">recorded by </w:t>
      </w:r>
      <w:r w:rsidR="00F64B2A">
        <w:t xml:space="preserve">the </w:t>
      </w:r>
      <w:r w:rsidR="00F649BF" w:rsidRPr="00890899">
        <w:t>Australian Government</w:t>
      </w:r>
      <w:r w:rsidR="001B0AE7" w:rsidRPr="00890899">
        <w:t xml:space="preserve"> (</w:t>
      </w:r>
      <w:r w:rsidR="00F649BF" w:rsidRPr="00890899">
        <w:t>3.</w:t>
      </w:r>
      <w:r w:rsidR="00F64B2A">
        <w:t>61</w:t>
      </w:r>
      <w:r w:rsidR="001B0AE7" w:rsidRPr="00890899">
        <w:t xml:space="preserve"> per cent of payroll) </w:t>
      </w:r>
      <w:r w:rsidR="001B0AE7">
        <w:t>and the lowest by Queensland (0.9</w:t>
      </w:r>
      <w:r w:rsidR="00F64B2A">
        <w:t>5</w:t>
      </w:r>
      <w:r w:rsidR="001B0AE7">
        <w:t xml:space="preserve"> per cent of payroll). </w:t>
      </w:r>
    </w:p>
    <w:p w14:paraId="18E6FE8B" w14:textId="48F0ECB0" w:rsidR="007B4BFE" w:rsidRPr="00B94407" w:rsidRDefault="007B4BFE" w:rsidP="000E20AE">
      <w:pPr>
        <w:pStyle w:val="BodyJustified"/>
      </w:pPr>
      <w:r>
        <w:t xml:space="preserve">New Zealand recorded </w:t>
      </w:r>
      <w:r w:rsidR="001B0AE7">
        <w:t>a premium rate of 0.</w:t>
      </w:r>
      <w:r w:rsidR="00F64B2A">
        <w:t>87</w:t>
      </w:r>
      <w:r w:rsidR="001B0AE7">
        <w:t> per cent</w:t>
      </w:r>
      <w:r>
        <w:t xml:space="preserve"> of payroll in </w:t>
      </w:r>
      <w:r w:rsidR="001B0AE7">
        <w:t>201</w:t>
      </w:r>
      <w:r w:rsidR="00F64B2A">
        <w:t>6</w:t>
      </w:r>
      <w:r w:rsidR="001B0AE7">
        <w:t>–1</w:t>
      </w:r>
      <w:r w:rsidR="00F64B2A">
        <w:t>7</w:t>
      </w:r>
      <w:r w:rsidR="00DF7E9F">
        <w:t>,</w:t>
      </w:r>
      <w:r w:rsidR="00F64B2A">
        <w:t xml:space="preserve"> </w:t>
      </w:r>
      <w:r w:rsidR="00610941">
        <w:t>18 per cent higher than that in the previous year.</w:t>
      </w:r>
    </w:p>
    <w:p w14:paraId="70BFCEDE" w14:textId="77777777" w:rsidR="007B4BFE" w:rsidRDefault="00535035" w:rsidP="0047156B">
      <w:pPr>
        <w:pStyle w:val="SWATableheader"/>
      </w:pPr>
      <w:r>
        <w:lastRenderedPageBreak/>
        <w:t>Indicator 14</w:t>
      </w:r>
      <w:r w:rsidR="007B4BFE">
        <w:t>q</w:t>
      </w:r>
      <w:r w:rsidR="007B4BFE" w:rsidRPr="002D04B4">
        <w:t xml:space="preserve"> – </w:t>
      </w:r>
      <w:r w:rsidR="007B4BFE">
        <w:tab/>
        <w:t>Standardised premium rates</w:t>
      </w:r>
      <w:r w:rsidR="007B4BFE" w:rsidRPr="002D04B4">
        <w:t xml:space="preserve"> for </w:t>
      </w:r>
      <w:r w:rsidR="007B4BFE">
        <w:t xml:space="preserve">Personal and other services </w:t>
      </w:r>
      <w:r w:rsidR="007B4BFE" w:rsidRPr="002D04B4">
        <w:t>by jurisdiction</w:t>
      </w:r>
    </w:p>
    <w:p w14:paraId="09701995" w14:textId="77777777" w:rsidR="0047156B" w:rsidRDefault="00F66616" w:rsidP="005C2223">
      <w:pPr>
        <w:jc w:val="center"/>
        <w:rPr>
          <w:rFonts w:ascii="Arial Bold" w:eastAsiaTheme="majorEastAsia" w:hAnsi="Arial Bold" w:cstheme="majorBidi"/>
          <w:b/>
          <w:sz w:val="24"/>
          <w:szCs w:val="28"/>
        </w:rPr>
      </w:pPr>
      <w:r>
        <w:rPr>
          <w:noProof/>
        </w:rPr>
        <w:drawing>
          <wp:inline distT="0" distB="0" distL="0" distR="0" wp14:anchorId="1DE9CB0F" wp14:editId="78E7FC03">
            <wp:extent cx="3982980" cy="2308570"/>
            <wp:effectExtent l="0" t="0" r="0" b="0"/>
            <wp:docPr id="80" name="Picture 80" descr="This chart shows the standardised premium rates (per cent of payroll) for Personal &amp; other services industry between 2011-12 and 2015-16 by jurisdiction. Please refer to body text for more information." title="Standardised ptremium rates for personal and other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ersonal &amp; Other services-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82980" cy="2308570"/>
                    </a:xfrm>
                    <a:prstGeom prst="rect">
                      <a:avLst/>
                    </a:prstGeom>
                  </pic:spPr>
                </pic:pic>
              </a:graphicData>
            </a:graphic>
          </wp:inline>
        </w:drawing>
      </w:r>
      <w:r w:rsidR="0047156B">
        <w:br w:type="page"/>
      </w:r>
    </w:p>
    <w:p w14:paraId="2C921138" w14:textId="6AFEC276" w:rsidR="006D31F5" w:rsidRDefault="006D31F5" w:rsidP="0047156B">
      <w:pPr>
        <w:pStyle w:val="SWASectionnumberingheading"/>
      </w:pPr>
      <w:bookmarkStart w:id="10" w:name="_Toc4508768"/>
      <w:r>
        <w:lastRenderedPageBreak/>
        <w:t>Entitlements under workers’ compensation</w:t>
      </w:r>
      <w:bookmarkEnd w:id="9"/>
      <w:bookmarkEnd w:id="10"/>
      <w:r w:rsidR="00656AF6">
        <w:t xml:space="preserve"> </w:t>
      </w:r>
    </w:p>
    <w:p w14:paraId="7AAB4BA2" w14:textId="77777777" w:rsidR="006D31F5" w:rsidRDefault="00650003" w:rsidP="000E20AE">
      <w:pPr>
        <w:pStyle w:val="BodyJustified"/>
      </w:pPr>
      <w:r>
        <w:t>E</w:t>
      </w:r>
      <w:r w:rsidR="006D31F5">
        <w:t xml:space="preserve">ntitlements </w:t>
      </w:r>
      <w:r>
        <w:t xml:space="preserve">are </w:t>
      </w:r>
      <w:r w:rsidR="006D31F5">
        <w:t xml:space="preserve">payable under workers’ compensation in the event an employee is injured or develops a work-related disease. Different entitlement levels across the jurisdictions can explain some of the differences in premium rates. </w:t>
      </w:r>
      <w:r>
        <w:t>Premium rates are set at a level to ensure sufficient funds are available to cover these</w:t>
      </w:r>
      <w:r w:rsidDel="005C2223">
        <w:t xml:space="preserve"> </w:t>
      </w:r>
      <w:r>
        <w:t>entitlements.</w:t>
      </w:r>
      <w:r w:rsidR="006D31F5">
        <w:t xml:space="preserve"> </w:t>
      </w:r>
    </w:p>
    <w:p w14:paraId="18819232" w14:textId="008E8B97" w:rsidR="006D31F5" w:rsidRDefault="006D31F5" w:rsidP="000E20AE">
      <w:pPr>
        <w:pStyle w:val="BodyJustified"/>
      </w:pPr>
      <w:r>
        <w:t>The following examples have been included to provide indicative entitlements payable in each jurisdiction. A brief summary of how entitlements are calculated is contained in Appendix 2 – Table 2</w:t>
      </w:r>
      <w:r w:rsidR="00283D45">
        <w:t xml:space="preserve">: </w:t>
      </w:r>
      <w:r w:rsidR="00283D45" w:rsidRPr="001A20D3">
        <w:t xml:space="preserve">Weekly entitlements under Australian workers’ compensation schemes for award wage earners as at </w:t>
      </w:r>
      <w:r w:rsidR="00DF7E9F">
        <w:br/>
      </w:r>
      <w:r w:rsidR="00283D45" w:rsidRPr="001A20D3">
        <w:t>1 January 201</w:t>
      </w:r>
      <w:r w:rsidR="00656AF6">
        <w:t>7</w:t>
      </w:r>
      <w:r>
        <w:t>. These entitlements are based on legis</w:t>
      </w:r>
      <w:r w:rsidR="007858B2">
        <w:t>lation current at 1 January 201</w:t>
      </w:r>
      <w:r w:rsidR="00656AF6">
        <w:t>7</w:t>
      </w:r>
      <w:r>
        <w:t xml:space="preserve">. More detailed information can be found in the </w:t>
      </w:r>
      <w:r w:rsidRPr="00264B27">
        <w:rPr>
          <w:i/>
          <w:iCs/>
        </w:rPr>
        <w:t>Comparison of Workers’ Compensation Arrangements in Australia and New Zealand</w:t>
      </w:r>
      <w:r>
        <w:rPr>
          <w:rStyle w:val="Classificationitalics"/>
        </w:rPr>
        <w:t xml:space="preserve"> </w:t>
      </w:r>
      <w:r>
        <w:t xml:space="preserve">publication </w:t>
      </w:r>
      <w:r w:rsidR="00DF7E9F">
        <w:t>on</w:t>
      </w:r>
      <w:r>
        <w:t xml:space="preserve"> the </w:t>
      </w:r>
      <w:hyperlink r:id="rId57" w:history="1">
        <w:r w:rsidRPr="00283D45">
          <w:rPr>
            <w:rStyle w:val="SWALinkChar"/>
            <w:rFonts w:eastAsiaTheme="minorHAnsi"/>
          </w:rPr>
          <w:t>Safe Work Australia</w:t>
        </w:r>
      </w:hyperlink>
      <w:r>
        <w:t xml:space="preserve"> website.</w:t>
      </w:r>
    </w:p>
    <w:p w14:paraId="3DD243E2" w14:textId="77777777" w:rsidR="005C2223" w:rsidRPr="00BC5757" w:rsidRDefault="005C2223" w:rsidP="00907762">
      <w:r>
        <w:t>Data provided in other chapters of this report should also be considered when comparing entitlements provided under the various workers’ compensation schemes.</w:t>
      </w:r>
    </w:p>
    <w:p w14:paraId="46830606" w14:textId="2F9F03B9" w:rsidR="006D31F5" w:rsidRPr="00FC7F4C" w:rsidRDefault="006D31F5" w:rsidP="00FC7F4C">
      <w:pPr>
        <w:pStyle w:val="SWASectionnum2"/>
      </w:pPr>
      <w:bookmarkStart w:id="11" w:name="_Toc4508769"/>
      <w:r w:rsidRPr="00FC7F4C">
        <w:t>Temporary impairment</w:t>
      </w:r>
      <w:bookmarkEnd w:id="11"/>
      <w:r w:rsidR="00656AF6">
        <w:t xml:space="preserve"> </w:t>
      </w:r>
    </w:p>
    <w:p w14:paraId="2B8AF49D" w14:textId="4F61DD15" w:rsidR="006D31F5" w:rsidRDefault="00070430" w:rsidP="000E20AE">
      <w:pPr>
        <w:pStyle w:val="BodyJustified"/>
      </w:pPr>
      <w:r>
        <w:t xml:space="preserve">Impairment is assessed as temporary when </w:t>
      </w:r>
      <w:r w:rsidR="00925644">
        <w:t xml:space="preserve">a loss, loss of use, or derangement of any body part, organ system or organ function </w:t>
      </w:r>
      <w:r>
        <w:t xml:space="preserve">is not likely to continue indefinitely and </w:t>
      </w:r>
      <w:r w:rsidR="00726F3C">
        <w:t xml:space="preserve">the </w:t>
      </w:r>
      <w:r>
        <w:t xml:space="preserve">injured employee remains unable to work for a period of time then returns to previous duties on a full-time basis. </w:t>
      </w:r>
      <w:r w:rsidR="006D31F5">
        <w:t>This example details how jurisdictions compensate low, middle and high income</w:t>
      </w:r>
      <w:r w:rsidR="00615DD6">
        <w:rPr>
          <w:rStyle w:val="FootnoteReference"/>
        </w:rPr>
        <w:footnoteReference w:id="1"/>
      </w:r>
      <w:r w:rsidR="006D31F5">
        <w:t xml:space="preserve"> employees during selected periods of temporary impairment. Entitlements for an injured employee are shown in the following table using pre-injury earnings of $950 gross per week, $1</w:t>
      </w:r>
      <w:r w:rsidR="00A15DFB">
        <w:t>,</w:t>
      </w:r>
      <w:r w:rsidR="006D31F5">
        <w:t>600 gross per week and $2</w:t>
      </w:r>
      <w:r w:rsidR="00A15DFB">
        <w:t>,</w:t>
      </w:r>
      <w:r w:rsidR="006D31F5">
        <w:t>200 gross per week. These profiles have been chosen to highlight the statutory maximum entitlements payable</w:t>
      </w:r>
      <w:r w:rsidR="00EA6A36">
        <w:t>,</w:t>
      </w:r>
      <w:r w:rsidR="006D31F5">
        <w:t xml:space="preserve"> as well as jurisdictional differences in entitlements to workers employed </w:t>
      </w:r>
      <w:r w:rsidR="00EA6A36">
        <w:t>on different income levels</w:t>
      </w:r>
      <w:r w:rsidR="00D15638">
        <w:t>.</w:t>
      </w:r>
    </w:p>
    <w:p w14:paraId="0CD6FC1C" w14:textId="77777777" w:rsidR="006D31F5" w:rsidRPr="00A35DE3" w:rsidRDefault="006D31F5" w:rsidP="00A35DE3">
      <w:pPr>
        <w:rPr>
          <w:b/>
        </w:rPr>
      </w:pPr>
      <w:r w:rsidRPr="00A35DE3">
        <w:rPr>
          <w:b/>
        </w:rPr>
        <w:t>Scenario</w:t>
      </w:r>
    </w:p>
    <w:p w14:paraId="2E92862E" w14:textId="77777777" w:rsidR="006D31F5" w:rsidRDefault="006D31F5" w:rsidP="006D31F5">
      <w:pPr>
        <w:pStyle w:val="BodyTextindented"/>
      </w:pPr>
      <w:r>
        <w:t xml:space="preserve">The employee remains unable to work for a period of time before returning to their previous duties on a full-time basis. The employee has a </w:t>
      </w:r>
      <w:r w:rsidR="000452DF">
        <w:t>dependant</w:t>
      </w:r>
      <w:r>
        <w:t xml:space="preserve"> spouse and two children (aged 7 and 8). The employee injured their back and has lower back strain as a result.</w:t>
      </w:r>
    </w:p>
    <w:p w14:paraId="46325B8B" w14:textId="0DBAB0B3" w:rsidR="008D2D27" w:rsidRDefault="008D2D27" w:rsidP="000E20AE">
      <w:pPr>
        <w:pStyle w:val="BodyJustified"/>
      </w:pPr>
      <w:bookmarkStart w:id="12" w:name="_Ref466980335"/>
      <w:r>
        <w:t xml:space="preserve">Indicator </w:t>
      </w:r>
      <w:r w:rsidR="00A15DFB">
        <w:rPr>
          <w:noProof/>
        </w:rPr>
        <w:t>15</w:t>
      </w:r>
      <w:r w:rsidR="00A15DFB">
        <w:t xml:space="preserve"> </w:t>
      </w:r>
      <w:r>
        <w:t>shows that for low income earners, Queensland and Western Australia provided full coverage (100</w:t>
      </w:r>
      <w:r w:rsidR="00FB0257">
        <w:t> per cent</w:t>
      </w:r>
      <w:r>
        <w:t>) of pre-injury earnings for 104 weeks of impairment. After the 13</w:t>
      </w:r>
      <w:r w:rsidR="00DA15A7" w:rsidRPr="00DA15A7">
        <w:rPr>
          <w:vertAlign w:val="superscript"/>
        </w:rPr>
        <w:t>th</w:t>
      </w:r>
      <w:r w:rsidR="00DA15A7">
        <w:t xml:space="preserve"> </w:t>
      </w:r>
      <w:r>
        <w:t xml:space="preserve">week of compensation, the Western Australian scheme does not compensate </w:t>
      </w:r>
      <w:r w:rsidR="00EA6A36">
        <w:t xml:space="preserve">low income </w:t>
      </w:r>
      <w:r>
        <w:t>workers for overtime and bonuses and a 15 per cent reduction in weekly payments applies for</w:t>
      </w:r>
      <w:r w:rsidR="00EA6A36">
        <w:t xml:space="preserve"> higher income workers</w:t>
      </w:r>
      <w:r>
        <w:t>. The Tasmanian and Northern Territory schemes provided the second highest percentage (93 per cent) of pre</w:t>
      </w:r>
      <w:r w:rsidR="00A021E2">
        <w:noBreakHyphen/>
      </w:r>
      <w:r>
        <w:t xml:space="preserve">injury earnings in compensation at 104 weeks of incapacity for low income earners, followed by </w:t>
      </w:r>
      <w:r w:rsidR="00A12ED3">
        <w:t xml:space="preserve">South Australia (90 per cent) and </w:t>
      </w:r>
      <w:r w:rsidR="00D71973">
        <w:t>Comcare</w:t>
      </w:r>
      <w:r>
        <w:t xml:space="preserve"> (86</w:t>
      </w:r>
      <w:r w:rsidR="00FB0257">
        <w:t> per cent</w:t>
      </w:r>
      <w:r>
        <w:t>)</w:t>
      </w:r>
      <w:r w:rsidR="005C2223">
        <w:t>.</w:t>
      </w:r>
      <w:r>
        <w:t xml:space="preserve"> The Australian Capital Territory provided the lowest percentage of pre-injury earnings for 104 weeks of impairment (7</w:t>
      </w:r>
      <w:r w:rsidR="00656AF6">
        <w:t>8</w:t>
      </w:r>
      <w:r>
        <w:t> per cent) due in part to the step-down</w:t>
      </w:r>
      <w:r w:rsidR="005C2223">
        <w:rPr>
          <w:rStyle w:val="FootnoteReference"/>
        </w:rPr>
        <w:footnoteReference w:id="2"/>
      </w:r>
      <w:r>
        <w:t xml:space="preserve"> in benefits to 65</w:t>
      </w:r>
      <w:r w:rsidR="00FB0257">
        <w:t> per cent</w:t>
      </w:r>
      <w:r>
        <w:t xml:space="preserve"> of pre-injury earnings after 26 weeks of compensation (see Appendix 2 – Table 2 for more details).</w:t>
      </w:r>
    </w:p>
    <w:p w14:paraId="14EEAC41" w14:textId="0DFF9938" w:rsidR="008D2D27" w:rsidRDefault="008D2D27" w:rsidP="000E20AE">
      <w:pPr>
        <w:pStyle w:val="BodyJustified"/>
      </w:pPr>
      <w:r>
        <w:t>For middle income earners with 104 weeks of impairment, Tasmania provided the highest percentage of pre-injury earnings (93</w:t>
      </w:r>
      <w:r w:rsidR="00FB0257">
        <w:t> per cent</w:t>
      </w:r>
      <w:r>
        <w:t xml:space="preserve">), followed by </w:t>
      </w:r>
      <w:r w:rsidR="004912D3">
        <w:t xml:space="preserve">South Australia (90 per cent), </w:t>
      </w:r>
      <w:r>
        <w:t>Western Australia (87</w:t>
      </w:r>
      <w:r w:rsidR="00FB0257">
        <w:t> per cent</w:t>
      </w:r>
      <w:r>
        <w:t xml:space="preserve">) and </w:t>
      </w:r>
      <w:r w:rsidR="00D71973">
        <w:t>Comcare</w:t>
      </w:r>
      <w:r>
        <w:t xml:space="preserve"> (86</w:t>
      </w:r>
      <w:r w:rsidR="00FB0257">
        <w:t> per cent</w:t>
      </w:r>
      <w:r>
        <w:t>). The Australian Capital Territory provided the lowest percentage of pre-injury earnings for the full period of impairment (74</w:t>
      </w:r>
      <w:r w:rsidR="00FB0257">
        <w:t> per cent</w:t>
      </w:r>
      <w:r>
        <w:t xml:space="preserve">). </w:t>
      </w:r>
    </w:p>
    <w:p w14:paraId="2352FB67" w14:textId="77777777" w:rsidR="008D2D27" w:rsidRDefault="008D2D27" w:rsidP="000E20AE">
      <w:pPr>
        <w:pStyle w:val="BodyJustified"/>
      </w:pPr>
      <w:r>
        <w:lastRenderedPageBreak/>
        <w:t xml:space="preserve">In contrast to the low income scenario, where </w:t>
      </w:r>
      <w:r w:rsidR="00DA3D3B">
        <w:t xml:space="preserve">seven </w:t>
      </w:r>
      <w:r>
        <w:t xml:space="preserve">of the nine Australian jurisdictions provided full income protection for the first 26 weeks, only </w:t>
      </w:r>
      <w:r w:rsidR="00DA3D3B">
        <w:t xml:space="preserve">five </w:t>
      </w:r>
      <w:r>
        <w:t>jurisdictions provided full income protection for middle and high income earners for this period of incapacity.</w:t>
      </w:r>
    </w:p>
    <w:p w14:paraId="41836454" w14:textId="77777777" w:rsidR="008D2D27" w:rsidRDefault="008D2D27" w:rsidP="008D2D27">
      <w:pPr>
        <w:spacing w:before="0" w:after="200" w:line="276" w:lineRule="auto"/>
        <w:jc w:val="left"/>
        <w:rPr>
          <w:rFonts w:eastAsiaTheme="majorEastAsia" w:cstheme="majorBidi"/>
          <w:b/>
          <w:color w:val="AF1E2D"/>
          <w:spacing w:val="-3"/>
          <w:szCs w:val="22"/>
          <w:lang w:eastAsia="en-US"/>
        </w:rPr>
      </w:pPr>
      <w:r>
        <w:t>New Zealand provided the same percentage (80</w:t>
      </w:r>
      <w:r w:rsidR="00FB0257">
        <w:t> per cent</w:t>
      </w:r>
      <w:r>
        <w:t>) of pre-injury earnings regardless of income level or weeks of incapacity.</w:t>
      </w:r>
    </w:p>
    <w:p w14:paraId="68ACB00C" w14:textId="28E51581" w:rsidR="006D31F5" w:rsidRDefault="006D31F5" w:rsidP="00CE2F35">
      <w:pPr>
        <w:pStyle w:val="SWATableheader"/>
      </w:pPr>
      <w:r>
        <w:t xml:space="preserve">Indicator </w:t>
      </w:r>
      <w:r>
        <w:rPr>
          <w:noProof/>
        </w:rPr>
        <w:t>1</w:t>
      </w:r>
      <w:bookmarkEnd w:id="12"/>
      <w:r w:rsidR="00535035">
        <w:rPr>
          <w:noProof/>
        </w:rPr>
        <w:t>5</w:t>
      </w:r>
      <w:r>
        <w:t xml:space="preserve"> – Average percentage of pre-injury earnings for selected periods of incapacity, as at 1 January 201</w:t>
      </w:r>
      <w:r w:rsidR="00784A83">
        <w:t>7</w:t>
      </w:r>
      <w:r w:rsidR="005F7FE9">
        <w:t xml:space="preserve"> </w:t>
      </w:r>
    </w:p>
    <w:tbl>
      <w:tblPr>
        <w:tblStyle w:val="LightShading-Accent2"/>
        <w:tblW w:w="5000" w:type="pct"/>
        <w:tblBorders>
          <w:bottom w:val="dashSmallGap" w:sz="4" w:space="0" w:color="FFFFFF" w:themeColor="background1"/>
          <w:insideH w:val="dashSmallGap" w:sz="4" w:space="0" w:color="FFFFFF" w:themeColor="background1"/>
        </w:tblBorders>
        <w:tblLayout w:type="fixed"/>
        <w:tblLook w:val="04A0" w:firstRow="1" w:lastRow="0" w:firstColumn="1" w:lastColumn="0" w:noHBand="0" w:noVBand="1"/>
        <w:tblCaption w:val="Indicator 16. Average percentage of pre-injury earnings for selected periods of incapacity, as at 1 january 2015."/>
        <w:tblDescription w:val="This Table contains benefits for low, medium and high income earners as average percentageof pre-injury earnings for selected periods of incapacity as at 1 January 2015."/>
      </w:tblPr>
      <w:tblGrid>
        <w:gridCol w:w="2262"/>
        <w:gridCol w:w="711"/>
        <w:gridCol w:w="709"/>
        <w:gridCol w:w="709"/>
        <w:gridCol w:w="567"/>
        <w:gridCol w:w="709"/>
        <w:gridCol w:w="708"/>
        <w:gridCol w:w="566"/>
        <w:gridCol w:w="710"/>
        <w:gridCol w:w="992"/>
        <w:gridCol w:w="701"/>
      </w:tblGrid>
      <w:tr w:rsidR="00D71973" w:rsidRPr="00A3468A" w14:paraId="051F4470" w14:textId="77777777" w:rsidTr="00D7197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10" w:type="pct"/>
            <w:noWrap/>
            <w:vAlign w:val="center"/>
          </w:tcPr>
          <w:p w14:paraId="43EAABC7" w14:textId="77777777" w:rsidR="00A3468A" w:rsidRPr="00A3468A" w:rsidRDefault="00A3468A" w:rsidP="00693312">
            <w:pPr>
              <w:pStyle w:val="ForTable"/>
              <w:rPr>
                <w:sz w:val="18"/>
              </w:rPr>
            </w:pPr>
            <w:r w:rsidRPr="00A3468A">
              <w:rPr>
                <w:sz w:val="18"/>
              </w:rPr>
              <w:t>Level of pre-injury income</w:t>
            </w:r>
          </w:p>
        </w:tc>
        <w:tc>
          <w:tcPr>
            <w:tcW w:w="380" w:type="pct"/>
            <w:noWrap/>
            <w:vAlign w:val="center"/>
          </w:tcPr>
          <w:p w14:paraId="1CCCCEF5"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NSW</w:t>
            </w:r>
          </w:p>
        </w:tc>
        <w:tc>
          <w:tcPr>
            <w:tcW w:w="379" w:type="pct"/>
            <w:noWrap/>
            <w:vAlign w:val="center"/>
          </w:tcPr>
          <w:p w14:paraId="782C426D"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Vic</w:t>
            </w:r>
          </w:p>
        </w:tc>
        <w:tc>
          <w:tcPr>
            <w:tcW w:w="379" w:type="pct"/>
            <w:noWrap/>
            <w:vAlign w:val="center"/>
          </w:tcPr>
          <w:p w14:paraId="54FD3CFE"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Qld</w:t>
            </w:r>
          </w:p>
        </w:tc>
        <w:tc>
          <w:tcPr>
            <w:tcW w:w="303" w:type="pct"/>
            <w:noWrap/>
            <w:vAlign w:val="center"/>
          </w:tcPr>
          <w:p w14:paraId="1219BD9C"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WA</w:t>
            </w:r>
          </w:p>
        </w:tc>
        <w:tc>
          <w:tcPr>
            <w:tcW w:w="379" w:type="pct"/>
            <w:noWrap/>
            <w:vAlign w:val="center"/>
          </w:tcPr>
          <w:p w14:paraId="008BBB47"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SA</w:t>
            </w:r>
          </w:p>
        </w:tc>
        <w:tc>
          <w:tcPr>
            <w:tcW w:w="379" w:type="pct"/>
            <w:noWrap/>
            <w:vAlign w:val="center"/>
          </w:tcPr>
          <w:p w14:paraId="0B9C4FB7"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Tas</w:t>
            </w:r>
          </w:p>
        </w:tc>
        <w:tc>
          <w:tcPr>
            <w:tcW w:w="303" w:type="pct"/>
            <w:noWrap/>
            <w:vAlign w:val="center"/>
          </w:tcPr>
          <w:p w14:paraId="06AAC673"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NT</w:t>
            </w:r>
          </w:p>
        </w:tc>
        <w:tc>
          <w:tcPr>
            <w:tcW w:w="380" w:type="pct"/>
            <w:noWrap/>
            <w:vAlign w:val="center"/>
          </w:tcPr>
          <w:p w14:paraId="608BD3C6"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ACT</w:t>
            </w:r>
          </w:p>
        </w:tc>
        <w:tc>
          <w:tcPr>
            <w:tcW w:w="531" w:type="pct"/>
            <w:noWrap/>
            <w:vAlign w:val="center"/>
          </w:tcPr>
          <w:p w14:paraId="6F4838A4" w14:textId="7E441754" w:rsidR="00A3468A" w:rsidRPr="00A3468A" w:rsidRDefault="00D71973"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Pr>
                <w:sz w:val="18"/>
              </w:rPr>
              <w:t>Comcare</w:t>
            </w:r>
          </w:p>
        </w:tc>
        <w:tc>
          <w:tcPr>
            <w:tcW w:w="375" w:type="pct"/>
            <w:noWrap/>
            <w:vAlign w:val="center"/>
          </w:tcPr>
          <w:p w14:paraId="40B1EEB4"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NZ</w:t>
            </w:r>
          </w:p>
        </w:tc>
      </w:tr>
      <w:tr w:rsidR="00D71973" w:rsidRPr="00FC23B4" w14:paraId="041444A1" w14:textId="77777777"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808080" w:themeFill="background1" w:themeFillShade="80"/>
            <w:noWrap/>
            <w:vAlign w:val="center"/>
          </w:tcPr>
          <w:p w14:paraId="1B913663" w14:textId="77777777" w:rsidR="000C5031" w:rsidRPr="00FC23B4" w:rsidRDefault="000C5031" w:rsidP="00693312">
            <w:pPr>
              <w:pStyle w:val="ForTable"/>
              <w:rPr>
                <w:color w:val="FFFFFF" w:themeColor="background1"/>
                <w:sz w:val="18"/>
              </w:rPr>
            </w:pPr>
            <w:r w:rsidRPr="00FC23B4">
              <w:rPr>
                <w:color w:val="FFFFFF" w:themeColor="background1"/>
                <w:sz w:val="18"/>
              </w:rPr>
              <w:t>13 weeks of incapacity</w:t>
            </w:r>
          </w:p>
        </w:tc>
        <w:tc>
          <w:tcPr>
            <w:tcW w:w="380" w:type="pct"/>
            <w:shd w:val="clear" w:color="auto" w:fill="808080" w:themeFill="background1" w:themeFillShade="80"/>
            <w:noWrap/>
            <w:vAlign w:val="center"/>
          </w:tcPr>
          <w:p w14:paraId="2CE02232"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2D8CB4C7"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09FFFD41"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14:paraId="3CA35A9D"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61D8151F"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39AF292B"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14:paraId="0FCB2779"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80" w:type="pct"/>
            <w:shd w:val="clear" w:color="auto" w:fill="808080" w:themeFill="background1" w:themeFillShade="80"/>
            <w:noWrap/>
            <w:vAlign w:val="center"/>
          </w:tcPr>
          <w:p w14:paraId="7FB6000E"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31" w:type="pct"/>
            <w:shd w:val="clear" w:color="auto" w:fill="808080" w:themeFill="background1" w:themeFillShade="80"/>
            <w:noWrap/>
            <w:vAlign w:val="center"/>
          </w:tcPr>
          <w:p w14:paraId="042D14A6"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shd w:val="clear" w:color="auto" w:fill="808080" w:themeFill="background1" w:themeFillShade="80"/>
            <w:noWrap/>
            <w:vAlign w:val="center"/>
          </w:tcPr>
          <w:p w14:paraId="507DC5A6"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D71973" w:rsidRPr="00FC23B4" w14:paraId="555B3E67" w14:textId="77777777"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14:paraId="1899875E" w14:textId="77777777" w:rsidR="006D31F5" w:rsidRPr="00FC23B4" w:rsidRDefault="006D31F5" w:rsidP="00693312">
            <w:pPr>
              <w:pStyle w:val="ForTable"/>
              <w:rPr>
                <w:b w:val="0"/>
                <w:sz w:val="18"/>
              </w:rPr>
            </w:pPr>
            <w:r w:rsidRPr="00FC23B4">
              <w:rPr>
                <w:b w:val="0"/>
                <w:sz w:val="18"/>
              </w:rPr>
              <w:t>Low income</w:t>
            </w:r>
          </w:p>
        </w:tc>
        <w:tc>
          <w:tcPr>
            <w:tcW w:w="380" w:type="pct"/>
            <w:shd w:val="clear" w:color="auto" w:fill="EFD3D2"/>
            <w:noWrap/>
            <w:vAlign w:val="center"/>
            <w:hideMark/>
          </w:tcPr>
          <w:p w14:paraId="54EAE170"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9" w:type="pct"/>
            <w:shd w:val="clear" w:color="auto" w:fill="EFD3D2"/>
            <w:noWrap/>
            <w:vAlign w:val="center"/>
            <w:hideMark/>
          </w:tcPr>
          <w:p w14:paraId="51D759AE"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9" w:type="pct"/>
            <w:shd w:val="clear" w:color="auto" w:fill="EFD3D2"/>
            <w:noWrap/>
            <w:vAlign w:val="center"/>
            <w:hideMark/>
          </w:tcPr>
          <w:p w14:paraId="4D9859CD"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14:paraId="68B9F565"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4108216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6FF6FE21"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14:paraId="71802648"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80" w:type="pct"/>
            <w:shd w:val="clear" w:color="auto" w:fill="EFD3D2"/>
            <w:noWrap/>
            <w:vAlign w:val="center"/>
            <w:hideMark/>
          </w:tcPr>
          <w:p w14:paraId="5C498061"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31" w:type="pct"/>
            <w:shd w:val="clear" w:color="auto" w:fill="EFD3D2"/>
            <w:noWrap/>
            <w:vAlign w:val="center"/>
            <w:hideMark/>
          </w:tcPr>
          <w:p w14:paraId="0ACEFC8E"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shd w:val="clear" w:color="auto" w:fill="EFD3D2"/>
            <w:noWrap/>
            <w:vAlign w:val="center"/>
            <w:hideMark/>
          </w:tcPr>
          <w:p w14:paraId="41BB9BF8"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14:paraId="5A21D7FE" w14:textId="77777777"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noWrap/>
            <w:vAlign w:val="center"/>
            <w:hideMark/>
          </w:tcPr>
          <w:p w14:paraId="2875CFEF" w14:textId="77777777" w:rsidR="006D31F5" w:rsidRPr="00FC23B4" w:rsidRDefault="006D31F5" w:rsidP="00693312">
            <w:pPr>
              <w:pStyle w:val="ForTable"/>
              <w:rPr>
                <w:b w:val="0"/>
                <w:sz w:val="18"/>
              </w:rPr>
            </w:pPr>
            <w:r w:rsidRPr="00FC23B4">
              <w:rPr>
                <w:b w:val="0"/>
                <w:sz w:val="18"/>
              </w:rPr>
              <w:t>Middle income</w:t>
            </w:r>
          </w:p>
        </w:tc>
        <w:tc>
          <w:tcPr>
            <w:tcW w:w="380" w:type="pct"/>
            <w:shd w:val="clear" w:color="auto" w:fill="auto"/>
            <w:noWrap/>
            <w:vAlign w:val="center"/>
            <w:hideMark/>
          </w:tcPr>
          <w:p w14:paraId="4AB6C77C"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79" w:type="pct"/>
            <w:shd w:val="clear" w:color="auto" w:fill="auto"/>
            <w:noWrap/>
            <w:vAlign w:val="center"/>
            <w:hideMark/>
          </w:tcPr>
          <w:p w14:paraId="610FBAB5"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79" w:type="pct"/>
            <w:shd w:val="clear" w:color="auto" w:fill="auto"/>
            <w:noWrap/>
            <w:vAlign w:val="center"/>
            <w:hideMark/>
          </w:tcPr>
          <w:p w14:paraId="337AA9B7"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85</w:t>
            </w:r>
          </w:p>
        </w:tc>
        <w:tc>
          <w:tcPr>
            <w:tcW w:w="303" w:type="pct"/>
            <w:shd w:val="clear" w:color="auto" w:fill="auto"/>
            <w:noWrap/>
            <w:vAlign w:val="center"/>
            <w:hideMark/>
          </w:tcPr>
          <w:p w14:paraId="03CDA3E8"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9" w:type="pct"/>
            <w:shd w:val="clear" w:color="auto" w:fill="auto"/>
            <w:noWrap/>
            <w:vAlign w:val="center"/>
            <w:hideMark/>
          </w:tcPr>
          <w:p w14:paraId="0315A745"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9" w:type="pct"/>
            <w:shd w:val="clear" w:color="auto" w:fill="auto"/>
            <w:noWrap/>
            <w:vAlign w:val="center"/>
            <w:hideMark/>
          </w:tcPr>
          <w:p w14:paraId="70BEA714"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03" w:type="pct"/>
            <w:shd w:val="clear" w:color="auto" w:fill="auto"/>
            <w:noWrap/>
            <w:vAlign w:val="center"/>
            <w:hideMark/>
          </w:tcPr>
          <w:p w14:paraId="5D1CA021"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80" w:type="pct"/>
            <w:shd w:val="clear" w:color="auto" w:fill="auto"/>
            <w:noWrap/>
            <w:vAlign w:val="center"/>
            <w:hideMark/>
          </w:tcPr>
          <w:p w14:paraId="2E37F81E"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531" w:type="pct"/>
            <w:shd w:val="clear" w:color="auto" w:fill="auto"/>
            <w:noWrap/>
            <w:vAlign w:val="center"/>
            <w:hideMark/>
          </w:tcPr>
          <w:p w14:paraId="3436607B"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5" w:type="pct"/>
            <w:shd w:val="clear" w:color="auto" w:fill="auto"/>
            <w:noWrap/>
            <w:vAlign w:val="center"/>
            <w:hideMark/>
          </w:tcPr>
          <w:p w14:paraId="25201066"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D71973" w:rsidRPr="00FC23B4" w14:paraId="0EB97345" w14:textId="77777777"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14:paraId="5F681B4A" w14:textId="77777777" w:rsidR="006D31F5" w:rsidRPr="00FC23B4" w:rsidRDefault="006D31F5" w:rsidP="00693312">
            <w:pPr>
              <w:pStyle w:val="ForTable"/>
              <w:rPr>
                <w:b w:val="0"/>
                <w:sz w:val="18"/>
              </w:rPr>
            </w:pPr>
            <w:r w:rsidRPr="00FC23B4">
              <w:rPr>
                <w:b w:val="0"/>
                <w:sz w:val="18"/>
              </w:rPr>
              <w:t>High income</w:t>
            </w:r>
          </w:p>
        </w:tc>
        <w:tc>
          <w:tcPr>
            <w:tcW w:w="380" w:type="pct"/>
            <w:shd w:val="clear" w:color="auto" w:fill="EFD3D2"/>
            <w:noWrap/>
            <w:vAlign w:val="center"/>
            <w:hideMark/>
          </w:tcPr>
          <w:p w14:paraId="37EBD4ED" w14:textId="77777777" w:rsidR="006D31F5" w:rsidRPr="00FC23B4" w:rsidRDefault="006D31F5"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9</w:t>
            </w:r>
            <w:r w:rsidR="00784A83">
              <w:rPr>
                <w:sz w:val="18"/>
              </w:rPr>
              <w:t>4</w:t>
            </w:r>
          </w:p>
        </w:tc>
        <w:tc>
          <w:tcPr>
            <w:tcW w:w="379" w:type="pct"/>
            <w:shd w:val="clear" w:color="auto" w:fill="EFD3D2"/>
            <w:noWrap/>
            <w:vAlign w:val="center"/>
            <w:hideMark/>
          </w:tcPr>
          <w:p w14:paraId="6D546947"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9" w:type="pct"/>
            <w:shd w:val="clear" w:color="auto" w:fill="EFD3D2"/>
            <w:noWrap/>
            <w:vAlign w:val="center"/>
            <w:hideMark/>
          </w:tcPr>
          <w:p w14:paraId="5A57B92F"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85</w:t>
            </w:r>
          </w:p>
        </w:tc>
        <w:tc>
          <w:tcPr>
            <w:tcW w:w="303" w:type="pct"/>
            <w:shd w:val="clear" w:color="auto" w:fill="EFD3D2"/>
            <w:noWrap/>
            <w:vAlign w:val="center"/>
            <w:hideMark/>
          </w:tcPr>
          <w:p w14:paraId="72682B98"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215D5929"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153245F3"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14:paraId="44B23CC4"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80" w:type="pct"/>
            <w:shd w:val="clear" w:color="auto" w:fill="EFD3D2"/>
            <w:noWrap/>
            <w:vAlign w:val="center"/>
            <w:hideMark/>
          </w:tcPr>
          <w:p w14:paraId="04D1FB9B"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31" w:type="pct"/>
            <w:shd w:val="clear" w:color="auto" w:fill="EFD3D2"/>
            <w:noWrap/>
            <w:vAlign w:val="center"/>
            <w:hideMark/>
          </w:tcPr>
          <w:p w14:paraId="06AE18F8"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shd w:val="clear" w:color="auto" w:fill="EFD3D2"/>
            <w:noWrap/>
            <w:vAlign w:val="center"/>
            <w:hideMark/>
          </w:tcPr>
          <w:p w14:paraId="60008349"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14:paraId="067EA3CE" w14:textId="77777777"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808080" w:themeFill="background1" w:themeFillShade="80"/>
            <w:noWrap/>
            <w:vAlign w:val="center"/>
          </w:tcPr>
          <w:p w14:paraId="7B87D92E" w14:textId="77777777" w:rsidR="000C5031" w:rsidRPr="00FC23B4" w:rsidRDefault="000C5031" w:rsidP="00693312">
            <w:pPr>
              <w:pStyle w:val="ForTable"/>
              <w:rPr>
                <w:color w:val="FFFFFF" w:themeColor="background1"/>
                <w:sz w:val="18"/>
              </w:rPr>
            </w:pPr>
            <w:r w:rsidRPr="00FC23B4">
              <w:rPr>
                <w:color w:val="FFFFFF" w:themeColor="background1"/>
                <w:sz w:val="18"/>
              </w:rPr>
              <w:t>26 weeks of incapacity</w:t>
            </w:r>
          </w:p>
        </w:tc>
        <w:tc>
          <w:tcPr>
            <w:tcW w:w="380" w:type="pct"/>
            <w:shd w:val="clear" w:color="auto" w:fill="808080" w:themeFill="background1" w:themeFillShade="80"/>
            <w:noWrap/>
            <w:vAlign w:val="center"/>
          </w:tcPr>
          <w:p w14:paraId="25A3C5FB"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16EEE2DC"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6581DFFF"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14:paraId="427B1DD1"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0833AF26"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41D2FE93"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14:paraId="567D28F7"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80" w:type="pct"/>
            <w:shd w:val="clear" w:color="auto" w:fill="808080" w:themeFill="background1" w:themeFillShade="80"/>
            <w:noWrap/>
            <w:vAlign w:val="center"/>
          </w:tcPr>
          <w:p w14:paraId="1A996439"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31" w:type="pct"/>
            <w:shd w:val="clear" w:color="auto" w:fill="808080" w:themeFill="background1" w:themeFillShade="80"/>
            <w:noWrap/>
            <w:vAlign w:val="center"/>
          </w:tcPr>
          <w:p w14:paraId="09A6A60B"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shd w:val="clear" w:color="auto" w:fill="808080" w:themeFill="background1" w:themeFillShade="80"/>
            <w:noWrap/>
            <w:vAlign w:val="center"/>
          </w:tcPr>
          <w:p w14:paraId="593CA479"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D71973" w:rsidRPr="00FC23B4" w14:paraId="2886BC3C" w14:textId="77777777"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14:paraId="435ED440" w14:textId="77777777" w:rsidR="006D31F5" w:rsidRPr="00FC23B4" w:rsidRDefault="006D31F5" w:rsidP="00693312">
            <w:pPr>
              <w:pStyle w:val="ForTable"/>
              <w:rPr>
                <w:b w:val="0"/>
                <w:sz w:val="18"/>
              </w:rPr>
            </w:pPr>
            <w:r w:rsidRPr="00FC23B4">
              <w:rPr>
                <w:b w:val="0"/>
                <w:sz w:val="18"/>
              </w:rPr>
              <w:t>Low income</w:t>
            </w:r>
          </w:p>
        </w:tc>
        <w:tc>
          <w:tcPr>
            <w:tcW w:w="380" w:type="pct"/>
            <w:shd w:val="clear" w:color="auto" w:fill="EFD3D2"/>
            <w:noWrap/>
            <w:vAlign w:val="center"/>
            <w:hideMark/>
          </w:tcPr>
          <w:p w14:paraId="280180DB"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9" w:type="pct"/>
            <w:shd w:val="clear" w:color="auto" w:fill="EFD3D2"/>
            <w:noWrap/>
            <w:vAlign w:val="center"/>
            <w:hideMark/>
          </w:tcPr>
          <w:p w14:paraId="5CB910B9"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9" w:type="pct"/>
            <w:shd w:val="clear" w:color="auto" w:fill="EFD3D2"/>
            <w:noWrap/>
            <w:vAlign w:val="center"/>
            <w:hideMark/>
          </w:tcPr>
          <w:p w14:paraId="42C367C4"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14:paraId="5D70ACE2"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46A53C68" w14:textId="77777777"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4C0B479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14:paraId="67C6FFBD"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80" w:type="pct"/>
            <w:shd w:val="clear" w:color="auto" w:fill="EFD3D2"/>
            <w:noWrap/>
            <w:vAlign w:val="center"/>
            <w:hideMark/>
          </w:tcPr>
          <w:p w14:paraId="584DEE38"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31" w:type="pct"/>
            <w:shd w:val="clear" w:color="auto" w:fill="EFD3D2"/>
            <w:noWrap/>
            <w:vAlign w:val="center"/>
            <w:hideMark/>
          </w:tcPr>
          <w:p w14:paraId="40B8BE26"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shd w:val="clear" w:color="auto" w:fill="EFD3D2"/>
            <w:noWrap/>
            <w:vAlign w:val="center"/>
            <w:hideMark/>
          </w:tcPr>
          <w:p w14:paraId="0A638F8D"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14:paraId="0DF5F17E" w14:textId="77777777"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noWrap/>
            <w:vAlign w:val="center"/>
            <w:hideMark/>
          </w:tcPr>
          <w:p w14:paraId="53F0237C" w14:textId="77777777" w:rsidR="006D31F5" w:rsidRPr="00FC23B4" w:rsidRDefault="006D31F5" w:rsidP="00693312">
            <w:pPr>
              <w:pStyle w:val="ForTable"/>
              <w:rPr>
                <w:b w:val="0"/>
                <w:sz w:val="18"/>
              </w:rPr>
            </w:pPr>
            <w:r w:rsidRPr="00FC23B4">
              <w:rPr>
                <w:b w:val="0"/>
                <w:sz w:val="18"/>
              </w:rPr>
              <w:t>Middle income</w:t>
            </w:r>
          </w:p>
        </w:tc>
        <w:tc>
          <w:tcPr>
            <w:tcW w:w="380" w:type="pct"/>
            <w:shd w:val="clear" w:color="auto" w:fill="auto"/>
            <w:noWrap/>
            <w:vAlign w:val="center"/>
            <w:hideMark/>
          </w:tcPr>
          <w:p w14:paraId="3E8E3625"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79" w:type="pct"/>
            <w:shd w:val="clear" w:color="auto" w:fill="auto"/>
            <w:noWrap/>
            <w:vAlign w:val="center"/>
            <w:hideMark/>
          </w:tcPr>
          <w:p w14:paraId="70C00B12"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79" w:type="pct"/>
            <w:shd w:val="clear" w:color="auto" w:fill="auto"/>
            <w:noWrap/>
            <w:vAlign w:val="center"/>
            <w:hideMark/>
          </w:tcPr>
          <w:p w14:paraId="1275A562"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85</w:t>
            </w:r>
          </w:p>
        </w:tc>
        <w:tc>
          <w:tcPr>
            <w:tcW w:w="303" w:type="pct"/>
            <w:shd w:val="clear" w:color="auto" w:fill="auto"/>
            <w:noWrap/>
            <w:vAlign w:val="center"/>
            <w:hideMark/>
          </w:tcPr>
          <w:p w14:paraId="46564D2F"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93</w:t>
            </w:r>
          </w:p>
        </w:tc>
        <w:tc>
          <w:tcPr>
            <w:tcW w:w="379" w:type="pct"/>
            <w:shd w:val="clear" w:color="auto" w:fill="auto"/>
            <w:noWrap/>
            <w:vAlign w:val="center"/>
            <w:hideMark/>
          </w:tcPr>
          <w:p w14:paraId="77DBE0D5" w14:textId="77777777"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9" w:type="pct"/>
            <w:shd w:val="clear" w:color="auto" w:fill="auto"/>
            <w:noWrap/>
            <w:vAlign w:val="center"/>
            <w:hideMark/>
          </w:tcPr>
          <w:p w14:paraId="494D46A3"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03" w:type="pct"/>
            <w:shd w:val="clear" w:color="auto" w:fill="auto"/>
            <w:noWrap/>
            <w:vAlign w:val="center"/>
            <w:hideMark/>
          </w:tcPr>
          <w:p w14:paraId="349BAD6A"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80" w:type="pct"/>
            <w:shd w:val="clear" w:color="auto" w:fill="auto"/>
            <w:noWrap/>
            <w:vAlign w:val="center"/>
            <w:hideMark/>
          </w:tcPr>
          <w:p w14:paraId="535878F3"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531" w:type="pct"/>
            <w:shd w:val="clear" w:color="auto" w:fill="auto"/>
            <w:noWrap/>
            <w:vAlign w:val="center"/>
            <w:hideMark/>
          </w:tcPr>
          <w:p w14:paraId="0424DA06"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5" w:type="pct"/>
            <w:shd w:val="clear" w:color="auto" w:fill="auto"/>
            <w:noWrap/>
            <w:vAlign w:val="center"/>
            <w:hideMark/>
          </w:tcPr>
          <w:p w14:paraId="14CCC032"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D71973" w:rsidRPr="00FC23B4" w14:paraId="14884AE6" w14:textId="77777777"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14:paraId="2F3E3283" w14:textId="77777777" w:rsidR="006D31F5" w:rsidRPr="00FC23B4" w:rsidRDefault="006D31F5" w:rsidP="00693312">
            <w:pPr>
              <w:pStyle w:val="ForTable"/>
              <w:rPr>
                <w:b w:val="0"/>
                <w:sz w:val="18"/>
              </w:rPr>
            </w:pPr>
            <w:r w:rsidRPr="00FC23B4">
              <w:rPr>
                <w:b w:val="0"/>
                <w:sz w:val="18"/>
              </w:rPr>
              <w:t>High income</w:t>
            </w:r>
          </w:p>
        </w:tc>
        <w:tc>
          <w:tcPr>
            <w:tcW w:w="380" w:type="pct"/>
            <w:shd w:val="clear" w:color="auto" w:fill="EFD3D2"/>
            <w:noWrap/>
            <w:vAlign w:val="center"/>
            <w:hideMark/>
          </w:tcPr>
          <w:p w14:paraId="002486DD" w14:textId="77777777" w:rsidR="006D31F5" w:rsidRPr="00FC23B4" w:rsidRDefault="006D31F5"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784A83">
              <w:rPr>
                <w:sz w:val="18"/>
              </w:rPr>
              <w:t>7</w:t>
            </w:r>
          </w:p>
        </w:tc>
        <w:tc>
          <w:tcPr>
            <w:tcW w:w="379" w:type="pct"/>
            <w:shd w:val="clear" w:color="auto" w:fill="EFD3D2"/>
            <w:noWrap/>
            <w:vAlign w:val="center"/>
            <w:hideMark/>
          </w:tcPr>
          <w:p w14:paraId="14567367"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9" w:type="pct"/>
            <w:shd w:val="clear" w:color="auto" w:fill="EFD3D2"/>
            <w:noWrap/>
            <w:vAlign w:val="center"/>
            <w:hideMark/>
          </w:tcPr>
          <w:p w14:paraId="5395E2DA"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85</w:t>
            </w:r>
          </w:p>
        </w:tc>
        <w:tc>
          <w:tcPr>
            <w:tcW w:w="303" w:type="pct"/>
            <w:shd w:val="clear" w:color="auto" w:fill="EFD3D2"/>
            <w:noWrap/>
            <w:vAlign w:val="center"/>
            <w:hideMark/>
          </w:tcPr>
          <w:p w14:paraId="382CA263"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79" w:type="pct"/>
            <w:shd w:val="clear" w:color="auto" w:fill="EFD3D2"/>
            <w:noWrap/>
            <w:vAlign w:val="center"/>
            <w:hideMark/>
          </w:tcPr>
          <w:p w14:paraId="235E902D" w14:textId="77777777"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7DCDCA83"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14:paraId="5ADEFE52"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80" w:type="pct"/>
            <w:shd w:val="clear" w:color="auto" w:fill="EFD3D2"/>
            <w:noWrap/>
            <w:vAlign w:val="center"/>
            <w:hideMark/>
          </w:tcPr>
          <w:p w14:paraId="37CF7E02"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31" w:type="pct"/>
            <w:shd w:val="clear" w:color="auto" w:fill="EFD3D2"/>
            <w:noWrap/>
            <w:vAlign w:val="center"/>
            <w:hideMark/>
          </w:tcPr>
          <w:p w14:paraId="2E21F3F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shd w:val="clear" w:color="auto" w:fill="EFD3D2"/>
            <w:noWrap/>
            <w:vAlign w:val="center"/>
            <w:hideMark/>
          </w:tcPr>
          <w:p w14:paraId="6799DB8B"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14:paraId="27FBB32E" w14:textId="77777777"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808080" w:themeFill="background1" w:themeFillShade="80"/>
            <w:noWrap/>
            <w:vAlign w:val="center"/>
          </w:tcPr>
          <w:p w14:paraId="4BAE2681" w14:textId="77777777" w:rsidR="000C5031" w:rsidRPr="00FC23B4" w:rsidRDefault="000C5031" w:rsidP="00693312">
            <w:pPr>
              <w:pStyle w:val="ForTable"/>
              <w:rPr>
                <w:color w:val="FFFFFF" w:themeColor="background1"/>
                <w:sz w:val="18"/>
              </w:rPr>
            </w:pPr>
            <w:r w:rsidRPr="00FC23B4">
              <w:rPr>
                <w:color w:val="FFFFFF" w:themeColor="background1"/>
                <w:sz w:val="18"/>
              </w:rPr>
              <w:t>52 weeks of incapacity</w:t>
            </w:r>
          </w:p>
        </w:tc>
        <w:tc>
          <w:tcPr>
            <w:tcW w:w="380" w:type="pct"/>
            <w:shd w:val="clear" w:color="auto" w:fill="808080" w:themeFill="background1" w:themeFillShade="80"/>
            <w:noWrap/>
            <w:vAlign w:val="center"/>
          </w:tcPr>
          <w:p w14:paraId="7308119B"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179852FC"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49B441C6"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14:paraId="234C138F"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38972B7E"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1A6C52BF"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14:paraId="48AF3849"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80" w:type="pct"/>
            <w:shd w:val="clear" w:color="auto" w:fill="808080" w:themeFill="background1" w:themeFillShade="80"/>
            <w:noWrap/>
            <w:vAlign w:val="center"/>
          </w:tcPr>
          <w:p w14:paraId="050F2CA1"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31" w:type="pct"/>
            <w:shd w:val="clear" w:color="auto" w:fill="808080" w:themeFill="background1" w:themeFillShade="80"/>
            <w:noWrap/>
            <w:vAlign w:val="center"/>
          </w:tcPr>
          <w:p w14:paraId="322FC361"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shd w:val="clear" w:color="auto" w:fill="808080" w:themeFill="background1" w:themeFillShade="80"/>
            <w:noWrap/>
            <w:vAlign w:val="center"/>
          </w:tcPr>
          <w:p w14:paraId="6D671E20"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D71973" w:rsidRPr="00FC23B4" w14:paraId="2F35308B" w14:textId="77777777"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14:paraId="7E15A16E" w14:textId="77777777" w:rsidR="006D31F5" w:rsidRPr="00FC23B4" w:rsidRDefault="006D31F5" w:rsidP="00693312">
            <w:pPr>
              <w:pStyle w:val="ForTable"/>
              <w:rPr>
                <w:b w:val="0"/>
                <w:sz w:val="18"/>
              </w:rPr>
            </w:pPr>
            <w:r w:rsidRPr="00FC23B4">
              <w:rPr>
                <w:b w:val="0"/>
                <w:sz w:val="18"/>
              </w:rPr>
              <w:t>Low income</w:t>
            </w:r>
          </w:p>
        </w:tc>
        <w:tc>
          <w:tcPr>
            <w:tcW w:w="380" w:type="pct"/>
            <w:shd w:val="clear" w:color="auto" w:fill="EFD3D2"/>
            <w:noWrap/>
            <w:vAlign w:val="center"/>
            <w:hideMark/>
          </w:tcPr>
          <w:p w14:paraId="1EDF023B"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9" w:type="pct"/>
            <w:shd w:val="clear" w:color="auto" w:fill="EFD3D2"/>
            <w:noWrap/>
            <w:vAlign w:val="center"/>
            <w:hideMark/>
          </w:tcPr>
          <w:p w14:paraId="6C656247"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9" w:type="pct"/>
            <w:shd w:val="clear" w:color="auto" w:fill="EFD3D2"/>
            <w:noWrap/>
            <w:vAlign w:val="center"/>
            <w:hideMark/>
          </w:tcPr>
          <w:p w14:paraId="08783DA0"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14:paraId="07E0D21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56E92B60" w14:textId="77777777"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4A31EC59"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03" w:type="pct"/>
            <w:shd w:val="clear" w:color="auto" w:fill="EFD3D2"/>
            <w:noWrap/>
            <w:vAlign w:val="center"/>
            <w:hideMark/>
          </w:tcPr>
          <w:p w14:paraId="7844F070"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80" w:type="pct"/>
            <w:shd w:val="clear" w:color="auto" w:fill="EFD3D2"/>
            <w:noWrap/>
            <w:vAlign w:val="center"/>
            <w:hideMark/>
          </w:tcPr>
          <w:p w14:paraId="07C8FE4A"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85</w:t>
            </w:r>
          </w:p>
        </w:tc>
        <w:tc>
          <w:tcPr>
            <w:tcW w:w="531" w:type="pct"/>
            <w:shd w:val="clear" w:color="auto" w:fill="EFD3D2"/>
            <w:noWrap/>
            <w:vAlign w:val="center"/>
            <w:hideMark/>
          </w:tcPr>
          <w:p w14:paraId="44D00B43"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97</w:t>
            </w:r>
          </w:p>
        </w:tc>
        <w:tc>
          <w:tcPr>
            <w:tcW w:w="375" w:type="pct"/>
            <w:shd w:val="clear" w:color="auto" w:fill="EFD3D2"/>
            <w:noWrap/>
            <w:vAlign w:val="center"/>
            <w:hideMark/>
          </w:tcPr>
          <w:p w14:paraId="7C4CF3E2"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14:paraId="20E4D962" w14:textId="77777777"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noWrap/>
            <w:vAlign w:val="center"/>
            <w:hideMark/>
          </w:tcPr>
          <w:p w14:paraId="26941FB0" w14:textId="77777777" w:rsidR="006D31F5" w:rsidRPr="00FC23B4" w:rsidRDefault="006D31F5" w:rsidP="00693312">
            <w:pPr>
              <w:pStyle w:val="ForTable"/>
              <w:rPr>
                <w:b w:val="0"/>
                <w:sz w:val="18"/>
              </w:rPr>
            </w:pPr>
            <w:r w:rsidRPr="00FC23B4">
              <w:rPr>
                <w:b w:val="0"/>
                <w:sz w:val="18"/>
              </w:rPr>
              <w:t>Middle income</w:t>
            </w:r>
          </w:p>
        </w:tc>
        <w:tc>
          <w:tcPr>
            <w:tcW w:w="380" w:type="pct"/>
            <w:shd w:val="clear" w:color="auto" w:fill="auto"/>
            <w:noWrap/>
            <w:vAlign w:val="center"/>
            <w:hideMark/>
          </w:tcPr>
          <w:p w14:paraId="1B905897"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84</w:t>
            </w:r>
          </w:p>
        </w:tc>
        <w:tc>
          <w:tcPr>
            <w:tcW w:w="379" w:type="pct"/>
            <w:shd w:val="clear" w:color="auto" w:fill="auto"/>
            <w:noWrap/>
            <w:vAlign w:val="center"/>
            <w:hideMark/>
          </w:tcPr>
          <w:p w14:paraId="0BA34E6F"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84</w:t>
            </w:r>
          </w:p>
        </w:tc>
        <w:tc>
          <w:tcPr>
            <w:tcW w:w="379" w:type="pct"/>
            <w:shd w:val="clear" w:color="auto" w:fill="auto"/>
            <w:noWrap/>
            <w:vAlign w:val="center"/>
            <w:hideMark/>
          </w:tcPr>
          <w:p w14:paraId="1304A6EF"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c>
          <w:tcPr>
            <w:tcW w:w="303" w:type="pct"/>
            <w:shd w:val="clear" w:color="auto" w:fill="auto"/>
            <w:noWrap/>
            <w:vAlign w:val="center"/>
            <w:hideMark/>
          </w:tcPr>
          <w:p w14:paraId="3484D18D"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89</w:t>
            </w:r>
          </w:p>
        </w:tc>
        <w:tc>
          <w:tcPr>
            <w:tcW w:w="379" w:type="pct"/>
            <w:shd w:val="clear" w:color="auto" w:fill="auto"/>
            <w:noWrap/>
            <w:vAlign w:val="center"/>
            <w:hideMark/>
          </w:tcPr>
          <w:p w14:paraId="6667E6F0" w14:textId="77777777"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9" w:type="pct"/>
            <w:shd w:val="clear" w:color="auto" w:fill="auto"/>
            <w:noWrap/>
            <w:vAlign w:val="center"/>
            <w:hideMark/>
          </w:tcPr>
          <w:p w14:paraId="3B13616D"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03" w:type="pct"/>
            <w:shd w:val="clear" w:color="auto" w:fill="auto"/>
            <w:noWrap/>
            <w:vAlign w:val="center"/>
            <w:hideMark/>
          </w:tcPr>
          <w:p w14:paraId="718D5D13"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80" w:type="pct"/>
            <w:shd w:val="clear" w:color="auto" w:fill="auto"/>
            <w:noWrap/>
            <w:vAlign w:val="center"/>
            <w:hideMark/>
          </w:tcPr>
          <w:p w14:paraId="573890DF"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83</w:t>
            </w:r>
          </w:p>
        </w:tc>
        <w:tc>
          <w:tcPr>
            <w:tcW w:w="531" w:type="pct"/>
            <w:shd w:val="clear" w:color="auto" w:fill="auto"/>
            <w:noWrap/>
            <w:vAlign w:val="center"/>
            <w:hideMark/>
          </w:tcPr>
          <w:p w14:paraId="301A954D"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97</w:t>
            </w:r>
          </w:p>
        </w:tc>
        <w:tc>
          <w:tcPr>
            <w:tcW w:w="375" w:type="pct"/>
            <w:shd w:val="clear" w:color="auto" w:fill="auto"/>
            <w:noWrap/>
            <w:vAlign w:val="center"/>
            <w:hideMark/>
          </w:tcPr>
          <w:p w14:paraId="06DE8018"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D71973" w:rsidRPr="00FC23B4" w14:paraId="0056ABF6" w14:textId="77777777"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14:paraId="06745514" w14:textId="77777777" w:rsidR="006D31F5" w:rsidRPr="00FC23B4" w:rsidRDefault="006D31F5" w:rsidP="00693312">
            <w:pPr>
              <w:pStyle w:val="ForTable"/>
              <w:rPr>
                <w:b w:val="0"/>
                <w:sz w:val="18"/>
              </w:rPr>
            </w:pPr>
            <w:r w:rsidRPr="00FC23B4">
              <w:rPr>
                <w:b w:val="0"/>
                <w:sz w:val="18"/>
              </w:rPr>
              <w:t>High income</w:t>
            </w:r>
          </w:p>
        </w:tc>
        <w:tc>
          <w:tcPr>
            <w:tcW w:w="380" w:type="pct"/>
            <w:shd w:val="clear" w:color="auto" w:fill="EFD3D2"/>
            <w:noWrap/>
            <w:vAlign w:val="center"/>
            <w:hideMark/>
          </w:tcPr>
          <w:p w14:paraId="37F096E4"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D829A3" w:rsidRPr="00FC23B4">
              <w:rPr>
                <w:sz w:val="18"/>
              </w:rPr>
              <w:t>3</w:t>
            </w:r>
          </w:p>
        </w:tc>
        <w:tc>
          <w:tcPr>
            <w:tcW w:w="379" w:type="pct"/>
            <w:shd w:val="clear" w:color="auto" w:fill="EFD3D2"/>
            <w:noWrap/>
            <w:vAlign w:val="center"/>
            <w:hideMark/>
          </w:tcPr>
          <w:p w14:paraId="23D96C44"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9" w:type="pct"/>
            <w:shd w:val="clear" w:color="auto" w:fill="EFD3D2"/>
            <w:noWrap/>
            <w:vAlign w:val="center"/>
            <w:hideMark/>
          </w:tcPr>
          <w:p w14:paraId="671B3276" w14:textId="77777777" w:rsidR="006D31F5" w:rsidRPr="00FC23B4" w:rsidRDefault="00852B6C"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w:t>
            </w:r>
            <w:r w:rsidR="00784A83">
              <w:rPr>
                <w:sz w:val="18"/>
              </w:rPr>
              <w:t>0</w:t>
            </w:r>
          </w:p>
        </w:tc>
        <w:tc>
          <w:tcPr>
            <w:tcW w:w="303" w:type="pct"/>
            <w:shd w:val="clear" w:color="auto" w:fill="EFD3D2"/>
            <w:noWrap/>
            <w:vAlign w:val="center"/>
            <w:hideMark/>
          </w:tcPr>
          <w:p w14:paraId="196BB6D4"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89</w:t>
            </w:r>
          </w:p>
        </w:tc>
        <w:tc>
          <w:tcPr>
            <w:tcW w:w="379" w:type="pct"/>
            <w:shd w:val="clear" w:color="auto" w:fill="EFD3D2"/>
            <w:noWrap/>
            <w:vAlign w:val="center"/>
            <w:hideMark/>
          </w:tcPr>
          <w:p w14:paraId="5451B450" w14:textId="77777777"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5D7F3DF9"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03" w:type="pct"/>
            <w:shd w:val="clear" w:color="auto" w:fill="EFD3D2"/>
            <w:noWrap/>
            <w:vAlign w:val="center"/>
            <w:hideMark/>
          </w:tcPr>
          <w:p w14:paraId="75795C49"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80" w:type="pct"/>
            <w:shd w:val="clear" w:color="auto" w:fill="EFD3D2"/>
            <w:noWrap/>
            <w:vAlign w:val="center"/>
            <w:hideMark/>
          </w:tcPr>
          <w:p w14:paraId="4BD64CC3"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83</w:t>
            </w:r>
          </w:p>
        </w:tc>
        <w:tc>
          <w:tcPr>
            <w:tcW w:w="531" w:type="pct"/>
            <w:shd w:val="clear" w:color="auto" w:fill="EFD3D2"/>
            <w:noWrap/>
            <w:vAlign w:val="center"/>
            <w:hideMark/>
          </w:tcPr>
          <w:p w14:paraId="774BB292"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97</w:t>
            </w:r>
          </w:p>
        </w:tc>
        <w:tc>
          <w:tcPr>
            <w:tcW w:w="375" w:type="pct"/>
            <w:shd w:val="clear" w:color="auto" w:fill="EFD3D2"/>
            <w:noWrap/>
            <w:vAlign w:val="center"/>
            <w:hideMark/>
          </w:tcPr>
          <w:p w14:paraId="2E0E9429"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14:paraId="1A52CB6F" w14:textId="77777777"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808080" w:themeFill="background1" w:themeFillShade="80"/>
            <w:noWrap/>
            <w:vAlign w:val="center"/>
          </w:tcPr>
          <w:p w14:paraId="180F9F49" w14:textId="77777777" w:rsidR="000C5031" w:rsidRPr="00FC23B4" w:rsidRDefault="000C5031" w:rsidP="00693312">
            <w:pPr>
              <w:pStyle w:val="ForTable"/>
              <w:rPr>
                <w:color w:val="FFFFFF" w:themeColor="background1"/>
                <w:sz w:val="18"/>
              </w:rPr>
            </w:pPr>
            <w:r w:rsidRPr="00FC23B4">
              <w:rPr>
                <w:color w:val="FFFFFF" w:themeColor="background1"/>
                <w:sz w:val="18"/>
              </w:rPr>
              <w:t>104 weeks of incapacity</w:t>
            </w:r>
          </w:p>
        </w:tc>
        <w:tc>
          <w:tcPr>
            <w:tcW w:w="380" w:type="pct"/>
            <w:shd w:val="clear" w:color="auto" w:fill="808080" w:themeFill="background1" w:themeFillShade="80"/>
            <w:noWrap/>
            <w:vAlign w:val="center"/>
          </w:tcPr>
          <w:p w14:paraId="2A5E7FBA"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0656BA01"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482A5D3A"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14:paraId="1C476200"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79874B00"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14:paraId="56553742"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14:paraId="1E35CD59"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80" w:type="pct"/>
            <w:shd w:val="clear" w:color="auto" w:fill="808080" w:themeFill="background1" w:themeFillShade="80"/>
            <w:noWrap/>
            <w:vAlign w:val="center"/>
          </w:tcPr>
          <w:p w14:paraId="1113982A"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31" w:type="pct"/>
            <w:shd w:val="clear" w:color="auto" w:fill="808080" w:themeFill="background1" w:themeFillShade="80"/>
            <w:noWrap/>
            <w:vAlign w:val="center"/>
          </w:tcPr>
          <w:p w14:paraId="37C14C04"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shd w:val="clear" w:color="auto" w:fill="808080" w:themeFill="background1" w:themeFillShade="80"/>
            <w:noWrap/>
            <w:vAlign w:val="center"/>
          </w:tcPr>
          <w:p w14:paraId="0D8DF73E"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D71973" w:rsidRPr="00FC23B4" w14:paraId="22B6D5FE" w14:textId="77777777"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14:paraId="755326DB" w14:textId="77777777" w:rsidR="006D31F5" w:rsidRPr="00FC23B4" w:rsidRDefault="006D31F5" w:rsidP="00693312">
            <w:pPr>
              <w:pStyle w:val="ForTable"/>
              <w:rPr>
                <w:b w:val="0"/>
                <w:sz w:val="18"/>
              </w:rPr>
            </w:pPr>
            <w:r w:rsidRPr="00FC23B4">
              <w:rPr>
                <w:b w:val="0"/>
                <w:sz w:val="18"/>
              </w:rPr>
              <w:t>Low income</w:t>
            </w:r>
          </w:p>
        </w:tc>
        <w:tc>
          <w:tcPr>
            <w:tcW w:w="380" w:type="pct"/>
            <w:shd w:val="clear" w:color="auto" w:fill="EFD3D2"/>
            <w:noWrap/>
            <w:vAlign w:val="center"/>
            <w:hideMark/>
          </w:tcPr>
          <w:p w14:paraId="12068EFB"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9" w:type="pct"/>
            <w:shd w:val="clear" w:color="auto" w:fill="EFD3D2"/>
            <w:noWrap/>
            <w:vAlign w:val="center"/>
            <w:hideMark/>
          </w:tcPr>
          <w:p w14:paraId="20A7EA8F"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9" w:type="pct"/>
            <w:shd w:val="clear" w:color="auto" w:fill="EFD3D2"/>
            <w:noWrap/>
            <w:vAlign w:val="center"/>
            <w:hideMark/>
          </w:tcPr>
          <w:p w14:paraId="64DE2C57"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14:paraId="3A57EEE1"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14:paraId="5A740F72" w14:textId="77777777"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90</w:t>
            </w:r>
          </w:p>
        </w:tc>
        <w:tc>
          <w:tcPr>
            <w:tcW w:w="379" w:type="pct"/>
            <w:shd w:val="clear" w:color="auto" w:fill="EFD3D2"/>
            <w:noWrap/>
            <w:vAlign w:val="center"/>
            <w:hideMark/>
          </w:tcPr>
          <w:p w14:paraId="31815CD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03" w:type="pct"/>
            <w:shd w:val="clear" w:color="auto" w:fill="EFD3D2"/>
            <w:noWrap/>
            <w:vAlign w:val="center"/>
            <w:hideMark/>
          </w:tcPr>
          <w:p w14:paraId="4AD43299"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80" w:type="pct"/>
            <w:shd w:val="clear" w:color="auto" w:fill="EFD3D2"/>
            <w:noWrap/>
            <w:vAlign w:val="center"/>
            <w:hideMark/>
          </w:tcPr>
          <w:p w14:paraId="49A5E6C8" w14:textId="77777777" w:rsidR="006D31F5" w:rsidRPr="00FC23B4" w:rsidRDefault="006D31F5"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7</w:t>
            </w:r>
            <w:r w:rsidR="00784A83">
              <w:rPr>
                <w:sz w:val="18"/>
              </w:rPr>
              <w:t>8</w:t>
            </w:r>
          </w:p>
        </w:tc>
        <w:tc>
          <w:tcPr>
            <w:tcW w:w="531" w:type="pct"/>
            <w:shd w:val="clear" w:color="auto" w:fill="EFD3D2"/>
            <w:noWrap/>
            <w:vAlign w:val="center"/>
            <w:hideMark/>
          </w:tcPr>
          <w:p w14:paraId="7C936044"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86</w:t>
            </w:r>
          </w:p>
        </w:tc>
        <w:tc>
          <w:tcPr>
            <w:tcW w:w="375" w:type="pct"/>
            <w:shd w:val="clear" w:color="auto" w:fill="EFD3D2"/>
            <w:noWrap/>
            <w:vAlign w:val="center"/>
            <w:hideMark/>
          </w:tcPr>
          <w:p w14:paraId="3CE11A32"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14:paraId="072ED984" w14:textId="77777777"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noWrap/>
            <w:vAlign w:val="center"/>
            <w:hideMark/>
          </w:tcPr>
          <w:p w14:paraId="5B3C4557" w14:textId="77777777" w:rsidR="006D31F5" w:rsidRPr="00FC23B4" w:rsidRDefault="006D31F5" w:rsidP="00693312">
            <w:pPr>
              <w:pStyle w:val="ForTable"/>
              <w:rPr>
                <w:b w:val="0"/>
                <w:sz w:val="18"/>
              </w:rPr>
            </w:pPr>
            <w:r w:rsidRPr="00FC23B4">
              <w:rPr>
                <w:b w:val="0"/>
                <w:sz w:val="18"/>
              </w:rPr>
              <w:t>Middle income</w:t>
            </w:r>
          </w:p>
        </w:tc>
        <w:tc>
          <w:tcPr>
            <w:tcW w:w="380" w:type="pct"/>
            <w:shd w:val="clear" w:color="auto" w:fill="auto"/>
            <w:noWrap/>
            <w:vAlign w:val="center"/>
            <w:hideMark/>
          </w:tcPr>
          <w:p w14:paraId="323D132B"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82</w:t>
            </w:r>
          </w:p>
        </w:tc>
        <w:tc>
          <w:tcPr>
            <w:tcW w:w="379" w:type="pct"/>
            <w:shd w:val="clear" w:color="auto" w:fill="auto"/>
            <w:noWrap/>
            <w:vAlign w:val="center"/>
            <w:hideMark/>
          </w:tcPr>
          <w:p w14:paraId="6C15160F"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82</w:t>
            </w:r>
          </w:p>
        </w:tc>
        <w:tc>
          <w:tcPr>
            <w:tcW w:w="379" w:type="pct"/>
            <w:shd w:val="clear" w:color="auto" w:fill="auto"/>
            <w:noWrap/>
            <w:vAlign w:val="center"/>
            <w:hideMark/>
          </w:tcPr>
          <w:p w14:paraId="7FFC3B8D"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78</w:t>
            </w:r>
          </w:p>
        </w:tc>
        <w:tc>
          <w:tcPr>
            <w:tcW w:w="303" w:type="pct"/>
            <w:shd w:val="clear" w:color="auto" w:fill="auto"/>
            <w:noWrap/>
            <w:vAlign w:val="center"/>
            <w:hideMark/>
          </w:tcPr>
          <w:p w14:paraId="0A85850A"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87</w:t>
            </w:r>
          </w:p>
        </w:tc>
        <w:tc>
          <w:tcPr>
            <w:tcW w:w="379" w:type="pct"/>
            <w:shd w:val="clear" w:color="auto" w:fill="auto"/>
            <w:noWrap/>
            <w:vAlign w:val="center"/>
            <w:hideMark/>
          </w:tcPr>
          <w:p w14:paraId="3F4D8B01" w14:textId="77777777"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90</w:t>
            </w:r>
          </w:p>
        </w:tc>
        <w:tc>
          <w:tcPr>
            <w:tcW w:w="379" w:type="pct"/>
            <w:shd w:val="clear" w:color="auto" w:fill="auto"/>
            <w:noWrap/>
            <w:vAlign w:val="center"/>
            <w:hideMark/>
          </w:tcPr>
          <w:p w14:paraId="1CDA6BF3"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93</w:t>
            </w:r>
          </w:p>
        </w:tc>
        <w:tc>
          <w:tcPr>
            <w:tcW w:w="303" w:type="pct"/>
            <w:shd w:val="clear" w:color="auto" w:fill="auto"/>
            <w:noWrap/>
            <w:vAlign w:val="center"/>
            <w:hideMark/>
          </w:tcPr>
          <w:p w14:paraId="026C00CE"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81</w:t>
            </w:r>
          </w:p>
        </w:tc>
        <w:tc>
          <w:tcPr>
            <w:tcW w:w="380" w:type="pct"/>
            <w:shd w:val="clear" w:color="auto" w:fill="auto"/>
            <w:noWrap/>
            <w:vAlign w:val="center"/>
            <w:hideMark/>
          </w:tcPr>
          <w:p w14:paraId="046782CE"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74</w:t>
            </w:r>
          </w:p>
        </w:tc>
        <w:tc>
          <w:tcPr>
            <w:tcW w:w="531" w:type="pct"/>
            <w:shd w:val="clear" w:color="auto" w:fill="auto"/>
            <w:noWrap/>
            <w:vAlign w:val="center"/>
            <w:hideMark/>
          </w:tcPr>
          <w:p w14:paraId="1211D383"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86</w:t>
            </w:r>
          </w:p>
        </w:tc>
        <w:tc>
          <w:tcPr>
            <w:tcW w:w="375" w:type="pct"/>
            <w:shd w:val="clear" w:color="auto" w:fill="auto"/>
            <w:noWrap/>
            <w:vAlign w:val="center"/>
            <w:hideMark/>
          </w:tcPr>
          <w:p w14:paraId="50EBF550"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D71973" w:rsidRPr="00FC23B4" w14:paraId="5C59A34F" w14:textId="77777777"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14:paraId="2B5B57D9" w14:textId="77777777" w:rsidR="006D31F5" w:rsidRPr="00FC23B4" w:rsidRDefault="006D31F5" w:rsidP="00693312">
            <w:pPr>
              <w:pStyle w:val="ForTable"/>
              <w:rPr>
                <w:b w:val="0"/>
                <w:sz w:val="18"/>
              </w:rPr>
            </w:pPr>
            <w:r w:rsidRPr="00FC23B4">
              <w:rPr>
                <w:b w:val="0"/>
                <w:sz w:val="18"/>
              </w:rPr>
              <w:t>High income</w:t>
            </w:r>
          </w:p>
        </w:tc>
        <w:tc>
          <w:tcPr>
            <w:tcW w:w="380" w:type="pct"/>
            <w:shd w:val="clear" w:color="auto" w:fill="EFD3D2"/>
            <w:noWrap/>
            <w:vAlign w:val="center"/>
            <w:hideMark/>
          </w:tcPr>
          <w:p w14:paraId="6A45F0D4" w14:textId="77777777" w:rsidR="006D31F5" w:rsidRPr="00FC23B4" w:rsidRDefault="006D31F5"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784A83">
              <w:rPr>
                <w:sz w:val="18"/>
              </w:rPr>
              <w:t>2</w:t>
            </w:r>
          </w:p>
        </w:tc>
        <w:tc>
          <w:tcPr>
            <w:tcW w:w="379" w:type="pct"/>
            <w:shd w:val="clear" w:color="auto" w:fill="EFD3D2"/>
            <w:noWrap/>
            <w:vAlign w:val="center"/>
            <w:hideMark/>
          </w:tcPr>
          <w:p w14:paraId="1834DC6B"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9" w:type="pct"/>
            <w:shd w:val="clear" w:color="auto" w:fill="EFD3D2"/>
            <w:noWrap/>
            <w:vAlign w:val="center"/>
            <w:hideMark/>
          </w:tcPr>
          <w:p w14:paraId="3EF8C1D3" w14:textId="77777777" w:rsidR="006D31F5" w:rsidRPr="00FC23B4" w:rsidRDefault="006D31F5"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(b)</w:t>
            </w:r>
            <w:r w:rsidR="00784A83">
              <w:rPr>
                <w:sz w:val="18"/>
              </w:rPr>
              <w:t>78</w:t>
            </w:r>
          </w:p>
        </w:tc>
        <w:tc>
          <w:tcPr>
            <w:tcW w:w="303" w:type="pct"/>
            <w:shd w:val="clear" w:color="auto" w:fill="EFD3D2"/>
            <w:noWrap/>
            <w:vAlign w:val="center"/>
            <w:hideMark/>
          </w:tcPr>
          <w:p w14:paraId="68308408"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(c)</w:t>
            </w:r>
            <w:r w:rsidRPr="00FC23B4">
              <w:rPr>
                <w:sz w:val="18"/>
              </w:rPr>
              <w:t>87</w:t>
            </w:r>
          </w:p>
        </w:tc>
        <w:tc>
          <w:tcPr>
            <w:tcW w:w="379" w:type="pct"/>
            <w:shd w:val="clear" w:color="auto" w:fill="EFD3D2"/>
            <w:noWrap/>
            <w:vAlign w:val="center"/>
            <w:hideMark/>
          </w:tcPr>
          <w:p w14:paraId="28461294" w14:textId="77777777"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90</w:t>
            </w:r>
          </w:p>
        </w:tc>
        <w:tc>
          <w:tcPr>
            <w:tcW w:w="379" w:type="pct"/>
            <w:shd w:val="clear" w:color="auto" w:fill="EFD3D2"/>
            <w:noWrap/>
            <w:vAlign w:val="center"/>
            <w:hideMark/>
          </w:tcPr>
          <w:p w14:paraId="23439248"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03" w:type="pct"/>
            <w:shd w:val="clear" w:color="auto" w:fill="EFD3D2"/>
            <w:noWrap/>
            <w:vAlign w:val="center"/>
            <w:hideMark/>
          </w:tcPr>
          <w:p w14:paraId="724F97D0"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81</w:t>
            </w:r>
          </w:p>
        </w:tc>
        <w:tc>
          <w:tcPr>
            <w:tcW w:w="380" w:type="pct"/>
            <w:shd w:val="clear" w:color="auto" w:fill="EFD3D2"/>
            <w:noWrap/>
            <w:vAlign w:val="center"/>
            <w:hideMark/>
          </w:tcPr>
          <w:p w14:paraId="72800796"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(d)</w:t>
            </w:r>
            <w:r w:rsidRPr="00FC23B4">
              <w:rPr>
                <w:sz w:val="18"/>
              </w:rPr>
              <w:t>74</w:t>
            </w:r>
          </w:p>
        </w:tc>
        <w:tc>
          <w:tcPr>
            <w:tcW w:w="531" w:type="pct"/>
            <w:shd w:val="clear" w:color="auto" w:fill="EFD3D2"/>
            <w:noWrap/>
            <w:vAlign w:val="center"/>
            <w:hideMark/>
          </w:tcPr>
          <w:p w14:paraId="34AFFD9A"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86</w:t>
            </w:r>
          </w:p>
        </w:tc>
        <w:tc>
          <w:tcPr>
            <w:tcW w:w="375" w:type="pct"/>
            <w:shd w:val="clear" w:color="auto" w:fill="EFD3D2"/>
            <w:noWrap/>
            <w:vAlign w:val="center"/>
            <w:hideMark/>
          </w:tcPr>
          <w:p w14:paraId="5EA0DD60"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bl>
    <w:p w14:paraId="75DAFC11" w14:textId="77777777" w:rsidR="00FC23B4" w:rsidRPr="00FC23B4" w:rsidRDefault="00FC23B4" w:rsidP="00FC23B4">
      <w:pPr>
        <w:pStyle w:val="Footnote"/>
        <w:spacing w:before="0" w:after="113"/>
        <w:rPr>
          <w:sz w:val="10"/>
        </w:rPr>
      </w:pPr>
    </w:p>
    <w:p w14:paraId="6D05075E" w14:textId="01975695" w:rsidR="006D31F5" w:rsidRPr="002E4013" w:rsidRDefault="006D31F5" w:rsidP="007A0E5C">
      <w:pPr>
        <w:pStyle w:val="Footnote"/>
        <w:numPr>
          <w:ilvl w:val="0"/>
          <w:numId w:val="7"/>
        </w:numPr>
        <w:spacing w:before="0" w:after="113"/>
        <w:ind w:left="426"/>
      </w:pPr>
      <w:r w:rsidRPr="002E4013">
        <w:t>Maximum weekly payment is capped at $</w:t>
      </w:r>
      <w:r w:rsidR="0001290D">
        <w:t>2</w:t>
      </w:r>
      <w:r w:rsidR="00DA3D3B">
        <w:t>,</w:t>
      </w:r>
      <w:r w:rsidR="0001290D">
        <w:t>0</w:t>
      </w:r>
      <w:r w:rsidR="009776D9">
        <w:t>58</w:t>
      </w:r>
      <w:r w:rsidR="0001290D">
        <w:t>.10 as at 1 January 201</w:t>
      </w:r>
      <w:r w:rsidR="00784A83">
        <w:t>7</w:t>
      </w:r>
      <w:r w:rsidR="000F307F">
        <w:t>. The level of pre-injury income for a high income earner will vary depending on the proportion of their pre-injury average weekly earnings to the maximum weekly payment.</w:t>
      </w:r>
    </w:p>
    <w:p w14:paraId="74F89044" w14:textId="77777777" w:rsidR="006D31F5" w:rsidRPr="002E4013" w:rsidRDefault="006D31F5" w:rsidP="007A0E5C">
      <w:pPr>
        <w:pStyle w:val="Footnote"/>
        <w:numPr>
          <w:ilvl w:val="0"/>
          <w:numId w:val="7"/>
        </w:numPr>
        <w:spacing w:before="0" w:after="113"/>
        <w:ind w:left="426"/>
      </w:pPr>
      <w:r w:rsidRPr="002E4013">
        <w:t xml:space="preserve">In Queensland workers are paid a proportion of their normal weekly earnings (NWE) or a </w:t>
      </w:r>
      <w:r>
        <w:t>percentage</w:t>
      </w:r>
      <w:r w:rsidRPr="002E4013">
        <w:t xml:space="preserve"> of the original series amount of Queensland full time adult persons ordinary time earnings (QOTE) (i.e. 0 to 26 weeks</w:t>
      </w:r>
      <w:r>
        <w:t xml:space="preserve"> </w:t>
      </w:r>
      <w:r w:rsidR="00DA3D3B">
        <w:t>–</w:t>
      </w:r>
      <w:r w:rsidRPr="002E4013">
        <w:t xml:space="preserve"> 85</w:t>
      </w:r>
      <w:r w:rsidR="00FB0257">
        <w:t> per cent</w:t>
      </w:r>
      <w:r w:rsidRPr="002E4013">
        <w:t xml:space="preserve"> NWE or Award; 26 to </w:t>
      </w:r>
      <w:r w:rsidR="003F23F2">
        <w:t>104</w:t>
      </w:r>
      <w:r w:rsidRPr="002E4013">
        <w:t xml:space="preserve"> weeks</w:t>
      </w:r>
      <w:r>
        <w:t xml:space="preserve"> </w:t>
      </w:r>
      <w:r w:rsidR="00DA3D3B">
        <w:t>–</w:t>
      </w:r>
      <w:r w:rsidRPr="002E4013">
        <w:t xml:space="preserve"> 75</w:t>
      </w:r>
      <w:r w:rsidR="00FB0257">
        <w:t> per cent</w:t>
      </w:r>
      <w:r w:rsidRPr="002E4013">
        <w:t xml:space="preserve"> NWE or 70</w:t>
      </w:r>
      <w:r w:rsidR="00FB0257">
        <w:t> per cent</w:t>
      </w:r>
      <w:r w:rsidRPr="002E4013">
        <w:t xml:space="preserve"> QOTE). The </w:t>
      </w:r>
      <w:r>
        <w:t>percentage</w:t>
      </w:r>
      <w:r w:rsidRPr="002E4013">
        <w:t>s are calculated on the higher amounts of the two possible payments.</w:t>
      </w:r>
    </w:p>
    <w:p w14:paraId="7EC368ED" w14:textId="77777777" w:rsidR="006D31F5" w:rsidRPr="002E4013" w:rsidRDefault="006D31F5" w:rsidP="007A0E5C">
      <w:pPr>
        <w:pStyle w:val="Footnote"/>
        <w:numPr>
          <w:ilvl w:val="0"/>
          <w:numId w:val="7"/>
        </w:numPr>
        <w:spacing w:before="0" w:after="113"/>
        <w:ind w:left="426"/>
      </w:pPr>
      <w:r w:rsidRPr="002E4013">
        <w:t xml:space="preserve">In </w:t>
      </w:r>
      <w:r>
        <w:t xml:space="preserve">Western Australia </w:t>
      </w:r>
      <w:r w:rsidRPr="002E4013">
        <w:t xml:space="preserve">there is a cap on weekly earnings set at twice the annual Average Weekly Earnings (WA) as published by the ABS each year. The weekly cap as at </w:t>
      </w:r>
      <w:r w:rsidR="0001290D">
        <w:t>1 January 201</w:t>
      </w:r>
      <w:r w:rsidR="009776D9">
        <w:t>7</w:t>
      </w:r>
      <w:r w:rsidRPr="002E4013">
        <w:t xml:space="preserve"> was $</w:t>
      </w:r>
      <w:r w:rsidR="0001290D">
        <w:t>2</w:t>
      </w:r>
      <w:r w:rsidR="00DA3D3B">
        <w:t>,</w:t>
      </w:r>
      <w:r w:rsidR="0001290D">
        <w:t>66</w:t>
      </w:r>
      <w:r w:rsidR="009776D9">
        <w:t>6.80</w:t>
      </w:r>
      <w:r w:rsidRPr="002E4013">
        <w:t xml:space="preserve"> and applied to all income levels. The prescribed amount for weekly payments is $</w:t>
      </w:r>
      <w:r>
        <w:t>2</w:t>
      </w:r>
      <w:r w:rsidR="009776D9">
        <w:t>21</w:t>
      </w:r>
      <w:r w:rsidR="00DA3D3B">
        <w:t>,</w:t>
      </w:r>
      <w:r w:rsidR="009776D9">
        <w:t>891</w:t>
      </w:r>
      <w:r w:rsidRPr="002E4013">
        <w:t>.</w:t>
      </w:r>
    </w:p>
    <w:p w14:paraId="299D3F6A" w14:textId="77777777" w:rsidR="006D31F5" w:rsidRPr="008D2D27" w:rsidRDefault="006D31F5" w:rsidP="008D2D27">
      <w:pPr>
        <w:pStyle w:val="BodyTextindented"/>
        <w:numPr>
          <w:ilvl w:val="0"/>
          <w:numId w:val="7"/>
        </w:numPr>
        <w:ind w:left="426"/>
        <w:rPr>
          <w:sz w:val="16"/>
          <w:szCs w:val="16"/>
        </w:rPr>
      </w:pPr>
      <w:r w:rsidRPr="002E4013">
        <w:rPr>
          <w:sz w:val="16"/>
          <w:szCs w:val="16"/>
        </w:rPr>
        <w:t xml:space="preserve">In the Australian Capital Territory a statutory floor applies after 26 weeks of total incapacity in this example. Statutory floor means the national minimum wage set by Fair Work Australia under the Fair Work Act 2009 (Cwlth). National minimum wage as at 1 January </w:t>
      </w:r>
      <w:r>
        <w:rPr>
          <w:sz w:val="16"/>
          <w:szCs w:val="16"/>
        </w:rPr>
        <w:t>201</w:t>
      </w:r>
      <w:r w:rsidR="009776D9">
        <w:rPr>
          <w:sz w:val="16"/>
          <w:szCs w:val="16"/>
        </w:rPr>
        <w:t>7</w:t>
      </w:r>
      <w:r w:rsidRPr="002E4013">
        <w:rPr>
          <w:sz w:val="16"/>
          <w:szCs w:val="16"/>
        </w:rPr>
        <w:t xml:space="preserve"> is $</w:t>
      </w:r>
      <w:r>
        <w:rPr>
          <w:sz w:val="16"/>
          <w:szCs w:val="16"/>
        </w:rPr>
        <w:t>6</w:t>
      </w:r>
      <w:r w:rsidR="00504F8F">
        <w:rPr>
          <w:sz w:val="16"/>
          <w:szCs w:val="16"/>
        </w:rPr>
        <w:t>72.70</w:t>
      </w:r>
      <w:r w:rsidRPr="002E4013">
        <w:rPr>
          <w:sz w:val="16"/>
          <w:szCs w:val="16"/>
        </w:rPr>
        <w:t xml:space="preserve"> ($1</w:t>
      </w:r>
      <w:r w:rsidR="00504F8F">
        <w:rPr>
          <w:sz w:val="16"/>
          <w:szCs w:val="16"/>
        </w:rPr>
        <w:t>7</w:t>
      </w:r>
      <w:r w:rsidRPr="002E4013">
        <w:rPr>
          <w:sz w:val="16"/>
          <w:szCs w:val="16"/>
        </w:rPr>
        <w:t>.</w:t>
      </w:r>
      <w:r w:rsidR="00504F8F">
        <w:rPr>
          <w:sz w:val="16"/>
          <w:szCs w:val="16"/>
        </w:rPr>
        <w:t>70</w:t>
      </w:r>
      <w:r w:rsidRPr="002E4013">
        <w:rPr>
          <w:sz w:val="16"/>
          <w:szCs w:val="16"/>
        </w:rPr>
        <w:t xml:space="preserve"> per hour).</w:t>
      </w:r>
    </w:p>
    <w:p w14:paraId="0B0873DF" w14:textId="77777777" w:rsidR="00EA6A36" w:rsidRDefault="00EA6A36">
      <w:pPr>
        <w:spacing w:before="0" w:after="200" w:line="276" w:lineRule="auto"/>
        <w:jc w:val="left"/>
        <w:rPr>
          <w:rFonts w:eastAsiaTheme="majorEastAsia" w:cs="Arial"/>
          <w:b/>
          <w:color w:val="AF1E2D"/>
          <w:sz w:val="32"/>
          <w:szCs w:val="22"/>
        </w:rPr>
      </w:pPr>
      <w:r>
        <w:br w:type="page"/>
      </w:r>
    </w:p>
    <w:p w14:paraId="10968DF7" w14:textId="5787AD19" w:rsidR="006D31F5" w:rsidRDefault="006D31F5" w:rsidP="00FC7F4C">
      <w:pPr>
        <w:pStyle w:val="SWASectionnum2"/>
      </w:pPr>
      <w:bookmarkStart w:id="13" w:name="_Toc4508770"/>
      <w:r>
        <w:lastRenderedPageBreak/>
        <w:t>Permanent impairment</w:t>
      </w:r>
      <w:bookmarkEnd w:id="13"/>
      <w:r w:rsidR="00516DF2">
        <w:t xml:space="preserve"> </w:t>
      </w:r>
    </w:p>
    <w:p w14:paraId="7AD10901" w14:textId="77777777" w:rsidR="004E61EF" w:rsidRDefault="006417F6" w:rsidP="000E20AE">
      <w:pPr>
        <w:pStyle w:val="BodyJustified"/>
      </w:pPr>
      <w:r>
        <w:t>Impairment</w:t>
      </w:r>
      <w:r w:rsidR="008E7668">
        <w:t xml:space="preserve"> is assessed as p</w:t>
      </w:r>
      <w:r w:rsidR="004E61EF">
        <w:t xml:space="preserve">ermanent </w:t>
      </w:r>
      <w:r w:rsidR="008E7668">
        <w:t xml:space="preserve">when </w:t>
      </w:r>
      <w:r w:rsidR="007E601B">
        <w:t xml:space="preserve">it has reached maximal medical improvement. Maximal medical improvement is defined as a condition or state that is well </w:t>
      </w:r>
      <w:r w:rsidR="004E44B8">
        <w:t>stabilized</w:t>
      </w:r>
      <w:r w:rsidR="007E601B">
        <w:t xml:space="preserve"> and unlikely to change over the next year, with or without medical treatment. Over time, there may be some change; however, further recovery or deterioration is not anticipated.</w:t>
      </w:r>
    </w:p>
    <w:p w14:paraId="4053681F" w14:textId="77777777" w:rsidR="006D31F5" w:rsidRDefault="006D31F5" w:rsidP="000E20AE">
      <w:pPr>
        <w:pStyle w:val="BodyJustified"/>
      </w:pPr>
      <w:r>
        <w:t>This scenario shows the entitlements payable for a degree of permanent impairment caused by a workplace injury. Each jurisdiction has a predetermined statutory maximum lump sum payment for injuries causing permanent impairment. Maximum amounts are payable in cases of full permanent impairment. Appendix 2 – Table 3 lists entitlements under workers’ compensation schemes for each jurisdiction. The following scenario is indicative only for these types of payments.</w:t>
      </w:r>
    </w:p>
    <w:p w14:paraId="5ACE315F" w14:textId="77777777" w:rsidR="006D31F5" w:rsidRPr="00A35DE3" w:rsidRDefault="006D31F5" w:rsidP="00A35DE3">
      <w:pPr>
        <w:rPr>
          <w:b/>
        </w:rPr>
      </w:pPr>
      <w:r w:rsidRPr="00A35DE3">
        <w:rPr>
          <w:b/>
        </w:rPr>
        <w:t>Scenario</w:t>
      </w:r>
    </w:p>
    <w:p w14:paraId="3348E79F" w14:textId="77777777" w:rsidR="006D31F5" w:rsidRDefault="006D31F5" w:rsidP="006D31F5">
      <w:pPr>
        <w:pStyle w:val="BodyTextindented"/>
      </w:pPr>
      <w:r>
        <w:t xml:space="preserve">As a result of a workplace incident the employee was diagnosed with complete tetraplegia below the 6th cervical neurological segment. This resulted in paralysis of his hands, impaired upper body movement and paralysis of the trunk and lower limbs. He lost all lower body function and was wheelchair-bound. Impairment was total and permanent and there was no real prospect of returning to work. </w:t>
      </w:r>
    </w:p>
    <w:p w14:paraId="0EEA9E00" w14:textId="77777777" w:rsidR="006D31F5" w:rsidRDefault="006D31F5" w:rsidP="006D31F5">
      <w:pPr>
        <w:pStyle w:val="BodyTextindented"/>
      </w:pPr>
      <w:r>
        <w:t>The employee’s pre-injury earnings were $1</w:t>
      </w:r>
      <w:r w:rsidR="00EA3F3B">
        <w:t>,</w:t>
      </w:r>
      <w:r>
        <w:t xml:space="preserve">600 gross per week. The employee is 35 years of age and has a </w:t>
      </w:r>
      <w:r w:rsidR="000452DF">
        <w:t>dependant</w:t>
      </w:r>
      <w:r>
        <w:t xml:space="preserve"> spouse and two children aged 7 and 8. The younger child entered the workforce at 16 and the older child remained in full-time education until age 25. The employee contributed to a superannuation fund. There was no contributory negligence on his part; however there was negligence on the part of the employer. </w:t>
      </w:r>
    </w:p>
    <w:p w14:paraId="59BC144E" w14:textId="4E695111" w:rsidR="006D31F5" w:rsidRDefault="006D31F5" w:rsidP="000E20AE">
      <w:pPr>
        <w:pStyle w:val="BodyJustified"/>
      </w:pPr>
      <w:r w:rsidRPr="00BE094A">
        <w:t xml:space="preserve">Indicator </w:t>
      </w:r>
      <w:r w:rsidR="00EA3F3B">
        <w:t>16</w:t>
      </w:r>
      <w:r w:rsidRPr="00895E3D">
        <w:t xml:space="preserve"> details the entitlements payable to the injured employee. The statutory component includes the</w:t>
      </w:r>
      <w:r>
        <w:t xml:space="preserve"> weekly benefits payable for the remainder of the employee’s working</w:t>
      </w:r>
      <w:r w:rsidR="00283A14">
        <w:t xml:space="preserve"> life. Note that weekly payments in the New South Wales workers’ compensation scheme may be paid up to one year after retirement age</w:t>
      </w:r>
      <w:r>
        <w:t xml:space="preserve"> (</w:t>
      </w:r>
      <w:r w:rsidRPr="00942D30">
        <w:t>30 years in this instance</w:t>
      </w:r>
      <w:r w:rsidR="00942D30">
        <w:t xml:space="preserve"> assuming retirement age is 65</w:t>
      </w:r>
      <w:r>
        <w:t>) and all lump sum payments for permanent impairment. The common law component is an estimate of the additional payment available under a common law settlement, where applicable. All figures exclude medical and like services such as attendant care. Appendix 2 – Table 1</w:t>
      </w:r>
      <w:r w:rsidR="0007618B">
        <w:t>: Key features of Australian workers’ compensation schemes as at 1 January 201</w:t>
      </w:r>
      <w:r w:rsidR="000A76CB">
        <w:t>7</w:t>
      </w:r>
      <w:r w:rsidR="0007618B">
        <w:t>,</w:t>
      </w:r>
      <w:r>
        <w:t xml:space="preserve"> identifies the jurisdictions that have access to common law. In the Australian Capital Territory common law awards regularly exceed the statutory entitlement for equivalent injuries</w:t>
      </w:r>
      <w:r w:rsidR="00010AEC">
        <w:t>,</w:t>
      </w:r>
      <w:r>
        <w:t xml:space="preserve"> therefore the recovery provisions </w:t>
      </w:r>
      <w:r w:rsidR="00FC4F8B">
        <w:t>are always less than the</w:t>
      </w:r>
      <w:r>
        <w:t xml:space="preserve"> common law</w:t>
      </w:r>
      <w:r w:rsidR="00FC4F8B">
        <w:t xml:space="preserve"> payments</w:t>
      </w:r>
      <w:r>
        <w:t xml:space="preserve">. The Courts are able to consider permanent impairment and loss of earnings very broadly and without restriction, and frequently make awards on the basis of possible foregone career progression. The damage amounts can far exceed the limited and capped statutory entitlements. </w:t>
      </w:r>
    </w:p>
    <w:p w14:paraId="1F63D7EB" w14:textId="3E2A6A15" w:rsidR="006D31F5" w:rsidRDefault="006D31F5" w:rsidP="000E20AE">
      <w:pPr>
        <w:pStyle w:val="BodyJustified"/>
      </w:pPr>
      <w:r>
        <w:t>In Western Australia, New South Wales, Queensland, Tasmania and the Australian Capital Territory there is no upper limit on damages that could be expected from a common law claim under this scenario. The Australian Capital Territory did not provide a figure for this scenario. Western Australia provided a figure of $</w:t>
      </w:r>
      <w:r w:rsidR="003B7215">
        <w:t>3</w:t>
      </w:r>
      <w:r w:rsidR="00662152">
        <w:t>,</w:t>
      </w:r>
      <w:r w:rsidR="003B7215">
        <w:t>998</w:t>
      </w:r>
      <w:r w:rsidR="00662152">
        <w:t>,</w:t>
      </w:r>
      <w:r w:rsidR="003B7215">
        <w:t>480</w:t>
      </w:r>
      <w:r>
        <w:t xml:space="preserve"> which is based on the average of the five highest common law payments for claims finalised between 201</w:t>
      </w:r>
      <w:r w:rsidR="003B7215">
        <w:t>2</w:t>
      </w:r>
      <w:r>
        <w:t>–1</w:t>
      </w:r>
      <w:r w:rsidR="003B7215">
        <w:t>3</w:t>
      </w:r>
      <w:r>
        <w:t xml:space="preserve"> and 201</w:t>
      </w:r>
      <w:r w:rsidR="003B7215">
        <w:t>6</w:t>
      </w:r>
      <w:r>
        <w:t>–1</w:t>
      </w:r>
      <w:r w:rsidR="003B7215">
        <w:t>7</w:t>
      </w:r>
      <w:r>
        <w:t>.</w:t>
      </w:r>
      <w:r>
        <w:rPr>
          <w:spacing w:val="4"/>
        </w:rPr>
        <w:t xml:space="preserve"> Queensland provided a figure of $1</w:t>
      </w:r>
      <w:r w:rsidR="00D36409">
        <w:rPr>
          <w:spacing w:val="4"/>
        </w:rPr>
        <w:t>,</w:t>
      </w:r>
      <w:r>
        <w:rPr>
          <w:spacing w:val="4"/>
        </w:rPr>
        <w:t>4</w:t>
      </w:r>
      <w:r w:rsidR="003B6462">
        <w:rPr>
          <w:spacing w:val="4"/>
        </w:rPr>
        <w:t>51</w:t>
      </w:r>
      <w:r w:rsidR="00D36409">
        <w:rPr>
          <w:spacing w:val="4"/>
        </w:rPr>
        <w:t>,</w:t>
      </w:r>
      <w:r w:rsidR="009B7192">
        <w:rPr>
          <w:spacing w:val="4"/>
        </w:rPr>
        <w:t>690</w:t>
      </w:r>
      <w:r>
        <w:t xml:space="preserve">, which is based on an example similar to this scenario. </w:t>
      </w:r>
    </w:p>
    <w:p w14:paraId="545F1535" w14:textId="3116D9D7" w:rsidR="006D31F5" w:rsidRDefault="002C3BD8" w:rsidP="000E20AE">
      <w:pPr>
        <w:pStyle w:val="BodyJustified"/>
      </w:pPr>
      <w:r>
        <w:t>In Victoria the common law cap applicable at 1 January 201</w:t>
      </w:r>
      <w:r w:rsidR="003B7215">
        <w:t>7</w:t>
      </w:r>
      <w:r>
        <w:t xml:space="preserve"> is $1</w:t>
      </w:r>
      <w:r w:rsidR="0075208F">
        <w:t>,</w:t>
      </w:r>
      <w:r>
        <w:t>9</w:t>
      </w:r>
      <w:r w:rsidR="003B7215">
        <w:t>44,010</w:t>
      </w:r>
      <w:r>
        <w:t xml:space="preserve"> comprising of a maximum for pain and suffering cap of $5</w:t>
      </w:r>
      <w:r w:rsidR="003B7215">
        <w:t>89</w:t>
      </w:r>
      <w:r>
        <w:t> </w:t>
      </w:r>
      <w:r w:rsidR="009B7192">
        <w:t>650</w:t>
      </w:r>
      <w:r>
        <w:t xml:space="preserve"> and a pecuniary loss cap at $1</w:t>
      </w:r>
      <w:r w:rsidR="0075208F">
        <w:t>,</w:t>
      </w:r>
      <w:r>
        <w:t>3</w:t>
      </w:r>
      <w:r w:rsidR="003B7215">
        <w:t>54</w:t>
      </w:r>
      <w:r>
        <w:t> 3</w:t>
      </w:r>
      <w:r w:rsidR="009B7192">
        <w:t>60</w:t>
      </w:r>
      <w:r>
        <w:t>. Statutory benefits received are deducted from common law damages awarded. After any common law settlement</w:t>
      </w:r>
      <w:r w:rsidR="00A021E2">
        <w:t>,</w:t>
      </w:r>
      <w:r>
        <w:t xml:space="preserve"> medical and like expenses continue to be paid.</w:t>
      </w:r>
      <w:r w:rsidR="006D31F5">
        <w:t xml:space="preserve"> </w:t>
      </w:r>
    </w:p>
    <w:p w14:paraId="5EBD6CFE" w14:textId="4197E4E0" w:rsidR="006D31F5" w:rsidRDefault="006D31F5" w:rsidP="000E20AE">
      <w:pPr>
        <w:pStyle w:val="BodyJustified"/>
      </w:pPr>
      <w:r>
        <w:t>The South Australian scheme is limited to statutory compensation. In South Australia legislative changes</w:t>
      </w:r>
      <w:r w:rsidR="00A97AF4">
        <w:t xml:space="preserve"> that occurred in July 2015</w:t>
      </w:r>
      <w:r>
        <w:t xml:space="preserve"> resulted</w:t>
      </w:r>
      <w:r w:rsidR="0007618B">
        <w:t xml:space="preserve"> </w:t>
      </w:r>
      <w:r>
        <w:t>in a significant increase in the maximum lump sum amount payable to workers who suffer a permanent serious injury or illness. This amount was $4</w:t>
      </w:r>
      <w:r w:rsidR="00894F25">
        <w:t>93</w:t>
      </w:r>
      <w:r w:rsidR="00D36409">
        <w:t>,</w:t>
      </w:r>
      <w:r w:rsidR="00894F25">
        <w:t>393</w:t>
      </w:r>
      <w:r>
        <w:t xml:space="preserve"> in 201</w:t>
      </w:r>
      <w:r w:rsidR="00894F25">
        <w:t>6</w:t>
      </w:r>
      <w:r>
        <w:t>−1</w:t>
      </w:r>
      <w:r w:rsidR="00894F25">
        <w:t>7</w:t>
      </w:r>
      <w:r>
        <w:t>. The South Australian system is weighted so that more compensation is paid to those with moderate to severe permanent injuries, rather than those with minor permanent injuries.</w:t>
      </w:r>
    </w:p>
    <w:p w14:paraId="7B3437A5" w14:textId="153DA4E6" w:rsidR="00CA1E70" w:rsidRPr="00CA1E70" w:rsidRDefault="00CA1E70" w:rsidP="00CA1E70">
      <w:pPr>
        <w:rPr>
          <w:lang w:val="en-US" w:eastAsia="en-US"/>
        </w:rPr>
      </w:pPr>
      <w:r>
        <w:rPr>
          <w:lang w:val="en-US" w:eastAsia="en-US"/>
        </w:rPr>
        <w:lastRenderedPageBreak/>
        <w:t xml:space="preserve">In the </w:t>
      </w:r>
      <w:r w:rsidR="00D71973">
        <w:rPr>
          <w:lang w:val="en-US" w:eastAsia="en-US"/>
        </w:rPr>
        <w:t>Comcare</w:t>
      </w:r>
      <w:r>
        <w:rPr>
          <w:lang w:val="en-US" w:eastAsia="en-US"/>
        </w:rPr>
        <w:t xml:space="preserve"> scheme, the maximum Lump sum payable is up to $1</w:t>
      </w:r>
      <w:r w:rsidR="007F2464">
        <w:rPr>
          <w:lang w:val="en-US" w:eastAsia="en-US"/>
        </w:rPr>
        <w:t>83</w:t>
      </w:r>
      <w:r>
        <w:rPr>
          <w:lang w:val="en-US" w:eastAsia="en-US"/>
        </w:rPr>
        <w:t>,</w:t>
      </w:r>
      <w:r w:rsidR="007F2464">
        <w:rPr>
          <w:lang w:val="en-US" w:eastAsia="en-US"/>
        </w:rPr>
        <w:t>035</w:t>
      </w:r>
      <w:r>
        <w:rPr>
          <w:lang w:val="en-US" w:eastAsia="en-US"/>
        </w:rPr>
        <w:t xml:space="preserve"> plus up to $6</w:t>
      </w:r>
      <w:r w:rsidR="007F2464">
        <w:rPr>
          <w:lang w:val="en-US" w:eastAsia="en-US"/>
        </w:rPr>
        <w:t>8</w:t>
      </w:r>
      <w:r>
        <w:rPr>
          <w:lang w:val="en-US" w:eastAsia="en-US"/>
        </w:rPr>
        <w:t>,</w:t>
      </w:r>
      <w:r w:rsidR="007F2464">
        <w:rPr>
          <w:lang w:val="en-US" w:eastAsia="en-US"/>
        </w:rPr>
        <w:t>638</w:t>
      </w:r>
      <w:r>
        <w:rPr>
          <w:lang w:val="en-US" w:eastAsia="en-US"/>
        </w:rPr>
        <w:t xml:space="preserve"> for non-economic loss. There is no cap on common law in the Australian government scheme.</w:t>
      </w:r>
    </w:p>
    <w:p w14:paraId="240B24D7" w14:textId="77777777" w:rsidR="006D31F5" w:rsidRDefault="006D31F5" w:rsidP="000E20AE">
      <w:pPr>
        <w:pStyle w:val="BodyJustified"/>
      </w:pPr>
      <w:r>
        <w:t xml:space="preserve">The entitlements provided by the New Zealand scheme in this scenario are comparable to those provided by Australian jurisdictions. However, there is no access to common law under the New Zealand scheme. </w:t>
      </w:r>
    </w:p>
    <w:p w14:paraId="5A911A67" w14:textId="485B50B8" w:rsidR="006D31F5" w:rsidRDefault="006D31F5" w:rsidP="00FC7F4C">
      <w:pPr>
        <w:pStyle w:val="SWASectionnum2"/>
      </w:pPr>
      <w:bookmarkStart w:id="14" w:name="_Toc4508771"/>
      <w:r>
        <w:t>Workplace fatality</w:t>
      </w:r>
      <w:bookmarkEnd w:id="14"/>
      <w:r w:rsidR="00516DF2">
        <w:t xml:space="preserve"> </w:t>
      </w:r>
    </w:p>
    <w:p w14:paraId="0BAEDA81" w14:textId="6F8CF653" w:rsidR="006D31F5" w:rsidRDefault="006D31F5" w:rsidP="000E20AE">
      <w:pPr>
        <w:pStyle w:val="BodyJustified"/>
      </w:pPr>
      <w:r>
        <w:t xml:space="preserve">This example examines the entitlements payable to </w:t>
      </w:r>
      <w:r w:rsidR="000452DF">
        <w:t>dependant</w:t>
      </w:r>
      <w:r>
        <w:t xml:space="preserve">s of an employee who died </w:t>
      </w:r>
      <w:r w:rsidR="00665F9C">
        <w:t>as a result of</w:t>
      </w:r>
      <w:r>
        <w:t xml:space="preserve"> a work</w:t>
      </w:r>
      <w:r w:rsidR="00271C3A">
        <w:noBreakHyphen/>
      </w:r>
      <w:r>
        <w:t xml:space="preserve">related injury. Entitlements to </w:t>
      </w:r>
      <w:r w:rsidR="000452DF">
        <w:t>dependant</w:t>
      </w:r>
      <w:r>
        <w:t xml:space="preserve">s are paid by way of a lump sum and/or weekly benefits, depending on the employee’s circumstances and scheme design. </w:t>
      </w:r>
    </w:p>
    <w:p w14:paraId="4E014EB8" w14:textId="77777777" w:rsidR="006D31F5" w:rsidRDefault="006D31F5" w:rsidP="000E20AE">
      <w:pPr>
        <w:pStyle w:val="BodyJustified"/>
      </w:pPr>
      <w:r>
        <w:t>Pecuniary entitlements may be affected by common law payments in jurisdictions where there is access to common law redress. South Australia and the Northern Territory have no access to common law, while the Australian Government has limited access to common law. In Victoria there may be access to an additional lump sum under the</w:t>
      </w:r>
      <w:r>
        <w:rPr>
          <w:rFonts w:ascii="Verdana" w:hAnsi="Verdana"/>
          <w:color w:val="000000"/>
          <w:sz w:val="17"/>
          <w:szCs w:val="17"/>
        </w:rPr>
        <w:t xml:space="preserve"> </w:t>
      </w:r>
      <w:r w:rsidRPr="00D27DA9">
        <w:rPr>
          <w:rStyle w:val="Emphasis"/>
          <w:color w:val="000000"/>
        </w:rPr>
        <w:t>Wrongs Act 1958</w:t>
      </w:r>
      <w:r w:rsidRPr="009E064F">
        <w:rPr>
          <w:rStyle w:val="Emphasis"/>
          <w:color w:val="000000"/>
        </w:rPr>
        <w:t xml:space="preserve"> (Wrongs Act)</w:t>
      </w:r>
      <w:r w:rsidRPr="009E064F">
        <w:rPr>
          <w:i/>
          <w:color w:val="000000"/>
        </w:rPr>
        <w:t xml:space="preserve">, </w:t>
      </w:r>
      <w:r w:rsidRPr="009E064F">
        <w:rPr>
          <w:color w:val="000000"/>
        </w:rPr>
        <w:t>which is the main legislation in Victoria that applies to common law claims for damages for personal injury in cases other than workplace injuries or transport accidents</w:t>
      </w:r>
      <w:r>
        <w:rPr>
          <w:color w:val="000000"/>
        </w:rPr>
        <w:t>.</w:t>
      </w:r>
    </w:p>
    <w:p w14:paraId="61971871" w14:textId="77777777" w:rsidR="006D31F5" w:rsidRPr="00A35DE3" w:rsidRDefault="006D31F5" w:rsidP="00A35DE3">
      <w:pPr>
        <w:rPr>
          <w:b/>
        </w:rPr>
      </w:pPr>
      <w:r w:rsidRPr="00A35DE3">
        <w:rPr>
          <w:b/>
        </w:rPr>
        <w:t>Scenario</w:t>
      </w:r>
    </w:p>
    <w:p w14:paraId="7C918E73" w14:textId="77777777" w:rsidR="006D31F5" w:rsidRDefault="006D31F5" w:rsidP="006D31F5">
      <w:pPr>
        <w:pStyle w:val="BodyTextindented"/>
      </w:pPr>
      <w:r>
        <w:t>The employee and family circumstances in this scenario are the same as in the previous example, but in this case the workplace incident resulted in death</w:t>
      </w:r>
      <w:r w:rsidR="0007618B">
        <w:t xml:space="preserve"> on 1 January 2016</w:t>
      </w:r>
      <w:r>
        <w:t>. The spouse did not re-enter the workforce or re-marry for 10 years.</w:t>
      </w:r>
    </w:p>
    <w:p w14:paraId="7712C517" w14:textId="5E238816" w:rsidR="006D31F5" w:rsidRPr="005C0BE7" w:rsidRDefault="006D31F5" w:rsidP="000E20AE">
      <w:pPr>
        <w:pStyle w:val="BodyJustified"/>
      </w:pPr>
      <w:r>
        <w:t xml:space="preserve">Indicator </w:t>
      </w:r>
      <w:r w:rsidR="00D36409">
        <w:rPr>
          <w:noProof/>
        </w:rPr>
        <w:t>16</w:t>
      </w:r>
      <w:r>
        <w:t xml:space="preserve"> shows that total entitlements payable to </w:t>
      </w:r>
      <w:r w:rsidR="000452DF">
        <w:t>dependant</w:t>
      </w:r>
      <w:r>
        <w:t xml:space="preserve">s in the case of a fatality varied across jurisdictions. </w:t>
      </w:r>
      <w:r w:rsidR="00986439">
        <w:t xml:space="preserve">New South Wales </w:t>
      </w:r>
      <w:r>
        <w:t xml:space="preserve">provided the highest entitlement payable to </w:t>
      </w:r>
      <w:r w:rsidR="000452DF">
        <w:t>dependant</w:t>
      </w:r>
      <w:r>
        <w:t xml:space="preserve">s in Australia following a workplace incident resulting in a fatality </w:t>
      </w:r>
      <w:r>
        <w:rPr>
          <w:spacing w:val="-4"/>
        </w:rPr>
        <w:t>at the amount of $9</w:t>
      </w:r>
      <w:r w:rsidR="003B035B">
        <w:rPr>
          <w:spacing w:val="-4"/>
        </w:rPr>
        <w:t>22</w:t>
      </w:r>
      <w:r w:rsidR="00D36409">
        <w:rPr>
          <w:spacing w:val="-4"/>
        </w:rPr>
        <w:t>,</w:t>
      </w:r>
      <w:r w:rsidR="003B035B">
        <w:rPr>
          <w:spacing w:val="-4"/>
        </w:rPr>
        <w:t>492</w:t>
      </w:r>
      <w:r>
        <w:rPr>
          <w:spacing w:val="-4"/>
        </w:rPr>
        <w:t xml:space="preserve">, followed by </w:t>
      </w:r>
      <w:r w:rsidR="00986439">
        <w:rPr>
          <w:spacing w:val="-4"/>
        </w:rPr>
        <w:t>South Australia and Queensland at $867</w:t>
      </w:r>
      <w:r w:rsidR="00D36409">
        <w:rPr>
          <w:spacing w:val="-4"/>
        </w:rPr>
        <w:t>,</w:t>
      </w:r>
      <w:r w:rsidR="003B035B">
        <w:rPr>
          <w:spacing w:val="-4"/>
        </w:rPr>
        <w:t>794</w:t>
      </w:r>
      <w:r w:rsidR="00986439">
        <w:rPr>
          <w:spacing w:val="-4"/>
        </w:rPr>
        <w:t xml:space="preserve"> and $83</w:t>
      </w:r>
      <w:r w:rsidR="003B035B">
        <w:rPr>
          <w:spacing w:val="-4"/>
        </w:rPr>
        <w:t>5</w:t>
      </w:r>
      <w:r w:rsidR="00D36409">
        <w:rPr>
          <w:spacing w:val="-4"/>
        </w:rPr>
        <w:t>,</w:t>
      </w:r>
      <w:r w:rsidR="00986439">
        <w:rPr>
          <w:spacing w:val="-4"/>
        </w:rPr>
        <w:t>366</w:t>
      </w:r>
      <w:r w:rsidR="00D36409">
        <w:rPr>
          <w:spacing w:val="-4"/>
        </w:rPr>
        <w:t>,</w:t>
      </w:r>
      <w:r w:rsidR="00986439">
        <w:rPr>
          <w:spacing w:val="-4"/>
        </w:rPr>
        <w:t xml:space="preserve"> </w:t>
      </w:r>
      <w:r>
        <w:rPr>
          <w:spacing w:val="-4"/>
        </w:rPr>
        <w:t>respectively.</w:t>
      </w:r>
      <w:r>
        <w:t xml:space="preserve"> The lowest entitlements for a fatality were provided in </w:t>
      </w:r>
      <w:r w:rsidR="00D36409">
        <w:t>the Australian Capital Territory ($3</w:t>
      </w:r>
      <w:r w:rsidR="003B035B">
        <w:t>10</w:t>
      </w:r>
      <w:r w:rsidR="00D36409">
        <w:t>,</w:t>
      </w:r>
      <w:r w:rsidR="003B035B">
        <w:t>075</w:t>
      </w:r>
      <w:r w:rsidR="00D36409">
        <w:t xml:space="preserve">) and </w:t>
      </w:r>
      <w:r w:rsidR="00986439">
        <w:t xml:space="preserve">Western Australia </w:t>
      </w:r>
      <w:r w:rsidR="00D36409">
        <w:t>(</w:t>
      </w:r>
      <w:r w:rsidR="00986439">
        <w:t>$3</w:t>
      </w:r>
      <w:r w:rsidR="003B035B">
        <w:t>70</w:t>
      </w:r>
      <w:r w:rsidR="00D36409">
        <w:t>,</w:t>
      </w:r>
      <w:r w:rsidR="003B035B">
        <w:t>651</w:t>
      </w:r>
      <w:r w:rsidR="00D36409">
        <w:t>)</w:t>
      </w:r>
      <w:r>
        <w:t xml:space="preserve">. Appendix 2 – Table 3 provides more details </w:t>
      </w:r>
      <w:r w:rsidRPr="005C0BE7">
        <w:t xml:space="preserve">on how these entitlements are calculated. </w:t>
      </w:r>
    </w:p>
    <w:p w14:paraId="261FF22D" w14:textId="7B2D5B3B" w:rsidR="006D31F5" w:rsidRPr="005C0BE7" w:rsidRDefault="006D31F5" w:rsidP="000E20AE">
      <w:pPr>
        <w:pStyle w:val="BodyJustified"/>
      </w:pPr>
      <w:r w:rsidRPr="005C0BE7">
        <w:t>In Victoria, legislative changes that were enacted from April 2010 increased lump sum amounts payable from $273</w:t>
      </w:r>
      <w:r w:rsidR="0075208F">
        <w:t>,</w:t>
      </w:r>
      <w:r w:rsidRPr="005C0BE7">
        <w:t>970 to $503</w:t>
      </w:r>
      <w:r w:rsidR="0075208F">
        <w:t>,</w:t>
      </w:r>
      <w:r w:rsidRPr="005C0BE7">
        <w:t xml:space="preserve">000 backdated for all claims not determined from 10 December 2009. The lump sum amount increased to </w:t>
      </w:r>
      <w:r w:rsidRPr="009304F0">
        <w:t>$</w:t>
      </w:r>
      <w:r w:rsidR="00005424" w:rsidRPr="009304F0">
        <w:t>8</w:t>
      </w:r>
      <w:r w:rsidR="003B035B" w:rsidRPr="009304F0">
        <w:t>31</w:t>
      </w:r>
      <w:r w:rsidR="00DA54FA" w:rsidRPr="009304F0">
        <w:t>,</w:t>
      </w:r>
      <w:r w:rsidR="003B035B" w:rsidRPr="009304F0">
        <w:t>970</w:t>
      </w:r>
      <w:r w:rsidRPr="009304F0">
        <w:t xml:space="preserve"> </w:t>
      </w:r>
      <w:r w:rsidRPr="005C0BE7">
        <w:t>in 201</w:t>
      </w:r>
      <w:r w:rsidR="00DB435A">
        <w:t>6</w:t>
      </w:r>
      <w:r w:rsidRPr="005C0BE7">
        <w:t>–1</w:t>
      </w:r>
      <w:r w:rsidR="00DB435A">
        <w:t>7</w:t>
      </w:r>
      <w:r w:rsidRPr="005C0BE7">
        <w:t>.</w:t>
      </w:r>
    </w:p>
    <w:p w14:paraId="329A74B3" w14:textId="517682E4" w:rsidR="006D31F5" w:rsidRDefault="006D31F5" w:rsidP="000E20AE">
      <w:pPr>
        <w:pStyle w:val="BodyJustified"/>
      </w:pPr>
      <w:r w:rsidRPr="005C0BE7">
        <w:t xml:space="preserve">In the </w:t>
      </w:r>
      <w:r w:rsidR="00D71973">
        <w:t>Comcare</w:t>
      </w:r>
      <w:r w:rsidRPr="005C0BE7">
        <w:t xml:space="preserve"> scheme, benefits under the Safety, Rehabilitation and Compensation (SRC) Act were amended with lump sum payments </w:t>
      </w:r>
      <w:r w:rsidR="001C71AC">
        <w:t xml:space="preserve">(includes both death and permanent impairment payments) </w:t>
      </w:r>
      <w:r w:rsidRPr="005C0BE7">
        <w:t xml:space="preserve">set at </w:t>
      </w:r>
      <w:r w:rsidRPr="009304F0">
        <w:t>$</w:t>
      </w:r>
      <w:r w:rsidR="00005424" w:rsidRPr="009304F0">
        <w:t>7</w:t>
      </w:r>
      <w:r w:rsidR="003B035B" w:rsidRPr="009304F0">
        <w:t>24</w:t>
      </w:r>
      <w:r w:rsidR="00DA54FA" w:rsidRPr="009304F0">
        <w:t>,</w:t>
      </w:r>
      <w:r w:rsidR="003B035B" w:rsidRPr="009304F0">
        <w:t>907</w:t>
      </w:r>
      <w:r w:rsidRPr="009304F0">
        <w:t xml:space="preserve"> </w:t>
      </w:r>
      <w:r w:rsidRPr="005C0BE7">
        <w:t>in 201</w:t>
      </w:r>
      <w:r w:rsidR="00DC4801">
        <w:t>6</w:t>
      </w:r>
      <w:r w:rsidRPr="005C0BE7">
        <w:t>–1</w:t>
      </w:r>
      <w:r w:rsidR="00DC4801">
        <w:t>7</w:t>
      </w:r>
      <w:r w:rsidR="00005424">
        <w:t>.</w:t>
      </w:r>
    </w:p>
    <w:p w14:paraId="6A7BD463" w14:textId="04D2FF0E" w:rsidR="006D31F5" w:rsidRDefault="006D31F5" w:rsidP="000E20AE">
      <w:pPr>
        <w:pStyle w:val="BodyJustified"/>
      </w:pPr>
      <w:r>
        <w:t>In New Zealand</w:t>
      </w:r>
      <w:r w:rsidR="00271C3A">
        <w:t>,</w:t>
      </w:r>
      <w:r>
        <w:t xml:space="preserve"> $7</w:t>
      </w:r>
      <w:r w:rsidR="003B035B">
        <w:t>71</w:t>
      </w:r>
      <w:r w:rsidR="00DA54FA">
        <w:t>,</w:t>
      </w:r>
      <w:r w:rsidR="003B035B">
        <w:t>975</w:t>
      </w:r>
      <w:r>
        <w:t xml:space="preserve"> is payable to dependants</w:t>
      </w:r>
      <w:r w:rsidR="00DA54FA">
        <w:t>,</w:t>
      </w:r>
      <w:r>
        <w:t xml:space="preserve"> which is higher than all but </w:t>
      </w:r>
      <w:r w:rsidR="00005424">
        <w:t>four</w:t>
      </w:r>
      <w:r>
        <w:t xml:space="preserve"> Australian jurisdictions. The New Zealand scheme provides little in the way of lump sum amounts but provides high weekly benefits to the spouse and children while the children remain dependants. </w:t>
      </w:r>
    </w:p>
    <w:p w14:paraId="23060DB5" w14:textId="77777777" w:rsidR="00EA6A36" w:rsidRDefault="00EA6A36">
      <w:pPr>
        <w:spacing w:before="0" w:after="200" w:line="276" w:lineRule="auto"/>
        <w:jc w:val="left"/>
        <w:rPr>
          <w:rFonts w:eastAsiaTheme="majorEastAsia" w:cstheme="majorBidi"/>
          <w:b/>
          <w:color w:val="AF1E2D"/>
          <w:spacing w:val="-3"/>
          <w:szCs w:val="22"/>
          <w:lang w:eastAsia="en-US"/>
        </w:rPr>
      </w:pPr>
      <w:bookmarkStart w:id="15" w:name="_Ref464026329"/>
      <w:r>
        <w:br w:type="page"/>
      </w:r>
    </w:p>
    <w:p w14:paraId="2B8FC03E" w14:textId="01A916CB" w:rsidR="006D31F5" w:rsidRDefault="006D31F5" w:rsidP="00FF028E">
      <w:pPr>
        <w:pStyle w:val="SWATableheader"/>
      </w:pPr>
      <w:r>
        <w:lastRenderedPageBreak/>
        <w:t xml:space="preserve">Indicator </w:t>
      </w:r>
      <w:r>
        <w:rPr>
          <w:noProof/>
        </w:rPr>
        <w:t>1</w:t>
      </w:r>
      <w:bookmarkEnd w:id="15"/>
      <w:r w:rsidR="00535035">
        <w:rPr>
          <w:noProof/>
        </w:rPr>
        <w:t>6</w:t>
      </w:r>
      <w:r>
        <w:t xml:space="preserve"> – Entitlements for permanent incapacity or fatality as at 1 January 201</w:t>
      </w:r>
      <w:r w:rsidR="00EE5E59">
        <w:t>7</w:t>
      </w:r>
      <w:r w:rsidR="0013431C">
        <w:t xml:space="preserve"> </w:t>
      </w:r>
    </w:p>
    <w:p w14:paraId="44CEE20A" w14:textId="77777777" w:rsidR="006D31F5" w:rsidRDefault="006D31F5" w:rsidP="006D31F5">
      <w:pPr>
        <w:pStyle w:val="BodyTextindented"/>
        <w:ind w:left="0"/>
        <w:jc w:val="center"/>
      </w:pPr>
      <w:r>
        <w:rPr>
          <w:noProof/>
          <w:lang w:val="en-AU" w:eastAsia="en-AU"/>
        </w:rPr>
        <w:drawing>
          <wp:inline distT="0" distB="0" distL="0" distR="0" wp14:anchorId="3683458B" wp14:editId="04CA94F4">
            <wp:extent cx="4687585" cy="2412000"/>
            <wp:effectExtent l="0" t="0" r="0" b="7620"/>
            <wp:docPr id="7" name="Picture 7" descr="This chart shows  the Statutory, Common law and Fatality entitlements as at 1 january 2017 in Australian jurisdictions and New Zealand." title="Entitlements for permanent incapacity or fatality as at 1 Janua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4 - Entitlement for permanent incapacity or fatality-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87585" cy="2412000"/>
                    </a:xfrm>
                    <a:prstGeom prst="rect">
                      <a:avLst/>
                    </a:prstGeom>
                  </pic:spPr>
                </pic:pic>
              </a:graphicData>
            </a:graphic>
          </wp:inline>
        </w:drawing>
      </w:r>
    </w:p>
    <w:p w14:paraId="4FC27977" w14:textId="77777777" w:rsidR="006D31F5" w:rsidRPr="00894563" w:rsidRDefault="006D31F5" w:rsidP="006D31F5">
      <w:pPr>
        <w:pStyle w:val="Footnote"/>
      </w:pPr>
      <w:r w:rsidRPr="00894563">
        <w:t xml:space="preserve">Notes: </w:t>
      </w:r>
    </w:p>
    <w:p w14:paraId="72BAB048" w14:textId="6C897BFE" w:rsidR="006D31F5" w:rsidRPr="00894563" w:rsidRDefault="006D31F5" w:rsidP="006D31F5">
      <w:pPr>
        <w:pStyle w:val="Footnote"/>
      </w:pPr>
      <w:r w:rsidRPr="00894563">
        <w:t xml:space="preserve">New South Wales workers’ compensation arrangements allow workers </w:t>
      </w:r>
      <w:r w:rsidR="00850392">
        <w:t xml:space="preserve">with 15% or more WPI </w:t>
      </w:r>
      <w:r w:rsidRPr="00894563">
        <w:t xml:space="preserve">to sue for modified common law damages only - these are known as work injury damages. Workers are limited to recovering past and future economic loss only. There is no upper limit on compensation that can be paid for a work injury damages claim. The figure provided by NSW is based on the following assumptions: legislation as at 1 January </w:t>
      </w:r>
      <w:r>
        <w:t>201</w:t>
      </w:r>
      <w:r w:rsidR="00DB435A">
        <w:t>7</w:t>
      </w:r>
      <w:r w:rsidRPr="00894563">
        <w:t xml:space="preserve">; the worker does not have access to other heads of damages (e.g. motor vehicle accident or </w:t>
      </w:r>
      <w:r>
        <w:t>c</w:t>
      </w:r>
      <w:r w:rsidRPr="00894563">
        <w:t xml:space="preserve">ivil </w:t>
      </w:r>
      <w:r>
        <w:t>l</w:t>
      </w:r>
      <w:r w:rsidRPr="00894563">
        <w:t xml:space="preserve">iability claim); the worker has no residual earning capacity; assume a settlement date of 01 January </w:t>
      </w:r>
      <w:r>
        <w:t>2017</w:t>
      </w:r>
      <w:r w:rsidRPr="00894563">
        <w:t>. When a worker successfully recovers damages, the worker is liable to repay out of those damages the amount of weekly compensation that a person has already been paid in respect of the injury.</w:t>
      </w:r>
      <w:r>
        <w:t xml:space="preserve"> </w:t>
      </w:r>
    </w:p>
    <w:p w14:paraId="7F09A321" w14:textId="77777777" w:rsidR="006D31F5" w:rsidRDefault="006D31F5" w:rsidP="006D31F5">
      <w:pPr>
        <w:pStyle w:val="Footnote"/>
      </w:pPr>
      <w:r w:rsidRPr="00894563">
        <w:t>In Queensland there is no upper limit on compensation that could be paid for a common law claim. The amount provided is based on an example. The common law additional amount excludes all statutory payments made and the estimated proportion of the lump sum payment attributed to medical and carer services (only one payment is made to the worker).</w:t>
      </w:r>
    </w:p>
    <w:p w14:paraId="2FC41543" w14:textId="497339D2" w:rsidR="006D31F5" w:rsidRPr="00894563" w:rsidRDefault="006D31F5" w:rsidP="006D31F5">
      <w:pPr>
        <w:pStyle w:val="Footnote"/>
      </w:pPr>
      <w:r w:rsidRPr="00894563">
        <w:t>In the Australian</w:t>
      </w:r>
      <w:r w:rsidR="0075208F">
        <w:t xml:space="preserve"> </w:t>
      </w:r>
      <w:r w:rsidRPr="00894563">
        <w:t>Capital Territory</w:t>
      </w:r>
      <w:r>
        <w:t>,</w:t>
      </w:r>
      <w:r w:rsidRPr="00894563">
        <w:t xml:space="preserve"> </w:t>
      </w:r>
      <w:r>
        <w:t>c</w:t>
      </w:r>
      <w:r w:rsidRPr="00894563">
        <w:t xml:space="preserve">ommon </w:t>
      </w:r>
      <w:r>
        <w:t>l</w:t>
      </w:r>
      <w:r w:rsidRPr="00894563">
        <w:t>aw is uncapped so an amount is unable to be determined.</w:t>
      </w:r>
      <w:r>
        <w:t xml:space="preserve"> </w:t>
      </w:r>
    </w:p>
    <w:p w14:paraId="107070F4" w14:textId="721C9D21" w:rsidR="006D31F5" w:rsidRDefault="006D31F5" w:rsidP="0007618B">
      <w:pPr>
        <w:pStyle w:val="Footnote"/>
        <w:rPr>
          <w:rFonts w:ascii="Arial Bold" w:eastAsiaTheme="majorEastAsia" w:hAnsi="Arial Bold"/>
          <w:b/>
          <w:kern w:val="32"/>
          <w:sz w:val="28"/>
          <w:szCs w:val="22"/>
        </w:rPr>
      </w:pPr>
      <w:r w:rsidRPr="002C3BD8">
        <w:rPr>
          <w:color w:val="auto"/>
        </w:rPr>
        <w:t>In Western Australia, a cap on common law benefits applies for injuries with more than 15</w:t>
      </w:r>
      <w:r w:rsidR="00FB0257">
        <w:rPr>
          <w:color w:val="auto"/>
        </w:rPr>
        <w:t> per cent</w:t>
      </w:r>
      <w:r w:rsidRPr="002C3BD8">
        <w:rPr>
          <w:color w:val="auto"/>
        </w:rPr>
        <w:t xml:space="preserve"> to less than 25</w:t>
      </w:r>
      <w:r w:rsidR="00FB0257">
        <w:rPr>
          <w:color w:val="auto"/>
        </w:rPr>
        <w:t> per cent</w:t>
      </w:r>
      <w:r w:rsidRPr="002C3BD8">
        <w:rPr>
          <w:color w:val="auto"/>
        </w:rPr>
        <w:t xml:space="preserve"> whole of person impairment (WPI). The cap amount is </w:t>
      </w:r>
      <w:r w:rsidR="006A4F84" w:rsidRPr="002C3BD8">
        <w:rPr>
          <w:color w:val="auto"/>
        </w:rPr>
        <w:t>$4</w:t>
      </w:r>
      <w:r w:rsidR="00DB435A">
        <w:rPr>
          <w:color w:val="auto"/>
        </w:rPr>
        <w:t>65</w:t>
      </w:r>
      <w:r w:rsidR="006A4F84" w:rsidRPr="002C3BD8">
        <w:rPr>
          <w:color w:val="auto"/>
        </w:rPr>
        <w:t>,</w:t>
      </w:r>
      <w:r w:rsidR="00DB435A">
        <w:rPr>
          <w:color w:val="auto"/>
        </w:rPr>
        <w:t>974</w:t>
      </w:r>
      <w:r w:rsidRPr="002C3BD8">
        <w:rPr>
          <w:color w:val="auto"/>
        </w:rPr>
        <w:t>. However, in this example no common law cap would apply as the impairment would likely exceed the 25</w:t>
      </w:r>
      <w:r w:rsidR="00FB0257">
        <w:rPr>
          <w:color w:val="auto"/>
        </w:rPr>
        <w:t> per cent</w:t>
      </w:r>
      <w:r w:rsidRPr="002C3BD8">
        <w:rPr>
          <w:color w:val="auto"/>
        </w:rPr>
        <w:t xml:space="preserve"> or more WPI threshold. The figure provided ($</w:t>
      </w:r>
      <w:r w:rsidR="00DB435A">
        <w:rPr>
          <w:color w:val="auto"/>
        </w:rPr>
        <w:t>3</w:t>
      </w:r>
      <w:r w:rsidR="006A4F84" w:rsidRPr="002C3BD8">
        <w:rPr>
          <w:color w:val="auto"/>
        </w:rPr>
        <w:t>,</w:t>
      </w:r>
      <w:r w:rsidR="00DB435A">
        <w:rPr>
          <w:color w:val="auto"/>
        </w:rPr>
        <w:t>998</w:t>
      </w:r>
      <w:r w:rsidR="006A4F84" w:rsidRPr="002C3BD8">
        <w:rPr>
          <w:color w:val="auto"/>
        </w:rPr>
        <w:t>,</w:t>
      </w:r>
      <w:r w:rsidR="00DB435A">
        <w:rPr>
          <w:color w:val="auto"/>
        </w:rPr>
        <w:t>480</w:t>
      </w:r>
      <w:r w:rsidRPr="002C3BD8">
        <w:rPr>
          <w:color w:val="auto"/>
        </w:rPr>
        <w:t xml:space="preserve"> excluding medical and carer costs) is based on the average of the five highest common law payments for claims finalised between 201</w:t>
      </w:r>
      <w:r w:rsidR="00DB435A">
        <w:rPr>
          <w:color w:val="auto"/>
        </w:rPr>
        <w:t>2</w:t>
      </w:r>
      <w:r w:rsidRPr="002C3BD8">
        <w:rPr>
          <w:color w:val="auto"/>
        </w:rPr>
        <w:t>–1</w:t>
      </w:r>
      <w:r w:rsidR="00DB435A">
        <w:rPr>
          <w:color w:val="auto"/>
        </w:rPr>
        <w:t>3</w:t>
      </w:r>
      <w:r w:rsidRPr="002C3BD8">
        <w:rPr>
          <w:color w:val="auto"/>
        </w:rPr>
        <w:t xml:space="preserve"> and 201</w:t>
      </w:r>
      <w:r w:rsidR="00DB435A">
        <w:rPr>
          <w:color w:val="auto"/>
        </w:rPr>
        <w:t>6</w:t>
      </w:r>
      <w:r w:rsidRPr="002C3BD8">
        <w:rPr>
          <w:color w:val="auto"/>
        </w:rPr>
        <w:t>–1</w:t>
      </w:r>
      <w:r w:rsidR="00DB435A">
        <w:rPr>
          <w:color w:val="auto"/>
        </w:rPr>
        <w:t>7</w:t>
      </w:r>
      <w:r w:rsidRPr="002C3BD8">
        <w:rPr>
          <w:color w:val="auto"/>
        </w:rPr>
        <w:t xml:space="preserve">. It should be noted that weekly benefits and common law payments are not mutually exclusive. Common law payments are inclusive of weekly benefits, therefore, any statutory entitlements received would be deducted from the amount ordered at the common law claim. </w:t>
      </w:r>
      <w:r w:rsidRPr="002C3BD8">
        <w:rPr>
          <w:rFonts w:asciiTheme="minorBidi" w:hAnsiTheme="minorBidi" w:cstheme="minorBidi"/>
          <w:bCs/>
        </w:rPr>
        <w:t>In Victoria the pain and suffering maximum is $57</w:t>
      </w:r>
      <w:r w:rsidR="00D5567A" w:rsidRPr="002C3BD8">
        <w:rPr>
          <w:rFonts w:asciiTheme="minorBidi" w:hAnsiTheme="minorBidi" w:cstheme="minorBidi"/>
          <w:bCs/>
        </w:rPr>
        <w:t>7</w:t>
      </w:r>
      <w:r w:rsidR="006A4F84" w:rsidRPr="002C3BD8">
        <w:rPr>
          <w:rFonts w:asciiTheme="minorBidi" w:hAnsiTheme="minorBidi" w:cstheme="minorBidi"/>
          <w:bCs/>
        </w:rPr>
        <w:t>,</w:t>
      </w:r>
      <w:r w:rsidR="00D5567A" w:rsidRPr="002C3BD8">
        <w:rPr>
          <w:rFonts w:asciiTheme="minorBidi" w:hAnsiTheme="minorBidi" w:cstheme="minorBidi"/>
          <w:bCs/>
        </w:rPr>
        <w:t>050</w:t>
      </w:r>
      <w:r w:rsidR="006A4F84" w:rsidRPr="002C3BD8">
        <w:rPr>
          <w:rFonts w:asciiTheme="minorBidi" w:hAnsiTheme="minorBidi" w:cstheme="minorBidi"/>
          <w:bCs/>
        </w:rPr>
        <w:t>,</w:t>
      </w:r>
      <w:r w:rsidRPr="002C3BD8">
        <w:rPr>
          <w:rFonts w:asciiTheme="minorBidi" w:hAnsiTheme="minorBidi" w:cstheme="minorBidi"/>
          <w:bCs/>
        </w:rPr>
        <w:t xml:space="preserve"> less any sum received as a statutory lump sum. For pecuniary loss the maximum amount is </w:t>
      </w:r>
      <w:r w:rsidR="006A4F84" w:rsidRPr="002C3BD8">
        <w:rPr>
          <w:rFonts w:asciiTheme="minorBidi" w:hAnsiTheme="minorBidi" w:cstheme="minorBidi"/>
          <w:bCs/>
        </w:rPr>
        <w:t>$1,325,390</w:t>
      </w:r>
      <w:r w:rsidRPr="002C3BD8">
        <w:rPr>
          <w:rFonts w:asciiTheme="minorBidi" w:hAnsiTheme="minorBidi" w:cstheme="minorBidi"/>
          <w:bCs/>
        </w:rPr>
        <w:t xml:space="preserve"> less any amount received in weekly benefits prior to settlement plus tax paid on the weekly benefits received.</w:t>
      </w:r>
      <w:r>
        <w:br w:type="page"/>
      </w:r>
    </w:p>
    <w:p w14:paraId="44A9EA4D" w14:textId="77777777" w:rsidR="00A8653F" w:rsidRPr="00D538F0" w:rsidRDefault="00A8653F" w:rsidP="00FF028E">
      <w:pPr>
        <w:pStyle w:val="SWASectionnumberingheading"/>
      </w:pPr>
      <w:bookmarkStart w:id="16" w:name="_Toc4508772"/>
      <w:r w:rsidRPr="00D538F0">
        <w:lastRenderedPageBreak/>
        <w:t>Workers’ compensation scheme performance</w:t>
      </w:r>
      <w:bookmarkEnd w:id="2"/>
      <w:bookmarkEnd w:id="16"/>
    </w:p>
    <w:p w14:paraId="458E6583" w14:textId="77777777" w:rsidR="00A8653F" w:rsidRDefault="00A8653F" w:rsidP="000E20AE">
      <w:pPr>
        <w:pStyle w:val="BodyJustified"/>
      </w:pPr>
      <w:r>
        <w:t xml:space="preserve">There are significant differences in the funding arrangements for the various schemes around Australia. The schemes that are fully centrally funded (New South Wales, Victoria, Queensland, South Australia, </w:t>
      </w:r>
      <w:r w:rsidR="000452DF">
        <w:t xml:space="preserve">the </w:t>
      </w:r>
      <w:r>
        <w:t xml:space="preserve">Australian </w:t>
      </w:r>
      <w:r w:rsidR="009C2B3D">
        <w:t>Government</w:t>
      </w:r>
      <w:r>
        <w:t xml:space="preserve"> and New Zealand) have both their work health and safety and workers’ compensation functions, and staffing and operational budgets funded by premiums. For those jurisdictions with privately underwritten schemes, funding for non-workers’ compensation functions comes directly from government appropriation. This difference in funding arrangements may have an impact on the data shown in this section.</w:t>
      </w:r>
    </w:p>
    <w:p w14:paraId="02D92EC1" w14:textId="507E1B8E" w:rsidR="00A8653F" w:rsidRDefault="00A8653F" w:rsidP="00FF028E">
      <w:pPr>
        <w:pStyle w:val="SWASectionnum2"/>
        <w:rPr>
          <w:color w:val="CB0002"/>
        </w:rPr>
      </w:pPr>
      <w:bookmarkStart w:id="17" w:name="_Toc476564187"/>
      <w:bookmarkStart w:id="18" w:name="_Toc4508773"/>
      <w:r>
        <w:t>Assets to liabilities ratio</w:t>
      </w:r>
      <w:bookmarkEnd w:id="17"/>
      <w:bookmarkEnd w:id="18"/>
      <w:r w:rsidR="0013431C">
        <w:t xml:space="preserve"> </w:t>
      </w:r>
    </w:p>
    <w:p w14:paraId="60E3659F" w14:textId="77777777" w:rsidR="00A8653F" w:rsidRDefault="00A8653F" w:rsidP="000E20AE">
      <w:pPr>
        <w:pStyle w:val="BodyJustified"/>
      </w:pPr>
      <w:r>
        <w:t>This section reports the standardised ratio of assets to net outstanding claim liabilities (funding ratio) for each jurisdiction over the past five years. This indicator is a measure of the adequacy of the scheme to meet future claim payments. Ratios above 100</w:t>
      </w:r>
      <w:r w:rsidR="00FB0257">
        <w:t> per cent</w:t>
      </w:r>
      <w:r>
        <w:t xml:space="preserve"> indicate that the scheme has more than sufficient assets to meet its predicted future liabilities. Conversely, low ratios could be an indication of the need for a scheme to increase its premium rates to ensure that assets are available for future claim payments. Funding ratio trends should therefore be considered in conjunction with the premium rates reported elsewhere in this report. </w:t>
      </w:r>
    </w:p>
    <w:p w14:paraId="0EBE77DB" w14:textId="77777777" w:rsidR="00A8653F" w:rsidRDefault="00A8653F" w:rsidP="000E20AE">
      <w:pPr>
        <w:pStyle w:val="BodyJustified"/>
        <w:rPr>
          <w:spacing w:val="-2"/>
        </w:rPr>
      </w:pPr>
      <w:r>
        <w:t xml:space="preserve">Self-insurers </w:t>
      </w:r>
      <w:r w:rsidR="00325C69">
        <w:t xml:space="preserve">are employers who are allowed by jurisdictions to self-insure for workers’ compensation where they manage and pay for their employees’ claims for work-related injuries, rather than paying premiums to insurers to take on these responsibilities. Self-insurers </w:t>
      </w:r>
      <w:r>
        <w:t xml:space="preserve">are excluded from the funding ratio measures as the workers’ compensation assets and liabilities are not quarantined from the rest of the self-insurer’s business. Self-insurers are regulated in each jurisdiction and are required to lodge financial guarantees with the regulatory authority to provide security for workers’ compensation entitlements. The level of guarantee varies between jurisdictions. A summary of the current requirements can be found in the </w:t>
      </w:r>
      <w:r w:rsidRPr="0047659C">
        <w:rPr>
          <w:i/>
          <w:iCs/>
        </w:rPr>
        <w:t xml:space="preserve">Comparison of Workers’ </w:t>
      </w:r>
      <w:r w:rsidRPr="0047659C">
        <w:rPr>
          <w:i/>
          <w:iCs/>
          <w:spacing w:val="-2"/>
        </w:rPr>
        <w:t>Compensation Arrangements in Australia and New Zealand</w:t>
      </w:r>
      <w:r>
        <w:rPr>
          <w:spacing w:val="-2"/>
        </w:rPr>
        <w:t xml:space="preserve"> on the </w:t>
      </w:r>
      <w:hyperlink r:id="rId59" w:history="1">
        <w:r w:rsidRPr="006A4F84">
          <w:rPr>
            <w:rStyle w:val="SWALinkChar"/>
            <w:rFonts w:eastAsiaTheme="minorHAnsi"/>
          </w:rPr>
          <w:t>Safe Work Australia</w:t>
        </w:r>
      </w:hyperlink>
      <w:r>
        <w:rPr>
          <w:spacing w:val="-2"/>
        </w:rPr>
        <w:t xml:space="preserve"> website.</w:t>
      </w:r>
    </w:p>
    <w:p w14:paraId="3C08D70A" w14:textId="77777777" w:rsidR="00A8653F" w:rsidRDefault="00A8653F" w:rsidP="000E20AE">
      <w:pPr>
        <w:pStyle w:val="BodyJustified"/>
      </w:pPr>
      <w:r>
        <w:t xml:space="preserve">The data shown in this indicator may differ from jurisdictions’ annual reports due to the use of standard definitions of assets and liabilities. While a standard definition of the funding ratio of net outstanding claim liabilities has been adopted to improve comparability across jurisdictions, fundamental differences remain between centrally funded and privately underwritten schemes. </w:t>
      </w:r>
    </w:p>
    <w:p w14:paraId="3A2E633D" w14:textId="77777777" w:rsidR="00A8653F" w:rsidRDefault="00A8653F" w:rsidP="000E20AE">
      <w:pPr>
        <w:pStyle w:val="BodyJustified"/>
      </w:pPr>
      <w:r>
        <w:t xml:space="preserve">Insurers in privately underwritten schemes are governed by the Australian Prudential Regulatory Authority’s prudential regulatory requirements to make sure that enough funds are available to cover all liabilities. Including the measure for privately underwritten schemes alongside centrally funded schemes can be misleading because the funding ratio measure for privately underwritten schemes does not capture the true extent of the private schemes’ abilities to meet future claim payments. Therefore, the funding ratios of privately underwritten schemes are shown on a separate graph to those for the centrally funded schemes. </w:t>
      </w:r>
    </w:p>
    <w:p w14:paraId="20A1F560" w14:textId="6DE8CC1D" w:rsidR="00A8653F" w:rsidRDefault="00A8653F" w:rsidP="000E20AE">
      <w:pPr>
        <w:pStyle w:val="BodyJustified"/>
      </w:pPr>
      <w:r>
        <w:t xml:space="preserve">Indicator </w:t>
      </w:r>
      <w:r w:rsidR="006A4F84">
        <w:t>17</w:t>
      </w:r>
      <w:r>
        <w:t xml:space="preserve"> shows that the average funding ratio for centrally funded schemes was </w:t>
      </w:r>
      <w:r w:rsidR="007E1207">
        <w:t>136</w:t>
      </w:r>
      <w:r>
        <w:t xml:space="preserve"> per cent in </w:t>
      </w:r>
      <w:r w:rsidR="00B656D0">
        <w:br/>
      </w:r>
      <w:r>
        <w:t>201</w:t>
      </w:r>
      <w:r w:rsidR="007E1207">
        <w:t>6</w:t>
      </w:r>
      <w:r>
        <w:t>–1</w:t>
      </w:r>
      <w:r w:rsidR="007E1207">
        <w:t>7</w:t>
      </w:r>
      <w:r>
        <w:t xml:space="preserve">, </w:t>
      </w:r>
      <w:r w:rsidR="002A7969">
        <w:t xml:space="preserve">a </w:t>
      </w:r>
      <w:r w:rsidR="007E1207">
        <w:t>2</w:t>
      </w:r>
      <w:r w:rsidR="00FB0257">
        <w:t> per cent</w:t>
      </w:r>
      <w:r>
        <w:t xml:space="preserve"> </w:t>
      </w:r>
      <w:r w:rsidR="007E1207">
        <w:t>increase</w:t>
      </w:r>
      <w:r w:rsidR="00B656D0">
        <w:t xml:space="preserve"> from </w:t>
      </w:r>
      <w:r w:rsidR="000452DF">
        <w:t xml:space="preserve">the </w:t>
      </w:r>
      <w:r w:rsidR="00B656D0">
        <w:t>previous year.</w:t>
      </w:r>
      <w:r>
        <w:t xml:space="preserve"> </w:t>
      </w:r>
      <w:r w:rsidR="00152A62">
        <w:t xml:space="preserve">Except for </w:t>
      </w:r>
      <w:r w:rsidR="007E1207">
        <w:t>New South Wales</w:t>
      </w:r>
      <w:r w:rsidR="00152A62">
        <w:t>, a</w:t>
      </w:r>
      <w:r>
        <w:t xml:space="preserve">ll centrally funded schemes recorded </w:t>
      </w:r>
      <w:r w:rsidR="000452DF">
        <w:t>a</w:t>
      </w:r>
      <w:r w:rsidR="007E1207">
        <w:t>n</w:t>
      </w:r>
      <w:r w:rsidR="000452DF">
        <w:t xml:space="preserve"> </w:t>
      </w:r>
      <w:r w:rsidR="007E1207">
        <w:t>increase</w:t>
      </w:r>
      <w:r>
        <w:t xml:space="preserve"> in funding ratios compared to the previous year. </w:t>
      </w:r>
      <w:r w:rsidR="007E1207">
        <w:t>All centrally funded schemes have funding ratios above 100 per cent</w:t>
      </w:r>
      <w:r>
        <w:t xml:space="preserve">, indicating that assets </w:t>
      </w:r>
      <w:r w:rsidR="007E1207">
        <w:t>are</w:t>
      </w:r>
      <w:r>
        <w:t xml:space="preserve"> sufficient to meet future liabilities in th</w:t>
      </w:r>
      <w:r w:rsidR="007E1207">
        <w:t>ese jurisdictions</w:t>
      </w:r>
      <w:r>
        <w:t xml:space="preserve">. </w:t>
      </w:r>
      <w:r w:rsidR="00B12A03">
        <w:t xml:space="preserve">The Australian Government </w:t>
      </w:r>
      <w:r w:rsidR="00152A62">
        <w:t>funding ratio for 201</w:t>
      </w:r>
      <w:r w:rsidR="007E1207">
        <w:t>6</w:t>
      </w:r>
      <w:r w:rsidR="00152A62">
        <w:t>–1</w:t>
      </w:r>
      <w:r w:rsidR="007E1207">
        <w:t>7</w:t>
      </w:r>
      <w:r w:rsidR="00152A62">
        <w:t xml:space="preserve"> increased by </w:t>
      </w:r>
      <w:r w:rsidR="007E1207">
        <w:t>21</w:t>
      </w:r>
      <w:r w:rsidR="00405BF7">
        <w:t> </w:t>
      </w:r>
      <w:r w:rsidR="00152A62">
        <w:t>per</w:t>
      </w:r>
      <w:r w:rsidR="00405BF7">
        <w:t> </w:t>
      </w:r>
      <w:r w:rsidR="00152A62">
        <w:t xml:space="preserve">cent compared to </w:t>
      </w:r>
      <w:r w:rsidR="002A7969">
        <w:t xml:space="preserve">the </w:t>
      </w:r>
      <w:r w:rsidR="00152A62">
        <w:t xml:space="preserve">previous year. New South Wales recorded a </w:t>
      </w:r>
      <w:r w:rsidR="007E1207">
        <w:t>seven</w:t>
      </w:r>
      <w:r w:rsidR="001025F1">
        <w:t> </w:t>
      </w:r>
      <w:r w:rsidR="00152A62">
        <w:t>per</w:t>
      </w:r>
      <w:r w:rsidR="001025F1">
        <w:t> </w:t>
      </w:r>
      <w:r w:rsidR="00152A62">
        <w:t xml:space="preserve">cent </w:t>
      </w:r>
      <w:r w:rsidR="0003376C">
        <w:t xml:space="preserve">decrease in its funding ratio compared to </w:t>
      </w:r>
      <w:r w:rsidR="00C40B73">
        <w:t xml:space="preserve">the </w:t>
      </w:r>
      <w:r w:rsidR="0003376C">
        <w:t>previous year.</w:t>
      </w:r>
      <w:r>
        <w:t xml:space="preserve"> </w:t>
      </w:r>
    </w:p>
    <w:p w14:paraId="004F3208" w14:textId="216842DA" w:rsidR="00A8653F" w:rsidRDefault="00A8653F" w:rsidP="000E20AE">
      <w:pPr>
        <w:pStyle w:val="BodyJustified"/>
      </w:pPr>
      <w:r>
        <w:t xml:space="preserve">In New Zealand, the funding ratio </w:t>
      </w:r>
      <w:r w:rsidR="00271C3A">
        <w:t xml:space="preserve">(189 per cent) </w:t>
      </w:r>
      <w:r w:rsidR="00A061A7">
        <w:t>increased</w:t>
      </w:r>
      <w:r>
        <w:t xml:space="preserve"> by </w:t>
      </w:r>
      <w:r w:rsidR="00B656D0">
        <w:t>4</w:t>
      </w:r>
      <w:r w:rsidR="001025F1">
        <w:t> per</w:t>
      </w:r>
      <w:r w:rsidR="00B656D0">
        <w:t xml:space="preserve"> </w:t>
      </w:r>
      <w:r w:rsidR="001025F1">
        <w:t>cen</w:t>
      </w:r>
      <w:r w:rsidR="00B656D0">
        <w:t>t</w:t>
      </w:r>
      <w:r>
        <w:t xml:space="preserve"> when compared to the previous year</w:t>
      </w:r>
      <w:r w:rsidR="00C40B73">
        <w:t>s.</w:t>
      </w:r>
      <w:r>
        <w:t xml:space="preserve"> </w:t>
      </w:r>
    </w:p>
    <w:p w14:paraId="793EFB53" w14:textId="3A9E6140" w:rsidR="00A8653F" w:rsidRDefault="00A8653F" w:rsidP="00CB108E">
      <w:pPr>
        <w:pStyle w:val="SWATableheader"/>
      </w:pPr>
      <w:bookmarkStart w:id="19" w:name="_Ref463956262"/>
      <w:r>
        <w:lastRenderedPageBreak/>
        <w:t xml:space="preserve">Indicator </w:t>
      </w:r>
      <w:r>
        <w:rPr>
          <w:noProof/>
        </w:rPr>
        <w:t>1</w:t>
      </w:r>
      <w:bookmarkEnd w:id="19"/>
      <w:r w:rsidR="00535035">
        <w:rPr>
          <w:noProof/>
        </w:rPr>
        <w:t>7</w:t>
      </w:r>
      <w:r>
        <w:t xml:space="preserve"> – </w:t>
      </w:r>
      <w:r w:rsidRPr="00DF63A4">
        <w:t>Standardised ratio of assets to net outstanding claim liabilities for centrally funded (CF) schemes</w:t>
      </w:r>
    </w:p>
    <w:p w14:paraId="003C959F" w14:textId="77777777" w:rsidR="00A8653F" w:rsidRDefault="00A8653F" w:rsidP="00A8653F">
      <w:pPr>
        <w:jc w:val="center"/>
      </w:pPr>
      <w:r>
        <w:rPr>
          <w:noProof/>
        </w:rPr>
        <w:drawing>
          <wp:inline distT="0" distB="0" distL="0" distR="0" wp14:anchorId="2682AB0E" wp14:editId="38FE323E">
            <wp:extent cx="5060865" cy="2774779"/>
            <wp:effectExtent l="0" t="0" r="6985" b="6985"/>
            <wp:docPr id="22" name="Picture 22" descr="This chart shows the standardised ratio of assets to net outstanding claim liabilities (Funding ratio) for centrally funded (CF) schemes between 2012-13 to 2016-17 by jurisdiction." title="Standardised ratio of assets to net outstanding claim liabilities for centrally funded (CF)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5 - Standardised ratio of assets to net outstanding claim liabilities for centrally funded (CF) schemes-0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60865" cy="2774779"/>
                    </a:xfrm>
                    <a:prstGeom prst="rect">
                      <a:avLst/>
                    </a:prstGeom>
                  </pic:spPr>
                </pic:pic>
              </a:graphicData>
            </a:graphic>
          </wp:inline>
        </w:drawing>
      </w:r>
    </w:p>
    <w:p w14:paraId="2F449701" w14:textId="29991D60" w:rsidR="00A8653F" w:rsidRDefault="00A8653F" w:rsidP="000E20AE">
      <w:pPr>
        <w:pStyle w:val="BodyJustified"/>
      </w:pPr>
      <w:r>
        <w:t xml:space="preserve">Indicator </w:t>
      </w:r>
      <w:r w:rsidR="001025F1">
        <w:rPr>
          <w:noProof/>
        </w:rPr>
        <w:t>18</w:t>
      </w:r>
      <w:r>
        <w:t xml:space="preserve"> </w:t>
      </w:r>
      <w:r w:rsidRPr="0087310A">
        <w:t>shows that in 20</w:t>
      </w:r>
      <w:r>
        <w:t>1</w:t>
      </w:r>
      <w:r w:rsidR="00A061A7">
        <w:t>6</w:t>
      </w:r>
      <w:r>
        <w:t>–1</w:t>
      </w:r>
      <w:r w:rsidR="00A061A7">
        <w:t>7</w:t>
      </w:r>
      <w:r w:rsidRPr="0087310A">
        <w:t xml:space="preserve"> the average funding ratio for privately underwritten schemes was </w:t>
      </w:r>
      <w:r>
        <w:t>1</w:t>
      </w:r>
      <w:r w:rsidR="00C40B73">
        <w:t>16</w:t>
      </w:r>
      <w:r w:rsidR="001025F1">
        <w:t> </w:t>
      </w:r>
      <w:r>
        <w:t>per</w:t>
      </w:r>
      <w:r w:rsidR="001025F1">
        <w:t> </w:t>
      </w:r>
      <w:r>
        <w:t>cent</w:t>
      </w:r>
      <w:r w:rsidRPr="0087310A">
        <w:t xml:space="preserve">, </w:t>
      </w:r>
      <w:r w:rsidR="00271C3A">
        <w:t xml:space="preserve">unchanged from the </w:t>
      </w:r>
      <w:r w:rsidRPr="0087310A">
        <w:t>previous year.</w:t>
      </w:r>
      <w:r w:rsidR="002454D1">
        <w:t xml:space="preserve"> </w:t>
      </w:r>
      <w:r w:rsidR="00A061A7">
        <w:t xml:space="preserve">Tasmania recorded </w:t>
      </w:r>
      <w:r w:rsidR="00271C3A">
        <w:t>the only increase in funding ratio (up</w:t>
      </w:r>
      <w:r w:rsidR="00405BF7">
        <w:t> </w:t>
      </w:r>
      <w:r w:rsidR="00A061A7">
        <w:t>4 per cent increase</w:t>
      </w:r>
      <w:r w:rsidR="00271C3A">
        <w:t>), while t</w:t>
      </w:r>
      <w:r w:rsidR="002454D1">
        <w:t>he Northern Territory</w:t>
      </w:r>
      <w:r w:rsidR="001025F1">
        <w:t xml:space="preserve"> </w:t>
      </w:r>
      <w:r w:rsidR="00271C3A">
        <w:t xml:space="preserve">recorded the largest decrease (down </w:t>
      </w:r>
      <w:r w:rsidR="009018DF">
        <w:t>6 </w:t>
      </w:r>
      <w:r w:rsidR="00253BA6">
        <w:t>per</w:t>
      </w:r>
      <w:r w:rsidR="009018DF">
        <w:t> </w:t>
      </w:r>
      <w:r w:rsidR="00253BA6">
        <w:t>cent</w:t>
      </w:r>
      <w:r w:rsidR="00271C3A">
        <w:t>).</w:t>
      </w:r>
    </w:p>
    <w:p w14:paraId="7561DB93" w14:textId="77777777" w:rsidR="00A8653F" w:rsidRPr="0087310A" w:rsidRDefault="00A8653F" w:rsidP="000E20AE">
      <w:pPr>
        <w:pStyle w:val="BodyJustified"/>
      </w:pPr>
      <w:r w:rsidRPr="0087310A">
        <w:t xml:space="preserve">Seacare and </w:t>
      </w:r>
      <w:r>
        <w:t xml:space="preserve">the </w:t>
      </w:r>
      <w:r w:rsidRPr="0087310A">
        <w:t xml:space="preserve">Australian Capital Territory schemes are privately underwritten, but no data are currently available for this </w:t>
      </w:r>
      <w:r w:rsidR="001025F1">
        <w:t>I</w:t>
      </w:r>
      <w:r w:rsidRPr="0087310A">
        <w:t xml:space="preserve">ndicator. </w:t>
      </w:r>
    </w:p>
    <w:p w14:paraId="4631994D" w14:textId="3CC5B86D" w:rsidR="00A8653F" w:rsidRDefault="00A8653F" w:rsidP="00CB108E">
      <w:pPr>
        <w:pStyle w:val="SWATableheader"/>
      </w:pPr>
      <w:bookmarkStart w:id="20" w:name="_Ref463956320"/>
      <w:r>
        <w:t xml:space="preserve">Indicator </w:t>
      </w:r>
      <w:r>
        <w:rPr>
          <w:noProof/>
        </w:rPr>
        <w:t>1</w:t>
      </w:r>
      <w:bookmarkEnd w:id="20"/>
      <w:r w:rsidR="00535035">
        <w:rPr>
          <w:noProof/>
        </w:rPr>
        <w:t>8</w:t>
      </w:r>
      <w:r>
        <w:t xml:space="preserve"> – </w:t>
      </w:r>
      <w:r w:rsidRPr="0087310A">
        <w:t>Standardised ratio of assets to net outstanding claim liabilities for privately underwritten (PU) schemes</w:t>
      </w:r>
    </w:p>
    <w:p w14:paraId="77D30566" w14:textId="77777777" w:rsidR="00A8653F" w:rsidRDefault="00A8653F" w:rsidP="00A8653F">
      <w:pPr>
        <w:jc w:val="center"/>
        <w:rPr>
          <w:rFonts w:eastAsiaTheme="majorEastAsia" w:cstheme="majorBidi"/>
          <w:b/>
          <w:bCs/>
          <w:color w:val="5E563A"/>
          <w:sz w:val="28"/>
          <w:szCs w:val="26"/>
          <w:lang w:val="en-GB"/>
        </w:rPr>
      </w:pPr>
      <w:r>
        <w:rPr>
          <w:noProof/>
        </w:rPr>
        <w:drawing>
          <wp:inline distT="0" distB="0" distL="0" distR="0" wp14:anchorId="70BACA45" wp14:editId="46C59B2B">
            <wp:extent cx="5058000" cy="2781831"/>
            <wp:effectExtent l="0" t="0" r="0" b="0"/>
            <wp:docPr id="23" name="Picture 23" descr="This chart shows standardised ratio of assets to net outstanding claim liabilities (Funding ratio) for privately underwritten (PU) schemes by jurisdiction between 2012-13 to 2016-17." title="Indicator 18 - Standardised ratio of assets to outstanding claim liabilities for privately underwritten (PU)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6 - Standardised ratio of assets to net outstanding claim liabilities for privately underwritten (PU) schemes-0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58000" cy="2781831"/>
                    </a:xfrm>
                    <a:prstGeom prst="rect">
                      <a:avLst/>
                    </a:prstGeom>
                  </pic:spPr>
                </pic:pic>
              </a:graphicData>
            </a:graphic>
          </wp:inline>
        </w:drawing>
      </w:r>
      <w:r>
        <w:rPr>
          <w:lang w:val="en-GB"/>
        </w:rPr>
        <w:br w:type="page"/>
      </w:r>
    </w:p>
    <w:p w14:paraId="7582FF81" w14:textId="0501EDA2" w:rsidR="00A8653F" w:rsidRPr="00FF028E" w:rsidRDefault="00A8653F" w:rsidP="00FF028E">
      <w:pPr>
        <w:pStyle w:val="SWASectionnum2"/>
      </w:pPr>
      <w:bookmarkStart w:id="21" w:name="_Toc476564188"/>
      <w:bookmarkStart w:id="22" w:name="_Toc4508774"/>
      <w:r w:rsidRPr="00FF028E">
        <w:lastRenderedPageBreak/>
        <w:t>Scheme expenditure</w:t>
      </w:r>
      <w:bookmarkEnd w:id="21"/>
      <w:bookmarkEnd w:id="22"/>
      <w:r w:rsidR="00CD1360">
        <w:t xml:space="preserve"> </w:t>
      </w:r>
    </w:p>
    <w:p w14:paraId="3D90F5F8" w14:textId="05849BAD" w:rsidR="00A8653F" w:rsidRDefault="00A8653F" w:rsidP="000E20AE">
      <w:pPr>
        <w:pStyle w:val="BodyJustified"/>
      </w:pPr>
      <w:r>
        <w:t xml:space="preserve">Indicator </w:t>
      </w:r>
      <w:r w:rsidR="00B376D0">
        <w:t>19</w:t>
      </w:r>
      <w:r>
        <w:t xml:space="preserve"> </w:t>
      </w:r>
      <w:r w:rsidRPr="0087310A">
        <w:t xml:space="preserve">shows the amount and proportion of total scheme expenditure </w:t>
      </w:r>
      <w:r>
        <w:t xml:space="preserve">paid out </w:t>
      </w:r>
      <w:r w:rsidRPr="0087310A">
        <w:t xml:space="preserve">to injured </w:t>
      </w:r>
      <w:r>
        <w:t>workers,</w:t>
      </w:r>
      <w:r w:rsidRPr="0087310A">
        <w:t xml:space="preserve"> plus administrative costs</w:t>
      </w:r>
      <w:r>
        <w:t>,</w:t>
      </w:r>
      <w:r w:rsidRPr="0087310A">
        <w:t xml:space="preserve"> for the periods </w:t>
      </w:r>
      <w:r>
        <w:t>201</w:t>
      </w:r>
      <w:r w:rsidR="00042A57">
        <w:t>2</w:t>
      </w:r>
      <w:r>
        <w:t>–1</w:t>
      </w:r>
      <w:r w:rsidR="00042A57">
        <w:t>3</w:t>
      </w:r>
      <w:r>
        <w:t xml:space="preserve"> and 201</w:t>
      </w:r>
      <w:r w:rsidR="00042A57">
        <w:t>6</w:t>
      </w:r>
      <w:r>
        <w:t>–1</w:t>
      </w:r>
      <w:r w:rsidR="00042A57">
        <w:t>7</w:t>
      </w:r>
      <w:r w:rsidRPr="0087310A">
        <w:t>. Since centrally funded and privately underwritten schemes have different financial structures</w:t>
      </w:r>
      <w:r>
        <w:t>, for this indicator</w:t>
      </w:r>
      <w:r w:rsidRPr="0087310A">
        <w:t xml:space="preserve"> the jurisdictions </w:t>
      </w:r>
      <w:r>
        <w:t>are</w:t>
      </w:r>
      <w:r w:rsidRPr="0087310A">
        <w:t xml:space="preserve"> shown in their respective funding arrangement group. While the standardisation methodology provides a comparable measure across the two groups, caution should still be exercised when making such comparisons.</w:t>
      </w:r>
    </w:p>
    <w:p w14:paraId="4B54F265" w14:textId="704B8499" w:rsidR="008F2964" w:rsidRPr="008E3886" w:rsidRDefault="008F2964" w:rsidP="008E3886">
      <w:pPr>
        <w:pStyle w:val="BodyJustified"/>
      </w:pPr>
      <w:r w:rsidRPr="008E3886">
        <w:t xml:space="preserve">Readers should be aware that an </w:t>
      </w:r>
      <w:r w:rsidR="004C53F3" w:rsidRPr="008E3886">
        <w:t xml:space="preserve">amendment has been made to </w:t>
      </w:r>
      <w:r w:rsidRPr="008E3886">
        <w:t xml:space="preserve">two of the formulae </w:t>
      </w:r>
      <w:r w:rsidR="004C53F3" w:rsidRPr="008E3886">
        <w:t xml:space="preserve">underpinning this indicator </w:t>
      </w:r>
      <w:r w:rsidRPr="008E3886">
        <w:t xml:space="preserve">to better align </w:t>
      </w:r>
      <w:r w:rsidR="004C53F3" w:rsidRPr="008E3886">
        <w:t xml:space="preserve">the </w:t>
      </w:r>
      <w:r w:rsidRPr="008E3886">
        <w:t>distribution of the scheme expenditure with the scope definition. These adjustments</w:t>
      </w:r>
      <w:r w:rsidR="004C53F3" w:rsidRPr="008E3886">
        <w:t xml:space="preserve"> have </w:t>
      </w:r>
      <w:r w:rsidRPr="008E3886">
        <w:t xml:space="preserve">resulted in </w:t>
      </w:r>
      <w:r w:rsidR="006A572B">
        <w:t xml:space="preserve">a </w:t>
      </w:r>
      <w:r w:rsidRPr="008E3886">
        <w:t>slight increase in the proportion of payments as services to workers</w:t>
      </w:r>
      <w:r w:rsidR="00DE358B" w:rsidRPr="008E3886">
        <w:t>,</w:t>
      </w:r>
      <w:r w:rsidRPr="008E3886">
        <w:t xml:space="preserve"> </w:t>
      </w:r>
      <w:r w:rsidR="00DE358B" w:rsidRPr="008E3886">
        <w:t>w</w:t>
      </w:r>
      <w:r w:rsidRPr="008E3886">
        <w:t>hile</w:t>
      </w:r>
      <w:r w:rsidR="004C53F3" w:rsidRPr="008E3886">
        <w:t xml:space="preserve"> the </w:t>
      </w:r>
      <w:r w:rsidRPr="008E3886">
        <w:t xml:space="preserve">proportion of costs to insurance operations decreased. </w:t>
      </w:r>
    </w:p>
    <w:p w14:paraId="7D38F98A" w14:textId="5C0515D3" w:rsidR="00381735" w:rsidRDefault="00A8653F" w:rsidP="000E20AE">
      <w:pPr>
        <w:pStyle w:val="BodyJustified"/>
      </w:pPr>
      <w:r w:rsidRPr="0087310A">
        <w:t>Total scheme expenditur</w:t>
      </w:r>
      <w:r w:rsidR="00C4139C">
        <w:t>e across Australia increased by 3</w:t>
      </w:r>
      <w:r w:rsidR="00FB0257">
        <w:t> per cent</w:t>
      </w:r>
      <w:r w:rsidRPr="0087310A">
        <w:t xml:space="preserve"> over the </w:t>
      </w:r>
      <w:r w:rsidR="005F5559">
        <w:t>period</w:t>
      </w:r>
      <w:r w:rsidRPr="0087310A">
        <w:t xml:space="preserve"> from </w:t>
      </w:r>
      <w:r>
        <w:t>201</w:t>
      </w:r>
      <w:r w:rsidR="00885CE5">
        <w:t>2</w:t>
      </w:r>
      <w:r>
        <w:t>–1</w:t>
      </w:r>
      <w:r w:rsidR="00885CE5">
        <w:t>3</w:t>
      </w:r>
      <w:r>
        <w:t xml:space="preserve"> to 201</w:t>
      </w:r>
      <w:r w:rsidR="00885CE5">
        <w:t>6</w:t>
      </w:r>
      <w:r w:rsidR="00C4139C">
        <w:t>–</w:t>
      </w:r>
      <w:r w:rsidR="00C4139C">
        <w:noBreakHyphen/>
      </w:r>
      <w:r>
        <w:t>1</w:t>
      </w:r>
      <w:r w:rsidR="00885CE5">
        <w:t>7</w:t>
      </w:r>
      <w:r w:rsidRPr="0087310A">
        <w:t>. All jurisdictions</w:t>
      </w:r>
      <w:r>
        <w:t xml:space="preserve"> except New South Wales (down </w:t>
      </w:r>
      <w:r w:rsidR="0047089E">
        <w:t>4</w:t>
      </w:r>
      <w:r w:rsidR="00FB0257">
        <w:t> per cent</w:t>
      </w:r>
      <w:r>
        <w:t>)</w:t>
      </w:r>
      <w:r w:rsidR="005F5559">
        <w:t>, Queensland (down</w:t>
      </w:r>
      <w:r w:rsidR="00B376D0">
        <w:t> </w:t>
      </w:r>
      <w:r w:rsidR="0047089E">
        <w:t>3</w:t>
      </w:r>
      <w:r w:rsidR="00B376D0">
        <w:t> </w:t>
      </w:r>
      <w:r w:rsidR="00BB3365">
        <w:t>per</w:t>
      </w:r>
      <w:r w:rsidR="00B376D0">
        <w:t> </w:t>
      </w:r>
      <w:r w:rsidR="00BB3365">
        <w:t xml:space="preserve">cent), </w:t>
      </w:r>
      <w:r w:rsidR="00E21FCD">
        <w:t>the Australian Government</w:t>
      </w:r>
      <w:r w:rsidR="00BB3365">
        <w:t xml:space="preserve"> (down</w:t>
      </w:r>
      <w:r w:rsidR="00B376D0">
        <w:t> </w:t>
      </w:r>
      <w:r w:rsidR="0047089E">
        <w:t>13</w:t>
      </w:r>
      <w:r w:rsidR="00B376D0">
        <w:t> </w:t>
      </w:r>
      <w:r w:rsidR="00BB3365">
        <w:t>per</w:t>
      </w:r>
      <w:r w:rsidR="00B376D0">
        <w:t> </w:t>
      </w:r>
      <w:r w:rsidR="00BB3365">
        <w:t>cent) and Seacare (down</w:t>
      </w:r>
      <w:r w:rsidR="00B376D0">
        <w:t> </w:t>
      </w:r>
      <w:r w:rsidR="0047089E">
        <w:t>29</w:t>
      </w:r>
      <w:r w:rsidR="00B376D0">
        <w:t> </w:t>
      </w:r>
      <w:r w:rsidR="00BB3365">
        <w:t>per</w:t>
      </w:r>
      <w:r w:rsidR="00B376D0">
        <w:t> </w:t>
      </w:r>
      <w:r w:rsidR="00BB3365">
        <w:t>cent)</w:t>
      </w:r>
      <w:r w:rsidRPr="0087310A">
        <w:t xml:space="preserve"> recorded increases in their total expenditure during the same period. The largest </w:t>
      </w:r>
      <w:r>
        <w:t>percentage</w:t>
      </w:r>
      <w:r w:rsidRPr="0087310A">
        <w:t xml:space="preserve"> increase was recorded by </w:t>
      </w:r>
      <w:r w:rsidR="0047089E">
        <w:t>Western</w:t>
      </w:r>
      <w:r w:rsidR="00BB3365">
        <w:t xml:space="preserve"> Australia (up</w:t>
      </w:r>
      <w:r w:rsidR="00B376D0">
        <w:t> </w:t>
      </w:r>
      <w:r w:rsidR="0047089E">
        <w:t>15</w:t>
      </w:r>
      <w:r w:rsidR="00B376D0">
        <w:t> </w:t>
      </w:r>
      <w:r w:rsidR="00BB3365">
        <w:t>per</w:t>
      </w:r>
      <w:r w:rsidR="00B376D0">
        <w:t> </w:t>
      </w:r>
      <w:r w:rsidR="00BB3365">
        <w:t>cent)</w:t>
      </w:r>
      <w:r w:rsidR="004C53F3">
        <w:t>,</w:t>
      </w:r>
      <w:r w:rsidR="00BB3365">
        <w:t xml:space="preserve"> followed by </w:t>
      </w:r>
      <w:r w:rsidR="0047089E">
        <w:t>Victoria</w:t>
      </w:r>
      <w:r w:rsidRPr="0087310A">
        <w:t xml:space="preserve"> (up</w:t>
      </w:r>
      <w:r w:rsidR="00B376D0">
        <w:t> </w:t>
      </w:r>
      <w:r w:rsidR="0047089E">
        <w:t>13</w:t>
      </w:r>
      <w:r w:rsidR="00B376D0">
        <w:t> </w:t>
      </w:r>
      <w:r>
        <w:t>per</w:t>
      </w:r>
      <w:r w:rsidR="00B376D0">
        <w:t> </w:t>
      </w:r>
      <w:r>
        <w:t>cent</w:t>
      </w:r>
      <w:r w:rsidRPr="0087310A">
        <w:t>)</w:t>
      </w:r>
      <w:r w:rsidR="00BB3365">
        <w:t>,</w:t>
      </w:r>
      <w:r w:rsidRPr="0087310A">
        <w:t xml:space="preserve"> </w:t>
      </w:r>
      <w:r w:rsidR="00BB3365">
        <w:t>the Northern Territory (up</w:t>
      </w:r>
      <w:r w:rsidR="00B376D0">
        <w:t> </w:t>
      </w:r>
      <w:r w:rsidR="0047089E">
        <w:t>11</w:t>
      </w:r>
      <w:r w:rsidR="00B376D0">
        <w:t> </w:t>
      </w:r>
      <w:r w:rsidR="00BB3365">
        <w:t>per</w:t>
      </w:r>
      <w:r w:rsidR="00B376D0">
        <w:t> </w:t>
      </w:r>
      <w:r w:rsidR="00BB3365">
        <w:t xml:space="preserve">cent) and </w:t>
      </w:r>
      <w:r w:rsidR="0047089E">
        <w:t>South Australia</w:t>
      </w:r>
      <w:r w:rsidR="00BB3365">
        <w:t xml:space="preserve"> (up</w:t>
      </w:r>
      <w:r w:rsidR="009E30FD">
        <w:t> </w:t>
      </w:r>
      <w:r w:rsidR="0047089E">
        <w:t>6</w:t>
      </w:r>
      <w:r w:rsidR="009E30FD">
        <w:t> </w:t>
      </w:r>
      <w:r w:rsidR="00BB3365">
        <w:t>per</w:t>
      </w:r>
      <w:r w:rsidR="009E30FD">
        <w:t> </w:t>
      </w:r>
      <w:r w:rsidR="00BB3365">
        <w:t>cent).</w:t>
      </w:r>
      <w:r w:rsidR="003A0CFF">
        <w:t xml:space="preserve"> </w:t>
      </w:r>
    </w:p>
    <w:p w14:paraId="0DCA2A28" w14:textId="558C0731" w:rsidR="00A8653F" w:rsidRPr="0087310A" w:rsidRDefault="00A8653F" w:rsidP="000E20AE">
      <w:pPr>
        <w:pStyle w:val="BodyJustified"/>
      </w:pPr>
      <w:r w:rsidRPr="0087310A">
        <w:t xml:space="preserve">Payments direct to workers </w:t>
      </w:r>
      <w:r>
        <w:t xml:space="preserve">increased </w:t>
      </w:r>
      <w:r w:rsidR="004C53F3">
        <w:t xml:space="preserve">by </w:t>
      </w:r>
      <w:r w:rsidR="0047089E">
        <w:t>1</w:t>
      </w:r>
      <w:r w:rsidR="009E30FD">
        <w:t> </w:t>
      </w:r>
      <w:r>
        <w:t>per</w:t>
      </w:r>
      <w:r w:rsidR="009E30FD">
        <w:t> </w:t>
      </w:r>
      <w:r>
        <w:t>cent</w:t>
      </w:r>
      <w:r w:rsidRPr="0087310A">
        <w:t xml:space="preserve"> over the </w:t>
      </w:r>
      <w:r w:rsidR="00AE73FC">
        <w:t>five</w:t>
      </w:r>
      <w:r w:rsidRPr="0087310A">
        <w:t xml:space="preserve"> years and accounted for 5</w:t>
      </w:r>
      <w:r w:rsidR="00AE73FC">
        <w:t>1</w:t>
      </w:r>
      <w:r>
        <w:t> per cent</w:t>
      </w:r>
      <w:r w:rsidRPr="0087310A">
        <w:t xml:space="preserve"> of total expenditure</w:t>
      </w:r>
      <w:r w:rsidR="00AE73FC">
        <w:t xml:space="preserve"> in 2016–17</w:t>
      </w:r>
      <w:r w:rsidRPr="0087310A">
        <w:t>.</w:t>
      </w:r>
      <w:r>
        <w:t xml:space="preserve"> </w:t>
      </w:r>
      <w:r w:rsidRPr="0087310A">
        <w:t>Direct compensation is paid to injured employees either as weekly benefits, redemptions,</w:t>
      </w:r>
      <w:r w:rsidR="00704855">
        <w:t xml:space="preserve"> </w:t>
      </w:r>
      <w:r w:rsidRPr="0087310A">
        <w:t>common law settlements (excluding legal costs)</w:t>
      </w:r>
      <w:r w:rsidR="004C53F3">
        <w:t>,</w:t>
      </w:r>
      <w:r w:rsidRPr="0087310A">
        <w:t xml:space="preserve"> and non</w:t>
      </w:r>
      <w:r>
        <w:t>-</w:t>
      </w:r>
      <w:r w:rsidRPr="0087310A">
        <w:t>economic loss benefits.</w:t>
      </w:r>
      <w:r>
        <w:t xml:space="preserve"> </w:t>
      </w:r>
      <w:r w:rsidR="00A212BD">
        <w:t>Three</w:t>
      </w:r>
      <w:r w:rsidRPr="0087310A">
        <w:t xml:space="preserve"> jurisdiction</w:t>
      </w:r>
      <w:r>
        <w:t>s</w:t>
      </w:r>
      <w:r w:rsidRPr="0087310A">
        <w:t xml:space="preserve"> recorded inc</w:t>
      </w:r>
      <w:r>
        <w:t>reases in expenditure on p</w:t>
      </w:r>
      <w:r w:rsidRPr="0087310A">
        <w:t xml:space="preserve">ayments direct to workers ranging from </w:t>
      </w:r>
      <w:r w:rsidR="00964DF8">
        <w:t>20</w:t>
      </w:r>
      <w:r w:rsidR="009E30FD">
        <w:t> per cent</w:t>
      </w:r>
      <w:r w:rsidRPr="0087310A">
        <w:t xml:space="preserve"> in </w:t>
      </w:r>
      <w:r w:rsidR="00964DF8">
        <w:t>Western Australia</w:t>
      </w:r>
      <w:r w:rsidR="009E30FD">
        <w:t xml:space="preserve"> </w:t>
      </w:r>
      <w:r>
        <w:t xml:space="preserve">to </w:t>
      </w:r>
      <w:r w:rsidR="00964DF8">
        <w:t>15</w:t>
      </w:r>
      <w:r w:rsidR="009E30FD">
        <w:t xml:space="preserve"> per cent in </w:t>
      </w:r>
      <w:r w:rsidR="00964DF8">
        <w:t>Victoria and Tasmania</w:t>
      </w:r>
      <w:r w:rsidRPr="0087310A">
        <w:t xml:space="preserve">. The </w:t>
      </w:r>
      <w:r w:rsidR="008B77E6">
        <w:t>rest of</w:t>
      </w:r>
      <w:r w:rsidR="000452DF">
        <w:t xml:space="preserve"> the</w:t>
      </w:r>
      <w:r w:rsidR="008B77E6">
        <w:t xml:space="preserve"> jurisdictions recorded slight decreases in payments direct to workers between</w:t>
      </w:r>
      <w:r w:rsidR="00336171">
        <w:t xml:space="preserve"> </w:t>
      </w:r>
      <w:r w:rsidR="00405BF7">
        <w:t>2012–</w:t>
      </w:r>
      <w:r w:rsidR="004C53F3">
        <w:t xml:space="preserve">13 and </w:t>
      </w:r>
      <w:r>
        <w:t>201</w:t>
      </w:r>
      <w:r w:rsidR="00964DF8">
        <w:t>6</w:t>
      </w:r>
      <w:r>
        <w:t>−1</w:t>
      </w:r>
      <w:r w:rsidR="00964DF8">
        <w:t>7</w:t>
      </w:r>
      <w:r w:rsidRPr="0087310A">
        <w:t>.</w:t>
      </w:r>
      <w:r>
        <w:t xml:space="preserve"> </w:t>
      </w:r>
    </w:p>
    <w:p w14:paraId="58F9AC9B" w14:textId="77777777" w:rsidR="004C53F3" w:rsidRDefault="004C53F3" w:rsidP="004C53F3">
      <w:pPr>
        <w:pStyle w:val="BodyJustified"/>
      </w:pPr>
      <w:r>
        <w:t xml:space="preserve">Expenses paid to workers as other administration and services recorded the </w:t>
      </w:r>
      <w:r w:rsidRPr="0087310A">
        <w:t xml:space="preserve">largest </w:t>
      </w:r>
      <w:r>
        <w:t>percentage</w:t>
      </w:r>
      <w:r w:rsidRPr="0087310A">
        <w:t xml:space="preserve"> increase in expenditure of all cos</w:t>
      </w:r>
      <w:r>
        <w:t>t items (up 66 per cent) between 2012–13 and</w:t>
      </w:r>
      <w:r w:rsidRPr="0087310A">
        <w:t xml:space="preserve"> 20</w:t>
      </w:r>
      <w:r>
        <w:t>16–17.</w:t>
      </w:r>
      <w:r w:rsidRPr="0087310A">
        <w:t xml:space="preserve"> </w:t>
      </w:r>
    </w:p>
    <w:p w14:paraId="121DB181" w14:textId="43ECB9BB" w:rsidR="004C53F3" w:rsidRPr="0087310A" w:rsidRDefault="004C53F3" w:rsidP="004C53F3">
      <w:pPr>
        <w:pStyle w:val="BodyJustified"/>
      </w:pPr>
      <w:r w:rsidRPr="0087310A">
        <w:t xml:space="preserve">Dispute resolution expenses recorded the </w:t>
      </w:r>
      <w:r>
        <w:t xml:space="preserve">second </w:t>
      </w:r>
      <w:r w:rsidRPr="0087310A">
        <w:t xml:space="preserve">largest </w:t>
      </w:r>
      <w:r>
        <w:t>percentage</w:t>
      </w:r>
      <w:r w:rsidRPr="0087310A">
        <w:t xml:space="preserve"> increase in expenditure of all the cost items (up</w:t>
      </w:r>
      <w:r>
        <w:t> 62 per cent</w:t>
      </w:r>
      <w:r w:rsidRPr="0087310A">
        <w:t>)</w:t>
      </w:r>
      <w:r>
        <w:t>,</w:t>
      </w:r>
      <w:r w:rsidRPr="0087310A">
        <w:t xml:space="preserve"> with </w:t>
      </w:r>
      <w:r>
        <w:t xml:space="preserve">all </w:t>
      </w:r>
      <w:r w:rsidRPr="0087310A">
        <w:t xml:space="preserve">jurisdictions </w:t>
      </w:r>
      <w:r>
        <w:t xml:space="preserve">recording increases </w:t>
      </w:r>
      <w:r w:rsidRPr="0087310A">
        <w:t>except</w:t>
      </w:r>
      <w:r w:rsidR="00E112F5">
        <w:t xml:space="preserve"> </w:t>
      </w:r>
      <w:r w:rsidR="002437A3">
        <w:t>the Australian Government</w:t>
      </w:r>
      <w:r w:rsidR="00E112F5">
        <w:t xml:space="preserve"> (down 13 per cent) and Seacare where no expenditure spent on dispute resolution in 2016−17 compared to 0.6 million dollars spent in 2012–13.</w:t>
      </w:r>
    </w:p>
    <w:p w14:paraId="2F051554" w14:textId="10133DC1" w:rsidR="004C53F3" w:rsidRPr="0087310A" w:rsidRDefault="004C53F3" w:rsidP="004C53F3">
      <w:pPr>
        <w:pStyle w:val="BodyJustified"/>
      </w:pPr>
      <w:r>
        <w:t>Costs associated with total expenses for i</w:t>
      </w:r>
      <w:r w:rsidRPr="0087310A">
        <w:t>nsurance operations</w:t>
      </w:r>
      <w:r>
        <w:t xml:space="preserve"> recorded decreases in most</w:t>
      </w:r>
      <w:r w:rsidRPr="0087310A">
        <w:t xml:space="preserve"> jurisdict</w:t>
      </w:r>
      <w:r>
        <w:t>ions,</w:t>
      </w:r>
      <w:r w:rsidRPr="0087310A">
        <w:t xml:space="preserve"> ranging between </w:t>
      </w:r>
      <w:r w:rsidR="00F457E3">
        <w:t>29</w:t>
      </w:r>
      <w:r>
        <w:t xml:space="preserve"> per cent for</w:t>
      </w:r>
      <w:r w:rsidRPr="0087310A">
        <w:t xml:space="preserve"> </w:t>
      </w:r>
      <w:r>
        <w:t>Seacare and 5 per cent in New South Wales</w:t>
      </w:r>
      <w:r w:rsidRPr="0087310A">
        <w:t>.</w:t>
      </w:r>
      <w:r>
        <w:t xml:space="preserve"> South Australia recorded a 59 per cent increase</w:t>
      </w:r>
      <w:r w:rsidRPr="004C53F3">
        <w:t xml:space="preserve"> </w:t>
      </w:r>
      <w:r>
        <w:t xml:space="preserve">in total expenses for insurance operations, followed by the Northern Territory </w:t>
      </w:r>
      <w:r w:rsidR="00336171">
        <w:br/>
      </w:r>
      <w:r>
        <w:t>(</w:t>
      </w:r>
      <w:r w:rsidR="00F457E3">
        <w:t>31</w:t>
      </w:r>
      <w:r>
        <w:t xml:space="preserve"> per cent increase). Increases in </w:t>
      </w:r>
      <w:r w:rsidRPr="0087310A">
        <w:t xml:space="preserve">expenditure on </w:t>
      </w:r>
      <w:r>
        <w:t>o</w:t>
      </w:r>
      <w:r w:rsidRPr="0087310A">
        <w:t xml:space="preserve">ther administration </w:t>
      </w:r>
      <w:r>
        <w:t>were also seen in most of the jurisdictions.</w:t>
      </w:r>
    </w:p>
    <w:p w14:paraId="374A7284" w14:textId="03C6B80C" w:rsidR="00A8653F" w:rsidRPr="0087310A" w:rsidRDefault="00A8653F" w:rsidP="000E20AE">
      <w:pPr>
        <w:pStyle w:val="BodyJustified"/>
      </w:pPr>
      <w:r w:rsidRPr="0087310A">
        <w:t>Services to claimants</w:t>
      </w:r>
      <w:r w:rsidR="004E44B8">
        <w:t>’</w:t>
      </w:r>
      <w:r w:rsidRPr="0087310A">
        <w:t xml:space="preserve"> expenses </w:t>
      </w:r>
      <w:r w:rsidR="00F601C3">
        <w:t xml:space="preserve">increased </w:t>
      </w:r>
      <w:r w:rsidR="00C567C1">
        <w:t>6</w:t>
      </w:r>
      <w:r w:rsidR="00FB0257">
        <w:t> per cent</w:t>
      </w:r>
      <w:r w:rsidRPr="0087310A">
        <w:t xml:space="preserve"> over the f</w:t>
      </w:r>
      <w:r w:rsidR="00F601C3">
        <w:t>ive</w:t>
      </w:r>
      <w:r w:rsidRPr="0087310A">
        <w:t xml:space="preserve"> years and accounted for </w:t>
      </w:r>
      <w:r w:rsidR="0005126F">
        <w:t>2</w:t>
      </w:r>
      <w:r w:rsidR="00C567C1">
        <w:t>9</w:t>
      </w:r>
      <w:r>
        <w:t> per cent</w:t>
      </w:r>
      <w:r w:rsidRPr="0087310A">
        <w:t xml:space="preserve"> of total expenses in </w:t>
      </w:r>
      <w:r>
        <w:t>201</w:t>
      </w:r>
      <w:r w:rsidR="00C567C1">
        <w:t>6</w:t>
      </w:r>
      <w:r>
        <w:t>–1</w:t>
      </w:r>
      <w:r w:rsidR="00C567C1">
        <w:t>7</w:t>
      </w:r>
      <w:r w:rsidRPr="0087310A">
        <w:t xml:space="preserve">. </w:t>
      </w:r>
      <w:r w:rsidR="00F601C3">
        <w:t xml:space="preserve">Five out of nine </w:t>
      </w:r>
      <w:r w:rsidRPr="0087310A">
        <w:t xml:space="preserve">jurisdictions recorded increases in the </w:t>
      </w:r>
      <w:r>
        <w:t>total expenses for</w:t>
      </w:r>
      <w:r w:rsidRPr="0087310A">
        <w:t xml:space="preserve"> services to claimants with the </w:t>
      </w:r>
      <w:r w:rsidR="00217DBB">
        <w:t>highest increase in the Northern Territory (up</w:t>
      </w:r>
      <w:r w:rsidR="0005126F">
        <w:t> </w:t>
      </w:r>
      <w:r w:rsidR="001F2AB9">
        <w:t>36</w:t>
      </w:r>
      <w:r w:rsidR="0005126F">
        <w:t> </w:t>
      </w:r>
      <w:r w:rsidR="00217DBB">
        <w:t>per</w:t>
      </w:r>
      <w:r w:rsidR="0005126F">
        <w:t> </w:t>
      </w:r>
      <w:r w:rsidR="00217DBB">
        <w:t xml:space="preserve">cent). </w:t>
      </w:r>
      <w:r>
        <w:t xml:space="preserve">Seacare </w:t>
      </w:r>
      <w:r w:rsidR="00AD23FF">
        <w:t xml:space="preserve">recorded the largest decrease </w:t>
      </w:r>
      <w:r>
        <w:t>(down</w:t>
      </w:r>
      <w:r w:rsidR="0005126F">
        <w:t> </w:t>
      </w:r>
      <w:r w:rsidR="00DE1198">
        <w:t>27</w:t>
      </w:r>
      <w:r w:rsidR="00AD23FF">
        <w:t xml:space="preserve"> </w:t>
      </w:r>
      <w:r>
        <w:t>per</w:t>
      </w:r>
      <w:r w:rsidR="0005126F">
        <w:t> </w:t>
      </w:r>
      <w:r w:rsidR="00AD23FF">
        <w:t>cent)</w:t>
      </w:r>
      <w:r w:rsidR="001F2AB9">
        <w:t xml:space="preserve"> </w:t>
      </w:r>
      <w:r w:rsidR="00217DBB">
        <w:t xml:space="preserve">in expenditure as services to </w:t>
      </w:r>
      <w:r w:rsidR="00AD23FF">
        <w:t xml:space="preserve">claimants </w:t>
      </w:r>
      <w:r w:rsidR="00217DBB">
        <w:t>over the five year period.</w:t>
      </w:r>
      <w:r w:rsidRPr="0087310A">
        <w:t xml:space="preserve"> Costs associated with </w:t>
      </w:r>
      <w:r>
        <w:t>s</w:t>
      </w:r>
      <w:r w:rsidRPr="0087310A">
        <w:t>ervices to claimants include expenditures for medical and legal services plus expenditures for other services like funeral, interpreting and transport services.</w:t>
      </w:r>
    </w:p>
    <w:p w14:paraId="3E17F0E5" w14:textId="77777777" w:rsidR="00A8653F" w:rsidRDefault="00A8653F" w:rsidP="000E20AE">
      <w:pPr>
        <w:pStyle w:val="BodyJustified"/>
      </w:pPr>
      <w:r w:rsidRPr="0087310A">
        <w:t xml:space="preserve">New Zealand proportions </w:t>
      </w:r>
      <w:r>
        <w:t>have</w:t>
      </w:r>
      <w:r w:rsidRPr="0087310A">
        <w:t xml:space="preserve"> a different pattern to the Australian sche</w:t>
      </w:r>
      <w:r>
        <w:t>mes with a lower proportion in d</w:t>
      </w:r>
      <w:r w:rsidRPr="0087310A">
        <w:t xml:space="preserve">irect to claimant expenditure and a higher proportion in </w:t>
      </w:r>
      <w:r>
        <w:t>s</w:t>
      </w:r>
      <w:r w:rsidRPr="0087310A">
        <w:t>ervices to claimant expenditure. This is due to the nature of the New Zealand scheme</w:t>
      </w:r>
      <w:r w:rsidR="000452DF">
        <w:t>,</w:t>
      </w:r>
      <w:r w:rsidRPr="0087310A">
        <w:t xml:space="preserve"> where a greater proportion of workers’ medical costs are identified as work-related.</w:t>
      </w:r>
    </w:p>
    <w:p w14:paraId="37814AD9" w14:textId="77777777" w:rsidR="00A8653F" w:rsidRDefault="00A8653F" w:rsidP="00A8653F">
      <w:pPr>
        <w:pStyle w:val="BodyText"/>
        <w:sectPr w:rsidR="00A8653F" w:rsidSect="0047156B">
          <w:footerReference w:type="default" r:id="rId62"/>
          <w:footerReference w:type="first" r:id="rId63"/>
          <w:pgSz w:w="11906" w:h="16838"/>
          <w:pgMar w:top="1134" w:right="1134" w:bottom="1134" w:left="1418" w:header="720" w:footer="720" w:gutter="0"/>
          <w:cols w:space="720"/>
          <w:noEndnote/>
          <w:titlePg/>
          <w:docGrid w:linePitch="299"/>
        </w:sectPr>
      </w:pPr>
    </w:p>
    <w:p w14:paraId="76212F82" w14:textId="1DEEC49B" w:rsidR="00E73466" w:rsidRDefault="00A8653F" w:rsidP="00E73466">
      <w:pPr>
        <w:pStyle w:val="SWATableheader"/>
      </w:pPr>
      <w:bookmarkStart w:id="23" w:name="_Ref463960842"/>
      <w:r>
        <w:lastRenderedPageBreak/>
        <w:t xml:space="preserve">Indicator </w:t>
      </w:r>
      <w:bookmarkEnd w:id="23"/>
      <w:r w:rsidR="00535035">
        <w:rPr>
          <w:noProof/>
        </w:rPr>
        <w:t>19</w:t>
      </w:r>
      <w:r>
        <w:t xml:space="preserve"> – </w:t>
      </w:r>
      <w:r w:rsidRPr="00F6232C">
        <w:t>Scheme expenditure</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Indicator 19 - Scheme expenditure"/>
        <w:tblDescription w:val="This table shows the amount of scheme expenditure paid out to injured workers across jurisdictions for the periods 2011–12 and 2015–16."/>
      </w:tblPr>
      <w:tblGrid>
        <w:gridCol w:w="2062"/>
        <w:gridCol w:w="1088"/>
        <w:gridCol w:w="1088"/>
        <w:gridCol w:w="1088"/>
        <w:gridCol w:w="1088"/>
        <w:gridCol w:w="1094"/>
        <w:gridCol w:w="1116"/>
        <w:gridCol w:w="1116"/>
        <w:gridCol w:w="1116"/>
        <w:gridCol w:w="1116"/>
        <w:gridCol w:w="1262"/>
        <w:gridCol w:w="1042"/>
      </w:tblGrid>
      <w:tr w:rsidR="00A43848" w:rsidRPr="00E73466" w14:paraId="74A404C1" w14:textId="77777777" w:rsidTr="008F302C">
        <w:trPr>
          <w:cantSplit/>
          <w:trHeight w:val="510"/>
        </w:trPr>
        <w:tc>
          <w:tcPr>
            <w:tcW w:w="722" w:type="pct"/>
            <w:shd w:val="clear" w:color="auto" w:fill="AF1E2D"/>
            <w:vAlign w:val="center"/>
            <w:hideMark/>
          </w:tcPr>
          <w:p w14:paraId="722895C5" w14:textId="77777777" w:rsidR="00E73466" w:rsidRPr="00E73466" w:rsidRDefault="00A43848" w:rsidP="003E2022">
            <w:pPr>
              <w:spacing w:before="60" w:after="60"/>
              <w:jc w:val="left"/>
              <w:rPr>
                <w:rFonts w:cs="Arial"/>
                <w:b/>
                <w:bCs/>
                <w:color w:val="FFFFFF" w:themeColor="background1"/>
                <w:sz w:val="18"/>
                <w:szCs w:val="16"/>
              </w:rPr>
            </w:pPr>
            <w:r>
              <w:rPr>
                <w:rFonts w:cs="Arial"/>
                <w:b/>
                <w:bCs/>
                <w:color w:val="FFFFFF" w:themeColor="background1"/>
                <w:sz w:val="18"/>
                <w:szCs w:val="16"/>
              </w:rPr>
              <w:t>Expenditure ($M)</w:t>
            </w:r>
          </w:p>
        </w:tc>
        <w:tc>
          <w:tcPr>
            <w:tcW w:w="1907" w:type="pct"/>
            <w:gridSpan w:val="5"/>
            <w:shd w:val="clear" w:color="auto" w:fill="AF1E2D"/>
            <w:vAlign w:val="center"/>
            <w:hideMark/>
          </w:tcPr>
          <w:p w14:paraId="1A069709" w14:textId="77777777"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Centrally funded</w:t>
            </w:r>
          </w:p>
        </w:tc>
        <w:tc>
          <w:tcPr>
            <w:tcW w:w="1563" w:type="pct"/>
            <w:gridSpan w:val="4"/>
            <w:shd w:val="clear" w:color="auto" w:fill="AF1E2D"/>
            <w:vAlign w:val="center"/>
            <w:hideMark/>
          </w:tcPr>
          <w:p w14:paraId="09DD007A" w14:textId="77777777"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Privately underwritten</w:t>
            </w:r>
          </w:p>
        </w:tc>
        <w:tc>
          <w:tcPr>
            <w:tcW w:w="807" w:type="pct"/>
            <w:gridSpan w:val="2"/>
            <w:shd w:val="clear" w:color="auto" w:fill="AF1E2D"/>
            <w:vAlign w:val="center"/>
            <w:hideMark/>
          </w:tcPr>
          <w:p w14:paraId="7E67F161" w14:textId="77777777"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Total</w:t>
            </w:r>
          </w:p>
        </w:tc>
      </w:tr>
      <w:tr w:rsidR="00A43848" w:rsidRPr="00E73466" w14:paraId="6B7890E9" w14:textId="77777777" w:rsidTr="000F6210">
        <w:trPr>
          <w:cantSplit/>
          <w:trHeight w:val="454"/>
        </w:trPr>
        <w:tc>
          <w:tcPr>
            <w:tcW w:w="722" w:type="pct"/>
            <w:shd w:val="clear" w:color="auto" w:fill="AF1E2D"/>
            <w:vAlign w:val="center"/>
            <w:hideMark/>
          </w:tcPr>
          <w:p w14:paraId="53575D51" w14:textId="77777777" w:rsidR="00E73466" w:rsidRPr="00E73466" w:rsidRDefault="00A43848" w:rsidP="000F6210">
            <w:pPr>
              <w:spacing w:before="60" w:after="60"/>
              <w:jc w:val="left"/>
              <w:rPr>
                <w:rFonts w:cs="Arial"/>
                <w:b/>
                <w:bCs/>
                <w:color w:val="FFFFFF" w:themeColor="background1"/>
                <w:sz w:val="18"/>
                <w:szCs w:val="16"/>
              </w:rPr>
            </w:pPr>
            <w:r>
              <w:rPr>
                <w:rFonts w:cs="Arial"/>
                <w:b/>
                <w:bCs/>
                <w:color w:val="FFFFFF" w:themeColor="background1"/>
                <w:sz w:val="18"/>
                <w:szCs w:val="16"/>
              </w:rPr>
              <w:t>Scheme costs</w:t>
            </w:r>
          </w:p>
        </w:tc>
        <w:tc>
          <w:tcPr>
            <w:tcW w:w="381" w:type="pct"/>
            <w:tcBorders>
              <w:bottom w:val="single" w:sz="4" w:space="0" w:color="FFFFFF" w:themeColor="background1"/>
            </w:tcBorders>
            <w:shd w:val="clear" w:color="auto" w:fill="AF1E2D"/>
            <w:vAlign w:val="center"/>
            <w:hideMark/>
          </w:tcPr>
          <w:p w14:paraId="59A3DA58"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NSW</w:t>
            </w:r>
          </w:p>
        </w:tc>
        <w:tc>
          <w:tcPr>
            <w:tcW w:w="381" w:type="pct"/>
            <w:tcBorders>
              <w:bottom w:val="single" w:sz="4" w:space="0" w:color="FFFFFF" w:themeColor="background1"/>
            </w:tcBorders>
            <w:shd w:val="clear" w:color="auto" w:fill="AF1E2D"/>
            <w:vAlign w:val="center"/>
            <w:hideMark/>
          </w:tcPr>
          <w:p w14:paraId="7DFC4DB6"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Vic</w:t>
            </w:r>
          </w:p>
        </w:tc>
        <w:tc>
          <w:tcPr>
            <w:tcW w:w="381" w:type="pct"/>
            <w:tcBorders>
              <w:bottom w:val="single" w:sz="4" w:space="0" w:color="FFFFFF" w:themeColor="background1"/>
            </w:tcBorders>
            <w:shd w:val="clear" w:color="auto" w:fill="AF1E2D"/>
            <w:vAlign w:val="center"/>
            <w:hideMark/>
          </w:tcPr>
          <w:p w14:paraId="533E46F6"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Qld</w:t>
            </w:r>
          </w:p>
        </w:tc>
        <w:tc>
          <w:tcPr>
            <w:tcW w:w="381" w:type="pct"/>
            <w:tcBorders>
              <w:bottom w:val="single" w:sz="4" w:space="0" w:color="FFFFFF" w:themeColor="background1"/>
            </w:tcBorders>
            <w:shd w:val="clear" w:color="auto" w:fill="AF1E2D"/>
            <w:vAlign w:val="center"/>
          </w:tcPr>
          <w:p w14:paraId="17353159"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SA</w:t>
            </w:r>
          </w:p>
        </w:tc>
        <w:tc>
          <w:tcPr>
            <w:tcW w:w="383" w:type="pct"/>
            <w:tcBorders>
              <w:bottom w:val="single" w:sz="4" w:space="0" w:color="FFFFFF" w:themeColor="background1"/>
            </w:tcBorders>
            <w:shd w:val="clear" w:color="auto" w:fill="AF1E2D"/>
            <w:vAlign w:val="center"/>
          </w:tcPr>
          <w:p w14:paraId="6EB2DEF9" w14:textId="2BA4F7E2" w:rsidR="00E73466" w:rsidRPr="00E73466" w:rsidRDefault="00405BF7" w:rsidP="000F6210">
            <w:pPr>
              <w:spacing w:before="60" w:after="60"/>
              <w:jc w:val="center"/>
              <w:rPr>
                <w:rFonts w:cs="Arial"/>
                <w:b/>
                <w:bCs/>
                <w:color w:val="FFFFFF" w:themeColor="background1"/>
                <w:sz w:val="18"/>
                <w:szCs w:val="16"/>
              </w:rPr>
            </w:pPr>
            <w:r>
              <w:rPr>
                <w:rFonts w:cs="Arial"/>
                <w:b/>
                <w:bCs/>
                <w:color w:val="FFFFFF" w:themeColor="background1"/>
                <w:sz w:val="18"/>
                <w:szCs w:val="16"/>
              </w:rPr>
              <w:t>Aus</w:t>
            </w:r>
            <w:r w:rsidR="00E21FCD">
              <w:rPr>
                <w:rFonts w:cs="Arial"/>
                <w:b/>
                <w:bCs/>
                <w:color w:val="FFFFFF" w:themeColor="background1"/>
                <w:sz w:val="18"/>
                <w:szCs w:val="16"/>
              </w:rPr>
              <w:t xml:space="preserve"> Gov</w:t>
            </w:r>
          </w:p>
        </w:tc>
        <w:tc>
          <w:tcPr>
            <w:tcW w:w="391" w:type="pct"/>
            <w:tcBorders>
              <w:bottom w:val="single" w:sz="4" w:space="0" w:color="FFFFFF" w:themeColor="background1"/>
            </w:tcBorders>
            <w:shd w:val="clear" w:color="auto" w:fill="AF1E2D"/>
            <w:vAlign w:val="center"/>
            <w:hideMark/>
          </w:tcPr>
          <w:p w14:paraId="5F20E6C6"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WA</w:t>
            </w:r>
          </w:p>
        </w:tc>
        <w:tc>
          <w:tcPr>
            <w:tcW w:w="391" w:type="pct"/>
            <w:tcBorders>
              <w:bottom w:val="single" w:sz="4" w:space="0" w:color="FFFFFF" w:themeColor="background1"/>
            </w:tcBorders>
            <w:shd w:val="clear" w:color="auto" w:fill="AF1E2D"/>
            <w:vAlign w:val="center"/>
            <w:hideMark/>
          </w:tcPr>
          <w:p w14:paraId="0C421E90"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Tas</w:t>
            </w:r>
          </w:p>
        </w:tc>
        <w:tc>
          <w:tcPr>
            <w:tcW w:w="391" w:type="pct"/>
            <w:tcBorders>
              <w:bottom w:val="single" w:sz="4" w:space="0" w:color="FFFFFF" w:themeColor="background1"/>
            </w:tcBorders>
            <w:shd w:val="clear" w:color="auto" w:fill="AF1E2D"/>
            <w:vAlign w:val="center"/>
            <w:hideMark/>
          </w:tcPr>
          <w:p w14:paraId="5F9B2B9D"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NT</w:t>
            </w:r>
          </w:p>
        </w:tc>
        <w:tc>
          <w:tcPr>
            <w:tcW w:w="391" w:type="pct"/>
            <w:tcBorders>
              <w:bottom w:val="single" w:sz="4" w:space="0" w:color="FFFFFF" w:themeColor="background1"/>
            </w:tcBorders>
            <w:shd w:val="clear" w:color="auto" w:fill="AF1E2D"/>
            <w:vAlign w:val="center"/>
          </w:tcPr>
          <w:p w14:paraId="5EE513CE"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Seacare</w:t>
            </w:r>
          </w:p>
        </w:tc>
        <w:tc>
          <w:tcPr>
            <w:tcW w:w="442" w:type="pct"/>
            <w:tcBorders>
              <w:bottom w:val="single" w:sz="4" w:space="0" w:color="FFFFFF" w:themeColor="background1"/>
            </w:tcBorders>
            <w:shd w:val="clear" w:color="auto" w:fill="AF1E2D"/>
            <w:vAlign w:val="center"/>
            <w:hideMark/>
          </w:tcPr>
          <w:p w14:paraId="1535A3A6"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Australia</w:t>
            </w:r>
          </w:p>
        </w:tc>
        <w:tc>
          <w:tcPr>
            <w:tcW w:w="365" w:type="pct"/>
            <w:tcBorders>
              <w:bottom w:val="single" w:sz="4" w:space="0" w:color="FFFFFF" w:themeColor="background1"/>
            </w:tcBorders>
            <w:shd w:val="clear" w:color="auto" w:fill="AF1E2D"/>
            <w:vAlign w:val="center"/>
            <w:hideMark/>
          </w:tcPr>
          <w:p w14:paraId="45D3DAAA"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NZ</w:t>
            </w:r>
          </w:p>
        </w:tc>
      </w:tr>
      <w:tr w:rsidR="00A43848" w:rsidRPr="00E73466" w14:paraId="5ECB3B16" w14:textId="77777777" w:rsidTr="00293003">
        <w:trPr>
          <w:cantSplit/>
          <w:trHeight w:val="454"/>
        </w:trPr>
        <w:tc>
          <w:tcPr>
            <w:tcW w:w="722" w:type="pct"/>
            <w:tcBorders>
              <w:right w:val="nil"/>
            </w:tcBorders>
            <w:shd w:val="clear" w:color="auto" w:fill="E1AAA9"/>
            <w:noWrap/>
            <w:vAlign w:val="center"/>
            <w:hideMark/>
          </w:tcPr>
          <w:p w14:paraId="0B5C1CBB" w14:textId="64D8B1A1" w:rsidR="00E73466" w:rsidRPr="00E73466" w:rsidRDefault="00A43848" w:rsidP="00E622BD">
            <w:pPr>
              <w:spacing w:before="60" w:after="60"/>
              <w:rPr>
                <w:rFonts w:cs="Arial"/>
                <w:b/>
                <w:color w:val="000000"/>
                <w:sz w:val="18"/>
                <w:szCs w:val="16"/>
              </w:rPr>
            </w:pPr>
            <w:r>
              <w:rPr>
                <w:rFonts w:cs="Arial"/>
                <w:b/>
                <w:color w:val="000000"/>
                <w:sz w:val="18"/>
                <w:szCs w:val="16"/>
              </w:rPr>
              <w:t>201</w:t>
            </w:r>
            <w:r w:rsidR="00E622BD">
              <w:rPr>
                <w:rFonts w:cs="Arial"/>
                <w:b/>
                <w:color w:val="000000"/>
                <w:sz w:val="18"/>
                <w:szCs w:val="16"/>
              </w:rPr>
              <w:t>2</w:t>
            </w:r>
            <w:r>
              <w:rPr>
                <w:rFonts w:cs="Arial"/>
                <w:b/>
                <w:color w:val="000000"/>
                <w:sz w:val="18"/>
                <w:szCs w:val="16"/>
              </w:rPr>
              <w:t>–1</w:t>
            </w:r>
            <w:r w:rsidR="00E622BD">
              <w:rPr>
                <w:rFonts w:cs="Arial"/>
                <w:b/>
                <w:color w:val="000000"/>
                <w:sz w:val="18"/>
                <w:szCs w:val="16"/>
              </w:rPr>
              <w:t>3</w:t>
            </w:r>
          </w:p>
        </w:tc>
        <w:tc>
          <w:tcPr>
            <w:tcW w:w="381" w:type="pct"/>
            <w:tcBorders>
              <w:left w:val="nil"/>
              <w:right w:val="nil"/>
            </w:tcBorders>
            <w:shd w:val="clear" w:color="auto" w:fill="E1AAA9"/>
            <w:noWrap/>
            <w:vAlign w:val="center"/>
            <w:hideMark/>
          </w:tcPr>
          <w:p w14:paraId="67C6DC91" w14:textId="77777777" w:rsidR="00E73466" w:rsidRPr="00E73466" w:rsidRDefault="00E73466" w:rsidP="00A43848">
            <w:pPr>
              <w:spacing w:before="60" w:after="60"/>
              <w:jc w:val="right"/>
              <w:rPr>
                <w:rFonts w:cs="Arial"/>
                <w:sz w:val="18"/>
                <w:szCs w:val="16"/>
              </w:rPr>
            </w:pPr>
          </w:p>
        </w:tc>
        <w:tc>
          <w:tcPr>
            <w:tcW w:w="381" w:type="pct"/>
            <w:tcBorders>
              <w:left w:val="nil"/>
              <w:right w:val="nil"/>
            </w:tcBorders>
            <w:shd w:val="clear" w:color="auto" w:fill="E1AAA9"/>
            <w:noWrap/>
            <w:vAlign w:val="center"/>
            <w:hideMark/>
          </w:tcPr>
          <w:p w14:paraId="53088E13" w14:textId="77777777" w:rsidR="00E73466" w:rsidRPr="00E73466" w:rsidRDefault="00E73466" w:rsidP="00A43848">
            <w:pPr>
              <w:spacing w:before="60" w:after="60"/>
              <w:jc w:val="right"/>
              <w:rPr>
                <w:rFonts w:cs="Arial"/>
                <w:sz w:val="18"/>
                <w:szCs w:val="16"/>
              </w:rPr>
            </w:pPr>
          </w:p>
        </w:tc>
        <w:tc>
          <w:tcPr>
            <w:tcW w:w="381" w:type="pct"/>
            <w:tcBorders>
              <w:left w:val="nil"/>
              <w:right w:val="nil"/>
            </w:tcBorders>
            <w:shd w:val="clear" w:color="auto" w:fill="E1AAA9"/>
            <w:noWrap/>
            <w:vAlign w:val="center"/>
            <w:hideMark/>
          </w:tcPr>
          <w:p w14:paraId="0A3F6238" w14:textId="77777777" w:rsidR="00E73466" w:rsidRPr="00E73466" w:rsidRDefault="00E73466" w:rsidP="00A43848">
            <w:pPr>
              <w:spacing w:before="60" w:after="60"/>
              <w:jc w:val="right"/>
              <w:rPr>
                <w:rFonts w:cs="Arial"/>
                <w:b/>
                <w:sz w:val="18"/>
                <w:szCs w:val="16"/>
              </w:rPr>
            </w:pPr>
          </w:p>
        </w:tc>
        <w:tc>
          <w:tcPr>
            <w:tcW w:w="381" w:type="pct"/>
            <w:tcBorders>
              <w:left w:val="nil"/>
              <w:right w:val="nil"/>
            </w:tcBorders>
            <w:shd w:val="clear" w:color="auto" w:fill="E1AAA9"/>
            <w:vAlign w:val="center"/>
          </w:tcPr>
          <w:p w14:paraId="3CA7C6BA" w14:textId="77777777" w:rsidR="00E73466" w:rsidRPr="00E73466" w:rsidRDefault="00E73466" w:rsidP="00A43848">
            <w:pPr>
              <w:spacing w:before="60" w:after="60"/>
              <w:jc w:val="right"/>
              <w:rPr>
                <w:rFonts w:cs="Arial"/>
                <w:color w:val="000000"/>
                <w:sz w:val="18"/>
                <w:szCs w:val="16"/>
              </w:rPr>
            </w:pPr>
          </w:p>
        </w:tc>
        <w:tc>
          <w:tcPr>
            <w:tcW w:w="383" w:type="pct"/>
            <w:tcBorders>
              <w:left w:val="nil"/>
              <w:right w:val="nil"/>
            </w:tcBorders>
            <w:shd w:val="clear" w:color="auto" w:fill="E1AAA9"/>
            <w:vAlign w:val="center"/>
          </w:tcPr>
          <w:p w14:paraId="0B7F92E2" w14:textId="77777777" w:rsidR="00E73466" w:rsidRPr="00E73466" w:rsidRDefault="00E73466" w:rsidP="00A43848">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14:paraId="38329C41" w14:textId="77777777" w:rsidR="00E73466" w:rsidRPr="00E73466" w:rsidRDefault="00E73466" w:rsidP="00A43848">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14:paraId="08A12D47" w14:textId="77777777" w:rsidR="00E73466" w:rsidRPr="00E73466" w:rsidRDefault="00E73466" w:rsidP="00A43848">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14:paraId="2A52B118" w14:textId="77777777" w:rsidR="00E73466" w:rsidRPr="00E73466" w:rsidRDefault="00E73466" w:rsidP="00A43848">
            <w:pPr>
              <w:spacing w:before="60" w:after="60"/>
              <w:jc w:val="right"/>
              <w:rPr>
                <w:rFonts w:cs="Arial"/>
                <w:b/>
                <w:color w:val="000000"/>
                <w:sz w:val="18"/>
                <w:szCs w:val="16"/>
              </w:rPr>
            </w:pPr>
          </w:p>
        </w:tc>
        <w:tc>
          <w:tcPr>
            <w:tcW w:w="391" w:type="pct"/>
            <w:tcBorders>
              <w:left w:val="nil"/>
              <w:right w:val="nil"/>
            </w:tcBorders>
            <w:shd w:val="clear" w:color="auto" w:fill="E1AAA9"/>
            <w:vAlign w:val="center"/>
          </w:tcPr>
          <w:p w14:paraId="4160B751" w14:textId="77777777" w:rsidR="00E73466" w:rsidRPr="00E73466" w:rsidRDefault="00E73466" w:rsidP="00A43848">
            <w:pPr>
              <w:spacing w:before="60" w:after="60"/>
              <w:jc w:val="right"/>
              <w:rPr>
                <w:rFonts w:cs="Arial"/>
                <w:color w:val="000000"/>
                <w:sz w:val="18"/>
                <w:szCs w:val="16"/>
              </w:rPr>
            </w:pPr>
          </w:p>
        </w:tc>
        <w:tc>
          <w:tcPr>
            <w:tcW w:w="442" w:type="pct"/>
            <w:tcBorders>
              <w:left w:val="nil"/>
              <w:right w:val="nil"/>
            </w:tcBorders>
            <w:shd w:val="clear" w:color="auto" w:fill="E1AAA9"/>
            <w:noWrap/>
            <w:vAlign w:val="center"/>
            <w:hideMark/>
          </w:tcPr>
          <w:p w14:paraId="366570D9" w14:textId="77777777" w:rsidR="00E73466" w:rsidRPr="00E73466" w:rsidRDefault="00E73466" w:rsidP="00A43848">
            <w:pPr>
              <w:spacing w:before="60" w:after="60"/>
              <w:jc w:val="right"/>
              <w:rPr>
                <w:rFonts w:cs="Arial"/>
                <w:color w:val="000000"/>
                <w:sz w:val="18"/>
                <w:szCs w:val="16"/>
              </w:rPr>
            </w:pPr>
          </w:p>
        </w:tc>
        <w:tc>
          <w:tcPr>
            <w:tcW w:w="365" w:type="pct"/>
            <w:tcBorders>
              <w:left w:val="nil"/>
              <w:right w:val="single" w:sz="4" w:space="0" w:color="FFFFFF" w:themeColor="background1"/>
            </w:tcBorders>
            <w:shd w:val="clear" w:color="auto" w:fill="E1AAA9"/>
            <w:noWrap/>
            <w:vAlign w:val="center"/>
            <w:hideMark/>
          </w:tcPr>
          <w:p w14:paraId="6CA7072D" w14:textId="77777777" w:rsidR="00E73466" w:rsidRPr="00E73466" w:rsidRDefault="00E73466" w:rsidP="00A43848">
            <w:pPr>
              <w:spacing w:before="60" w:after="60"/>
              <w:jc w:val="right"/>
              <w:rPr>
                <w:rFonts w:cs="Arial"/>
                <w:b/>
                <w:color w:val="000000"/>
                <w:sz w:val="18"/>
                <w:szCs w:val="16"/>
              </w:rPr>
            </w:pPr>
          </w:p>
        </w:tc>
      </w:tr>
      <w:tr w:rsidR="00A43848" w:rsidRPr="00E73466" w14:paraId="79B84369" w14:textId="77777777" w:rsidTr="00293003">
        <w:trPr>
          <w:cantSplit/>
          <w:trHeight w:val="454"/>
        </w:trPr>
        <w:tc>
          <w:tcPr>
            <w:tcW w:w="722" w:type="pct"/>
            <w:shd w:val="clear" w:color="auto" w:fill="auto"/>
            <w:noWrap/>
            <w:vAlign w:val="center"/>
            <w:hideMark/>
          </w:tcPr>
          <w:p w14:paraId="35A6B101" w14:textId="77777777" w:rsidR="00E73466" w:rsidRPr="00A43848" w:rsidRDefault="00A43848" w:rsidP="00293003">
            <w:pPr>
              <w:spacing w:before="60" w:after="60"/>
              <w:rPr>
                <w:rFonts w:cs="Arial"/>
                <w:color w:val="000000"/>
                <w:sz w:val="18"/>
                <w:szCs w:val="16"/>
              </w:rPr>
            </w:pPr>
            <w:r>
              <w:rPr>
                <w:rFonts w:cs="Arial"/>
                <w:color w:val="000000"/>
                <w:sz w:val="18"/>
                <w:szCs w:val="16"/>
              </w:rPr>
              <w:t>Direct to claimant</w:t>
            </w:r>
          </w:p>
        </w:tc>
        <w:tc>
          <w:tcPr>
            <w:tcW w:w="381" w:type="pct"/>
            <w:shd w:val="clear" w:color="auto" w:fill="auto"/>
            <w:noWrap/>
            <w:vAlign w:val="center"/>
          </w:tcPr>
          <w:p w14:paraId="56E1506C" w14:textId="49FA4A38" w:rsidR="00E73466" w:rsidRPr="00DD660E" w:rsidRDefault="00A43848" w:rsidP="00E622BD">
            <w:pPr>
              <w:pStyle w:val="ForTable"/>
              <w:jc w:val="right"/>
              <w:rPr>
                <w:sz w:val="18"/>
              </w:rPr>
            </w:pPr>
            <w:r w:rsidRPr="00DD660E">
              <w:rPr>
                <w:sz w:val="18"/>
              </w:rPr>
              <w:t>1,</w:t>
            </w:r>
            <w:r w:rsidR="00E622BD">
              <w:rPr>
                <w:sz w:val="18"/>
              </w:rPr>
              <w:t>187.2</w:t>
            </w:r>
          </w:p>
        </w:tc>
        <w:tc>
          <w:tcPr>
            <w:tcW w:w="381" w:type="pct"/>
            <w:shd w:val="clear" w:color="auto" w:fill="auto"/>
            <w:noWrap/>
            <w:vAlign w:val="center"/>
          </w:tcPr>
          <w:p w14:paraId="1CD73001" w14:textId="53931972" w:rsidR="00E73466" w:rsidRPr="00DD660E" w:rsidRDefault="00E622BD" w:rsidP="00DD660E">
            <w:pPr>
              <w:pStyle w:val="ForTable"/>
              <w:jc w:val="right"/>
              <w:rPr>
                <w:sz w:val="18"/>
              </w:rPr>
            </w:pPr>
            <w:r>
              <w:rPr>
                <w:sz w:val="18"/>
              </w:rPr>
              <w:t>1,017.4</w:t>
            </w:r>
          </w:p>
        </w:tc>
        <w:tc>
          <w:tcPr>
            <w:tcW w:w="381" w:type="pct"/>
            <w:shd w:val="clear" w:color="auto" w:fill="auto"/>
            <w:noWrap/>
            <w:vAlign w:val="center"/>
          </w:tcPr>
          <w:p w14:paraId="06595801" w14:textId="004A2EBB" w:rsidR="00E73466" w:rsidRPr="00DD660E" w:rsidRDefault="00E622BD" w:rsidP="00DD660E">
            <w:pPr>
              <w:pStyle w:val="ForTable"/>
              <w:jc w:val="right"/>
              <w:rPr>
                <w:sz w:val="18"/>
              </w:rPr>
            </w:pPr>
            <w:r>
              <w:rPr>
                <w:sz w:val="18"/>
              </w:rPr>
              <w:t>874.2</w:t>
            </w:r>
          </w:p>
        </w:tc>
        <w:tc>
          <w:tcPr>
            <w:tcW w:w="381" w:type="pct"/>
            <w:shd w:val="clear" w:color="auto" w:fill="auto"/>
            <w:vAlign w:val="center"/>
          </w:tcPr>
          <w:p w14:paraId="2C91D656" w14:textId="154F8E35" w:rsidR="00E73466" w:rsidRPr="00DD660E" w:rsidRDefault="00E622BD" w:rsidP="00DD660E">
            <w:pPr>
              <w:pStyle w:val="ForTable"/>
              <w:jc w:val="right"/>
              <w:rPr>
                <w:color w:val="000000"/>
                <w:sz w:val="18"/>
              </w:rPr>
            </w:pPr>
            <w:r>
              <w:rPr>
                <w:color w:val="000000"/>
                <w:sz w:val="18"/>
              </w:rPr>
              <w:t>273.9</w:t>
            </w:r>
          </w:p>
        </w:tc>
        <w:tc>
          <w:tcPr>
            <w:tcW w:w="383" w:type="pct"/>
            <w:shd w:val="clear" w:color="auto" w:fill="auto"/>
            <w:vAlign w:val="center"/>
          </w:tcPr>
          <w:p w14:paraId="71D86F04" w14:textId="4B40C6E0" w:rsidR="00E73466" w:rsidRPr="00DD660E" w:rsidRDefault="00E622BD" w:rsidP="00DD660E">
            <w:pPr>
              <w:pStyle w:val="ForTable"/>
              <w:jc w:val="right"/>
              <w:rPr>
                <w:color w:val="000000"/>
                <w:sz w:val="18"/>
              </w:rPr>
            </w:pPr>
            <w:r>
              <w:rPr>
                <w:color w:val="000000"/>
                <w:sz w:val="18"/>
              </w:rPr>
              <w:t>185.5</w:t>
            </w:r>
          </w:p>
        </w:tc>
        <w:tc>
          <w:tcPr>
            <w:tcW w:w="391" w:type="pct"/>
            <w:shd w:val="clear" w:color="auto" w:fill="auto"/>
            <w:noWrap/>
            <w:vAlign w:val="center"/>
          </w:tcPr>
          <w:p w14:paraId="1727DB20" w14:textId="0FB7F094" w:rsidR="00E73466" w:rsidRPr="00DD660E" w:rsidRDefault="00E622BD" w:rsidP="00DD660E">
            <w:pPr>
              <w:pStyle w:val="ForTable"/>
              <w:jc w:val="right"/>
              <w:rPr>
                <w:color w:val="000000"/>
                <w:sz w:val="18"/>
              </w:rPr>
            </w:pPr>
            <w:r>
              <w:rPr>
                <w:color w:val="000000"/>
                <w:sz w:val="18"/>
              </w:rPr>
              <w:t>531.9</w:t>
            </w:r>
          </w:p>
        </w:tc>
        <w:tc>
          <w:tcPr>
            <w:tcW w:w="391" w:type="pct"/>
            <w:shd w:val="clear" w:color="auto" w:fill="auto"/>
            <w:noWrap/>
            <w:vAlign w:val="center"/>
          </w:tcPr>
          <w:p w14:paraId="6F0E190A" w14:textId="30D48433" w:rsidR="00E73466" w:rsidRPr="00DD660E" w:rsidRDefault="00E622BD" w:rsidP="00DD660E">
            <w:pPr>
              <w:pStyle w:val="ForTable"/>
              <w:jc w:val="right"/>
              <w:rPr>
                <w:color w:val="000000"/>
                <w:sz w:val="18"/>
              </w:rPr>
            </w:pPr>
            <w:r>
              <w:rPr>
                <w:color w:val="000000"/>
                <w:sz w:val="18"/>
              </w:rPr>
              <w:t>68.4</w:t>
            </w:r>
          </w:p>
        </w:tc>
        <w:tc>
          <w:tcPr>
            <w:tcW w:w="391" w:type="pct"/>
            <w:shd w:val="clear" w:color="auto" w:fill="auto"/>
            <w:noWrap/>
            <w:vAlign w:val="center"/>
          </w:tcPr>
          <w:p w14:paraId="0AE37A3D" w14:textId="3792311F" w:rsidR="00E73466" w:rsidRPr="00DD660E" w:rsidRDefault="00E622BD" w:rsidP="00DD660E">
            <w:pPr>
              <w:pStyle w:val="ForTable"/>
              <w:jc w:val="right"/>
              <w:rPr>
                <w:color w:val="000000"/>
                <w:sz w:val="18"/>
              </w:rPr>
            </w:pPr>
            <w:r>
              <w:rPr>
                <w:color w:val="000000"/>
                <w:sz w:val="18"/>
              </w:rPr>
              <w:t>59.7</w:t>
            </w:r>
          </w:p>
        </w:tc>
        <w:tc>
          <w:tcPr>
            <w:tcW w:w="391" w:type="pct"/>
            <w:shd w:val="clear" w:color="auto" w:fill="auto"/>
            <w:vAlign w:val="center"/>
          </w:tcPr>
          <w:p w14:paraId="53D53553" w14:textId="4C72838E" w:rsidR="00E73466" w:rsidRPr="00DD660E" w:rsidRDefault="00E622BD" w:rsidP="00DD660E">
            <w:pPr>
              <w:pStyle w:val="ForTable"/>
              <w:jc w:val="right"/>
              <w:rPr>
                <w:color w:val="000000"/>
                <w:sz w:val="18"/>
              </w:rPr>
            </w:pPr>
            <w:r>
              <w:rPr>
                <w:color w:val="000000"/>
                <w:sz w:val="18"/>
              </w:rPr>
              <w:t>14.8</w:t>
            </w:r>
          </w:p>
        </w:tc>
        <w:tc>
          <w:tcPr>
            <w:tcW w:w="442" w:type="pct"/>
            <w:shd w:val="clear" w:color="auto" w:fill="auto"/>
            <w:noWrap/>
            <w:vAlign w:val="center"/>
          </w:tcPr>
          <w:p w14:paraId="356B8FB6" w14:textId="14B9368D" w:rsidR="00E73466" w:rsidRPr="00DD660E" w:rsidRDefault="00D61220" w:rsidP="00E622BD">
            <w:pPr>
              <w:pStyle w:val="ForTable"/>
              <w:jc w:val="right"/>
              <w:rPr>
                <w:color w:val="000000"/>
                <w:sz w:val="18"/>
              </w:rPr>
            </w:pPr>
            <w:r w:rsidRPr="00DD660E">
              <w:rPr>
                <w:color w:val="000000"/>
                <w:sz w:val="18"/>
              </w:rPr>
              <w:t>4,</w:t>
            </w:r>
            <w:r w:rsidR="00E622BD">
              <w:rPr>
                <w:color w:val="000000"/>
                <w:sz w:val="18"/>
              </w:rPr>
              <w:t>213.0</w:t>
            </w:r>
          </w:p>
        </w:tc>
        <w:tc>
          <w:tcPr>
            <w:tcW w:w="365" w:type="pct"/>
            <w:shd w:val="clear" w:color="auto" w:fill="auto"/>
            <w:noWrap/>
            <w:vAlign w:val="center"/>
          </w:tcPr>
          <w:p w14:paraId="7A751BCB" w14:textId="062B1679" w:rsidR="00E73466" w:rsidRPr="00DD660E" w:rsidRDefault="00D61220" w:rsidP="00E622BD">
            <w:pPr>
              <w:pStyle w:val="ForTable"/>
              <w:jc w:val="right"/>
              <w:rPr>
                <w:color w:val="000000"/>
                <w:sz w:val="18"/>
              </w:rPr>
            </w:pPr>
            <w:r w:rsidRPr="00DD660E">
              <w:rPr>
                <w:color w:val="000000"/>
                <w:sz w:val="18"/>
              </w:rPr>
              <w:t>20</w:t>
            </w:r>
            <w:r w:rsidR="00E622BD">
              <w:rPr>
                <w:color w:val="000000"/>
                <w:sz w:val="18"/>
              </w:rPr>
              <w:t>3</w:t>
            </w:r>
            <w:r w:rsidRPr="00DD660E">
              <w:rPr>
                <w:color w:val="000000"/>
                <w:sz w:val="18"/>
              </w:rPr>
              <w:t>.</w:t>
            </w:r>
            <w:r w:rsidR="00E622BD">
              <w:rPr>
                <w:color w:val="000000"/>
                <w:sz w:val="18"/>
              </w:rPr>
              <w:t>0</w:t>
            </w:r>
          </w:p>
        </w:tc>
      </w:tr>
      <w:tr w:rsidR="00A43848" w:rsidRPr="00E73466" w14:paraId="6F18C8A4" w14:textId="77777777" w:rsidTr="00293003">
        <w:trPr>
          <w:cantSplit/>
          <w:trHeight w:val="454"/>
        </w:trPr>
        <w:tc>
          <w:tcPr>
            <w:tcW w:w="722" w:type="pct"/>
            <w:shd w:val="clear" w:color="auto" w:fill="EFD3D2"/>
            <w:noWrap/>
            <w:vAlign w:val="center"/>
          </w:tcPr>
          <w:p w14:paraId="2CFF1F56" w14:textId="77777777" w:rsidR="00E73466" w:rsidRPr="00A43848" w:rsidRDefault="00A43848" w:rsidP="00293003">
            <w:pPr>
              <w:spacing w:before="60" w:after="60"/>
              <w:rPr>
                <w:rFonts w:cs="Arial"/>
                <w:color w:val="000000"/>
                <w:sz w:val="18"/>
                <w:szCs w:val="16"/>
              </w:rPr>
            </w:pPr>
            <w:r>
              <w:rPr>
                <w:rFonts w:cs="Arial"/>
                <w:color w:val="000000"/>
                <w:sz w:val="18"/>
                <w:szCs w:val="16"/>
              </w:rPr>
              <w:t>Services to claimant</w:t>
            </w:r>
          </w:p>
        </w:tc>
        <w:tc>
          <w:tcPr>
            <w:tcW w:w="381" w:type="pct"/>
            <w:shd w:val="clear" w:color="auto" w:fill="EFD3D2"/>
            <w:noWrap/>
            <w:vAlign w:val="center"/>
          </w:tcPr>
          <w:p w14:paraId="5261FA63" w14:textId="63386D97" w:rsidR="00E73466" w:rsidRPr="00DD660E" w:rsidRDefault="00E622BD" w:rsidP="00DD660E">
            <w:pPr>
              <w:pStyle w:val="ForTable"/>
              <w:jc w:val="right"/>
              <w:rPr>
                <w:sz w:val="18"/>
              </w:rPr>
            </w:pPr>
            <w:r>
              <w:rPr>
                <w:sz w:val="18"/>
              </w:rPr>
              <w:t>819.5</w:t>
            </w:r>
          </w:p>
        </w:tc>
        <w:tc>
          <w:tcPr>
            <w:tcW w:w="381" w:type="pct"/>
            <w:shd w:val="clear" w:color="auto" w:fill="EFD3D2"/>
            <w:noWrap/>
            <w:vAlign w:val="center"/>
          </w:tcPr>
          <w:p w14:paraId="13CF8122" w14:textId="5059B324" w:rsidR="00E73466" w:rsidRPr="00DD660E" w:rsidRDefault="00E622BD" w:rsidP="00DD660E">
            <w:pPr>
              <w:pStyle w:val="ForTable"/>
              <w:jc w:val="right"/>
              <w:rPr>
                <w:sz w:val="18"/>
              </w:rPr>
            </w:pPr>
            <w:r>
              <w:rPr>
                <w:sz w:val="18"/>
              </w:rPr>
              <w:t>560.8</w:t>
            </w:r>
          </w:p>
        </w:tc>
        <w:tc>
          <w:tcPr>
            <w:tcW w:w="381" w:type="pct"/>
            <w:shd w:val="clear" w:color="auto" w:fill="EFD3D2"/>
            <w:noWrap/>
            <w:vAlign w:val="center"/>
          </w:tcPr>
          <w:p w14:paraId="1A99AEAD" w14:textId="1E9E0D34" w:rsidR="00E73466" w:rsidRPr="00DD660E" w:rsidRDefault="00E622BD" w:rsidP="00DD660E">
            <w:pPr>
              <w:pStyle w:val="ForTable"/>
              <w:jc w:val="right"/>
              <w:rPr>
                <w:sz w:val="18"/>
              </w:rPr>
            </w:pPr>
            <w:r>
              <w:rPr>
                <w:sz w:val="18"/>
              </w:rPr>
              <w:t>268.5</w:t>
            </w:r>
          </w:p>
        </w:tc>
        <w:tc>
          <w:tcPr>
            <w:tcW w:w="381" w:type="pct"/>
            <w:shd w:val="clear" w:color="auto" w:fill="EFD3D2"/>
            <w:vAlign w:val="center"/>
          </w:tcPr>
          <w:p w14:paraId="14CED49A" w14:textId="117C64AF" w:rsidR="00E73466" w:rsidRPr="00DD660E" w:rsidRDefault="00E622BD" w:rsidP="00DD660E">
            <w:pPr>
              <w:pStyle w:val="ForTable"/>
              <w:jc w:val="right"/>
              <w:rPr>
                <w:color w:val="000000"/>
                <w:sz w:val="18"/>
              </w:rPr>
            </w:pPr>
            <w:r>
              <w:rPr>
                <w:color w:val="000000"/>
                <w:sz w:val="18"/>
              </w:rPr>
              <w:t>164.9</w:t>
            </w:r>
          </w:p>
        </w:tc>
        <w:tc>
          <w:tcPr>
            <w:tcW w:w="383" w:type="pct"/>
            <w:shd w:val="clear" w:color="auto" w:fill="EFD3D2"/>
            <w:vAlign w:val="center"/>
          </w:tcPr>
          <w:p w14:paraId="5DBEE2CC" w14:textId="0B03D76C" w:rsidR="00E73466" w:rsidRPr="00DD660E" w:rsidRDefault="00F529C8" w:rsidP="00DD660E">
            <w:pPr>
              <w:pStyle w:val="ForTable"/>
              <w:jc w:val="right"/>
              <w:rPr>
                <w:color w:val="000000"/>
                <w:sz w:val="18"/>
              </w:rPr>
            </w:pPr>
            <w:r>
              <w:rPr>
                <w:color w:val="000000"/>
                <w:sz w:val="18"/>
              </w:rPr>
              <w:t>94.3</w:t>
            </w:r>
          </w:p>
        </w:tc>
        <w:tc>
          <w:tcPr>
            <w:tcW w:w="391" w:type="pct"/>
            <w:shd w:val="clear" w:color="auto" w:fill="EFD3D2"/>
            <w:noWrap/>
            <w:vAlign w:val="center"/>
          </w:tcPr>
          <w:p w14:paraId="7F0F978E" w14:textId="2B790447" w:rsidR="00E73466" w:rsidRPr="00DD660E" w:rsidRDefault="00E622BD" w:rsidP="00DD660E">
            <w:pPr>
              <w:pStyle w:val="ForTable"/>
              <w:jc w:val="right"/>
              <w:rPr>
                <w:color w:val="000000"/>
                <w:sz w:val="18"/>
              </w:rPr>
            </w:pPr>
            <w:r>
              <w:rPr>
                <w:color w:val="000000"/>
                <w:sz w:val="18"/>
              </w:rPr>
              <w:t>278.9</w:t>
            </w:r>
          </w:p>
        </w:tc>
        <w:tc>
          <w:tcPr>
            <w:tcW w:w="391" w:type="pct"/>
            <w:shd w:val="clear" w:color="auto" w:fill="EFD3D2"/>
            <w:noWrap/>
            <w:vAlign w:val="center"/>
          </w:tcPr>
          <w:p w14:paraId="14360E90" w14:textId="7CD6C808" w:rsidR="00E73466" w:rsidRPr="00DD660E" w:rsidRDefault="00E622BD" w:rsidP="00DD660E">
            <w:pPr>
              <w:pStyle w:val="ForTable"/>
              <w:jc w:val="right"/>
              <w:rPr>
                <w:color w:val="000000"/>
                <w:sz w:val="18"/>
              </w:rPr>
            </w:pPr>
            <w:r>
              <w:rPr>
                <w:color w:val="000000"/>
                <w:sz w:val="18"/>
              </w:rPr>
              <w:t>42.9</w:t>
            </w:r>
          </w:p>
        </w:tc>
        <w:tc>
          <w:tcPr>
            <w:tcW w:w="391" w:type="pct"/>
            <w:shd w:val="clear" w:color="auto" w:fill="EFD3D2"/>
            <w:noWrap/>
            <w:vAlign w:val="center"/>
          </w:tcPr>
          <w:p w14:paraId="78D9540B" w14:textId="1016736D" w:rsidR="00E73466" w:rsidRPr="00DD660E" w:rsidRDefault="00E622BD" w:rsidP="00DD660E">
            <w:pPr>
              <w:pStyle w:val="ForTable"/>
              <w:jc w:val="right"/>
              <w:rPr>
                <w:color w:val="000000"/>
                <w:sz w:val="18"/>
              </w:rPr>
            </w:pPr>
            <w:r>
              <w:rPr>
                <w:color w:val="000000"/>
                <w:sz w:val="18"/>
              </w:rPr>
              <w:t>28.9</w:t>
            </w:r>
          </w:p>
        </w:tc>
        <w:tc>
          <w:tcPr>
            <w:tcW w:w="391" w:type="pct"/>
            <w:shd w:val="clear" w:color="auto" w:fill="EFD3D2"/>
            <w:vAlign w:val="center"/>
          </w:tcPr>
          <w:p w14:paraId="447A30DE" w14:textId="267070CC" w:rsidR="00E73466" w:rsidRPr="00DD660E" w:rsidRDefault="00F529C8" w:rsidP="00DD660E">
            <w:pPr>
              <w:pStyle w:val="ForTable"/>
              <w:jc w:val="right"/>
              <w:rPr>
                <w:color w:val="000000"/>
                <w:sz w:val="18"/>
              </w:rPr>
            </w:pPr>
            <w:r>
              <w:rPr>
                <w:color w:val="000000"/>
                <w:sz w:val="18"/>
              </w:rPr>
              <w:t>3.0</w:t>
            </w:r>
          </w:p>
        </w:tc>
        <w:tc>
          <w:tcPr>
            <w:tcW w:w="442" w:type="pct"/>
            <w:shd w:val="clear" w:color="auto" w:fill="EFD3D2"/>
            <w:noWrap/>
            <w:vAlign w:val="center"/>
          </w:tcPr>
          <w:p w14:paraId="1EB18CB1" w14:textId="7AD8F79D" w:rsidR="00E73466" w:rsidRPr="00DD660E" w:rsidRDefault="00E622BD" w:rsidP="00F529C8">
            <w:pPr>
              <w:pStyle w:val="ForTable"/>
              <w:jc w:val="right"/>
              <w:rPr>
                <w:color w:val="000000"/>
                <w:sz w:val="18"/>
              </w:rPr>
            </w:pPr>
            <w:r>
              <w:rPr>
                <w:color w:val="000000"/>
                <w:sz w:val="18"/>
              </w:rPr>
              <w:t>2,2</w:t>
            </w:r>
            <w:r w:rsidR="00F529C8">
              <w:rPr>
                <w:color w:val="000000"/>
                <w:sz w:val="18"/>
              </w:rPr>
              <w:t>61.6</w:t>
            </w:r>
          </w:p>
        </w:tc>
        <w:tc>
          <w:tcPr>
            <w:tcW w:w="365" w:type="pct"/>
            <w:shd w:val="clear" w:color="auto" w:fill="EFD3D2"/>
            <w:noWrap/>
            <w:vAlign w:val="center"/>
          </w:tcPr>
          <w:p w14:paraId="1C6F2630" w14:textId="3714805D" w:rsidR="00E73466" w:rsidRPr="00DD660E" w:rsidRDefault="00E622BD" w:rsidP="00DD660E">
            <w:pPr>
              <w:pStyle w:val="ForTable"/>
              <w:jc w:val="right"/>
              <w:rPr>
                <w:color w:val="000000"/>
                <w:sz w:val="18"/>
              </w:rPr>
            </w:pPr>
            <w:r>
              <w:rPr>
                <w:color w:val="000000"/>
                <w:sz w:val="18"/>
              </w:rPr>
              <w:t>154.5</w:t>
            </w:r>
          </w:p>
        </w:tc>
      </w:tr>
      <w:tr w:rsidR="00A43848" w:rsidRPr="00E73466" w14:paraId="7960CA94" w14:textId="77777777" w:rsidTr="00293003">
        <w:trPr>
          <w:cantSplit/>
          <w:trHeight w:val="454"/>
        </w:trPr>
        <w:tc>
          <w:tcPr>
            <w:tcW w:w="722" w:type="pct"/>
            <w:shd w:val="clear" w:color="auto" w:fill="auto"/>
            <w:noWrap/>
            <w:vAlign w:val="center"/>
          </w:tcPr>
          <w:p w14:paraId="24D6272D" w14:textId="77777777" w:rsidR="00E73466" w:rsidRPr="00A43848" w:rsidRDefault="00A43848" w:rsidP="00293003">
            <w:pPr>
              <w:spacing w:before="60" w:after="60"/>
              <w:rPr>
                <w:rFonts w:cs="Arial"/>
                <w:color w:val="000000"/>
                <w:sz w:val="18"/>
                <w:szCs w:val="16"/>
              </w:rPr>
            </w:pPr>
            <w:r>
              <w:rPr>
                <w:rFonts w:cs="Arial"/>
                <w:color w:val="000000"/>
                <w:sz w:val="18"/>
                <w:szCs w:val="16"/>
              </w:rPr>
              <w:t>Insurance operations</w:t>
            </w:r>
          </w:p>
        </w:tc>
        <w:tc>
          <w:tcPr>
            <w:tcW w:w="381" w:type="pct"/>
            <w:shd w:val="clear" w:color="auto" w:fill="auto"/>
            <w:noWrap/>
            <w:vAlign w:val="center"/>
          </w:tcPr>
          <w:p w14:paraId="46A9BCE5" w14:textId="2928AF05" w:rsidR="00E73466" w:rsidRPr="00DD660E" w:rsidRDefault="00E622BD" w:rsidP="00DD660E">
            <w:pPr>
              <w:pStyle w:val="ForTable"/>
              <w:jc w:val="right"/>
              <w:rPr>
                <w:sz w:val="18"/>
              </w:rPr>
            </w:pPr>
            <w:r>
              <w:rPr>
                <w:sz w:val="18"/>
              </w:rPr>
              <w:t>427.7</w:t>
            </w:r>
          </w:p>
        </w:tc>
        <w:tc>
          <w:tcPr>
            <w:tcW w:w="381" w:type="pct"/>
            <w:shd w:val="clear" w:color="auto" w:fill="auto"/>
            <w:noWrap/>
            <w:vAlign w:val="center"/>
          </w:tcPr>
          <w:p w14:paraId="78C064F8" w14:textId="4BBCBA62" w:rsidR="00E73466" w:rsidRPr="00DD660E" w:rsidRDefault="00E622BD" w:rsidP="00092037">
            <w:pPr>
              <w:pStyle w:val="ForTable"/>
              <w:jc w:val="right"/>
              <w:rPr>
                <w:sz w:val="18"/>
              </w:rPr>
            </w:pPr>
            <w:r>
              <w:rPr>
                <w:sz w:val="18"/>
              </w:rPr>
              <w:t>281</w:t>
            </w:r>
            <w:r w:rsidR="00092037">
              <w:rPr>
                <w:sz w:val="18"/>
              </w:rPr>
              <w:t>.1</w:t>
            </w:r>
          </w:p>
        </w:tc>
        <w:tc>
          <w:tcPr>
            <w:tcW w:w="381" w:type="pct"/>
            <w:shd w:val="clear" w:color="auto" w:fill="auto"/>
            <w:noWrap/>
            <w:vAlign w:val="center"/>
          </w:tcPr>
          <w:p w14:paraId="07EE7EC0" w14:textId="65013F23" w:rsidR="00E73466" w:rsidRPr="00DD660E" w:rsidRDefault="0049260A" w:rsidP="00DD660E">
            <w:pPr>
              <w:pStyle w:val="ForTable"/>
              <w:jc w:val="right"/>
              <w:rPr>
                <w:sz w:val="18"/>
              </w:rPr>
            </w:pPr>
            <w:r>
              <w:rPr>
                <w:sz w:val="18"/>
              </w:rPr>
              <w:t>116.4</w:t>
            </w:r>
          </w:p>
        </w:tc>
        <w:tc>
          <w:tcPr>
            <w:tcW w:w="381" w:type="pct"/>
            <w:shd w:val="clear" w:color="auto" w:fill="auto"/>
            <w:vAlign w:val="center"/>
          </w:tcPr>
          <w:p w14:paraId="63813A94" w14:textId="0DE10DF8" w:rsidR="00E73466" w:rsidRPr="00DD660E" w:rsidRDefault="0049260A" w:rsidP="00DD660E">
            <w:pPr>
              <w:pStyle w:val="ForTable"/>
              <w:jc w:val="right"/>
              <w:rPr>
                <w:color w:val="000000"/>
                <w:sz w:val="18"/>
              </w:rPr>
            </w:pPr>
            <w:r>
              <w:rPr>
                <w:color w:val="000000"/>
                <w:sz w:val="18"/>
              </w:rPr>
              <w:t>48.9</w:t>
            </w:r>
          </w:p>
        </w:tc>
        <w:tc>
          <w:tcPr>
            <w:tcW w:w="383" w:type="pct"/>
            <w:shd w:val="clear" w:color="auto" w:fill="auto"/>
            <w:vAlign w:val="center"/>
          </w:tcPr>
          <w:p w14:paraId="6FB12DC2" w14:textId="72A00861" w:rsidR="00E73466" w:rsidRPr="00DD660E" w:rsidRDefault="00F529C8" w:rsidP="00DD660E">
            <w:pPr>
              <w:pStyle w:val="ForTable"/>
              <w:jc w:val="right"/>
              <w:rPr>
                <w:color w:val="000000"/>
                <w:sz w:val="18"/>
              </w:rPr>
            </w:pPr>
            <w:r>
              <w:rPr>
                <w:color w:val="000000"/>
                <w:sz w:val="18"/>
              </w:rPr>
              <w:t>28.9</w:t>
            </w:r>
          </w:p>
        </w:tc>
        <w:tc>
          <w:tcPr>
            <w:tcW w:w="391" w:type="pct"/>
            <w:shd w:val="clear" w:color="auto" w:fill="auto"/>
            <w:noWrap/>
            <w:vAlign w:val="center"/>
          </w:tcPr>
          <w:p w14:paraId="7B355E30" w14:textId="78A24B37" w:rsidR="00E73466" w:rsidRPr="00DD660E" w:rsidRDefault="0049260A" w:rsidP="00DD660E">
            <w:pPr>
              <w:pStyle w:val="ForTable"/>
              <w:jc w:val="right"/>
              <w:rPr>
                <w:color w:val="000000"/>
                <w:sz w:val="18"/>
              </w:rPr>
            </w:pPr>
            <w:r>
              <w:rPr>
                <w:color w:val="000000"/>
                <w:sz w:val="18"/>
              </w:rPr>
              <w:t>206.4</w:t>
            </w:r>
          </w:p>
        </w:tc>
        <w:tc>
          <w:tcPr>
            <w:tcW w:w="391" w:type="pct"/>
            <w:shd w:val="clear" w:color="auto" w:fill="auto"/>
            <w:noWrap/>
            <w:vAlign w:val="center"/>
          </w:tcPr>
          <w:p w14:paraId="496B5B3C" w14:textId="6B384FA1" w:rsidR="00E73466" w:rsidRPr="00DD660E" w:rsidRDefault="0049260A" w:rsidP="00DD660E">
            <w:pPr>
              <w:pStyle w:val="ForTable"/>
              <w:jc w:val="right"/>
              <w:rPr>
                <w:color w:val="000000"/>
                <w:sz w:val="18"/>
              </w:rPr>
            </w:pPr>
            <w:r>
              <w:rPr>
                <w:color w:val="000000"/>
                <w:sz w:val="18"/>
              </w:rPr>
              <w:t>24.0</w:t>
            </w:r>
          </w:p>
        </w:tc>
        <w:tc>
          <w:tcPr>
            <w:tcW w:w="391" w:type="pct"/>
            <w:shd w:val="clear" w:color="auto" w:fill="auto"/>
            <w:noWrap/>
            <w:vAlign w:val="center"/>
          </w:tcPr>
          <w:p w14:paraId="3697FA1E" w14:textId="6965AC60" w:rsidR="00E73466" w:rsidRPr="00DD660E" w:rsidRDefault="0049260A" w:rsidP="00DD660E">
            <w:pPr>
              <w:pStyle w:val="ForTable"/>
              <w:jc w:val="right"/>
              <w:rPr>
                <w:color w:val="000000"/>
                <w:sz w:val="18"/>
              </w:rPr>
            </w:pPr>
            <w:r>
              <w:rPr>
                <w:color w:val="000000"/>
                <w:sz w:val="18"/>
              </w:rPr>
              <w:t>1.3</w:t>
            </w:r>
          </w:p>
        </w:tc>
        <w:tc>
          <w:tcPr>
            <w:tcW w:w="391" w:type="pct"/>
            <w:shd w:val="clear" w:color="auto" w:fill="auto"/>
            <w:vAlign w:val="center"/>
          </w:tcPr>
          <w:p w14:paraId="7F632B42" w14:textId="7A9AF359" w:rsidR="00E73466" w:rsidRPr="00DD660E" w:rsidRDefault="0049260A" w:rsidP="00F529C8">
            <w:pPr>
              <w:pStyle w:val="ForTable"/>
              <w:jc w:val="right"/>
              <w:rPr>
                <w:color w:val="000000"/>
                <w:sz w:val="18"/>
              </w:rPr>
            </w:pPr>
            <w:r>
              <w:rPr>
                <w:color w:val="000000"/>
                <w:sz w:val="18"/>
              </w:rPr>
              <w:t>2.</w:t>
            </w:r>
            <w:r w:rsidR="00F529C8">
              <w:rPr>
                <w:color w:val="000000"/>
                <w:sz w:val="18"/>
              </w:rPr>
              <w:t>1</w:t>
            </w:r>
          </w:p>
        </w:tc>
        <w:tc>
          <w:tcPr>
            <w:tcW w:w="442" w:type="pct"/>
            <w:shd w:val="clear" w:color="auto" w:fill="auto"/>
            <w:noWrap/>
            <w:vAlign w:val="center"/>
          </w:tcPr>
          <w:p w14:paraId="1A7F856E" w14:textId="33292629" w:rsidR="00E73466" w:rsidRPr="00DD660E" w:rsidRDefault="00D61220" w:rsidP="00F529C8">
            <w:pPr>
              <w:pStyle w:val="ForTable"/>
              <w:jc w:val="right"/>
              <w:rPr>
                <w:color w:val="000000"/>
                <w:sz w:val="18"/>
              </w:rPr>
            </w:pPr>
            <w:r w:rsidRPr="00DD660E">
              <w:rPr>
                <w:color w:val="000000"/>
                <w:sz w:val="18"/>
              </w:rPr>
              <w:t>1,</w:t>
            </w:r>
            <w:r w:rsidR="0049260A">
              <w:rPr>
                <w:color w:val="000000"/>
                <w:sz w:val="18"/>
              </w:rPr>
              <w:t>1</w:t>
            </w:r>
            <w:r w:rsidR="00F529C8">
              <w:rPr>
                <w:color w:val="000000"/>
                <w:sz w:val="18"/>
              </w:rPr>
              <w:t>36.9</w:t>
            </w:r>
          </w:p>
        </w:tc>
        <w:tc>
          <w:tcPr>
            <w:tcW w:w="365" w:type="pct"/>
            <w:shd w:val="clear" w:color="auto" w:fill="auto"/>
            <w:noWrap/>
            <w:vAlign w:val="center"/>
          </w:tcPr>
          <w:p w14:paraId="292E8994" w14:textId="0F4EA61F" w:rsidR="00E73466" w:rsidRPr="00DD660E" w:rsidRDefault="0049260A" w:rsidP="00DD660E">
            <w:pPr>
              <w:pStyle w:val="ForTable"/>
              <w:jc w:val="right"/>
              <w:rPr>
                <w:color w:val="000000"/>
                <w:sz w:val="18"/>
              </w:rPr>
            </w:pPr>
            <w:r>
              <w:rPr>
                <w:color w:val="000000"/>
                <w:sz w:val="18"/>
              </w:rPr>
              <w:t>36.4</w:t>
            </w:r>
          </w:p>
        </w:tc>
      </w:tr>
      <w:tr w:rsidR="00A43848" w:rsidRPr="00E73466" w14:paraId="52442D11" w14:textId="77777777" w:rsidTr="00293003">
        <w:trPr>
          <w:cantSplit/>
          <w:trHeight w:val="454"/>
        </w:trPr>
        <w:tc>
          <w:tcPr>
            <w:tcW w:w="722" w:type="pct"/>
            <w:shd w:val="clear" w:color="auto" w:fill="EFD3D2"/>
            <w:noWrap/>
            <w:vAlign w:val="center"/>
          </w:tcPr>
          <w:p w14:paraId="11488B7A" w14:textId="77777777" w:rsidR="00E73466" w:rsidRPr="00A43848" w:rsidRDefault="00A43848" w:rsidP="00293003">
            <w:pPr>
              <w:spacing w:before="60" w:after="60"/>
              <w:rPr>
                <w:rFonts w:cs="Arial"/>
                <w:color w:val="000000"/>
                <w:sz w:val="18"/>
                <w:szCs w:val="16"/>
              </w:rPr>
            </w:pPr>
            <w:r>
              <w:rPr>
                <w:rFonts w:cs="Arial"/>
                <w:color w:val="000000"/>
                <w:sz w:val="18"/>
                <w:szCs w:val="16"/>
              </w:rPr>
              <w:t>Regulation</w:t>
            </w:r>
          </w:p>
        </w:tc>
        <w:tc>
          <w:tcPr>
            <w:tcW w:w="381" w:type="pct"/>
            <w:shd w:val="clear" w:color="auto" w:fill="EFD3D2"/>
            <w:noWrap/>
            <w:vAlign w:val="center"/>
          </w:tcPr>
          <w:p w14:paraId="271B769A" w14:textId="52BBFFD0" w:rsidR="00E73466" w:rsidRPr="00DD660E" w:rsidRDefault="0049260A" w:rsidP="00DD660E">
            <w:pPr>
              <w:pStyle w:val="ForTable"/>
              <w:jc w:val="right"/>
              <w:rPr>
                <w:sz w:val="18"/>
              </w:rPr>
            </w:pPr>
            <w:r>
              <w:rPr>
                <w:sz w:val="18"/>
              </w:rPr>
              <w:t>39.9</w:t>
            </w:r>
          </w:p>
        </w:tc>
        <w:tc>
          <w:tcPr>
            <w:tcW w:w="381" w:type="pct"/>
            <w:shd w:val="clear" w:color="auto" w:fill="EFD3D2"/>
            <w:noWrap/>
            <w:vAlign w:val="center"/>
          </w:tcPr>
          <w:p w14:paraId="63A1BD06" w14:textId="679FCA8E" w:rsidR="00E73466" w:rsidRPr="00DD660E" w:rsidRDefault="0049260A" w:rsidP="00DD660E">
            <w:pPr>
              <w:pStyle w:val="ForTable"/>
              <w:jc w:val="right"/>
              <w:rPr>
                <w:sz w:val="18"/>
              </w:rPr>
            </w:pPr>
            <w:r>
              <w:rPr>
                <w:sz w:val="18"/>
              </w:rPr>
              <w:t>53.8</w:t>
            </w:r>
          </w:p>
        </w:tc>
        <w:tc>
          <w:tcPr>
            <w:tcW w:w="381" w:type="pct"/>
            <w:shd w:val="clear" w:color="auto" w:fill="EFD3D2"/>
            <w:noWrap/>
            <w:vAlign w:val="center"/>
          </w:tcPr>
          <w:p w14:paraId="4EDD692B" w14:textId="154BA08E" w:rsidR="00E73466" w:rsidRPr="00DD660E" w:rsidRDefault="0049260A" w:rsidP="00DD660E">
            <w:pPr>
              <w:pStyle w:val="ForTable"/>
              <w:jc w:val="right"/>
              <w:rPr>
                <w:sz w:val="18"/>
              </w:rPr>
            </w:pPr>
            <w:r>
              <w:rPr>
                <w:sz w:val="18"/>
              </w:rPr>
              <w:t>9.1</w:t>
            </w:r>
          </w:p>
        </w:tc>
        <w:tc>
          <w:tcPr>
            <w:tcW w:w="381" w:type="pct"/>
            <w:shd w:val="clear" w:color="auto" w:fill="EFD3D2"/>
            <w:vAlign w:val="center"/>
          </w:tcPr>
          <w:p w14:paraId="1F18763B" w14:textId="5F307C44" w:rsidR="00E73466" w:rsidRPr="00DD660E" w:rsidRDefault="0049260A" w:rsidP="00DD660E">
            <w:pPr>
              <w:pStyle w:val="ForTable"/>
              <w:jc w:val="right"/>
              <w:rPr>
                <w:color w:val="000000"/>
                <w:sz w:val="18"/>
              </w:rPr>
            </w:pPr>
            <w:r>
              <w:rPr>
                <w:color w:val="000000"/>
                <w:sz w:val="18"/>
              </w:rPr>
              <w:t>8.7</w:t>
            </w:r>
          </w:p>
        </w:tc>
        <w:tc>
          <w:tcPr>
            <w:tcW w:w="383" w:type="pct"/>
            <w:shd w:val="clear" w:color="auto" w:fill="EFD3D2"/>
            <w:vAlign w:val="center"/>
          </w:tcPr>
          <w:p w14:paraId="087C8696" w14:textId="7C36C891" w:rsidR="00E73466" w:rsidRPr="00DD660E" w:rsidRDefault="0049260A" w:rsidP="00DD660E">
            <w:pPr>
              <w:pStyle w:val="ForTable"/>
              <w:jc w:val="right"/>
              <w:rPr>
                <w:color w:val="000000"/>
                <w:sz w:val="18"/>
              </w:rPr>
            </w:pPr>
            <w:r>
              <w:rPr>
                <w:color w:val="000000"/>
                <w:sz w:val="18"/>
              </w:rPr>
              <w:t>1.7</w:t>
            </w:r>
          </w:p>
        </w:tc>
        <w:tc>
          <w:tcPr>
            <w:tcW w:w="391" w:type="pct"/>
            <w:shd w:val="clear" w:color="auto" w:fill="EFD3D2"/>
            <w:noWrap/>
            <w:vAlign w:val="center"/>
          </w:tcPr>
          <w:p w14:paraId="2C43D11B" w14:textId="3A833A8C" w:rsidR="00E73466" w:rsidRPr="00DD660E" w:rsidRDefault="0049260A" w:rsidP="00DD660E">
            <w:pPr>
              <w:pStyle w:val="ForTable"/>
              <w:jc w:val="right"/>
              <w:rPr>
                <w:color w:val="000000"/>
                <w:sz w:val="18"/>
              </w:rPr>
            </w:pPr>
            <w:r>
              <w:rPr>
                <w:color w:val="000000"/>
                <w:sz w:val="18"/>
              </w:rPr>
              <w:t>4.8</w:t>
            </w:r>
          </w:p>
        </w:tc>
        <w:tc>
          <w:tcPr>
            <w:tcW w:w="391" w:type="pct"/>
            <w:shd w:val="clear" w:color="auto" w:fill="EFD3D2"/>
            <w:noWrap/>
            <w:vAlign w:val="center"/>
          </w:tcPr>
          <w:p w14:paraId="40B9BD85" w14:textId="4E593539" w:rsidR="00E73466" w:rsidRPr="00DD660E" w:rsidRDefault="0049260A" w:rsidP="00DD660E">
            <w:pPr>
              <w:pStyle w:val="ForTable"/>
              <w:jc w:val="right"/>
              <w:rPr>
                <w:color w:val="000000"/>
                <w:sz w:val="18"/>
              </w:rPr>
            </w:pPr>
            <w:r>
              <w:rPr>
                <w:color w:val="000000"/>
                <w:sz w:val="18"/>
              </w:rPr>
              <w:t>1.8</w:t>
            </w:r>
          </w:p>
        </w:tc>
        <w:tc>
          <w:tcPr>
            <w:tcW w:w="391" w:type="pct"/>
            <w:shd w:val="clear" w:color="auto" w:fill="EFD3D2"/>
            <w:noWrap/>
            <w:vAlign w:val="center"/>
          </w:tcPr>
          <w:p w14:paraId="30A86073" w14:textId="77777777" w:rsidR="00E73466" w:rsidRPr="00DD660E" w:rsidRDefault="00D61220" w:rsidP="00DD660E">
            <w:pPr>
              <w:pStyle w:val="ForTable"/>
              <w:jc w:val="right"/>
              <w:rPr>
                <w:color w:val="000000"/>
                <w:sz w:val="18"/>
              </w:rPr>
            </w:pPr>
            <w:r w:rsidRPr="00DD660E">
              <w:rPr>
                <w:color w:val="000000"/>
                <w:sz w:val="18"/>
              </w:rPr>
              <w:t>0.0</w:t>
            </w:r>
          </w:p>
        </w:tc>
        <w:tc>
          <w:tcPr>
            <w:tcW w:w="391" w:type="pct"/>
            <w:shd w:val="clear" w:color="auto" w:fill="EFD3D2"/>
            <w:vAlign w:val="center"/>
          </w:tcPr>
          <w:p w14:paraId="4688DA0B" w14:textId="77777777" w:rsidR="00E73466" w:rsidRPr="00DD660E" w:rsidRDefault="00D61220" w:rsidP="00DD660E">
            <w:pPr>
              <w:pStyle w:val="ForTable"/>
              <w:jc w:val="right"/>
              <w:rPr>
                <w:color w:val="000000"/>
                <w:sz w:val="18"/>
              </w:rPr>
            </w:pPr>
            <w:r w:rsidRPr="00DD660E">
              <w:rPr>
                <w:color w:val="000000"/>
                <w:sz w:val="18"/>
              </w:rPr>
              <w:t>0.0</w:t>
            </w:r>
          </w:p>
        </w:tc>
        <w:tc>
          <w:tcPr>
            <w:tcW w:w="442" w:type="pct"/>
            <w:shd w:val="clear" w:color="auto" w:fill="EFD3D2"/>
            <w:noWrap/>
            <w:vAlign w:val="center"/>
          </w:tcPr>
          <w:p w14:paraId="0B21AFAA" w14:textId="2E295699" w:rsidR="00E73466" w:rsidRPr="00DD660E" w:rsidRDefault="0049260A" w:rsidP="00DD660E">
            <w:pPr>
              <w:pStyle w:val="ForTable"/>
              <w:jc w:val="right"/>
              <w:rPr>
                <w:color w:val="000000"/>
                <w:sz w:val="18"/>
              </w:rPr>
            </w:pPr>
            <w:r>
              <w:rPr>
                <w:color w:val="000000"/>
                <w:sz w:val="18"/>
              </w:rPr>
              <w:t>119.2</w:t>
            </w:r>
          </w:p>
        </w:tc>
        <w:tc>
          <w:tcPr>
            <w:tcW w:w="365" w:type="pct"/>
            <w:shd w:val="clear" w:color="auto" w:fill="EFD3D2"/>
            <w:noWrap/>
            <w:vAlign w:val="center"/>
          </w:tcPr>
          <w:p w14:paraId="265CD42B" w14:textId="7F6DC436" w:rsidR="00E73466" w:rsidRPr="00DD660E" w:rsidRDefault="0049260A" w:rsidP="00DD660E">
            <w:pPr>
              <w:pStyle w:val="ForTable"/>
              <w:jc w:val="right"/>
              <w:rPr>
                <w:color w:val="000000"/>
                <w:sz w:val="18"/>
              </w:rPr>
            </w:pPr>
            <w:r>
              <w:rPr>
                <w:color w:val="000000"/>
                <w:sz w:val="18"/>
              </w:rPr>
              <w:t>20.3</w:t>
            </w:r>
          </w:p>
        </w:tc>
      </w:tr>
      <w:tr w:rsidR="00A43848" w:rsidRPr="00E73466" w14:paraId="2DD86ADB" w14:textId="77777777" w:rsidTr="00293003">
        <w:trPr>
          <w:cantSplit/>
          <w:trHeight w:val="454"/>
        </w:trPr>
        <w:tc>
          <w:tcPr>
            <w:tcW w:w="722" w:type="pct"/>
            <w:shd w:val="clear" w:color="auto" w:fill="auto"/>
            <w:noWrap/>
            <w:vAlign w:val="center"/>
          </w:tcPr>
          <w:p w14:paraId="1C81CEE7" w14:textId="77777777" w:rsidR="00E73466" w:rsidRPr="00A43848" w:rsidRDefault="00A43848" w:rsidP="00293003">
            <w:pPr>
              <w:spacing w:before="60" w:after="60"/>
              <w:rPr>
                <w:rFonts w:cs="Arial"/>
                <w:color w:val="000000"/>
                <w:sz w:val="18"/>
                <w:szCs w:val="16"/>
              </w:rPr>
            </w:pPr>
            <w:r>
              <w:rPr>
                <w:rFonts w:cs="Arial"/>
                <w:color w:val="000000"/>
                <w:sz w:val="18"/>
                <w:szCs w:val="16"/>
              </w:rPr>
              <w:t>Dispute resolution</w:t>
            </w:r>
          </w:p>
        </w:tc>
        <w:tc>
          <w:tcPr>
            <w:tcW w:w="381" w:type="pct"/>
            <w:shd w:val="clear" w:color="auto" w:fill="auto"/>
            <w:noWrap/>
            <w:vAlign w:val="center"/>
          </w:tcPr>
          <w:p w14:paraId="3AEB32B5" w14:textId="04F9DC5D" w:rsidR="00E73466" w:rsidRPr="00DD660E" w:rsidRDefault="0049260A" w:rsidP="00DD660E">
            <w:pPr>
              <w:pStyle w:val="ForTable"/>
              <w:jc w:val="right"/>
              <w:rPr>
                <w:sz w:val="18"/>
              </w:rPr>
            </w:pPr>
            <w:r>
              <w:rPr>
                <w:sz w:val="18"/>
              </w:rPr>
              <w:t>30.3</w:t>
            </w:r>
          </w:p>
        </w:tc>
        <w:tc>
          <w:tcPr>
            <w:tcW w:w="381" w:type="pct"/>
            <w:shd w:val="clear" w:color="auto" w:fill="auto"/>
            <w:noWrap/>
            <w:vAlign w:val="center"/>
          </w:tcPr>
          <w:p w14:paraId="6C052BD5" w14:textId="01DF32C7" w:rsidR="00E73466" w:rsidRPr="00DD660E" w:rsidRDefault="0049260A" w:rsidP="00DD660E">
            <w:pPr>
              <w:pStyle w:val="ForTable"/>
              <w:jc w:val="right"/>
              <w:rPr>
                <w:sz w:val="18"/>
              </w:rPr>
            </w:pPr>
            <w:r>
              <w:rPr>
                <w:sz w:val="18"/>
              </w:rPr>
              <w:t>31.3</w:t>
            </w:r>
          </w:p>
        </w:tc>
        <w:tc>
          <w:tcPr>
            <w:tcW w:w="381" w:type="pct"/>
            <w:shd w:val="clear" w:color="auto" w:fill="auto"/>
            <w:noWrap/>
            <w:vAlign w:val="center"/>
          </w:tcPr>
          <w:p w14:paraId="1D6F81AB" w14:textId="0E33D162" w:rsidR="00E73466" w:rsidRPr="00DD660E" w:rsidRDefault="0049260A" w:rsidP="00DD660E">
            <w:pPr>
              <w:pStyle w:val="ForTable"/>
              <w:jc w:val="right"/>
              <w:rPr>
                <w:sz w:val="18"/>
              </w:rPr>
            </w:pPr>
            <w:r>
              <w:rPr>
                <w:sz w:val="18"/>
              </w:rPr>
              <w:t>13.1</w:t>
            </w:r>
          </w:p>
        </w:tc>
        <w:tc>
          <w:tcPr>
            <w:tcW w:w="381" w:type="pct"/>
            <w:shd w:val="clear" w:color="auto" w:fill="auto"/>
            <w:vAlign w:val="center"/>
          </w:tcPr>
          <w:p w14:paraId="59CE3730" w14:textId="31D25C48" w:rsidR="00E73466" w:rsidRPr="00DD660E" w:rsidRDefault="0049260A" w:rsidP="00DD660E">
            <w:pPr>
              <w:pStyle w:val="ForTable"/>
              <w:jc w:val="right"/>
              <w:rPr>
                <w:color w:val="000000"/>
                <w:sz w:val="18"/>
              </w:rPr>
            </w:pPr>
            <w:r>
              <w:rPr>
                <w:color w:val="000000"/>
                <w:sz w:val="18"/>
              </w:rPr>
              <w:t>6.2</w:t>
            </w:r>
          </w:p>
        </w:tc>
        <w:tc>
          <w:tcPr>
            <w:tcW w:w="383" w:type="pct"/>
            <w:shd w:val="clear" w:color="auto" w:fill="auto"/>
            <w:vAlign w:val="center"/>
          </w:tcPr>
          <w:p w14:paraId="572823DF" w14:textId="5B39073E" w:rsidR="00E73466" w:rsidRPr="00DD660E" w:rsidRDefault="0049260A" w:rsidP="00DD660E">
            <w:pPr>
              <w:pStyle w:val="ForTable"/>
              <w:jc w:val="right"/>
              <w:rPr>
                <w:color w:val="000000"/>
                <w:sz w:val="18"/>
              </w:rPr>
            </w:pPr>
            <w:r>
              <w:rPr>
                <w:color w:val="000000"/>
                <w:sz w:val="18"/>
              </w:rPr>
              <w:t>4.0</w:t>
            </w:r>
          </w:p>
        </w:tc>
        <w:tc>
          <w:tcPr>
            <w:tcW w:w="391" w:type="pct"/>
            <w:shd w:val="clear" w:color="auto" w:fill="auto"/>
            <w:noWrap/>
            <w:vAlign w:val="center"/>
          </w:tcPr>
          <w:p w14:paraId="39F51062" w14:textId="7D66626A" w:rsidR="00E73466" w:rsidRPr="00DD660E" w:rsidRDefault="0049260A" w:rsidP="00DD660E">
            <w:pPr>
              <w:pStyle w:val="ForTable"/>
              <w:jc w:val="right"/>
              <w:rPr>
                <w:color w:val="000000"/>
                <w:sz w:val="18"/>
              </w:rPr>
            </w:pPr>
            <w:r>
              <w:rPr>
                <w:color w:val="000000"/>
                <w:sz w:val="18"/>
              </w:rPr>
              <w:t>4.0</w:t>
            </w:r>
          </w:p>
        </w:tc>
        <w:tc>
          <w:tcPr>
            <w:tcW w:w="391" w:type="pct"/>
            <w:shd w:val="clear" w:color="auto" w:fill="auto"/>
            <w:noWrap/>
            <w:vAlign w:val="center"/>
          </w:tcPr>
          <w:p w14:paraId="0982486F" w14:textId="77777777" w:rsidR="00E73466" w:rsidRPr="00DD660E" w:rsidRDefault="00D61220" w:rsidP="00DD660E">
            <w:pPr>
              <w:pStyle w:val="ForTable"/>
              <w:jc w:val="right"/>
              <w:rPr>
                <w:color w:val="000000"/>
                <w:sz w:val="18"/>
              </w:rPr>
            </w:pPr>
            <w:r w:rsidRPr="00DD660E">
              <w:rPr>
                <w:color w:val="000000"/>
                <w:sz w:val="18"/>
              </w:rPr>
              <w:t>1.1</w:t>
            </w:r>
          </w:p>
        </w:tc>
        <w:tc>
          <w:tcPr>
            <w:tcW w:w="391" w:type="pct"/>
            <w:shd w:val="clear" w:color="auto" w:fill="auto"/>
            <w:noWrap/>
            <w:vAlign w:val="center"/>
          </w:tcPr>
          <w:p w14:paraId="66219314" w14:textId="7F85580B" w:rsidR="00E73466" w:rsidRPr="00DD660E" w:rsidRDefault="00D61220" w:rsidP="0049260A">
            <w:pPr>
              <w:pStyle w:val="ForTable"/>
              <w:jc w:val="right"/>
              <w:rPr>
                <w:color w:val="000000"/>
                <w:sz w:val="18"/>
              </w:rPr>
            </w:pPr>
            <w:r w:rsidRPr="00DD660E">
              <w:rPr>
                <w:color w:val="000000"/>
                <w:sz w:val="18"/>
              </w:rPr>
              <w:t>0.</w:t>
            </w:r>
            <w:r w:rsidR="0049260A">
              <w:rPr>
                <w:color w:val="000000"/>
                <w:sz w:val="18"/>
              </w:rPr>
              <w:t>5</w:t>
            </w:r>
          </w:p>
        </w:tc>
        <w:tc>
          <w:tcPr>
            <w:tcW w:w="391" w:type="pct"/>
            <w:shd w:val="clear" w:color="auto" w:fill="auto"/>
            <w:vAlign w:val="center"/>
          </w:tcPr>
          <w:p w14:paraId="31144E6B" w14:textId="77777777" w:rsidR="00E73466" w:rsidRPr="00DD660E" w:rsidRDefault="00D61220" w:rsidP="00DD660E">
            <w:pPr>
              <w:pStyle w:val="ForTable"/>
              <w:jc w:val="right"/>
              <w:rPr>
                <w:color w:val="000000"/>
                <w:sz w:val="18"/>
              </w:rPr>
            </w:pPr>
            <w:r w:rsidRPr="00DD660E">
              <w:rPr>
                <w:color w:val="000000"/>
                <w:sz w:val="18"/>
              </w:rPr>
              <w:t>0.6</w:t>
            </w:r>
          </w:p>
        </w:tc>
        <w:tc>
          <w:tcPr>
            <w:tcW w:w="442" w:type="pct"/>
            <w:shd w:val="clear" w:color="auto" w:fill="auto"/>
            <w:noWrap/>
            <w:vAlign w:val="center"/>
          </w:tcPr>
          <w:p w14:paraId="731124C7" w14:textId="3A4759D6" w:rsidR="00E73466" w:rsidRPr="00DD660E" w:rsidRDefault="00D61220" w:rsidP="0049260A">
            <w:pPr>
              <w:pStyle w:val="ForTable"/>
              <w:jc w:val="right"/>
              <w:rPr>
                <w:color w:val="000000"/>
                <w:sz w:val="18"/>
              </w:rPr>
            </w:pPr>
            <w:r w:rsidRPr="00DD660E">
              <w:rPr>
                <w:color w:val="000000"/>
                <w:sz w:val="18"/>
              </w:rPr>
              <w:t>91.</w:t>
            </w:r>
            <w:r w:rsidR="0049260A">
              <w:rPr>
                <w:color w:val="000000"/>
                <w:sz w:val="18"/>
              </w:rPr>
              <w:t>0</w:t>
            </w:r>
          </w:p>
        </w:tc>
        <w:tc>
          <w:tcPr>
            <w:tcW w:w="365" w:type="pct"/>
            <w:shd w:val="clear" w:color="auto" w:fill="auto"/>
            <w:noWrap/>
            <w:vAlign w:val="center"/>
          </w:tcPr>
          <w:p w14:paraId="73BCD230" w14:textId="77777777" w:rsidR="00E73466" w:rsidRPr="00DD660E" w:rsidRDefault="00D61220" w:rsidP="00DD660E">
            <w:pPr>
              <w:pStyle w:val="ForTable"/>
              <w:jc w:val="right"/>
              <w:rPr>
                <w:color w:val="000000"/>
                <w:sz w:val="18"/>
              </w:rPr>
            </w:pPr>
            <w:r w:rsidRPr="00DD660E">
              <w:rPr>
                <w:color w:val="000000"/>
                <w:sz w:val="18"/>
              </w:rPr>
              <w:t>0.0</w:t>
            </w:r>
          </w:p>
        </w:tc>
      </w:tr>
      <w:tr w:rsidR="00A43848" w:rsidRPr="00E73466" w14:paraId="5DA59949" w14:textId="77777777" w:rsidTr="00293003">
        <w:trPr>
          <w:cantSplit/>
          <w:trHeight w:val="454"/>
        </w:trPr>
        <w:tc>
          <w:tcPr>
            <w:tcW w:w="722" w:type="pct"/>
            <w:shd w:val="clear" w:color="auto" w:fill="EFD3D2"/>
            <w:noWrap/>
            <w:vAlign w:val="center"/>
          </w:tcPr>
          <w:p w14:paraId="6288314B" w14:textId="77777777" w:rsidR="00E73466" w:rsidRPr="00A43848" w:rsidRDefault="00A43848" w:rsidP="00293003">
            <w:pPr>
              <w:spacing w:before="60" w:after="60"/>
              <w:rPr>
                <w:rFonts w:cs="Arial"/>
                <w:color w:val="000000"/>
                <w:sz w:val="18"/>
                <w:szCs w:val="16"/>
              </w:rPr>
            </w:pPr>
            <w:r>
              <w:rPr>
                <w:rFonts w:cs="Arial"/>
                <w:color w:val="000000"/>
                <w:sz w:val="18"/>
                <w:szCs w:val="16"/>
              </w:rPr>
              <w:t>Other administration</w:t>
            </w:r>
          </w:p>
        </w:tc>
        <w:tc>
          <w:tcPr>
            <w:tcW w:w="381" w:type="pct"/>
            <w:shd w:val="clear" w:color="auto" w:fill="EFD3D2"/>
            <w:noWrap/>
            <w:vAlign w:val="center"/>
          </w:tcPr>
          <w:p w14:paraId="1DD7ED01" w14:textId="54D91D60" w:rsidR="00E73466" w:rsidRPr="00DD660E" w:rsidRDefault="00A43848" w:rsidP="0049260A">
            <w:pPr>
              <w:pStyle w:val="ForTable"/>
              <w:jc w:val="right"/>
              <w:rPr>
                <w:sz w:val="18"/>
              </w:rPr>
            </w:pPr>
            <w:r w:rsidRPr="00DD660E">
              <w:rPr>
                <w:sz w:val="18"/>
              </w:rPr>
              <w:t>16.</w:t>
            </w:r>
            <w:r w:rsidR="0049260A">
              <w:rPr>
                <w:sz w:val="18"/>
              </w:rPr>
              <w:t>6</w:t>
            </w:r>
          </w:p>
        </w:tc>
        <w:tc>
          <w:tcPr>
            <w:tcW w:w="381" w:type="pct"/>
            <w:shd w:val="clear" w:color="auto" w:fill="EFD3D2"/>
            <w:noWrap/>
            <w:vAlign w:val="center"/>
          </w:tcPr>
          <w:p w14:paraId="7FAC0245" w14:textId="049CFCB5" w:rsidR="00E73466" w:rsidRPr="00DD660E" w:rsidRDefault="0049260A" w:rsidP="00DD660E">
            <w:pPr>
              <w:pStyle w:val="ForTable"/>
              <w:jc w:val="right"/>
              <w:rPr>
                <w:sz w:val="18"/>
              </w:rPr>
            </w:pPr>
            <w:r>
              <w:rPr>
                <w:sz w:val="18"/>
              </w:rPr>
              <w:t>31.5</w:t>
            </w:r>
          </w:p>
        </w:tc>
        <w:tc>
          <w:tcPr>
            <w:tcW w:w="381" w:type="pct"/>
            <w:shd w:val="clear" w:color="auto" w:fill="EFD3D2"/>
            <w:noWrap/>
            <w:vAlign w:val="center"/>
          </w:tcPr>
          <w:p w14:paraId="04E01924" w14:textId="3ABBD337" w:rsidR="00E73466" w:rsidRPr="00DD660E" w:rsidRDefault="0049260A" w:rsidP="00DD660E">
            <w:pPr>
              <w:pStyle w:val="ForTable"/>
              <w:jc w:val="right"/>
              <w:rPr>
                <w:sz w:val="18"/>
              </w:rPr>
            </w:pPr>
            <w:r>
              <w:rPr>
                <w:sz w:val="18"/>
              </w:rPr>
              <w:t>41.0</w:t>
            </w:r>
          </w:p>
        </w:tc>
        <w:tc>
          <w:tcPr>
            <w:tcW w:w="381" w:type="pct"/>
            <w:shd w:val="clear" w:color="auto" w:fill="EFD3D2"/>
            <w:vAlign w:val="center"/>
          </w:tcPr>
          <w:p w14:paraId="24312829" w14:textId="1E078B7E" w:rsidR="00E73466" w:rsidRPr="00DD660E" w:rsidRDefault="0049260A" w:rsidP="00DD660E">
            <w:pPr>
              <w:pStyle w:val="ForTable"/>
              <w:jc w:val="right"/>
              <w:rPr>
                <w:color w:val="000000"/>
                <w:sz w:val="18"/>
              </w:rPr>
            </w:pPr>
            <w:r>
              <w:rPr>
                <w:color w:val="000000"/>
                <w:sz w:val="18"/>
              </w:rPr>
              <w:t>28.9</w:t>
            </w:r>
          </w:p>
        </w:tc>
        <w:tc>
          <w:tcPr>
            <w:tcW w:w="383" w:type="pct"/>
            <w:shd w:val="clear" w:color="auto" w:fill="EFD3D2"/>
            <w:vAlign w:val="center"/>
          </w:tcPr>
          <w:p w14:paraId="0CDE7B93" w14:textId="5DAF2F94" w:rsidR="00E73466" w:rsidRPr="00DD660E" w:rsidRDefault="0049260A" w:rsidP="00DD660E">
            <w:pPr>
              <w:pStyle w:val="ForTable"/>
              <w:jc w:val="right"/>
              <w:rPr>
                <w:color w:val="000000"/>
                <w:sz w:val="18"/>
              </w:rPr>
            </w:pPr>
            <w:r>
              <w:rPr>
                <w:color w:val="000000"/>
                <w:sz w:val="18"/>
              </w:rPr>
              <w:t>27.0</w:t>
            </w:r>
          </w:p>
        </w:tc>
        <w:tc>
          <w:tcPr>
            <w:tcW w:w="391" w:type="pct"/>
            <w:shd w:val="clear" w:color="auto" w:fill="EFD3D2"/>
            <w:noWrap/>
            <w:vAlign w:val="center"/>
          </w:tcPr>
          <w:p w14:paraId="4E375F3D" w14:textId="56820EA0" w:rsidR="00E73466" w:rsidRPr="00DD660E" w:rsidRDefault="00D61220" w:rsidP="0049260A">
            <w:pPr>
              <w:pStyle w:val="ForTable"/>
              <w:jc w:val="right"/>
              <w:rPr>
                <w:color w:val="000000"/>
                <w:sz w:val="18"/>
              </w:rPr>
            </w:pPr>
            <w:r w:rsidRPr="00DD660E">
              <w:rPr>
                <w:color w:val="000000"/>
                <w:sz w:val="18"/>
              </w:rPr>
              <w:t>8.</w:t>
            </w:r>
            <w:r w:rsidR="0049260A">
              <w:rPr>
                <w:color w:val="000000"/>
                <w:sz w:val="18"/>
              </w:rPr>
              <w:t>9</w:t>
            </w:r>
          </w:p>
        </w:tc>
        <w:tc>
          <w:tcPr>
            <w:tcW w:w="391" w:type="pct"/>
            <w:shd w:val="clear" w:color="auto" w:fill="EFD3D2"/>
            <w:noWrap/>
            <w:vAlign w:val="center"/>
          </w:tcPr>
          <w:p w14:paraId="3D4D80C6" w14:textId="56F939AF" w:rsidR="00E73466" w:rsidRPr="00DD660E" w:rsidRDefault="00D61220" w:rsidP="0049260A">
            <w:pPr>
              <w:pStyle w:val="ForTable"/>
              <w:jc w:val="right"/>
              <w:rPr>
                <w:color w:val="000000"/>
                <w:sz w:val="18"/>
              </w:rPr>
            </w:pPr>
            <w:r w:rsidRPr="00DD660E">
              <w:rPr>
                <w:color w:val="000000"/>
                <w:sz w:val="18"/>
              </w:rPr>
              <w:t>0.</w:t>
            </w:r>
            <w:r w:rsidR="0049260A">
              <w:rPr>
                <w:color w:val="000000"/>
                <w:sz w:val="18"/>
              </w:rPr>
              <w:t>7</w:t>
            </w:r>
          </w:p>
        </w:tc>
        <w:tc>
          <w:tcPr>
            <w:tcW w:w="391" w:type="pct"/>
            <w:shd w:val="clear" w:color="auto" w:fill="EFD3D2"/>
            <w:noWrap/>
            <w:vAlign w:val="center"/>
          </w:tcPr>
          <w:p w14:paraId="61520F0F" w14:textId="77777777" w:rsidR="00E73466" w:rsidRPr="00DD660E" w:rsidRDefault="00D61220" w:rsidP="00DD660E">
            <w:pPr>
              <w:pStyle w:val="ForTable"/>
              <w:jc w:val="right"/>
              <w:rPr>
                <w:color w:val="000000"/>
                <w:sz w:val="18"/>
              </w:rPr>
            </w:pPr>
            <w:r w:rsidRPr="00DD660E">
              <w:rPr>
                <w:color w:val="000000"/>
                <w:sz w:val="18"/>
              </w:rPr>
              <w:t>1.3</w:t>
            </w:r>
          </w:p>
        </w:tc>
        <w:tc>
          <w:tcPr>
            <w:tcW w:w="391" w:type="pct"/>
            <w:shd w:val="clear" w:color="auto" w:fill="EFD3D2"/>
            <w:vAlign w:val="center"/>
          </w:tcPr>
          <w:p w14:paraId="24189834" w14:textId="04503D1D" w:rsidR="00E73466" w:rsidRPr="00DD660E" w:rsidRDefault="00D61220" w:rsidP="0049260A">
            <w:pPr>
              <w:pStyle w:val="ForTable"/>
              <w:jc w:val="right"/>
              <w:rPr>
                <w:color w:val="000000"/>
                <w:sz w:val="18"/>
              </w:rPr>
            </w:pPr>
            <w:r w:rsidRPr="00DD660E">
              <w:rPr>
                <w:color w:val="000000"/>
                <w:sz w:val="18"/>
              </w:rPr>
              <w:t>0.</w:t>
            </w:r>
            <w:r w:rsidR="0049260A">
              <w:rPr>
                <w:color w:val="000000"/>
                <w:sz w:val="18"/>
              </w:rPr>
              <w:t>3</w:t>
            </w:r>
          </w:p>
        </w:tc>
        <w:tc>
          <w:tcPr>
            <w:tcW w:w="442" w:type="pct"/>
            <w:shd w:val="clear" w:color="auto" w:fill="EFD3D2"/>
            <w:noWrap/>
            <w:vAlign w:val="center"/>
          </w:tcPr>
          <w:p w14:paraId="5E93CFFE" w14:textId="79D27958" w:rsidR="00E73466" w:rsidRPr="00DD660E" w:rsidRDefault="0049260A" w:rsidP="00DD660E">
            <w:pPr>
              <w:pStyle w:val="ForTable"/>
              <w:jc w:val="right"/>
              <w:rPr>
                <w:color w:val="000000"/>
                <w:sz w:val="18"/>
              </w:rPr>
            </w:pPr>
            <w:r>
              <w:rPr>
                <w:color w:val="000000"/>
                <w:sz w:val="18"/>
              </w:rPr>
              <w:t>156.3</w:t>
            </w:r>
          </w:p>
        </w:tc>
        <w:tc>
          <w:tcPr>
            <w:tcW w:w="365" w:type="pct"/>
            <w:shd w:val="clear" w:color="auto" w:fill="EFD3D2"/>
            <w:noWrap/>
            <w:vAlign w:val="center"/>
          </w:tcPr>
          <w:p w14:paraId="679F1997" w14:textId="62150B32" w:rsidR="00E73466" w:rsidRPr="00DD660E" w:rsidRDefault="0049260A" w:rsidP="00DD660E">
            <w:pPr>
              <w:pStyle w:val="ForTable"/>
              <w:jc w:val="right"/>
              <w:rPr>
                <w:color w:val="000000"/>
                <w:sz w:val="18"/>
              </w:rPr>
            </w:pPr>
            <w:r>
              <w:rPr>
                <w:color w:val="000000"/>
                <w:sz w:val="18"/>
              </w:rPr>
              <w:t>39.4</w:t>
            </w:r>
          </w:p>
        </w:tc>
      </w:tr>
      <w:tr w:rsidR="00A43848" w:rsidRPr="00DF7579" w14:paraId="38099C60" w14:textId="77777777" w:rsidTr="00293003">
        <w:trPr>
          <w:cantSplit/>
          <w:trHeight w:val="454"/>
        </w:trPr>
        <w:tc>
          <w:tcPr>
            <w:tcW w:w="722" w:type="pct"/>
            <w:shd w:val="clear" w:color="auto" w:fill="808080" w:themeFill="background1" w:themeFillShade="80"/>
            <w:noWrap/>
            <w:vAlign w:val="center"/>
          </w:tcPr>
          <w:p w14:paraId="34F660C8" w14:textId="77777777" w:rsidR="00E73466" w:rsidRPr="00DF7579" w:rsidRDefault="00A43848" w:rsidP="00293003">
            <w:pPr>
              <w:spacing w:before="60" w:after="60"/>
              <w:rPr>
                <w:rFonts w:cs="Arial"/>
                <w:b/>
                <w:color w:val="FFFFFF" w:themeColor="background1"/>
                <w:sz w:val="18"/>
                <w:szCs w:val="16"/>
              </w:rPr>
            </w:pPr>
            <w:r w:rsidRPr="00DF7579">
              <w:rPr>
                <w:rFonts w:cs="Arial"/>
                <w:b/>
                <w:color w:val="FFFFFF" w:themeColor="background1"/>
                <w:sz w:val="18"/>
                <w:szCs w:val="16"/>
              </w:rPr>
              <w:t>Total</w:t>
            </w:r>
          </w:p>
        </w:tc>
        <w:tc>
          <w:tcPr>
            <w:tcW w:w="381" w:type="pct"/>
            <w:tcBorders>
              <w:bottom w:val="single" w:sz="4" w:space="0" w:color="FFFFFF" w:themeColor="background1"/>
            </w:tcBorders>
            <w:shd w:val="clear" w:color="auto" w:fill="808080" w:themeFill="background1" w:themeFillShade="80"/>
            <w:noWrap/>
            <w:vAlign w:val="center"/>
          </w:tcPr>
          <w:p w14:paraId="6AEBBBA2" w14:textId="1931F316" w:rsidR="00E73466" w:rsidRPr="00DF7579" w:rsidRDefault="00A43848" w:rsidP="00437375">
            <w:pPr>
              <w:pStyle w:val="ForTable"/>
              <w:jc w:val="right"/>
              <w:rPr>
                <w:b/>
                <w:color w:val="FFFFFF" w:themeColor="background1"/>
                <w:sz w:val="18"/>
              </w:rPr>
            </w:pPr>
            <w:r w:rsidRPr="00DF7579">
              <w:rPr>
                <w:b/>
                <w:color w:val="FFFFFF" w:themeColor="background1"/>
                <w:sz w:val="18"/>
              </w:rPr>
              <w:t>2,</w:t>
            </w:r>
            <w:r w:rsidR="00437375">
              <w:rPr>
                <w:b/>
                <w:color w:val="FFFFFF" w:themeColor="background1"/>
                <w:sz w:val="18"/>
              </w:rPr>
              <w:t>521.1</w:t>
            </w:r>
          </w:p>
        </w:tc>
        <w:tc>
          <w:tcPr>
            <w:tcW w:w="381" w:type="pct"/>
            <w:tcBorders>
              <w:bottom w:val="single" w:sz="4" w:space="0" w:color="FFFFFF" w:themeColor="background1"/>
            </w:tcBorders>
            <w:shd w:val="clear" w:color="auto" w:fill="808080" w:themeFill="background1" w:themeFillShade="80"/>
            <w:noWrap/>
            <w:vAlign w:val="center"/>
          </w:tcPr>
          <w:p w14:paraId="708A3407" w14:textId="2B1FC858" w:rsidR="00E73466" w:rsidRPr="00DF7579" w:rsidRDefault="00437375" w:rsidP="00DD660E">
            <w:pPr>
              <w:pStyle w:val="ForTable"/>
              <w:jc w:val="right"/>
              <w:rPr>
                <w:b/>
                <w:color w:val="FFFFFF" w:themeColor="background1"/>
                <w:sz w:val="18"/>
              </w:rPr>
            </w:pPr>
            <w:r>
              <w:rPr>
                <w:b/>
                <w:color w:val="FFFFFF" w:themeColor="background1"/>
                <w:sz w:val="18"/>
              </w:rPr>
              <w:t>1975.8</w:t>
            </w:r>
          </w:p>
        </w:tc>
        <w:tc>
          <w:tcPr>
            <w:tcW w:w="381" w:type="pct"/>
            <w:tcBorders>
              <w:bottom w:val="single" w:sz="4" w:space="0" w:color="FFFFFF" w:themeColor="background1"/>
            </w:tcBorders>
            <w:shd w:val="clear" w:color="auto" w:fill="808080" w:themeFill="background1" w:themeFillShade="80"/>
            <w:noWrap/>
            <w:vAlign w:val="center"/>
          </w:tcPr>
          <w:p w14:paraId="00FAEC41" w14:textId="38C19426" w:rsidR="00E73466" w:rsidRPr="00DF7579" w:rsidRDefault="00437375" w:rsidP="00DD660E">
            <w:pPr>
              <w:pStyle w:val="ForTable"/>
              <w:jc w:val="right"/>
              <w:rPr>
                <w:b/>
                <w:color w:val="FFFFFF" w:themeColor="background1"/>
                <w:sz w:val="18"/>
              </w:rPr>
            </w:pPr>
            <w:r>
              <w:rPr>
                <w:b/>
                <w:color w:val="FFFFFF" w:themeColor="background1"/>
                <w:sz w:val="18"/>
              </w:rPr>
              <w:t>1322.3</w:t>
            </w:r>
          </w:p>
        </w:tc>
        <w:tc>
          <w:tcPr>
            <w:tcW w:w="381" w:type="pct"/>
            <w:tcBorders>
              <w:bottom w:val="single" w:sz="4" w:space="0" w:color="FFFFFF" w:themeColor="background1"/>
            </w:tcBorders>
            <w:shd w:val="clear" w:color="auto" w:fill="808080" w:themeFill="background1" w:themeFillShade="80"/>
            <w:vAlign w:val="center"/>
          </w:tcPr>
          <w:p w14:paraId="354628E5" w14:textId="4BE22C01" w:rsidR="00E73466" w:rsidRPr="00DF7579" w:rsidRDefault="00437375" w:rsidP="00DD660E">
            <w:pPr>
              <w:pStyle w:val="ForTable"/>
              <w:jc w:val="right"/>
              <w:rPr>
                <w:b/>
                <w:color w:val="FFFFFF" w:themeColor="background1"/>
                <w:sz w:val="18"/>
              </w:rPr>
            </w:pPr>
            <w:r>
              <w:rPr>
                <w:b/>
                <w:color w:val="FFFFFF" w:themeColor="background1"/>
                <w:sz w:val="18"/>
              </w:rPr>
              <w:t>531.5</w:t>
            </w:r>
          </w:p>
        </w:tc>
        <w:tc>
          <w:tcPr>
            <w:tcW w:w="383" w:type="pct"/>
            <w:tcBorders>
              <w:bottom w:val="single" w:sz="4" w:space="0" w:color="FFFFFF" w:themeColor="background1"/>
            </w:tcBorders>
            <w:shd w:val="clear" w:color="auto" w:fill="808080" w:themeFill="background1" w:themeFillShade="80"/>
            <w:vAlign w:val="center"/>
          </w:tcPr>
          <w:p w14:paraId="5F9BA445" w14:textId="58BA412C" w:rsidR="00E73466" w:rsidRPr="00DF7579" w:rsidRDefault="00437375" w:rsidP="00DD660E">
            <w:pPr>
              <w:pStyle w:val="ForTable"/>
              <w:jc w:val="right"/>
              <w:rPr>
                <w:b/>
                <w:color w:val="FFFFFF" w:themeColor="background1"/>
                <w:sz w:val="18"/>
              </w:rPr>
            </w:pPr>
            <w:r>
              <w:rPr>
                <w:b/>
                <w:color w:val="FFFFFF" w:themeColor="background1"/>
                <w:sz w:val="18"/>
              </w:rPr>
              <w:t>341.4</w:t>
            </w:r>
          </w:p>
        </w:tc>
        <w:tc>
          <w:tcPr>
            <w:tcW w:w="391" w:type="pct"/>
            <w:tcBorders>
              <w:bottom w:val="single" w:sz="4" w:space="0" w:color="FFFFFF" w:themeColor="background1"/>
            </w:tcBorders>
            <w:shd w:val="clear" w:color="auto" w:fill="808080" w:themeFill="background1" w:themeFillShade="80"/>
            <w:noWrap/>
            <w:vAlign w:val="center"/>
          </w:tcPr>
          <w:p w14:paraId="70F9D08E" w14:textId="4B19C46D" w:rsidR="00E73466" w:rsidRPr="00DF7579" w:rsidRDefault="00437375" w:rsidP="00DD660E">
            <w:pPr>
              <w:pStyle w:val="ForTable"/>
              <w:jc w:val="right"/>
              <w:rPr>
                <w:b/>
                <w:color w:val="FFFFFF" w:themeColor="background1"/>
                <w:sz w:val="18"/>
              </w:rPr>
            </w:pPr>
            <w:r>
              <w:rPr>
                <w:b/>
                <w:color w:val="FFFFFF" w:themeColor="background1"/>
                <w:sz w:val="18"/>
              </w:rPr>
              <w:t>1,034.5</w:t>
            </w:r>
          </w:p>
        </w:tc>
        <w:tc>
          <w:tcPr>
            <w:tcW w:w="391" w:type="pct"/>
            <w:tcBorders>
              <w:bottom w:val="single" w:sz="4" w:space="0" w:color="FFFFFF" w:themeColor="background1"/>
            </w:tcBorders>
            <w:shd w:val="clear" w:color="auto" w:fill="808080" w:themeFill="background1" w:themeFillShade="80"/>
            <w:noWrap/>
            <w:vAlign w:val="center"/>
          </w:tcPr>
          <w:p w14:paraId="3AC2C5E2" w14:textId="4263275C" w:rsidR="00E73466" w:rsidRPr="00DF7579" w:rsidRDefault="00437375" w:rsidP="00DD660E">
            <w:pPr>
              <w:pStyle w:val="ForTable"/>
              <w:jc w:val="right"/>
              <w:rPr>
                <w:b/>
                <w:color w:val="FFFFFF" w:themeColor="background1"/>
                <w:sz w:val="18"/>
              </w:rPr>
            </w:pPr>
            <w:r>
              <w:rPr>
                <w:b/>
                <w:color w:val="FFFFFF" w:themeColor="background1"/>
                <w:sz w:val="18"/>
              </w:rPr>
              <w:t>138.9</w:t>
            </w:r>
          </w:p>
        </w:tc>
        <w:tc>
          <w:tcPr>
            <w:tcW w:w="391" w:type="pct"/>
            <w:tcBorders>
              <w:bottom w:val="single" w:sz="4" w:space="0" w:color="FFFFFF" w:themeColor="background1"/>
            </w:tcBorders>
            <w:shd w:val="clear" w:color="auto" w:fill="808080" w:themeFill="background1" w:themeFillShade="80"/>
            <w:noWrap/>
            <w:vAlign w:val="center"/>
          </w:tcPr>
          <w:p w14:paraId="5D2E30F6" w14:textId="057AF0F8" w:rsidR="00E73466" w:rsidRPr="00DF7579" w:rsidRDefault="00437375" w:rsidP="00DD660E">
            <w:pPr>
              <w:pStyle w:val="ForTable"/>
              <w:jc w:val="right"/>
              <w:rPr>
                <w:b/>
                <w:color w:val="FFFFFF" w:themeColor="background1"/>
                <w:sz w:val="18"/>
              </w:rPr>
            </w:pPr>
            <w:r>
              <w:rPr>
                <w:b/>
                <w:color w:val="FFFFFF" w:themeColor="background1"/>
                <w:sz w:val="18"/>
              </w:rPr>
              <w:t>91.7</w:t>
            </w:r>
          </w:p>
        </w:tc>
        <w:tc>
          <w:tcPr>
            <w:tcW w:w="391" w:type="pct"/>
            <w:tcBorders>
              <w:bottom w:val="single" w:sz="4" w:space="0" w:color="FFFFFF" w:themeColor="background1"/>
            </w:tcBorders>
            <w:shd w:val="clear" w:color="auto" w:fill="808080" w:themeFill="background1" w:themeFillShade="80"/>
            <w:vAlign w:val="center"/>
          </w:tcPr>
          <w:p w14:paraId="5019409B" w14:textId="79C66639" w:rsidR="00E73466" w:rsidRPr="00DF7579" w:rsidRDefault="00437375" w:rsidP="00DD660E">
            <w:pPr>
              <w:pStyle w:val="ForTable"/>
              <w:jc w:val="right"/>
              <w:rPr>
                <w:b/>
                <w:color w:val="FFFFFF" w:themeColor="background1"/>
                <w:sz w:val="18"/>
              </w:rPr>
            </w:pPr>
            <w:r>
              <w:rPr>
                <w:b/>
                <w:color w:val="FFFFFF" w:themeColor="background1"/>
                <w:sz w:val="18"/>
              </w:rPr>
              <w:t>20.9</w:t>
            </w:r>
          </w:p>
        </w:tc>
        <w:tc>
          <w:tcPr>
            <w:tcW w:w="442" w:type="pct"/>
            <w:tcBorders>
              <w:bottom w:val="single" w:sz="4" w:space="0" w:color="FFFFFF" w:themeColor="background1"/>
            </w:tcBorders>
            <w:shd w:val="clear" w:color="auto" w:fill="808080" w:themeFill="background1" w:themeFillShade="80"/>
            <w:noWrap/>
            <w:vAlign w:val="center"/>
          </w:tcPr>
          <w:p w14:paraId="73D06215" w14:textId="651FA615" w:rsidR="00E73466" w:rsidRPr="00DF7579" w:rsidRDefault="00D61220" w:rsidP="00437375">
            <w:pPr>
              <w:pStyle w:val="ForTable"/>
              <w:jc w:val="right"/>
              <w:rPr>
                <w:b/>
                <w:color w:val="FFFFFF" w:themeColor="background1"/>
                <w:sz w:val="18"/>
              </w:rPr>
            </w:pPr>
            <w:r w:rsidRPr="00DF7579">
              <w:rPr>
                <w:b/>
                <w:color w:val="FFFFFF" w:themeColor="background1"/>
                <w:sz w:val="18"/>
              </w:rPr>
              <w:t>7,</w:t>
            </w:r>
            <w:r w:rsidR="00437375">
              <w:rPr>
                <w:b/>
                <w:color w:val="FFFFFF" w:themeColor="background1"/>
                <w:sz w:val="18"/>
              </w:rPr>
              <w:t>978.2</w:t>
            </w:r>
          </w:p>
        </w:tc>
        <w:tc>
          <w:tcPr>
            <w:tcW w:w="365" w:type="pct"/>
            <w:tcBorders>
              <w:bottom w:val="single" w:sz="4" w:space="0" w:color="FFFFFF" w:themeColor="background1"/>
            </w:tcBorders>
            <w:shd w:val="clear" w:color="auto" w:fill="808080" w:themeFill="background1" w:themeFillShade="80"/>
            <w:noWrap/>
            <w:vAlign w:val="center"/>
          </w:tcPr>
          <w:p w14:paraId="1C4FAF6D" w14:textId="366012D8" w:rsidR="00E73466" w:rsidRPr="00DF7579" w:rsidRDefault="00D61220" w:rsidP="00256BB5">
            <w:pPr>
              <w:pStyle w:val="ForTable"/>
              <w:jc w:val="right"/>
              <w:rPr>
                <w:b/>
                <w:color w:val="FFFFFF" w:themeColor="background1"/>
                <w:sz w:val="18"/>
              </w:rPr>
            </w:pPr>
            <w:r w:rsidRPr="00DF7579">
              <w:rPr>
                <w:b/>
                <w:color w:val="FFFFFF" w:themeColor="background1"/>
                <w:sz w:val="18"/>
              </w:rPr>
              <w:t>453.</w:t>
            </w:r>
            <w:r w:rsidR="00256BB5">
              <w:rPr>
                <w:b/>
                <w:color w:val="FFFFFF" w:themeColor="background1"/>
                <w:sz w:val="18"/>
              </w:rPr>
              <w:t>5</w:t>
            </w:r>
          </w:p>
        </w:tc>
      </w:tr>
      <w:tr w:rsidR="00D61220" w:rsidRPr="00E73466" w14:paraId="27598558" w14:textId="77777777" w:rsidTr="00293003">
        <w:trPr>
          <w:cantSplit/>
          <w:trHeight w:val="454"/>
        </w:trPr>
        <w:tc>
          <w:tcPr>
            <w:tcW w:w="722" w:type="pct"/>
            <w:tcBorders>
              <w:right w:val="nil"/>
            </w:tcBorders>
            <w:shd w:val="clear" w:color="auto" w:fill="E1AAA9"/>
            <w:noWrap/>
            <w:vAlign w:val="center"/>
            <w:hideMark/>
          </w:tcPr>
          <w:p w14:paraId="63C0D60E" w14:textId="79002830" w:rsidR="00D61220" w:rsidRPr="00E73466" w:rsidRDefault="00D61220" w:rsidP="00E622BD">
            <w:pPr>
              <w:spacing w:before="60" w:after="60"/>
              <w:rPr>
                <w:rFonts w:cs="Arial"/>
                <w:b/>
                <w:color w:val="000000"/>
                <w:sz w:val="18"/>
                <w:szCs w:val="16"/>
              </w:rPr>
            </w:pPr>
            <w:r>
              <w:rPr>
                <w:rFonts w:cs="Arial"/>
                <w:b/>
                <w:color w:val="000000"/>
                <w:sz w:val="18"/>
                <w:szCs w:val="16"/>
              </w:rPr>
              <w:t>201</w:t>
            </w:r>
            <w:r w:rsidR="00E622BD">
              <w:rPr>
                <w:rFonts w:cs="Arial"/>
                <w:b/>
                <w:color w:val="000000"/>
                <w:sz w:val="18"/>
                <w:szCs w:val="16"/>
              </w:rPr>
              <w:t>6</w:t>
            </w:r>
            <w:r>
              <w:rPr>
                <w:rFonts w:cs="Arial"/>
                <w:b/>
                <w:color w:val="000000"/>
                <w:sz w:val="18"/>
                <w:szCs w:val="16"/>
              </w:rPr>
              <w:t>–1</w:t>
            </w:r>
            <w:r w:rsidR="00E622BD">
              <w:rPr>
                <w:rFonts w:cs="Arial"/>
                <w:b/>
                <w:color w:val="000000"/>
                <w:sz w:val="18"/>
                <w:szCs w:val="16"/>
              </w:rPr>
              <w:t>7</w:t>
            </w:r>
          </w:p>
        </w:tc>
        <w:tc>
          <w:tcPr>
            <w:tcW w:w="381" w:type="pct"/>
            <w:tcBorders>
              <w:left w:val="nil"/>
              <w:right w:val="nil"/>
            </w:tcBorders>
            <w:shd w:val="clear" w:color="auto" w:fill="E1AAA9"/>
            <w:noWrap/>
            <w:vAlign w:val="center"/>
            <w:hideMark/>
          </w:tcPr>
          <w:p w14:paraId="77E0C65A" w14:textId="77777777" w:rsidR="00D61220" w:rsidRPr="00E73466" w:rsidRDefault="00D61220" w:rsidP="00293003">
            <w:pPr>
              <w:spacing w:before="60" w:after="60"/>
              <w:jc w:val="right"/>
              <w:rPr>
                <w:rFonts w:cs="Arial"/>
                <w:sz w:val="18"/>
                <w:szCs w:val="16"/>
              </w:rPr>
            </w:pPr>
          </w:p>
        </w:tc>
        <w:tc>
          <w:tcPr>
            <w:tcW w:w="381" w:type="pct"/>
            <w:tcBorders>
              <w:left w:val="nil"/>
              <w:right w:val="nil"/>
            </w:tcBorders>
            <w:shd w:val="clear" w:color="auto" w:fill="E1AAA9"/>
            <w:noWrap/>
            <w:vAlign w:val="center"/>
            <w:hideMark/>
          </w:tcPr>
          <w:p w14:paraId="052660C9" w14:textId="77777777" w:rsidR="00D61220" w:rsidRPr="00E73466" w:rsidRDefault="00D61220" w:rsidP="00293003">
            <w:pPr>
              <w:spacing w:before="60" w:after="60"/>
              <w:jc w:val="right"/>
              <w:rPr>
                <w:rFonts w:cs="Arial"/>
                <w:sz w:val="18"/>
                <w:szCs w:val="16"/>
              </w:rPr>
            </w:pPr>
          </w:p>
        </w:tc>
        <w:tc>
          <w:tcPr>
            <w:tcW w:w="381" w:type="pct"/>
            <w:tcBorders>
              <w:left w:val="nil"/>
              <w:right w:val="nil"/>
            </w:tcBorders>
            <w:shd w:val="clear" w:color="auto" w:fill="E1AAA9"/>
            <w:noWrap/>
            <w:vAlign w:val="center"/>
            <w:hideMark/>
          </w:tcPr>
          <w:p w14:paraId="2C5BBCB0" w14:textId="77777777" w:rsidR="00D61220" w:rsidRPr="00E73466" w:rsidRDefault="00D61220" w:rsidP="00293003">
            <w:pPr>
              <w:spacing w:before="60" w:after="60"/>
              <w:jc w:val="right"/>
              <w:rPr>
                <w:rFonts w:cs="Arial"/>
                <w:b/>
                <w:sz w:val="18"/>
                <w:szCs w:val="16"/>
              </w:rPr>
            </w:pPr>
          </w:p>
        </w:tc>
        <w:tc>
          <w:tcPr>
            <w:tcW w:w="381" w:type="pct"/>
            <w:tcBorders>
              <w:left w:val="nil"/>
              <w:right w:val="nil"/>
            </w:tcBorders>
            <w:shd w:val="clear" w:color="auto" w:fill="E1AAA9"/>
            <w:vAlign w:val="center"/>
          </w:tcPr>
          <w:p w14:paraId="56627238" w14:textId="77777777" w:rsidR="00D61220" w:rsidRPr="00E73466" w:rsidRDefault="00D61220" w:rsidP="00293003">
            <w:pPr>
              <w:spacing w:before="60" w:after="60"/>
              <w:jc w:val="right"/>
              <w:rPr>
                <w:rFonts w:cs="Arial"/>
                <w:color w:val="000000"/>
                <w:sz w:val="18"/>
                <w:szCs w:val="16"/>
              </w:rPr>
            </w:pPr>
          </w:p>
        </w:tc>
        <w:tc>
          <w:tcPr>
            <w:tcW w:w="383" w:type="pct"/>
            <w:tcBorders>
              <w:left w:val="nil"/>
              <w:right w:val="nil"/>
            </w:tcBorders>
            <w:shd w:val="clear" w:color="auto" w:fill="E1AAA9"/>
            <w:vAlign w:val="center"/>
          </w:tcPr>
          <w:p w14:paraId="19C4B6B9" w14:textId="77777777" w:rsidR="00D61220" w:rsidRPr="00E73466" w:rsidRDefault="00D61220" w:rsidP="00293003">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14:paraId="2AA28BA9" w14:textId="77777777" w:rsidR="00D61220" w:rsidRPr="00E73466" w:rsidRDefault="00D61220" w:rsidP="00293003">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14:paraId="38D48B91" w14:textId="77777777" w:rsidR="00D61220" w:rsidRPr="00E73466" w:rsidRDefault="00D61220" w:rsidP="00293003">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14:paraId="4CFB03DB" w14:textId="77777777" w:rsidR="00D61220" w:rsidRPr="00E73466" w:rsidRDefault="00D61220" w:rsidP="00293003">
            <w:pPr>
              <w:spacing w:before="60" w:after="60"/>
              <w:jc w:val="right"/>
              <w:rPr>
                <w:rFonts w:cs="Arial"/>
                <w:b/>
                <w:color w:val="000000"/>
                <w:sz w:val="18"/>
                <w:szCs w:val="16"/>
              </w:rPr>
            </w:pPr>
          </w:p>
        </w:tc>
        <w:tc>
          <w:tcPr>
            <w:tcW w:w="391" w:type="pct"/>
            <w:tcBorders>
              <w:left w:val="nil"/>
              <w:right w:val="nil"/>
            </w:tcBorders>
            <w:shd w:val="clear" w:color="auto" w:fill="E1AAA9"/>
            <w:vAlign w:val="center"/>
          </w:tcPr>
          <w:p w14:paraId="54CFBBA7" w14:textId="77777777" w:rsidR="00D61220" w:rsidRPr="00E73466" w:rsidRDefault="00D61220" w:rsidP="00293003">
            <w:pPr>
              <w:spacing w:before="60" w:after="60"/>
              <w:jc w:val="right"/>
              <w:rPr>
                <w:rFonts w:cs="Arial"/>
                <w:color w:val="000000"/>
                <w:sz w:val="18"/>
                <w:szCs w:val="16"/>
              </w:rPr>
            </w:pPr>
          </w:p>
        </w:tc>
        <w:tc>
          <w:tcPr>
            <w:tcW w:w="442" w:type="pct"/>
            <w:tcBorders>
              <w:left w:val="nil"/>
              <w:right w:val="nil"/>
            </w:tcBorders>
            <w:shd w:val="clear" w:color="auto" w:fill="E1AAA9"/>
            <w:noWrap/>
            <w:vAlign w:val="center"/>
            <w:hideMark/>
          </w:tcPr>
          <w:p w14:paraId="405EE05E" w14:textId="77777777" w:rsidR="00D61220" w:rsidRPr="00E73466" w:rsidRDefault="00D61220" w:rsidP="00293003">
            <w:pPr>
              <w:spacing w:before="60" w:after="60"/>
              <w:jc w:val="right"/>
              <w:rPr>
                <w:rFonts w:cs="Arial"/>
                <w:color w:val="000000"/>
                <w:sz w:val="18"/>
                <w:szCs w:val="16"/>
              </w:rPr>
            </w:pPr>
          </w:p>
        </w:tc>
        <w:tc>
          <w:tcPr>
            <w:tcW w:w="365" w:type="pct"/>
            <w:tcBorders>
              <w:left w:val="nil"/>
            </w:tcBorders>
            <w:shd w:val="clear" w:color="auto" w:fill="E1AAA9"/>
            <w:noWrap/>
            <w:vAlign w:val="center"/>
            <w:hideMark/>
          </w:tcPr>
          <w:p w14:paraId="12D242CE" w14:textId="77777777" w:rsidR="00D61220" w:rsidRPr="00E73466" w:rsidRDefault="00D61220" w:rsidP="00293003">
            <w:pPr>
              <w:spacing w:before="60" w:after="60"/>
              <w:jc w:val="right"/>
              <w:rPr>
                <w:rFonts w:cs="Arial"/>
                <w:b/>
                <w:color w:val="000000"/>
                <w:sz w:val="18"/>
                <w:szCs w:val="16"/>
              </w:rPr>
            </w:pPr>
          </w:p>
        </w:tc>
      </w:tr>
      <w:tr w:rsidR="008F302C" w:rsidRPr="00E73466" w14:paraId="13DD4829" w14:textId="77777777" w:rsidTr="008F302C">
        <w:trPr>
          <w:cantSplit/>
          <w:trHeight w:val="454"/>
        </w:trPr>
        <w:tc>
          <w:tcPr>
            <w:tcW w:w="722" w:type="pct"/>
            <w:shd w:val="clear" w:color="auto" w:fill="auto"/>
            <w:noWrap/>
            <w:vAlign w:val="center"/>
            <w:hideMark/>
          </w:tcPr>
          <w:p w14:paraId="305D56C3" w14:textId="77777777" w:rsidR="008F302C" w:rsidRPr="00A43848" w:rsidRDefault="008F302C" w:rsidP="008F302C">
            <w:pPr>
              <w:spacing w:before="60" w:after="60"/>
              <w:rPr>
                <w:rFonts w:cs="Arial"/>
                <w:color w:val="000000"/>
                <w:sz w:val="18"/>
                <w:szCs w:val="16"/>
              </w:rPr>
            </w:pPr>
            <w:r>
              <w:rPr>
                <w:rFonts w:cs="Arial"/>
                <w:color w:val="000000"/>
                <w:sz w:val="18"/>
                <w:szCs w:val="16"/>
              </w:rPr>
              <w:t>Direct to claimant</w:t>
            </w:r>
          </w:p>
        </w:tc>
        <w:tc>
          <w:tcPr>
            <w:tcW w:w="381" w:type="pct"/>
            <w:shd w:val="clear" w:color="auto" w:fill="auto"/>
            <w:noWrap/>
            <w:vAlign w:val="center"/>
          </w:tcPr>
          <w:p w14:paraId="07D64FDC" w14:textId="09A81EFC" w:rsidR="008F302C" w:rsidRPr="008F302C" w:rsidRDefault="008F302C" w:rsidP="008F302C">
            <w:pPr>
              <w:pStyle w:val="ForTable"/>
              <w:jc w:val="right"/>
              <w:rPr>
                <w:rFonts w:cs="Arial"/>
                <w:sz w:val="18"/>
                <w:szCs w:val="18"/>
              </w:rPr>
            </w:pPr>
            <w:r w:rsidRPr="008F302C">
              <w:rPr>
                <w:rFonts w:cs="Arial"/>
                <w:sz w:val="18"/>
                <w:szCs w:val="18"/>
              </w:rPr>
              <w:t>1,089.3</w:t>
            </w:r>
          </w:p>
        </w:tc>
        <w:tc>
          <w:tcPr>
            <w:tcW w:w="381" w:type="pct"/>
            <w:shd w:val="clear" w:color="auto" w:fill="auto"/>
            <w:noWrap/>
            <w:vAlign w:val="center"/>
          </w:tcPr>
          <w:p w14:paraId="43C2564E" w14:textId="0E918819" w:rsidR="008F302C" w:rsidRPr="008F302C" w:rsidRDefault="008F302C" w:rsidP="008F302C">
            <w:pPr>
              <w:pStyle w:val="ForTable"/>
              <w:jc w:val="right"/>
              <w:rPr>
                <w:rFonts w:cs="Arial"/>
                <w:sz w:val="18"/>
                <w:szCs w:val="18"/>
              </w:rPr>
            </w:pPr>
            <w:r w:rsidRPr="008F302C">
              <w:rPr>
                <w:rFonts w:cs="Arial"/>
                <w:sz w:val="18"/>
                <w:szCs w:val="18"/>
              </w:rPr>
              <w:t>1,167.6</w:t>
            </w:r>
          </w:p>
        </w:tc>
        <w:tc>
          <w:tcPr>
            <w:tcW w:w="381" w:type="pct"/>
            <w:shd w:val="clear" w:color="auto" w:fill="auto"/>
            <w:noWrap/>
            <w:vAlign w:val="center"/>
          </w:tcPr>
          <w:p w14:paraId="1175CEB2" w14:textId="3AB9315D" w:rsidR="008F302C" w:rsidRPr="008F302C" w:rsidRDefault="008F302C" w:rsidP="008F302C">
            <w:pPr>
              <w:pStyle w:val="ForTable"/>
              <w:jc w:val="right"/>
              <w:rPr>
                <w:rFonts w:cs="Arial"/>
                <w:sz w:val="18"/>
                <w:szCs w:val="18"/>
              </w:rPr>
            </w:pPr>
            <w:r w:rsidRPr="008F302C">
              <w:rPr>
                <w:rFonts w:cs="Arial"/>
                <w:sz w:val="18"/>
                <w:szCs w:val="18"/>
              </w:rPr>
              <w:t>827.9</w:t>
            </w:r>
          </w:p>
        </w:tc>
        <w:tc>
          <w:tcPr>
            <w:tcW w:w="381" w:type="pct"/>
            <w:shd w:val="clear" w:color="auto" w:fill="auto"/>
            <w:vAlign w:val="center"/>
          </w:tcPr>
          <w:p w14:paraId="6F874CC4" w14:textId="4FFCE72F" w:rsidR="008F302C" w:rsidRPr="008F302C" w:rsidRDefault="008F302C" w:rsidP="008F302C">
            <w:pPr>
              <w:pStyle w:val="ForTable"/>
              <w:jc w:val="right"/>
              <w:rPr>
                <w:rFonts w:cs="Arial"/>
                <w:sz w:val="18"/>
                <w:szCs w:val="18"/>
              </w:rPr>
            </w:pPr>
            <w:r w:rsidRPr="008F302C">
              <w:rPr>
                <w:rFonts w:cs="Arial"/>
                <w:sz w:val="18"/>
                <w:szCs w:val="18"/>
              </w:rPr>
              <w:t>214.3</w:t>
            </w:r>
          </w:p>
        </w:tc>
        <w:tc>
          <w:tcPr>
            <w:tcW w:w="383" w:type="pct"/>
            <w:shd w:val="clear" w:color="auto" w:fill="auto"/>
            <w:vAlign w:val="center"/>
          </w:tcPr>
          <w:p w14:paraId="3498EDB2" w14:textId="4440FFF4" w:rsidR="008F302C" w:rsidRPr="008F302C" w:rsidRDefault="008F302C" w:rsidP="008F302C">
            <w:pPr>
              <w:pStyle w:val="ForTable"/>
              <w:jc w:val="right"/>
              <w:rPr>
                <w:rFonts w:cs="Arial"/>
                <w:sz w:val="18"/>
                <w:szCs w:val="18"/>
              </w:rPr>
            </w:pPr>
            <w:r w:rsidRPr="008F302C">
              <w:rPr>
                <w:rFonts w:cs="Arial"/>
                <w:sz w:val="18"/>
                <w:szCs w:val="18"/>
              </w:rPr>
              <w:t>157.6</w:t>
            </w:r>
          </w:p>
        </w:tc>
        <w:tc>
          <w:tcPr>
            <w:tcW w:w="391" w:type="pct"/>
            <w:shd w:val="clear" w:color="auto" w:fill="auto"/>
            <w:noWrap/>
            <w:vAlign w:val="center"/>
          </w:tcPr>
          <w:p w14:paraId="69E38E1E" w14:textId="3154FC99" w:rsidR="008F302C" w:rsidRPr="008F302C" w:rsidRDefault="008F302C" w:rsidP="008F302C">
            <w:pPr>
              <w:pStyle w:val="ForTable"/>
              <w:jc w:val="right"/>
              <w:rPr>
                <w:rFonts w:cs="Arial"/>
                <w:sz w:val="18"/>
                <w:szCs w:val="18"/>
              </w:rPr>
            </w:pPr>
            <w:r w:rsidRPr="008F302C">
              <w:rPr>
                <w:rFonts w:cs="Arial"/>
                <w:sz w:val="18"/>
                <w:szCs w:val="18"/>
              </w:rPr>
              <w:t>637.9</w:t>
            </w:r>
          </w:p>
        </w:tc>
        <w:tc>
          <w:tcPr>
            <w:tcW w:w="391" w:type="pct"/>
            <w:shd w:val="clear" w:color="auto" w:fill="auto"/>
            <w:noWrap/>
            <w:vAlign w:val="center"/>
          </w:tcPr>
          <w:p w14:paraId="59D0078A" w14:textId="4418CBA8" w:rsidR="008F302C" w:rsidRPr="008F302C" w:rsidRDefault="008F302C" w:rsidP="008F302C">
            <w:pPr>
              <w:pStyle w:val="ForTable"/>
              <w:jc w:val="right"/>
              <w:rPr>
                <w:rFonts w:cs="Arial"/>
                <w:sz w:val="18"/>
                <w:szCs w:val="18"/>
              </w:rPr>
            </w:pPr>
            <w:r w:rsidRPr="008F302C">
              <w:rPr>
                <w:rFonts w:cs="Arial"/>
                <w:sz w:val="18"/>
                <w:szCs w:val="18"/>
              </w:rPr>
              <w:t>78.6</w:t>
            </w:r>
          </w:p>
        </w:tc>
        <w:tc>
          <w:tcPr>
            <w:tcW w:w="391" w:type="pct"/>
            <w:shd w:val="clear" w:color="auto" w:fill="auto"/>
            <w:noWrap/>
            <w:vAlign w:val="center"/>
          </w:tcPr>
          <w:p w14:paraId="1CBE0F87" w14:textId="57D126D4" w:rsidR="008F302C" w:rsidRPr="008F302C" w:rsidRDefault="008F302C" w:rsidP="008F302C">
            <w:pPr>
              <w:pStyle w:val="ForTable"/>
              <w:jc w:val="right"/>
              <w:rPr>
                <w:rFonts w:cs="Arial"/>
                <w:sz w:val="18"/>
                <w:szCs w:val="18"/>
              </w:rPr>
            </w:pPr>
            <w:r w:rsidRPr="008F302C">
              <w:rPr>
                <w:rFonts w:cs="Arial"/>
                <w:sz w:val="18"/>
                <w:szCs w:val="18"/>
              </w:rPr>
              <w:t>58.8</w:t>
            </w:r>
          </w:p>
        </w:tc>
        <w:tc>
          <w:tcPr>
            <w:tcW w:w="391" w:type="pct"/>
            <w:shd w:val="clear" w:color="auto" w:fill="auto"/>
            <w:vAlign w:val="center"/>
          </w:tcPr>
          <w:p w14:paraId="42667214" w14:textId="51CDEBB4" w:rsidR="008F302C" w:rsidRPr="008F302C" w:rsidRDefault="008F302C" w:rsidP="008F302C">
            <w:pPr>
              <w:pStyle w:val="ForTable"/>
              <w:jc w:val="right"/>
              <w:rPr>
                <w:rFonts w:cs="Arial"/>
                <w:sz w:val="18"/>
                <w:szCs w:val="18"/>
              </w:rPr>
            </w:pPr>
            <w:r w:rsidRPr="008F302C">
              <w:rPr>
                <w:rFonts w:cs="Arial"/>
                <w:sz w:val="18"/>
                <w:szCs w:val="18"/>
              </w:rPr>
              <w:t>10.6</w:t>
            </w:r>
          </w:p>
        </w:tc>
        <w:tc>
          <w:tcPr>
            <w:tcW w:w="442" w:type="pct"/>
            <w:shd w:val="clear" w:color="auto" w:fill="auto"/>
            <w:noWrap/>
            <w:vAlign w:val="center"/>
          </w:tcPr>
          <w:p w14:paraId="6F334068" w14:textId="005064EB" w:rsidR="008F302C" w:rsidRPr="008F302C" w:rsidRDefault="008F302C" w:rsidP="008F302C">
            <w:pPr>
              <w:pStyle w:val="ForTable"/>
              <w:jc w:val="right"/>
              <w:rPr>
                <w:rFonts w:cs="Arial"/>
                <w:sz w:val="18"/>
                <w:szCs w:val="18"/>
              </w:rPr>
            </w:pPr>
            <w:r w:rsidRPr="008F302C">
              <w:rPr>
                <w:rFonts w:cs="Arial"/>
                <w:sz w:val="18"/>
                <w:szCs w:val="18"/>
              </w:rPr>
              <w:t>4,242.7</w:t>
            </w:r>
          </w:p>
        </w:tc>
        <w:tc>
          <w:tcPr>
            <w:tcW w:w="365" w:type="pct"/>
            <w:shd w:val="clear" w:color="auto" w:fill="auto"/>
            <w:noWrap/>
            <w:vAlign w:val="center"/>
          </w:tcPr>
          <w:p w14:paraId="1C3AB924" w14:textId="4D0A5F17" w:rsidR="008F302C" w:rsidRPr="008F302C" w:rsidRDefault="008F302C" w:rsidP="008F302C">
            <w:pPr>
              <w:pStyle w:val="ForTable"/>
              <w:jc w:val="right"/>
              <w:rPr>
                <w:rFonts w:cs="Arial"/>
                <w:sz w:val="18"/>
                <w:szCs w:val="18"/>
              </w:rPr>
            </w:pPr>
            <w:r w:rsidRPr="008F302C">
              <w:rPr>
                <w:rFonts w:cs="Arial"/>
                <w:sz w:val="18"/>
                <w:szCs w:val="18"/>
              </w:rPr>
              <w:t>307.2</w:t>
            </w:r>
          </w:p>
        </w:tc>
      </w:tr>
      <w:tr w:rsidR="008F302C" w:rsidRPr="00E73466" w14:paraId="2CBC693A" w14:textId="77777777" w:rsidTr="008F302C">
        <w:trPr>
          <w:cantSplit/>
          <w:trHeight w:val="454"/>
        </w:trPr>
        <w:tc>
          <w:tcPr>
            <w:tcW w:w="722" w:type="pct"/>
            <w:shd w:val="clear" w:color="auto" w:fill="EFD3D2"/>
            <w:noWrap/>
            <w:vAlign w:val="center"/>
          </w:tcPr>
          <w:p w14:paraId="2B261B92" w14:textId="77777777" w:rsidR="008F302C" w:rsidRPr="00A43848" w:rsidRDefault="008F302C" w:rsidP="008F302C">
            <w:pPr>
              <w:spacing w:before="60" w:after="60"/>
              <w:rPr>
                <w:rFonts w:cs="Arial"/>
                <w:color w:val="000000"/>
                <w:sz w:val="18"/>
                <w:szCs w:val="16"/>
              </w:rPr>
            </w:pPr>
            <w:r>
              <w:rPr>
                <w:rFonts w:cs="Arial"/>
                <w:color w:val="000000"/>
                <w:sz w:val="18"/>
                <w:szCs w:val="16"/>
              </w:rPr>
              <w:t>Services to claimant</w:t>
            </w:r>
          </w:p>
        </w:tc>
        <w:tc>
          <w:tcPr>
            <w:tcW w:w="381" w:type="pct"/>
            <w:shd w:val="clear" w:color="auto" w:fill="EFD3D2"/>
            <w:noWrap/>
            <w:vAlign w:val="center"/>
          </w:tcPr>
          <w:p w14:paraId="6FFC7F3C" w14:textId="25C3BD3D" w:rsidR="008F302C" w:rsidRPr="008F302C" w:rsidRDefault="008F302C" w:rsidP="008F302C">
            <w:pPr>
              <w:pStyle w:val="ForTable"/>
              <w:jc w:val="right"/>
              <w:rPr>
                <w:rFonts w:cs="Arial"/>
                <w:sz w:val="18"/>
                <w:szCs w:val="18"/>
              </w:rPr>
            </w:pPr>
            <w:r w:rsidRPr="008F302C">
              <w:rPr>
                <w:rFonts w:cs="Arial"/>
                <w:sz w:val="18"/>
                <w:szCs w:val="18"/>
              </w:rPr>
              <w:t>807.2</w:t>
            </w:r>
          </w:p>
        </w:tc>
        <w:tc>
          <w:tcPr>
            <w:tcW w:w="381" w:type="pct"/>
            <w:shd w:val="clear" w:color="auto" w:fill="EFD3D2"/>
            <w:noWrap/>
            <w:vAlign w:val="center"/>
          </w:tcPr>
          <w:p w14:paraId="44AA20C6" w14:textId="5D6D30EB" w:rsidR="008F302C" w:rsidRPr="008F302C" w:rsidRDefault="008F302C" w:rsidP="008F302C">
            <w:pPr>
              <w:pStyle w:val="ForTable"/>
              <w:jc w:val="right"/>
              <w:rPr>
                <w:rFonts w:cs="Arial"/>
                <w:sz w:val="18"/>
                <w:szCs w:val="18"/>
              </w:rPr>
            </w:pPr>
            <w:r w:rsidRPr="008F302C">
              <w:rPr>
                <w:rFonts w:cs="Arial"/>
                <w:sz w:val="18"/>
                <w:szCs w:val="18"/>
              </w:rPr>
              <w:t>666.2</w:t>
            </w:r>
          </w:p>
        </w:tc>
        <w:tc>
          <w:tcPr>
            <w:tcW w:w="381" w:type="pct"/>
            <w:shd w:val="clear" w:color="auto" w:fill="EFD3D2"/>
            <w:noWrap/>
            <w:vAlign w:val="center"/>
          </w:tcPr>
          <w:p w14:paraId="4DB82F0F" w14:textId="6774ECAE" w:rsidR="008F302C" w:rsidRPr="008F302C" w:rsidRDefault="008F302C" w:rsidP="008F302C">
            <w:pPr>
              <w:pStyle w:val="ForTable"/>
              <w:jc w:val="right"/>
              <w:rPr>
                <w:rFonts w:cs="Arial"/>
                <w:sz w:val="18"/>
                <w:szCs w:val="18"/>
              </w:rPr>
            </w:pPr>
            <w:r w:rsidRPr="008F302C">
              <w:rPr>
                <w:rFonts w:cs="Arial"/>
                <w:sz w:val="18"/>
                <w:szCs w:val="18"/>
              </w:rPr>
              <w:t>294.9</w:t>
            </w:r>
          </w:p>
        </w:tc>
        <w:tc>
          <w:tcPr>
            <w:tcW w:w="381" w:type="pct"/>
            <w:shd w:val="clear" w:color="auto" w:fill="EFD3D2"/>
            <w:vAlign w:val="center"/>
          </w:tcPr>
          <w:p w14:paraId="2DF23834" w14:textId="648BF9CD" w:rsidR="008F302C" w:rsidRPr="008F302C" w:rsidRDefault="008F302C" w:rsidP="008F302C">
            <w:pPr>
              <w:pStyle w:val="ForTable"/>
              <w:jc w:val="right"/>
              <w:rPr>
                <w:rFonts w:cs="Arial"/>
                <w:sz w:val="18"/>
                <w:szCs w:val="18"/>
              </w:rPr>
            </w:pPr>
            <w:r w:rsidRPr="008F302C">
              <w:rPr>
                <w:rFonts w:cs="Arial"/>
                <w:sz w:val="18"/>
                <w:szCs w:val="18"/>
              </w:rPr>
              <w:t>149.5</w:t>
            </w:r>
          </w:p>
        </w:tc>
        <w:tc>
          <w:tcPr>
            <w:tcW w:w="383" w:type="pct"/>
            <w:shd w:val="clear" w:color="auto" w:fill="EFD3D2"/>
            <w:vAlign w:val="center"/>
          </w:tcPr>
          <w:p w14:paraId="4062EFFE" w14:textId="2BFAA8AA" w:rsidR="008F302C" w:rsidRPr="008F302C" w:rsidRDefault="00F529C8" w:rsidP="008F302C">
            <w:pPr>
              <w:pStyle w:val="ForTable"/>
              <w:jc w:val="right"/>
              <w:rPr>
                <w:rFonts w:cs="Arial"/>
                <w:sz w:val="18"/>
                <w:szCs w:val="18"/>
              </w:rPr>
            </w:pPr>
            <w:r>
              <w:rPr>
                <w:rFonts w:cs="Arial"/>
                <w:sz w:val="18"/>
                <w:szCs w:val="18"/>
              </w:rPr>
              <w:t>86.7</w:t>
            </w:r>
          </w:p>
        </w:tc>
        <w:tc>
          <w:tcPr>
            <w:tcW w:w="391" w:type="pct"/>
            <w:shd w:val="clear" w:color="auto" w:fill="EFD3D2"/>
            <w:noWrap/>
            <w:vAlign w:val="center"/>
          </w:tcPr>
          <w:p w14:paraId="2E9DB998" w14:textId="76B5C27E" w:rsidR="008F302C" w:rsidRPr="008F302C" w:rsidRDefault="008F302C" w:rsidP="008F302C">
            <w:pPr>
              <w:pStyle w:val="ForTable"/>
              <w:jc w:val="right"/>
              <w:rPr>
                <w:rFonts w:cs="Arial"/>
                <w:sz w:val="18"/>
                <w:szCs w:val="18"/>
              </w:rPr>
            </w:pPr>
            <w:r w:rsidRPr="008F302C">
              <w:rPr>
                <w:rFonts w:cs="Arial"/>
                <w:sz w:val="18"/>
                <w:szCs w:val="18"/>
              </w:rPr>
              <w:t>307.5</w:t>
            </w:r>
          </w:p>
        </w:tc>
        <w:tc>
          <w:tcPr>
            <w:tcW w:w="391" w:type="pct"/>
            <w:shd w:val="clear" w:color="auto" w:fill="EFD3D2"/>
            <w:noWrap/>
            <w:vAlign w:val="center"/>
          </w:tcPr>
          <w:p w14:paraId="73E5B948" w14:textId="52CC06C6" w:rsidR="008F302C" w:rsidRPr="008F302C" w:rsidRDefault="008F302C" w:rsidP="008F302C">
            <w:pPr>
              <w:pStyle w:val="ForTable"/>
              <w:jc w:val="right"/>
              <w:rPr>
                <w:rFonts w:cs="Arial"/>
                <w:sz w:val="18"/>
                <w:szCs w:val="18"/>
              </w:rPr>
            </w:pPr>
            <w:r w:rsidRPr="008F302C">
              <w:rPr>
                <w:rFonts w:cs="Arial"/>
                <w:sz w:val="18"/>
                <w:szCs w:val="18"/>
              </w:rPr>
              <w:t>44.2</w:t>
            </w:r>
          </w:p>
        </w:tc>
        <w:tc>
          <w:tcPr>
            <w:tcW w:w="391" w:type="pct"/>
            <w:shd w:val="clear" w:color="auto" w:fill="EFD3D2"/>
            <w:noWrap/>
            <w:vAlign w:val="center"/>
          </w:tcPr>
          <w:p w14:paraId="4F0200C8" w14:textId="6583838A" w:rsidR="008F302C" w:rsidRPr="008F302C" w:rsidRDefault="008F302C" w:rsidP="008F302C">
            <w:pPr>
              <w:pStyle w:val="ForTable"/>
              <w:jc w:val="right"/>
              <w:rPr>
                <w:rFonts w:cs="Arial"/>
                <w:sz w:val="18"/>
                <w:szCs w:val="18"/>
              </w:rPr>
            </w:pPr>
            <w:r w:rsidRPr="008F302C">
              <w:rPr>
                <w:rFonts w:cs="Arial"/>
                <w:sz w:val="18"/>
                <w:szCs w:val="18"/>
              </w:rPr>
              <w:t>39.4</w:t>
            </w:r>
          </w:p>
        </w:tc>
        <w:tc>
          <w:tcPr>
            <w:tcW w:w="391" w:type="pct"/>
            <w:shd w:val="clear" w:color="auto" w:fill="EFD3D2"/>
            <w:vAlign w:val="center"/>
          </w:tcPr>
          <w:p w14:paraId="1AE4DBCA" w14:textId="7D36B547" w:rsidR="008F302C" w:rsidRPr="008F302C" w:rsidRDefault="00F529C8" w:rsidP="008F302C">
            <w:pPr>
              <w:pStyle w:val="ForTable"/>
              <w:jc w:val="right"/>
              <w:rPr>
                <w:rFonts w:cs="Arial"/>
                <w:sz w:val="18"/>
                <w:szCs w:val="18"/>
              </w:rPr>
            </w:pPr>
            <w:r>
              <w:rPr>
                <w:rFonts w:cs="Arial"/>
                <w:sz w:val="18"/>
                <w:szCs w:val="18"/>
              </w:rPr>
              <w:t>2.2</w:t>
            </w:r>
          </w:p>
        </w:tc>
        <w:tc>
          <w:tcPr>
            <w:tcW w:w="442" w:type="pct"/>
            <w:shd w:val="clear" w:color="auto" w:fill="EFD3D2"/>
            <w:noWrap/>
            <w:vAlign w:val="center"/>
          </w:tcPr>
          <w:p w14:paraId="58D093C5" w14:textId="44718F8D" w:rsidR="008F302C" w:rsidRPr="008F302C" w:rsidRDefault="008F302C" w:rsidP="00F529C8">
            <w:pPr>
              <w:pStyle w:val="ForTable"/>
              <w:jc w:val="right"/>
              <w:rPr>
                <w:rFonts w:cs="Arial"/>
                <w:sz w:val="18"/>
                <w:szCs w:val="18"/>
              </w:rPr>
            </w:pPr>
            <w:r w:rsidRPr="008F302C">
              <w:rPr>
                <w:rFonts w:cs="Arial"/>
                <w:sz w:val="18"/>
                <w:szCs w:val="18"/>
              </w:rPr>
              <w:t>2,3</w:t>
            </w:r>
            <w:r w:rsidR="00F529C8">
              <w:rPr>
                <w:rFonts w:cs="Arial"/>
                <w:sz w:val="18"/>
                <w:szCs w:val="18"/>
              </w:rPr>
              <w:t>98.0</w:t>
            </w:r>
          </w:p>
        </w:tc>
        <w:tc>
          <w:tcPr>
            <w:tcW w:w="365" w:type="pct"/>
            <w:shd w:val="clear" w:color="auto" w:fill="EFD3D2"/>
            <w:noWrap/>
            <w:vAlign w:val="center"/>
          </w:tcPr>
          <w:p w14:paraId="54C1E008" w14:textId="10066CB4" w:rsidR="008F302C" w:rsidRPr="008F302C" w:rsidRDefault="008F302C" w:rsidP="008F302C">
            <w:pPr>
              <w:pStyle w:val="ForTable"/>
              <w:jc w:val="right"/>
              <w:rPr>
                <w:rFonts w:cs="Arial"/>
                <w:sz w:val="18"/>
                <w:szCs w:val="18"/>
              </w:rPr>
            </w:pPr>
            <w:r w:rsidRPr="008F302C">
              <w:rPr>
                <w:rFonts w:cs="Arial"/>
                <w:sz w:val="18"/>
                <w:szCs w:val="18"/>
              </w:rPr>
              <w:t>216.2</w:t>
            </w:r>
          </w:p>
        </w:tc>
      </w:tr>
      <w:tr w:rsidR="008F302C" w:rsidRPr="00E73466" w14:paraId="5614B256" w14:textId="77777777" w:rsidTr="008F302C">
        <w:trPr>
          <w:cantSplit/>
          <w:trHeight w:val="454"/>
        </w:trPr>
        <w:tc>
          <w:tcPr>
            <w:tcW w:w="722" w:type="pct"/>
            <w:shd w:val="clear" w:color="auto" w:fill="auto"/>
            <w:noWrap/>
            <w:vAlign w:val="center"/>
          </w:tcPr>
          <w:p w14:paraId="531D9323" w14:textId="77777777" w:rsidR="008F302C" w:rsidRPr="00A43848" w:rsidRDefault="008F302C" w:rsidP="008F302C">
            <w:pPr>
              <w:spacing w:before="60" w:after="60"/>
              <w:rPr>
                <w:rFonts w:cs="Arial"/>
                <w:color w:val="000000"/>
                <w:sz w:val="18"/>
                <w:szCs w:val="16"/>
              </w:rPr>
            </w:pPr>
            <w:r>
              <w:rPr>
                <w:rFonts w:cs="Arial"/>
                <w:color w:val="000000"/>
                <w:sz w:val="18"/>
                <w:szCs w:val="16"/>
              </w:rPr>
              <w:t>Insurance operations</w:t>
            </w:r>
          </w:p>
        </w:tc>
        <w:tc>
          <w:tcPr>
            <w:tcW w:w="381" w:type="pct"/>
            <w:shd w:val="clear" w:color="auto" w:fill="auto"/>
            <w:noWrap/>
            <w:vAlign w:val="center"/>
          </w:tcPr>
          <w:p w14:paraId="30A280FB" w14:textId="4B7C2F9C" w:rsidR="008F302C" w:rsidRPr="008F302C" w:rsidRDefault="008F302C" w:rsidP="008F302C">
            <w:pPr>
              <w:pStyle w:val="ForTable"/>
              <w:jc w:val="right"/>
              <w:rPr>
                <w:rFonts w:cs="Arial"/>
                <w:sz w:val="18"/>
                <w:szCs w:val="18"/>
              </w:rPr>
            </w:pPr>
            <w:r w:rsidRPr="008F302C">
              <w:rPr>
                <w:rFonts w:cs="Arial"/>
                <w:sz w:val="18"/>
                <w:szCs w:val="18"/>
              </w:rPr>
              <w:t>404.7</w:t>
            </w:r>
          </w:p>
        </w:tc>
        <w:tc>
          <w:tcPr>
            <w:tcW w:w="381" w:type="pct"/>
            <w:shd w:val="clear" w:color="auto" w:fill="auto"/>
            <w:noWrap/>
            <w:vAlign w:val="center"/>
          </w:tcPr>
          <w:p w14:paraId="653AD9CC" w14:textId="5CF9A22C" w:rsidR="008F302C" w:rsidRPr="008F302C" w:rsidRDefault="008F302C" w:rsidP="008F302C">
            <w:pPr>
              <w:pStyle w:val="ForTable"/>
              <w:jc w:val="right"/>
              <w:rPr>
                <w:rFonts w:cs="Arial"/>
                <w:sz w:val="18"/>
                <w:szCs w:val="18"/>
              </w:rPr>
            </w:pPr>
            <w:r w:rsidRPr="008F302C">
              <w:rPr>
                <w:rFonts w:cs="Arial"/>
                <w:sz w:val="18"/>
                <w:szCs w:val="18"/>
              </w:rPr>
              <w:t>265.1</w:t>
            </w:r>
          </w:p>
        </w:tc>
        <w:tc>
          <w:tcPr>
            <w:tcW w:w="381" w:type="pct"/>
            <w:shd w:val="clear" w:color="auto" w:fill="auto"/>
            <w:noWrap/>
            <w:vAlign w:val="center"/>
          </w:tcPr>
          <w:p w14:paraId="1DC2654B" w14:textId="021D86FB" w:rsidR="008F302C" w:rsidRPr="008F302C" w:rsidRDefault="008F302C" w:rsidP="008F302C">
            <w:pPr>
              <w:pStyle w:val="ForTable"/>
              <w:jc w:val="right"/>
              <w:rPr>
                <w:rFonts w:cs="Arial"/>
                <w:sz w:val="18"/>
                <w:szCs w:val="18"/>
              </w:rPr>
            </w:pPr>
            <w:r w:rsidRPr="008F302C">
              <w:rPr>
                <w:rFonts w:cs="Arial"/>
                <w:sz w:val="18"/>
                <w:szCs w:val="18"/>
              </w:rPr>
              <w:t>94.9</w:t>
            </w:r>
          </w:p>
        </w:tc>
        <w:tc>
          <w:tcPr>
            <w:tcW w:w="381" w:type="pct"/>
            <w:shd w:val="clear" w:color="auto" w:fill="auto"/>
            <w:vAlign w:val="center"/>
          </w:tcPr>
          <w:p w14:paraId="45B49D3A" w14:textId="60670DBA" w:rsidR="008F302C" w:rsidRPr="008F302C" w:rsidRDefault="008F302C" w:rsidP="008F302C">
            <w:pPr>
              <w:pStyle w:val="ForTable"/>
              <w:jc w:val="right"/>
              <w:rPr>
                <w:rFonts w:cs="Arial"/>
                <w:sz w:val="18"/>
                <w:szCs w:val="18"/>
              </w:rPr>
            </w:pPr>
            <w:r w:rsidRPr="008F302C">
              <w:rPr>
                <w:rFonts w:cs="Arial"/>
                <w:sz w:val="18"/>
                <w:szCs w:val="18"/>
              </w:rPr>
              <w:t>77.8</w:t>
            </w:r>
          </w:p>
        </w:tc>
        <w:tc>
          <w:tcPr>
            <w:tcW w:w="383" w:type="pct"/>
            <w:shd w:val="clear" w:color="auto" w:fill="auto"/>
            <w:vAlign w:val="center"/>
          </w:tcPr>
          <w:p w14:paraId="3D008FA4" w14:textId="300F1917" w:rsidR="008F302C" w:rsidRPr="008F302C" w:rsidRDefault="00F529C8" w:rsidP="008F302C">
            <w:pPr>
              <w:pStyle w:val="ForTable"/>
              <w:jc w:val="right"/>
              <w:rPr>
                <w:rFonts w:cs="Arial"/>
                <w:sz w:val="18"/>
                <w:szCs w:val="18"/>
              </w:rPr>
            </w:pPr>
            <w:r>
              <w:rPr>
                <w:rFonts w:cs="Arial"/>
                <w:sz w:val="18"/>
                <w:szCs w:val="18"/>
              </w:rPr>
              <w:t>24.9</w:t>
            </w:r>
          </w:p>
        </w:tc>
        <w:tc>
          <w:tcPr>
            <w:tcW w:w="391" w:type="pct"/>
            <w:shd w:val="clear" w:color="auto" w:fill="auto"/>
            <w:noWrap/>
            <w:vAlign w:val="center"/>
          </w:tcPr>
          <w:p w14:paraId="59934AB0" w14:textId="1294B30A" w:rsidR="008F302C" w:rsidRPr="008F302C" w:rsidRDefault="008F302C" w:rsidP="008F302C">
            <w:pPr>
              <w:pStyle w:val="ForTable"/>
              <w:jc w:val="right"/>
              <w:rPr>
                <w:rFonts w:cs="Arial"/>
                <w:sz w:val="18"/>
                <w:szCs w:val="18"/>
              </w:rPr>
            </w:pPr>
            <w:r w:rsidRPr="008F302C">
              <w:rPr>
                <w:rFonts w:cs="Arial"/>
                <w:sz w:val="18"/>
                <w:szCs w:val="18"/>
              </w:rPr>
              <w:t>222.0</w:t>
            </w:r>
          </w:p>
        </w:tc>
        <w:tc>
          <w:tcPr>
            <w:tcW w:w="391" w:type="pct"/>
            <w:shd w:val="clear" w:color="auto" w:fill="auto"/>
            <w:noWrap/>
            <w:vAlign w:val="center"/>
          </w:tcPr>
          <w:p w14:paraId="02A5200D" w14:textId="781D458C" w:rsidR="008F302C" w:rsidRPr="008F302C" w:rsidRDefault="008F302C" w:rsidP="008F302C">
            <w:pPr>
              <w:pStyle w:val="ForTable"/>
              <w:jc w:val="right"/>
              <w:rPr>
                <w:rFonts w:cs="Arial"/>
                <w:sz w:val="18"/>
                <w:szCs w:val="18"/>
              </w:rPr>
            </w:pPr>
            <w:r w:rsidRPr="008F302C">
              <w:rPr>
                <w:rFonts w:cs="Arial"/>
                <w:sz w:val="18"/>
                <w:szCs w:val="18"/>
              </w:rPr>
              <w:t>25.6</w:t>
            </w:r>
          </w:p>
        </w:tc>
        <w:tc>
          <w:tcPr>
            <w:tcW w:w="391" w:type="pct"/>
            <w:shd w:val="clear" w:color="auto" w:fill="auto"/>
            <w:noWrap/>
            <w:vAlign w:val="center"/>
          </w:tcPr>
          <w:p w14:paraId="13CB4B99" w14:textId="6470B7C5" w:rsidR="008F302C" w:rsidRPr="008F302C" w:rsidRDefault="008F302C" w:rsidP="008F302C">
            <w:pPr>
              <w:pStyle w:val="ForTable"/>
              <w:jc w:val="right"/>
              <w:rPr>
                <w:rFonts w:cs="Arial"/>
                <w:sz w:val="18"/>
                <w:szCs w:val="18"/>
              </w:rPr>
            </w:pPr>
            <w:r w:rsidRPr="008F302C">
              <w:rPr>
                <w:rFonts w:cs="Arial"/>
                <w:sz w:val="18"/>
                <w:szCs w:val="18"/>
              </w:rPr>
              <w:t>1.7</w:t>
            </w:r>
          </w:p>
        </w:tc>
        <w:tc>
          <w:tcPr>
            <w:tcW w:w="391" w:type="pct"/>
            <w:shd w:val="clear" w:color="auto" w:fill="auto"/>
            <w:vAlign w:val="center"/>
          </w:tcPr>
          <w:p w14:paraId="791FDAE3" w14:textId="790C66C0" w:rsidR="008F302C" w:rsidRPr="008F302C" w:rsidRDefault="00F529C8" w:rsidP="008F302C">
            <w:pPr>
              <w:pStyle w:val="ForTable"/>
              <w:jc w:val="right"/>
              <w:rPr>
                <w:rFonts w:cs="Arial"/>
                <w:sz w:val="18"/>
                <w:szCs w:val="18"/>
              </w:rPr>
            </w:pPr>
            <w:r>
              <w:rPr>
                <w:rFonts w:cs="Arial"/>
                <w:sz w:val="18"/>
                <w:szCs w:val="18"/>
              </w:rPr>
              <w:t>1.5</w:t>
            </w:r>
          </w:p>
        </w:tc>
        <w:tc>
          <w:tcPr>
            <w:tcW w:w="442" w:type="pct"/>
            <w:shd w:val="clear" w:color="auto" w:fill="auto"/>
            <w:noWrap/>
            <w:vAlign w:val="center"/>
          </w:tcPr>
          <w:p w14:paraId="561D310C" w14:textId="012AE28A" w:rsidR="008F302C" w:rsidRPr="008F302C" w:rsidRDefault="008F302C" w:rsidP="00F529C8">
            <w:pPr>
              <w:pStyle w:val="ForTable"/>
              <w:jc w:val="right"/>
              <w:rPr>
                <w:rFonts w:cs="Arial"/>
                <w:sz w:val="18"/>
                <w:szCs w:val="18"/>
              </w:rPr>
            </w:pPr>
            <w:r w:rsidRPr="008F302C">
              <w:rPr>
                <w:rFonts w:cs="Arial"/>
                <w:sz w:val="18"/>
                <w:szCs w:val="18"/>
              </w:rPr>
              <w:t>1,1</w:t>
            </w:r>
            <w:r w:rsidR="00F529C8">
              <w:rPr>
                <w:rFonts w:cs="Arial"/>
                <w:sz w:val="18"/>
                <w:szCs w:val="18"/>
              </w:rPr>
              <w:t>18.2</w:t>
            </w:r>
          </w:p>
        </w:tc>
        <w:tc>
          <w:tcPr>
            <w:tcW w:w="365" w:type="pct"/>
            <w:shd w:val="clear" w:color="auto" w:fill="auto"/>
            <w:noWrap/>
            <w:vAlign w:val="center"/>
          </w:tcPr>
          <w:p w14:paraId="38EF797E" w14:textId="4182945C" w:rsidR="008F302C" w:rsidRPr="008F302C" w:rsidRDefault="008F302C" w:rsidP="008F302C">
            <w:pPr>
              <w:pStyle w:val="ForTable"/>
              <w:jc w:val="right"/>
              <w:rPr>
                <w:rFonts w:cs="Arial"/>
                <w:sz w:val="18"/>
                <w:szCs w:val="18"/>
              </w:rPr>
            </w:pPr>
            <w:r w:rsidRPr="008F302C">
              <w:rPr>
                <w:rFonts w:cs="Arial"/>
                <w:sz w:val="18"/>
                <w:szCs w:val="18"/>
              </w:rPr>
              <w:t>57.4</w:t>
            </w:r>
          </w:p>
        </w:tc>
      </w:tr>
      <w:tr w:rsidR="008F302C" w:rsidRPr="00E73466" w14:paraId="0D24F10E" w14:textId="77777777" w:rsidTr="008F302C">
        <w:trPr>
          <w:cantSplit/>
          <w:trHeight w:val="454"/>
        </w:trPr>
        <w:tc>
          <w:tcPr>
            <w:tcW w:w="722" w:type="pct"/>
            <w:shd w:val="clear" w:color="auto" w:fill="EFD3D2"/>
            <w:noWrap/>
            <w:vAlign w:val="center"/>
          </w:tcPr>
          <w:p w14:paraId="730A65BB" w14:textId="77777777" w:rsidR="008F302C" w:rsidRPr="00A43848" w:rsidRDefault="008F302C" w:rsidP="008F302C">
            <w:pPr>
              <w:spacing w:before="60" w:after="60"/>
              <w:rPr>
                <w:rFonts w:cs="Arial"/>
                <w:color w:val="000000"/>
                <w:sz w:val="18"/>
                <w:szCs w:val="16"/>
              </w:rPr>
            </w:pPr>
            <w:r>
              <w:rPr>
                <w:rFonts w:cs="Arial"/>
                <w:color w:val="000000"/>
                <w:sz w:val="18"/>
                <w:szCs w:val="16"/>
              </w:rPr>
              <w:t>Regulation</w:t>
            </w:r>
          </w:p>
        </w:tc>
        <w:tc>
          <w:tcPr>
            <w:tcW w:w="381" w:type="pct"/>
            <w:shd w:val="clear" w:color="auto" w:fill="EFD3D2"/>
            <w:noWrap/>
            <w:vAlign w:val="center"/>
          </w:tcPr>
          <w:p w14:paraId="70EDA4A0" w14:textId="3345D6BB" w:rsidR="008F302C" w:rsidRPr="008F302C" w:rsidRDefault="008F302C" w:rsidP="008F302C">
            <w:pPr>
              <w:pStyle w:val="ForTable"/>
              <w:jc w:val="right"/>
              <w:rPr>
                <w:rFonts w:cs="Arial"/>
                <w:sz w:val="18"/>
                <w:szCs w:val="18"/>
              </w:rPr>
            </w:pPr>
            <w:r w:rsidRPr="008F302C">
              <w:rPr>
                <w:rFonts w:cs="Arial"/>
                <w:sz w:val="18"/>
                <w:szCs w:val="18"/>
              </w:rPr>
              <w:t>13.5</w:t>
            </w:r>
          </w:p>
        </w:tc>
        <w:tc>
          <w:tcPr>
            <w:tcW w:w="381" w:type="pct"/>
            <w:shd w:val="clear" w:color="auto" w:fill="EFD3D2"/>
            <w:noWrap/>
            <w:vAlign w:val="center"/>
          </w:tcPr>
          <w:p w14:paraId="67D18B54" w14:textId="04E22741" w:rsidR="008F302C" w:rsidRPr="008F302C" w:rsidRDefault="008F302C" w:rsidP="008F302C">
            <w:pPr>
              <w:pStyle w:val="ForTable"/>
              <w:jc w:val="right"/>
              <w:rPr>
                <w:rFonts w:cs="Arial"/>
                <w:sz w:val="18"/>
                <w:szCs w:val="18"/>
              </w:rPr>
            </w:pPr>
            <w:r w:rsidRPr="008F302C">
              <w:rPr>
                <w:rFonts w:cs="Arial"/>
                <w:sz w:val="18"/>
                <w:szCs w:val="18"/>
              </w:rPr>
              <w:t>41.7</w:t>
            </w:r>
          </w:p>
        </w:tc>
        <w:tc>
          <w:tcPr>
            <w:tcW w:w="381" w:type="pct"/>
            <w:shd w:val="clear" w:color="auto" w:fill="EFD3D2"/>
            <w:noWrap/>
            <w:vAlign w:val="center"/>
          </w:tcPr>
          <w:p w14:paraId="6CDB036F" w14:textId="299E6F75" w:rsidR="008F302C" w:rsidRPr="008F302C" w:rsidRDefault="008F302C" w:rsidP="008F302C">
            <w:pPr>
              <w:pStyle w:val="ForTable"/>
              <w:jc w:val="right"/>
              <w:rPr>
                <w:rFonts w:cs="Arial"/>
                <w:sz w:val="18"/>
                <w:szCs w:val="18"/>
              </w:rPr>
            </w:pPr>
            <w:r w:rsidRPr="008F302C">
              <w:rPr>
                <w:rFonts w:cs="Arial"/>
                <w:sz w:val="18"/>
                <w:szCs w:val="18"/>
              </w:rPr>
              <w:t>11.1</w:t>
            </w:r>
          </w:p>
        </w:tc>
        <w:tc>
          <w:tcPr>
            <w:tcW w:w="381" w:type="pct"/>
            <w:shd w:val="clear" w:color="auto" w:fill="EFD3D2"/>
            <w:vAlign w:val="center"/>
          </w:tcPr>
          <w:p w14:paraId="291FA513" w14:textId="68D1FEA5" w:rsidR="008F302C" w:rsidRPr="008F302C" w:rsidRDefault="008F302C" w:rsidP="008F302C">
            <w:pPr>
              <w:pStyle w:val="ForTable"/>
              <w:jc w:val="right"/>
              <w:rPr>
                <w:rFonts w:cs="Arial"/>
                <w:sz w:val="18"/>
                <w:szCs w:val="18"/>
              </w:rPr>
            </w:pPr>
            <w:r w:rsidRPr="008F302C">
              <w:rPr>
                <w:rFonts w:cs="Arial"/>
                <w:sz w:val="18"/>
                <w:szCs w:val="18"/>
              </w:rPr>
              <w:t>6.1</w:t>
            </w:r>
          </w:p>
        </w:tc>
        <w:tc>
          <w:tcPr>
            <w:tcW w:w="383" w:type="pct"/>
            <w:shd w:val="clear" w:color="auto" w:fill="EFD3D2"/>
            <w:vAlign w:val="center"/>
          </w:tcPr>
          <w:p w14:paraId="3E0C852C" w14:textId="67D2283C" w:rsidR="008F302C" w:rsidRPr="008F302C" w:rsidRDefault="008F302C" w:rsidP="008F302C">
            <w:pPr>
              <w:pStyle w:val="ForTable"/>
              <w:jc w:val="right"/>
              <w:rPr>
                <w:rFonts w:cs="Arial"/>
                <w:sz w:val="18"/>
                <w:szCs w:val="18"/>
              </w:rPr>
            </w:pPr>
            <w:r w:rsidRPr="008F302C">
              <w:rPr>
                <w:rFonts w:cs="Arial"/>
                <w:sz w:val="18"/>
                <w:szCs w:val="18"/>
              </w:rPr>
              <w:t>2.4</w:t>
            </w:r>
          </w:p>
        </w:tc>
        <w:tc>
          <w:tcPr>
            <w:tcW w:w="391" w:type="pct"/>
            <w:shd w:val="clear" w:color="auto" w:fill="EFD3D2"/>
            <w:noWrap/>
            <w:vAlign w:val="center"/>
          </w:tcPr>
          <w:p w14:paraId="015DB677" w14:textId="57C48962" w:rsidR="008F302C" w:rsidRPr="008F302C" w:rsidRDefault="008F302C" w:rsidP="008F302C">
            <w:pPr>
              <w:pStyle w:val="ForTable"/>
              <w:jc w:val="right"/>
              <w:rPr>
                <w:rFonts w:cs="Arial"/>
                <w:sz w:val="18"/>
                <w:szCs w:val="18"/>
              </w:rPr>
            </w:pPr>
            <w:r w:rsidRPr="008F302C">
              <w:rPr>
                <w:rFonts w:cs="Arial"/>
                <w:sz w:val="18"/>
                <w:szCs w:val="18"/>
              </w:rPr>
              <w:t>4.6</w:t>
            </w:r>
          </w:p>
        </w:tc>
        <w:tc>
          <w:tcPr>
            <w:tcW w:w="391" w:type="pct"/>
            <w:shd w:val="clear" w:color="auto" w:fill="EFD3D2"/>
            <w:noWrap/>
            <w:vAlign w:val="center"/>
          </w:tcPr>
          <w:p w14:paraId="032D9FAB" w14:textId="43C3B867" w:rsidR="008F302C" w:rsidRPr="008F302C" w:rsidRDefault="008F302C" w:rsidP="008F302C">
            <w:pPr>
              <w:pStyle w:val="ForTable"/>
              <w:jc w:val="right"/>
              <w:rPr>
                <w:rFonts w:cs="Arial"/>
                <w:sz w:val="18"/>
                <w:szCs w:val="18"/>
              </w:rPr>
            </w:pPr>
            <w:r w:rsidRPr="008F302C">
              <w:rPr>
                <w:rFonts w:cs="Arial"/>
                <w:sz w:val="18"/>
                <w:szCs w:val="18"/>
              </w:rPr>
              <w:t>2.3</w:t>
            </w:r>
          </w:p>
        </w:tc>
        <w:tc>
          <w:tcPr>
            <w:tcW w:w="391" w:type="pct"/>
            <w:shd w:val="clear" w:color="auto" w:fill="EFD3D2"/>
            <w:noWrap/>
            <w:vAlign w:val="center"/>
          </w:tcPr>
          <w:p w14:paraId="08530B96" w14:textId="24ECF92C" w:rsidR="008F302C" w:rsidRPr="008F302C" w:rsidRDefault="008F302C" w:rsidP="008F302C">
            <w:pPr>
              <w:pStyle w:val="ForTable"/>
              <w:jc w:val="right"/>
              <w:rPr>
                <w:rFonts w:cs="Arial"/>
                <w:sz w:val="18"/>
                <w:szCs w:val="18"/>
              </w:rPr>
            </w:pPr>
            <w:r w:rsidRPr="008F302C">
              <w:rPr>
                <w:rFonts w:cs="Arial"/>
                <w:sz w:val="18"/>
                <w:szCs w:val="18"/>
              </w:rPr>
              <w:t>0.0</w:t>
            </w:r>
          </w:p>
        </w:tc>
        <w:tc>
          <w:tcPr>
            <w:tcW w:w="391" w:type="pct"/>
            <w:shd w:val="clear" w:color="auto" w:fill="EFD3D2"/>
            <w:vAlign w:val="center"/>
          </w:tcPr>
          <w:p w14:paraId="74F03BC3" w14:textId="0BE729D6" w:rsidR="008F302C" w:rsidRPr="008F302C" w:rsidRDefault="008F302C" w:rsidP="008F302C">
            <w:pPr>
              <w:pStyle w:val="ForTable"/>
              <w:jc w:val="right"/>
              <w:rPr>
                <w:rFonts w:cs="Arial"/>
                <w:sz w:val="18"/>
                <w:szCs w:val="18"/>
              </w:rPr>
            </w:pPr>
            <w:r w:rsidRPr="008F302C">
              <w:rPr>
                <w:rFonts w:cs="Arial"/>
                <w:sz w:val="18"/>
                <w:szCs w:val="18"/>
              </w:rPr>
              <w:t>0.0</w:t>
            </w:r>
          </w:p>
        </w:tc>
        <w:tc>
          <w:tcPr>
            <w:tcW w:w="442" w:type="pct"/>
            <w:shd w:val="clear" w:color="auto" w:fill="EFD3D2"/>
            <w:noWrap/>
            <w:vAlign w:val="center"/>
          </w:tcPr>
          <w:p w14:paraId="3F31973B" w14:textId="2C5E3464" w:rsidR="008F302C" w:rsidRPr="008F302C" w:rsidRDefault="008F302C" w:rsidP="008F302C">
            <w:pPr>
              <w:pStyle w:val="ForTable"/>
              <w:jc w:val="right"/>
              <w:rPr>
                <w:rFonts w:cs="Arial"/>
                <w:sz w:val="18"/>
                <w:szCs w:val="18"/>
              </w:rPr>
            </w:pPr>
            <w:r w:rsidRPr="008F302C">
              <w:rPr>
                <w:rFonts w:cs="Arial"/>
                <w:sz w:val="18"/>
                <w:szCs w:val="18"/>
              </w:rPr>
              <w:t>81.5</w:t>
            </w:r>
          </w:p>
        </w:tc>
        <w:tc>
          <w:tcPr>
            <w:tcW w:w="365" w:type="pct"/>
            <w:shd w:val="clear" w:color="auto" w:fill="EFD3D2"/>
            <w:noWrap/>
            <w:vAlign w:val="center"/>
          </w:tcPr>
          <w:p w14:paraId="6C8388D3" w14:textId="418BB51B" w:rsidR="008F302C" w:rsidRPr="008F302C" w:rsidRDefault="008F302C" w:rsidP="008F302C">
            <w:pPr>
              <w:pStyle w:val="ForTable"/>
              <w:jc w:val="right"/>
              <w:rPr>
                <w:rFonts w:cs="Arial"/>
                <w:sz w:val="18"/>
                <w:szCs w:val="18"/>
              </w:rPr>
            </w:pPr>
            <w:r w:rsidRPr="008F302C">
              <w:rPr>
                <w:rFonts w:cs="Arial"/>
                <w:sz w:val="18"/>
                <w:szCs w:val="18"/>
              </w:rPr>
              <w:t>26.4</w:t>
            </w:r>
          </w:p>
        </w:tc>
      </w:tr>
      <w:tr w:rsidR="008F302C" w:rsidRPr="00E73466" w14:paraId="1B07FD24" w14:textId="77777777" w:rsidTr="008F302C">
        <w:trPr>
          <w:cantSplit/>
          <w:trHeight w:val="454"/>
        </w:trPr>
        <w:tc>
          <w:tcPr>
            <w:tcW w:w="722" w:type="pct"/>
            <w:shd w:val="clear" w:color="auto" w:fill="auto"/>
            <w:noWrap/>
            <w:vAlign w:val="center"/>
          </w:tcPr>
          <w:p w14:paraId="5D4056DD" w14:textId="77777777" w:rsidR="008F302C" w:rsidRPr="00A43848" w:rsidRDefault="008F302C" w:rsidP="008F302C">
            <w:pPr>
              <w:spacing w:before="60" w:after="60"/>
              <w:rPr>
                <w:rFonts w:cs="Arial"/>
                <w:color w:val="000000"/>
                <w:sz w:val="18"/>
                <w:szCs w:val="16"/>
              </w:rPr>
            </w:pPr>
            <w:r>
              <w:rPr>
                <w:rFonts w:cs="Arial"/>
                <w:color w:val="000000"/>
                <w:sz w:val="18"/>
                <w:szCs w:val="16"/>
              </w:rPr>
              <w:t>Dispute resolution</w:t>
            </w:r>
          </w:p>
        </w:tc>
        <w:tc>
          <w:tcPr>
            <w:tcW w:w="381" w:type="pct"/>
            <w:shd w:val="clear" w:color="auto" w:fill="auto"/>
            <w:noWrap/>
            <w:vAlign w:val="center"/>
          </w:tcPr>
          <w:p w14:paraId="08513FA5" w14:textId="34D532E3" w:rsidR="008F302C" w:rsidRPr="008F302C" w:rsidRDefault="008F302C" w:rsidP="008F302C">
            <w:pPr>
              <w:pStyle w:val="ForTable"/>
              <w:jc w:val="right"/>
              <w:rPr>
                <w:rFonts w:cs="Arial"/>
                <w:sz w:val="18"/>
                <w:szCs w:val="18"/>
              </w:rPr>
            </w:pPr>
            <w:r w:rsidRPr="008F302C">
              <w:rPr>
                <w:rFonts w:cs="Arial"/>
                <w:sz w:val="18"/>
                <w:szCs w:val="18"/>
              </w:rPr>
              <w:t>81.5</w:t>
            </w:r>
          </w:p>
        </w:tc>
        <w:tc>
          <w:tcPr>
            <w:tcW w:w="381" w:type="pct"/>
            <w:shd w:val="clear" w:color="auto" w:fill="auto"/>
            <w:noWrap/>
            <w:vAlign w:val="center"/>
          </w:tcPr>
          <w:p w14:paraId="30034AE0" w14:textId="1CA9C94F" w:rsidR="008F302C" w:rsidRPr="008F302C" w:rsidRDefault="008F302C" w:rsidP="008F302C">
            <w:pPr>
              <w:pStyle w:val="ForTable"/>
              <w:jc w:val="right"/>
              <w:rPr>
                <w:rFonts w:cs="Arial"/>
                <w:sz w:val="18"/>
                <w:szCs w:val="18"/>
              </w:rPr>
            </w:pPr>
            <w:r w:rsidRPr="008F302C">
              <w:rPr>
                <w:rFonts w:cs="Arial"/>
                <w:sz w:val="18"/>
                <w:szCs w:val="18"/>
              </w:rPr>
              <w:t>35.7</w:t>
            </w:r>
          </w:p>
        </w:tc>
        <w:tc>
          <w:tcPr>
            <w:tcW w:w="381" w:type="pct"/>
            <w:shd w:val="clear" w:color="auto" w:fill="auto"/>
            <w:noWrap/>
            <w:vAlign w:val="center"/>
          </w:tcPr>
          <w:p w14:paraId="095C341E" w14:textId="6916840D" w:rsidR="008F302C" w:rsidRPr="008F302C" w:rsidRDefault="008F302C" w:rsidP="008F302C">
            <w:pPr>
              <w:pStyle w:val="ForTable"/>
              <w:jc w:val="right"/>
              <w:rPr>
                <w:rFonts w:cs="Arial"/>
                <w:sz w:val="18"/>
                <w:szCs w:val="18"/>
              </w:rPr>
            </w:pPr>
            <w:r w:rsidRPr="008F302C">
              <w:rPr>
                <w:rFonts w:cs="Arial"/>
                <w:sz w:val="18"/>
                <w:szCs w:val="18"/>
              </w:rPr>
              <w:t>13.7</w:t>
            </w:r>
          </w:p>
        </w:tc>
        <w:tc>
          <w:tcPr>
            <w:tcW w:w="381" w:type="pct"/>
            <w:shd w:val="clear" w:color="auto" w:fill="auto"/>
            <w:vAlign w:val="center"/>
          </w:tcPr>
          <w:p w14:paraId="314813FA" w14:textId="44CBADDB" w:rsidR="008F302C" w:rsidRPr="008F302C" w:rsidRDefault="008F302C" w:rsidP="008F302C">
            <w:pPr>
              <w:pStyle w:val="ForTable"/>
              <w:jc w:val="right"/>
              <w:rPr>
                <w:rFonts w:cs="Arial"/>
                <w:sz w:val="18"/>
                <w:szCs w:val="18"/>
              </w:rPr>
            </w:pPr>
            <w:r w:rsidRPr="008F302C">
              <w:rPr>
                <w:rFonts w:cs="Arial"/>
                <w:sz w:val="18"/>
                <w:szCs w:val="18"/>
              </w:rPr>
              <w:t>6.2</w:t>
            </w:r>
          </w:p>
        </w:tc>
        <w:tc>
          <w:tcPr>
            <w:tcW w:w="383" w:type="pct"/>
            <w:shd w:val="clear" w:color="auto" w:fill="auto"/>
            <w:vAlign w:val="center"/>
          </w:tcPr>
          <w:p w14:paraId="353336B0" w14:textId="39D5766A" w:rsidR="008F302C" w:rsidRPr="008F302C" w:rsidRDefault="008F302C" w:rsidP="008F302C">
            <w:pPr>
              <w:pStyle w:val="ForTable"/>
              <w:jc w:val="right"/>
              <w:rPr>
                <w:rFonts w:cs="Arial"/>
                <w:sz w:val="18"/>
                <w:szCs w:val="18"/>
              </w:rPr>
            </w:pPr>
            <w:r w:rsidRPr="008F302C">
              <w:rPr>
                <w:rFonts w:cs="Arial"/>
                <w:sz w:val="18"/>
                <w:szCs w:val="18"/>
              </w:rPr>
              <w:t>3.5</w:t>
            </w:r>
          </w:p>
        </w:tc>
        <w:tc>
          <w:tcPr>
            <w:tcW w:w="391" w:type="pct"/>
            <w:shd w:val="clear" w:color="auto" w:fill="auto"/>
            <w:noWrap/>
            <w:vAlign w:val="center"/>
          </w:tcPr>
          <w:p w14:paraId="08C5C1C0" w14:textId="3B82B3AD" w:rsidR="008F302C" w:rsidRPr="008F302C" w:rsidRDefault="008F302C" w:rsidP="008F302C">
            <w:pPr>
              <w:pStyle w:val="ForTable"/>
              <w:jc w:val="right"/>
              <w:rPr>
                <w:rFonts w:cs="Arial"/>
                <w:sz w:val="18"/>
                <w:szCs w:val="18"/>
              </w:rPr>
            </w:pPr>
            <w:r w:rsidRPr="008F302C">
              <w:rPr>
                <w:rFonts w:cs="Arial"/>
                <w:sz w:val="18"/>
                <w:szCs w:val="18"/>
              </w:rPr>
              <w:t>4.9</w:t>
            </w:r>
          </w:p>
        </w:tc>
        <w:tc>
          <w:tcPr>
            <w:tcW w:w="391" w:type="pct"/>
            <w:shd w:val="clear" w:color="auto" w:fill="auto"/>
            <w:noWrap/>
            <w:vAlign w:val="center"/>
          </w:tcPr>
          <w:p w14:paraId="25A6A4FD" w14:textId="7D4457AB" w:rsidR="008F302C" w:rsidRPr="008F302C" w:rsidRDefault="008F302C" w:rsidP="008F302C">
            <w:pPr>
              <w:pStyle w:val="ForTable"/>
              <w:jc w:val="right"/>
              <w:rPr>
                <w:rFonts w:cs="Arial"/>
                <w:sz w:val="18"/>
                <w:szCs w:val="18"/>
              </w:rPr>
            </w:pPr>
            <w:r w:rsidRPr="008F302C">
              <w:rPr>
                <w:rFonts w:cs="Arial"/>
                <w:sz w:val="18"/>
                <w:szCs w:val="18"/>
              </w:rPr>
              <w:t>1.1</w:t>
            </w:r>
          </w:p>
        </w:tc>
        <w:tc>
          <w:tcPr>
            <w:tcW w:w="391" w:type="pct"/>
            <w:shd w:val="clear" w:color="auto" w:fill="auto"/>
            <w:noWrap/>
            <w:vAlign w:val="center"/>
          </w:tcPr>
          <w:p w14:paraId="05144745" w14:textId="6AD61B8E" w:rsidR="008F302C" w:rsidRPr="008F302C" w:rsidRDefault="008F302C" w:rsidP="008F302C">
            <w:pPr>
              <w:pStyle w:val="ForTable"/>
              <w:jc w:val="right"/>
              <w:rPr>
                <w:rFonts w:cs="Arial"/>
                <w:sz w:val="18"/>
                <w:szCs w:val="18"/>
              </w:rPr>
            </w:pPr>
            <w:r w:rsidRPr="008F302C">
              <w:rPr>
                <w:rFonts w:cs="Arial"/>
                <w:sz w:val="18"/>
                <w:szCs w:val="18"/>
              </w:rPr>
              <w:t>0.6</w:t>
            </w:r>
          </w:p>
        </w:tc>
        <w:tc>
          <w:tcPr>
            <w:tcW w:w="391" w:type="pct"/>
            <w:shd w:val="clear" w:color="auto" w:fill="auto"/>
            <w:vAlign w:val="center"/>
          </w:tcPr>
          <w:p w14:paraId="75FECEDF" w14:textId="25A63B8B" w:rsidR="008F302C" w:rsidRPr="008F302C" w:rsidRDefault="008F302C" w:rsidP="008F302C">
            <w:pPr>
              <w:pStyle w:val="ForTable"/>
              <w:jc w:val="right"/>
              <w:rPr>
                <w:rFonts w:cs="Arial"/>
                <w:sz w:val="18"/>
                <w:szCs w:val="18"/>
              </w:rPr>
            </w:pPr>
            <w:r w:rsidRPr="008F302C">
              <w:rPr>
                <w:rFonts w:cs="Arial"/>
                <w:sz w:val="18"/>
                <w:szCs w:val="18"/>
              </w:rPr>
              <w:t>0.0</w:t>
            </w:r>
          </w:p>
        </w:tc>
        <w:tc>
          <w:tcPr>
            <w:tcW w:w="442" w:type="pct"/>
            <w:shd w:val="clear" w:color="auto" w:fill="auto"/>
            <w:noWrap/>
            <w:vAlign w:val="center"/>
          </w:tcPr>
          <w:p w14:paraId="4B5332AD" w14:textId="1AFA6490" w:rsidR="008F302C" w:rsidRPr="008F302C" w:rsidRDefault="008F302C" w:rsidP="008F302C">
            <w:pPr>
              <w:pStyle w:val="ForTable"/>
              <w:jc w:val="right"/>
              <w:rPr>
                <w:rFonts w:cs="Arial"/>
                <w:sz w:val="18"/>
                <w:szCs w:val="18"/>
              </w:rPr>
            </w:pPr>
            <w:r w:rsidRPr="008F302C">
              <w:rPr>
                <w:rFonts w:cs="Arial"/>
                <w:sz w:val="18"/>
                <w:szCs w:val="18"/>
              </w:rPr>
              <w:t>147.3</w:t>
            </w:r>
          </w:p>
        </w:tc>
        <w:tc>
          <w:tcPr>
            <w:tcW w:w="365" w:type="pct"/>
            <w:shd w:val="clear" w:color="auto" w:fill="auto"/>
            <w:noWrap/>
            <w:vAlign w:val="center"/>
          </w:tcPr>
          <w:p w14:paraId="51CC05D1" w14:textId="34D197D4" w:rsidR="008F302C" w:rsidRPr="008F302C" w:rsidRDefault="008F302C" w:rsidP="008F302C">
            <w:pPr>
              <w:pStyle w:val="ForTable"/>
              <w:jc w:val="right"/>
              <w:rPr>
                <w:rFonts w:cs="Arial"/>
                <w:sz w:val="18"/>
                <w:szCs w:val="18"/>
              </w:rPr>
            </w:pPr>
            <w:r w:rsidRPr="008F302C">
              <w:rPr>
                <w:rFonts w:cs="Arial"/>
                <w:sz w:val="18"/>
                <w:szCs w:val="18"/>
              </w:rPr>
              <w:t>0.0</w:t>
            </w:r>
          </w:p>
        </w:tc>
      </w:tr>
      <w:tr w:rsidR="008F302C" w:rsidRPr="00E73466" w14:paraId="3186FE30" w14:textId="77777777" w:rsidTr="008F302C">
        <w:trPr>
          <w:cantSplit/>
          <w:trHeight w:val="454"/>
        </w:trPr>
        <w:tc>
          <w:tcPr>
            <w:tcW w:w="722" w:type="pct"/>
            <w:shd w:val="clear" w:color="auto" w:fill="EFD3D2"/>
            <w:noWrap/>
            <w:vAlign w:val="center"/>
          </w:tcPr>
          <w:p w14:paraId="1C871C3B" w14:textId="77777777" w:rsidR="008F302C" w:rsidRPr="00A43848" w:rsidRDefault="008F302C" w:rsidP="008F302C">
            <w:pPr>
              <w:spacing w:before="60" w:after="60"/>
              <w:rPr>
                <w:rFonts w:cs="Arial"/>
                <w:color w:val="000000"/>
                <w:sz w:val="18"/>
                <w:szCs w:val="16"/>
              </w:rPr>
            </w:pPr>
            <w:r>
              <w:rPr>
                <w:rFonts w:cs="Arial"/>
                <w:color w:val="000000"/>
                <w:sz w:val="18"/>
                <w:szCs w:val="16"/>
              </w:rPr>
              <w:t>Other administration</w:t>
            </w:r>
          </w:p>
        </w:tc>
        <w:tc>
          <w:tcPr>
            <w:tcW w:w="381" w:type="pct"/>
            <w:shd w:val="clear" w:color="auto" w:fill="EFD3D2"/>
            <w:noWrap/>
            <w:vAlign w:val="center"/>
          </w:tcPr>
          <w:p w14:paraId="0652C839" w14:textId="41F967B6" w:rsidR="008F302C" w:rsidRPr="008F302C" w:rsidRDefault="008F302C" w:rsidP="008F302C">
            <w:pPr>
              <w:pStyle w:val="ForTable"/>
              <w:jc w:val="right"/>
              <w:rPr>
                <w:rFonts w:cs="Arial"/>
                <w:sz w:val="18"/>
                <w:szCs w:val="18"/>
              </w:rPr>
            </w:pPr>
            <w:r w:rsidRPr="008F302C">
              <w:rPr>
                <w:rFonts w:cs="Arial"/>
                <w:sz w:val="18"/>
                <w:szCs w:val="18"/>
              </w:rPr>
              <w:t>14.1</w:t>
            </w:r>
          </w:p>
        </w:tc>
        <w:tc>
          <w:tcPr>
            <w:tcW w:w="381" w:type="pct"/>
            <w:shd w:val="clear" w:color="auto" w:fill="EFD3D2"/>
            <w:noWrap/>
            <w:vAlign w:val="center"/>
          </w:tcPr>
          <w:p w14:paraId="30D7DC71" w14:textId="366391D9" w:rsidR="008F302C" w:rsidRPr="008F302C" w:rsidRDefault="008F302C" w:rsidP="008F302C">
            <w:pPr>
              <w:pStyle w:val="ForTable"/>
              <w:jc w:val="right"/>
              <w:rPr>
                <w:rFonts w:cs="Arial"/>
                <w:sz w:val="18"/>
                <w:szCs w:val="18"/>
              </w:rPr>
            </w:pPr>
            <w:r w:rsidRPr="008F302C">
              <w:rPr>
                <w:rFonts w:cs="Arial"/>
                <w:sz w:val="18"/>
                <w:szCs w:val="18"/>
              </w:rPr>
              <w:t>60.3</w:t>
            </w:r>
          </w:p>
        </w:tc>
        <w:tc>
          <w:tcPr>
            <w:tcW w:w="381" w:type="pct"/>
            <w:shd w:val="clear" w:color="auto" w:fill="EFD3D2"/>
            <w:noWrap/>
            <w:vAlign w:val="center"/>
          </w:tcPr>
          <w:p w14:paraId="6430BB8E" w14:textId="18268152" w:rsidR="008F302C" w:rsidRPr="008F302C" w:rsidRDefault="008F302C" w:rsidP="008F302C">
            <w:pPr>
              <w:pStyle w:val="ForTable"/>
              <w:jc w:val="right"/>
              <w:rPr>
                <w:rFonts w:cs="Arial"/>
                <w:sz w:val="18"/>
                <w:szCs w:val="18"/>
              </w:rPr>
            </w:pPr>
            <w:r w:rsidRPr="008F302C">
              <w:rPr>
                <w:rFonts w:cs="Arial"/>
                <w:sz w:val="18"/>
                <w:szCs w:val="18"/>
              </w:rPr>
              <w:t>44.0</w:t>
            </w:r>
          </w:p>
        </w:tc>
        <w:tc>
          <w:tcPr>
            <w:tcW w:w="381" w:type="pct"/>
            <w:shd w:val="clear" w:color="auto" w:fill="EFD3D2"/>
            <w:vAlign w:val="center"/>
          </w:tcPr>
          <w:p w14:paraId="3C9834FE" w14:textId="4B3CB3DB" w:rsidR="008F302C" w:rsidRPr="008F302C" w:rsidRDefault="008F302C" w:rsidP="008F302C">
            <w:pPr>
              <w:pStyle w:val="ForTable"/>
              <w:jc w:val="right"/>
              <w:rPr>
                <w:rFonts w:cs="Arial"/>
                <w:sz w:val="18"/>
                <w:szCs w:val="18"/>
              </w:rPr>
            </w:pPr>
            <w:r w:rsidRPr="008F302C">
              <w:rPr>
                <w:rFonts w:cs="Arial"/>
                <w:sz w:val="18"/>
                <w:szCs w:val="18"/>
              </w:rPr>
              <w:t>108.3</w:t>
            </w:r>
          </w:p>
        </w:tc>
        <w:tc>
          <w:tcPr>
            <w:tcW w:w="383" w:type="pct"/>
            <w:shd w:val="clear" w:color="auto" w:fill="EFD3D2"/>
            <w:vAlign w:val="center"/>
          </w:tcPr>
          <w:p w14:paraId="3635B829" w14:textId="351ADFBE" w:rsidR="008F302C" w:rsidRPr="008F302C" w:rsidRDefault="008F302C" w:rsidP="008F302C">
            <w:pPr>
              <w:pStyle w:val="ForTable"/>
              <w:jc w:val="right"/>
              <w:rPr>
                <w:rFonts w:cs="Arial"/>
                <w:sz w:val="18"/>
                <w:szCs w:val="18"/>
              </w:rPr>
            </w:pPr>
            <w:r w:rsidRPr="008F302C">
              <w:rPr>
                <w:rFonts w:cs="Arial"/>
                <w:sz w:val="18"/>
                <w:szCs w:val="18"/>
              </w:rPr>
              <w:t>20.8</w:t>
            </w:r>
          </w:p>
        </w:tc>
        <w:tc>
          <w:tcPr>
            <w:tcW w:w="391" w:type="pct"/>
            <w:shd w:val="clear" w:color="auto" w:fill="EFD3D2"/>
            <w:noWrap/>
            <w:vAlign w:val="center"/>
          </w:tcPr>
          <w:p w14:paraId="45E6C619" w14:textId="4206F764" w:rsidR="008F302C" w:rsidRPr="008F302C" w:rsidRDefault="008F302C" w:rsidP="008F302C">
            <w:pPr>
              <w:pStyle w:val="ForTable"/>
              <w:jc w:val="right"/>
              <w:rPr>
                <w:rFonts w:cs="Arial"/>
                <w:sz w:val="18"/>
                <w:szCs w:val="18"/>
              </w:rPr>
            </w:pPr>
            <w:r w:rsidRPr="008F302C">
              <w:rPr>
                <w:rFonts w:cs="Arial"/>
                <w:sz w:val="18"/>
                <w:szCs w:val="18"/>
              </w:rPr>
              <w:t>9.0</w:t>
            </w:r>
          </w:p>
        </w:tc>
        <w:tc>
          <w:tcPr>
            <w:tcW w:w="391" w:type="pct"/>
            <w:shd w:val="clear" w:color="auto" w:fill="EFD3D2"/>
            <w:noWrap/>
            <w:vAlign w:val="center"/>
          </w:tcPr>
          <w:p w14:paraId="414A98AE" w14:textId="5BA72634" w:rsidR="008F302C" w:rsidRPr="008F302C" w:rsidRDefault="008F302C" w:rsidP="008F302C">
            <w:pPr>
              <w:pStyle w:val="ForTable"/>
              <w:jc w:val="right"/>
              <w:rPr>
                <w:rFonts w:cs="Arial"/>
                <w:sz w:val="18"/>
                <w:szCs w:val="18"/>
              </w:rPr>
            </w:pPr>
            <w:r w:rsidRPr="008F302C">
              <w:rPr>
                <w:rFonts w:cs="Arial"/>
                <w:sz w:val="18"/>
                <w:szCs w:val="18"/>
              </w:rPr>
              <w:t>1.5</w:t>
            </w:r>
          </w:p>
        </w:tc>
        <w:tc>
          <w:tcPr>
            <w:tcW w:w="391" w:type="pct"/>
            <w:shd w:val="clear" w:color="auto" w:fill="EFD3D2"/>
            <w:noWrap/>
            <w:vAlign w:val="center"/>
          </w:tcPr>
          <w:p w14:paraId="65D01EC1" w14:textId="3CCC1942" w:rsidR="008F302C" w:rsidRPr="008F302C" w:rsidRDefault="008F302C" w:rsidP="008F302C">
            <w:pPr>
              <w:pStyle w:val="ForTable"/>
              <w:jc w:val="right"/>
              <w:rPr>
                <w:rFonts w:cs="Arial"/>
                <w:sz w:val="18"/>
                <w:szCs w:val="18"/>
              </w:rPr>
            </w:pPr>
            <w:r w:rsidRPr="008F302C">
              <w:rPr>
                <w:rFonts w:cs="Arial"/>
                <w:sz w:val="18"/>
                <w:szCs w:val="18"/>
              </w:rPr>
              <w:t>1.7</w:t>
            </w:r>
          </w:p>
        </w:tc>
        <w:tc>
          <w:tcPr>
            <w:tcW w:w="391" w:type="pct"/>
            <w:shd w:val="clear" w:color="auto" w:fill="EFD3D2"/>
            <w:vAlign w:val="center"/>
          </w:tcPr>
          <w:p w14:paraId="7C38C041" w14:textId="61295084" w:rsidR="008F302C" w:rsidRPr="008F302C" w:rsidRDefault="008F302C" w:rsidP="008F302C">
            <w:pPr>
              <w:pStyle w:val="ForTable"/>
              <w:jc w:val="right"/>
              <w:rPr>
                <w:rFonts w:cs="Arial"/>
                <w:sz w:val="18"/>
                <w:szCs w:val="18"/>
              </w:rPr>
            </w:pPr>
            <w:r w:rsidRPr="008F302C">
              <w:rPr>
                <w:rFonts w:cs="Arial"/>
                <w:sz w:val="18"/>
                <w:szCs w:val="18"/>
              </w:rPr>
              <w:t>0.7</w:t>
            </w:r>
          </w:p>
        </w:tc>
        <w:tc>
          <w:tcPr>
            <w:tcW w:w="442" w:type="pct"/>
            <w:shd w:val="clear" w:color="auto" w:fill="EFD3D2"/>
            <w:noWrap/>
            <w:vAlign w:val="center"/>
          </w:tcPr>
          <w:p w14:paraId="28347E44" w14:textId="78DE8CD9" w:rsidR="008F302C" w:rsidRPr="008F302C" w:rsidRDefault="008F302C" w:rsidP="008F302C">
            <w:pPr>
              <w:pStyle w:val="ForTable"/>
              <w:jc w:val="right"/>
              <w:rPr>
                <w:rFonts w:cs="Arial"/>
                <w:sz w:val="18"/>
                <w:szCs w:val="18"/>
              </w:rPr>
            </w:pPr>
            <w:r w:rsidRPr="008F302C">
              <w:rPr>
                <w:rFonts w:cs="Arial"/>
                <w:sz w:val="18"/>
                <w:szCs w:val="18"/>
              </w:rPr>
              <w:t>260.3</w:t>
            </w:r>
          </w:p>
        </w:tc>
        <w:tc>
          <w:tcPr>
            <w:tcW w:w="365" w:type="pct"/>
            <w:shd w:val="clear" w:color="auto" w:fill="EFD3D2"/>
            <w:noWrap/>
            <w:vAlign w:val="center"/>
          </w:tcPr>
          <w:p w14:paraId="00DCCBE7" w14:textId="61C146CB" w:rsidR="008F302C" w:rsidRPr="008F302C" w:rsidRDefault="008F302C" w:rsidP="008F302C">
            <w:pPr>
              <w:pStyle w:val="ForTable"/>
              <w:jc w:val="right"/>
              <w:rPr>
                <w:rFonts w:cs="Arial"/>
                <w:sz w:val="18"/>
                <w:szCs w:val="18"/>
              </w:rPr>
            </w:pPr>
            <w:r w:rsidRPr="008F302C">
              <w:rPr>
                <w:rFonts w:cs="Arial"/>
                <w:sz w:val="18"/>
                <w:szCs w:val="18"/>
              </w:rPr>
              <w:t>38.0</w:t>
            </w:r>
          </w:p>
        </w:tc>
      </w:tr>
      <w:tr w:rsidR="008F302C" w:rsidRPr="00DF7579" w14:paraId="01AA2A37" w14:textId="77777777" w:rsidTr="008F302C">
        <w:trPr>
          <w:cantSplit/>
          <w:trHeight w:val="454"/>
        </w:trPr>
        <w:tc>
          <w:tcPr>
            <w:tcW w:w="722" w:type="pct"/>
            <w:shd w:val="clear" w:color="auto" w:fill="808080" w:themeFill="background1" w:themeFillShade="80"/>
            <w:noWrap/>
            <w:vAlign w:val="center"/>
          </w:tcPr>
          <w:p w14:paraId="22D243CB" w14:textId="77777777" w:rsidR="008F302C" w:rsidRPr="00DF7579" w:rsidRDefault="008F302C" w:rsidP="008F302C">
            <w:pPr>
              <w:spacing w:before="60" w:after="60"/>
              <w:rPr>
                <w:rFonts w:cs="Arial"/>
                <w:b/>
                <w:color w:val="FFFFFF" w:themeColor="background1"/>
                <w:sz w:val="18"/>
                <w:szCs w:val="16"/>
              </w:rPr>
            </w:pPr>
            <w:r w:rsidRPr="00DF7579">
              <w:rPr>
                <w:rFonts w:cs="Arial"/>
                <w:b/>
                <w:color w:val="FFFFFF" w:themeColor="background1"/>
                <w:sz w:val="18"/>
                <w:szCs w:val="16"/>
              </w:rPr>
              <w:t>Total</w:t>
            </w:r>
          </w:p>
        </w:tc>
        <w:tc>
          <w:tcPr>
            <w:tcW w:w="381" w:type="pct"/>
            <w:shd w:val="clear" w:color="auto" w:fill="808080" w:themeFill="background1" w:themeFillShade="80"/>
            <w:noWrap/>
            <w:vAlign w:val="center"/>
          </w:tcPr>
          <w:p w14:paraId="777F853E" w14:textId="00E00196"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2,410.3</w:t>
            </w:r>
          </w:p>
        </w:tc>
        <w:tc>
          <w:tcPr>
            <w:tcW w:w="381" w:type="pct"/>
            <w:shd w:val="clear" w:color="auto" w:fill="808080" w:themeFill="background1" w:themeFillShade="80"/>
            <w:noWrap/>
            <w:vAlign w:val="center"/>
          </w:tcPr>
          <w:p w14:paraId="72279072" w14:textId="0172C4AF"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2,236.6</w:t>
            </w:r>
          </w:p>
        </w:tc>
        <w:tc>
          <w:tcPr>
            <w:tcW w:w="381" w:type="pct"/>
            <w:shd w:val="clear" w:color="auto" w:fill="808080" w:themeFill="background1" w:themeFillShade="80"/>
            <w:noWrap/>
            <w:vAlign w:val="center"/>
          </w:tcPr>
          <w:p w14:paraId="72DD63D1" w14:textId="5604B5EE"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1,286.5</w:t>
            </w:r>
          </w:p>
        </w:tc>
        <w:tc>
          <w:tcPr>
            <w:tcW w:w="381" w:type="pct"/>
            <w:shd w:val="clear" w:color="auto" w:fill="808080" w:themeFill="background1" w:themeFillShade="80"/>
            <w:vAlign w:val="center"/>
          </w:tcPr>
          <w:p w14:paraId="324B3340" w14:textId="3E69C3B9"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562.2</w:t>
            </w:r>
          </w:p>
        </w:tc>
        <w:tc>
          <w:tcPr>
            <w:tcW w:w="383" w:type="pct"/>
            <w:shd w:val="clear" w:color="auto" w:fill="808080" w:themeFill="background1" w:themeFillShade="80"/>
            <w:vAlign w:val="center"/>
          </w:tcPr>
          <w:p w14:paraId="09F9EE80" w14:textId="0F2F5C19"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295.9</w:t>
            </w:r>
          </w:p>
        </w:tc>
        <w:tc>
          <w:tcPr>
            <w:tcW w:w="391" w:type="pct"/>
            <w:shd w:val="clear" w:color="auto" w:fill="808080" w:themeFill="background1" w:themeFillShade="80"/>
            <w:noWrap/>
            <w:vAlign w:val="center"/>
          </w:tcPr>
          <w:p w14:paraId="543F6C95" w14:textId="47600AEF"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1,185.9</w:t>
            </w:r>
          </w:p>
        </w:tc>
        <w:tc>
          <w:tcPr>
            <w:tcW w:w="391" w:type="pct"/>
            <w:shd w:val="clear" w:color="auto" w:fill="808080" w:themeFill="background1" w:themeFillShade="80"/>
            <w:noWrap/>
            <w:vAlign w:val="center"/>
          </w:tcPr>
          <w:p w14:paraId="20355FEE" w14:textId="1F410BC2"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153.4</w:t>
            </w:r>
          </w:p>
        </w:tc>
        <w:tc>
          <w:tcPr>
            <w:tcW w:w="391" w:type="pct"/>
            <w:shd w:val="clear" w:color="auto" w:fill="808080" w:themeFill="background1" w:themeFillShade="80"/>
            <w:noWrap/>
            <w:vAlign w:val="center"/>
          </w:tcPr>
          <w:p w14:paraId="3AADF219" w14:textId="70CC964F"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102.2</w:t>
            </w:r>
          </w:p>
        </w:tc>
        <w:tc>
          <w:tcPr>
            <w:tcW w:w="391" w:type="pct"/>
            <w:shd w:val="clear" w:color="auto" w:fill="808080" w:themeFill="background1" w:themeFillShade="80"/>
            <w:vAlign w:val="center"/>
          </w:tcPr>
          <w:p w14:paraId="3E2D6B3F" w14:textId="2847B471"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14.9</w:t>
            </w:r>
          </w:p>
        </w:tc>
        <w:tc>
          <w:tcPr>
            <w:tcW w:w="442" w:type="pct"/>
            <w:shd w:val="clear" w:color="auto" w:fill="808080" w:themeFill="background1" w:themeFillShade="80"/>
            <w:noWrap/>
            <w:vAlign w:val="center"/>
          </w:tcPr>
          <w:p w14:paraId="6F781245" w14:textId="15C30269"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8,247.8</w:t>
            </w:r>
          </w:p>
        </w:tc>
        <w:tc>
          <w:tcPr>
            <w:tcW w:w="365" w:type="pct"/>
            <w:shd w:val="clear" w:color="auto" w:fill="808080" w:themeFill="background1" w:themeFillShade="80"/>
            <w:noWrap/>
            <w:vAlign w:val="center"/>
          </w:tcPr>
          <w:p w14:paraId="6C61DEB8" w14:textId="3C5B09F9" w:rsidR="008F302C" w:rsidRPr="008F302C" w:rsidRDefault="008F302C" w:rsidP="008F302C">
            <w:pPr>
              <w:pStyle w:val="ForTable"/>
              <w:jc w:val="right"/>
              <w:rPr>
                <w:rFonts w:cs="Arial"/>
                <w:b/>
                <w:color w:val="FFFFFF" w:themeColor="background1"/>
                <w:sz w:val="18"/>
                <w:szCs w:val="18"/>
              </w:rPr>
            </w:pPr>
            <w:r w:rsidRPr="008F302C">
              <w:rPr>
                <w:rFonts w:cs="Arial"/>
                <w:b/>
                <w:color w:val="FFFFFF" w:themeColor="background1"/>
                <w:sz w:val="18"/>
                <w:szCs w:val="18"/>
              </w:rPr>
              <w:t>645.1</w:t>
            </w:r>
          </w:p>
        </w:tc>
      </w:tr>
    </w:tbl>
    <w:p w14:paraId="78222CB6" w14:textId="77777777" w:rsidR="00E73466" w:rsidRDefault="00E73466" w:rsidP="00E73466">
      <w:pPr>
        <w:pStyle w:val="SWATableheader"/>
      </w:pPr>
    </w:p>
    <w:p w14:paraId="521A2CD1" w14:textId="77777777" w:rsidR="00A8653F" w:rsidRDefault="00A8653F" w:rsidP="00A8653F">
      <w:pPr>
        <w:rPr>
          <w:b/>
        </w:rPr>
        <w:sectPr w:rsidR="00A8653F" w:rsidSect="00B94996">
          <w:headerReference w:type="even" r:id="rId64"/>
          <w:footerReference w:type="even" r:id="rId65"/>
          <w:footerReference w:type="default" r:id="rId66"/>
          <w:pgSz w:w="16838" w:h="11906" w:orient="landscape"/>
          <w:pgMar w:top="1134" w:right="1134" w:bottom="1134" w:left="1418" w:header="720" w:footer="720" w:gutter="0"/>
          <w:cols w:space="720"/>
          <w:noEndnote/>
          <w:docGrid w:linePitch="299"/>
        </w:sectPr>
      </w:pPr>
    </w:p>
    <w:p w14:paraId="5136261E" w14:textId="54D148BA" w:rsidR="00A8653F" w:rsidRDefault="00A8653F" w:rsidP="003E2022">
      <w:pPr>
        <w:pStyle w:val="SWATableheader"/>
        <w:rPr>
          <w:b w:val="0"/>
        </w:rPr>
      </w:pPr>
      <w:r>
        <w:lastRenderedPageBreak/>
        <w:t xml:space="preserve">Indicator </w:t>
      </w:r>
      <w:r w:rsidR="00535035">
        <w:rPr>
          <w:noProof/>
        </w:rPr>
        <w:t xml:space="preserve">19 </w:t>
      </w:r>
      <w:r w:rsidRPr="00F6232C">
        <w:t>– Scheme expenditure</w:t>
      </w:r>
      <w:r>
        <w:t xml:space="preserve"> </w:t>
      </w:r>
      <w:r w:rsidR="003E2022">
        <w:t>(</w:t>
      </w:r>
      <w:r>
        <w:t>continued</w:t>
      </w:r>
      <w:r w:rsidR="003E2022">
        <w:t>)</w:t>
      </w:r>
      <w:r w:rsidR="009C0824">
        <w:t xml:space="preserve"> </w:t>
      </w:r>
    </w:p>
    <w:tbl>
      <w:tblPr>
        <w:tblW w:w="14474" w:type="dxa"/>
        <w:tblInd w:w="93" w:type="dxa"/>
        <w:tblLayout w:type="fixed"/>
        <w:tblLook w:val="04A0" w:firstRow="1" w:lastRow="0" w:firstColumn="1" w:lastColumn="0" w:noHBand="0" w:noVBand="1"/>
        <w:tblCaption w:val="Indicator 19 - Scheme expenditure"/>
        <w:tblDescription w:val="This table shows the amount of scheme expenditure paid out to injured workers across jurisdictions for the periods 2011–12 and 2015–16."/>
      </w:tblPr>
      <w:tblGrid>
        <w:gridCol w:w="2000"/>
        <w:gridCol w:w="1099"/>
        <w:gridCol w:w="1100"/>
        <w:gridCol w:w="1099"/>
        <w:gridCol w:w="1100"/>
        <w:gridCol w:w="1100"/>
        <w:gridCol w:w="1141"/>
        <w:gridCol w:w="1142"/>
        <w:gridCol w:w="1141"/>
        <w:gridCol w:w="1142"/>
        <w:gridCol w:w="1276"/>
        <w:gridCol w:w="1134"/>
      </w:tblGrid>
      <w:tr w:rsidR="003E2022" w:rsidRPr="003E2022" w14:paraId="6420F584" w14:textId="77777777" w:rsidTr="006A7092">
        <w:trPr>
          <w:cantSplit/>
          <w:trHeight w:val="510"/>
          <w:tblHeader/>
        </w:trPr>
        <w:tc>
          <w:tcPr>
            <w:tcW w:w="2000" w:type="dxa"/>
            <w:tcBorders>
              <w:top w:val="single" w:sz="8" w:space="0" w:color="FFFFFF"/>
              <w:left w:val="single" w:sz="8" w:space="0" w:color="FFFFFF"/>
              <w:bottom w:val="single" w:sz="8" w:space="0" w:color="FFFFFF"/>
              <w:right w:val="single" w:sz="8" w:space="0" w:color="FFFFFF"/>
            </w:tcBorders>
            <w:shd w:val="clear" w:color="000000" w:fill="AF1E2D"/>
            <w:vAlign w:val="center"/>
            <w:hideMark/>
          </w:tcPr>
          <w:p w14:paraId="25611EB9" w14:textId="77777777" w:rsidR="003E2022" w:rsidRPr="003E2022" w:rsidRDefault="003E2022" w:rsidP="003E2022">
            <w:pPr>
              <w:spacing w:before="0"/>
              <w:jc w:val="left"/>
              <w:rPr>
                <w:rFonts w:cs="Arial"/>
                <w:b/>
                <w:bCs/>
                <w:color w:val="FFFFFF"/>
                <w:sz w:val="18"/>
                <w:szCs w:val="18"/>
              </w:rPr>
            </w:pPr>
            <w:r w:rsidRPr="003E2022">
              <w:rPr>
                <w:rFonts w:cs="Arial"/>
                <w:b/>
                <w:bCs/>
                <w:color w:val="FFFFFF"/>
                <w:sz w:val="18"/>
                <w:szCs w:val="18"/>
              </w:rPr>
              <w:t>Percentage of total expenditure (%)</w:t>
            </w:r>
          </w:p>
        </w:tc>
        <w:tc>
          <w:tcPr>
            <w:tcW w:w="5498" w:type="dxa"/>
            <w:gridSpan w:val="5"/>
            <w:tcBorders>
              <w:top w:val="single" w:sz="8" w:space="0" w:color="FFFFFF"/>
              <w:left w:val="nil"/>
              <w:bottom w:val="single" w:sz="8" w:space="0" w:color="FFFFFF"/>
              <w:right w:val="single" w:sz="8" w:space="0" w:color="FFFFFF"/>
            </w:tcBorders>
            <w:shd w:val="clear" w:color="000000" w:fill="AF1E2D"/>
            <w:vAlign w:val="center"/>
            <w:hideMark/>
          </w:tcPr>
          <w:p w14:paraId="19E4602C"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Centrally funded</w:t>
            </w:r>
          </w:p>
        </w:tc>
        <w:tc>
          <w:tcPr>
            <w:tcW w:w="4566" w:type="dxa"/>
            <w:gridSpan w:val="4"/>
            <w:tcBorders>
              <w:top w:val="single" w:sz="8" w:space="0" w:color="FFFFFF"/>
              <w:left w:val="nil"/>
              <w:bottom w:val="single" w:sz="8" w:space="0" w:color="FFFFFF"/>
              <w:right w:val="single" w:sz="8" w:space="0" w:color="FFFFFF"/>
            </w:tcBorders>
            <w:shd w:val="clear" w:color="000000" w:fill="AF1E2D"/>
            <w:vAlign w:val="center"/>
            <w:hideMark/>
          </w:tcPr>
          <w:p w14:paraId="694A3DF7"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Privately underwritten</w:t>
            </w:r>
          </w:p>
        </w:tc>
        <w:tc>
          <w:tcPr>
            <w:tcW w:w="2410" w:type="dxa"/>
            <w:gridSpan w:val="2"/>
            <w:tcBorders>
              <w:top w:val="single" w:sz="8" w:space="0" w:color="FFFFFF"/>
              <w:left w:val="nil"/>
              <w:bottom w:val="single" w:sz="8" w:space="0" w:color="FFFFFF"/>
              <w:right w:val="single" w:sz="8" w:space="0" w:color="FFFFFF"/>
            </w:tcBorders>
            <w:shd w:val="clear" w:color="000000" w:fill="AF1E2D"/>
            <w:vAlign w:val="center"/>
            <w:hideMark/>
          </w:tcPr>
          <w:p w14:paraId="60381F98"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Total</w:t>
            </w:r>
          </w:p>
        </w:tc>
      </w:tr>
      <w:tr w:rsidR="003E2022" w:rsidRPr="003E2022" w14:paraId="7108F76D" w14:textId="77777777" w:rsidTr="006A7092">
        <w:trPr>
          <w:cantSplit/>
          <w:trHeight w:val="454"/>
          <w:tblHeader/>
        </w:trPr>
        <w:tc>
          <w:tcPr>
            <w:tcW w:w="2000" w:type="dxa"/>
            <w:tcBorders>
              <w:top w:val="nil"/>
              <w:left w:val="single" w:sz="8" w:space="0" w:color="FFFFFF"/>
              <w:bottom w:val="single" w:sz="8" w:space="0" w:color="FFFFFF"/>
              <w:right w:val="single" w:sz="8" w:space="0" w:color="FFFFFF"/>
            </w:tcBorders>
            <w:shd w:val="clear" w:color="000000" w:fill="AF1E2D"/>
            <w:vAlign w:val="center"/>
            <w:hideMark/>
          </w:tcPr>
          <w:p w14:paraId="5F77A6FD" w14:textId="77777777" w:rsidR="003E2022" w:rsidRPr="003E2022" w:rsidRDefault="003E2022" w:rsidP="003E2022">
            <w:pPr>
              <w:spacing w:before="0"/>
              <w:rPr>
                <w:rFonts w:cs="Arial"/>
                <w:b/>
                <w:bCs/>
                <w:color w:val="FFFFFF"/>
                <w:sz w:val="18"/>
                <w:szCs w:val="18"/>
              </w:rPr>
            </w:pPr>
            <w:r w:rsidRPr="003E2022">
              <w:rPr>
                <w:rFonts w:cs="Arial"/>
                <w:b/>
                <w:bCs/>
                <w:color w:val="FFFFFF"/>
                <w:sz w:val="18"/>
                <w:szCs w:val="18"/>
              </w:rPr>
              <w:t>Scheme costs</w:t>
            </w:r>
          </w:p>
        </w:tc>
        <w:tc>
          <w:tcPr>
            <w:tcW w:w="1099" w:type="dxa"/>
            <w:tcBorders>
              <w:top w:val="nil"/>
              <w:left w:val="nil"/>
              <w:bottom w:val="single" w:sz="8" w:space="0" w:color="FFFFFF"/>
              <w:right w:val="single" w:sz="8" w:space="0" w:color="FFFFFF"/>
            </w:tcBorders>
            <w:shd w:val="clear" w:color="000000" w:fill="AF1E2D"/>
            <w:vAlign w:val="center"/>
            <w:hideMark/>
          </w:tcPr>
          <w:p w14:paraId="0C4E102E"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NSW</w:t>
            </w:r>
          </w:p>
        </w:tc>
        <w:tc>
          <w:tcPr>
            <w:tcW w:w="1100" w:type="dxa"/>
            <w:tcBorders>
              <w:top w:val="nil"/>
              <w:left w:val="nil"/>
              <w:bottom w:val="single" w:sz="8" w:space="0" w:color="FFFFFF"/>
              <w:right w:val="single" w:sz="8" w:space="0" w:color="FFFFFF"/>
            </w:tcBorders>
            <w:shd w:val="clear" w:color="000000" w:fill="AF1E2D"/>
            <w:vAlign w:val="center"/>
            <w:hideMark/>
          </w:tcPr>
          <w:p w14:paraId="29CF6724"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Vic</w:t>
            </w:r>
          </w:p>
        </w:tc>
        <w:tc>
          <w:tcPr>
            <w:tcW w:w="1099" w:type="dxa"/>
            <w:tcBorders>
              <w:top w:val="nil"/>
              <w:left w:val="nil"/>
              <w:bottom w:val="single" w:sz="8" w:space="0" w:color="FFFFFF"/>
              <w:right w:val="single" w:sz="8" w:space="0" w:color="FFFFFF"/>
            </w:tcBorders>
            <w:shd w:val="clear" w:color="000000" w:fill="AF1E2D"/>
            <w:vAlign w:val="center"/>
            <w:hideMark/>
          </w:tcPr>
          <w:p w14:paraId="14B48CEC"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Qld</w:t>
            </w:r>
          </w:p>
        </w:tc>
        <w:tc>
          <w:tcPr>
            <w:tcW w:w="1100" w:type="dxa"/>
            <w:tcBorders>
              <w:top w:val="nil"/>
              <w:left w:val="nil"/>
              <w:bottom w:val="single" w:sz="8" w:space="0" w:color="FFFFFF"/>
              <w:right w:val="single" w:sz="8" w:space="0" w:color="FFFFFF"/>
            </w:tcBorders>
            <w:shd w:val="clear" w:color="000000" w:fill="AF1E2D"/>
            <w:vAlign w:val="center"/>
            <w:hideMark/>
          </w:tcPr>
          <w:p w14:paraId="6D8F0017"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SA</w:t>
            </w:r>
          </w:p>
        </w:tc>
        <w:tc>
          <w:tcPr>
            <w:tcW w:w="1100" w:type="dxa"/>
            <w:tcBorders>
              <w:top w:val="nil"/>
              <w:left w:val="nil"/>
              <w:bottom w:val="single" w:sz="8" w:space="0" w:color="FFFFFF"/>
              <w:right w:val="single" w:sz="8" w:space="0" w:color="FFFFFF"/>
            </w:tcBorders>
            <w:shd w:val="clear" w:color="000000" w:fill="AF1E2D"/>
            <w:vAlign w:val="center"/>
            <w:hideMark/>
          </w:tcPr>
          <w:p w14:paraId="220361B3" w14:textId="4D5851EE" w:rsidR="003E2022" w:rsidRPr="003E2022" w:rsidRDefault="00E21FCD" w:rsidP="003E2022">
            <w:pPr>
              <w:spacing w:before="0"/>
              <w:jc w:val="center"/>
              <w:rPr>
                <w:rFonts w:cs="Arial"/>
                <w:b/>
                <w:bCs/>
                <w:color w:val="FFFFFF"/>
                <w:sz w:val="18"/>
                <w:szCs w:val="18"/>
              </w:rPr>
            </w:pPr>
            <w:r>
              <w:rPr>
                <w:rFonts w:cs="Arial"/>
                <w:b/>
                <w:bCs/>
                <w:color w:val="FFFFFF"/>
                <w:sz w:val="18"/>
                <w:szCs w:val="18"/>
              </w:rPr>
              <w:t>Aus Gov</w:t>
            </w:r>
          </w:p>
        </w:tc>
        <w:tc>
          <w:tcPr>
            <w:tcW w:w="1141" w:type="dxa"/>
            <w:tcBorders>
              <w:top w:val="nil"/>
              <w:left w:val="nil"/>
              <w:bottom w:val="single" w:sz="8" w:space="0" w:color="FFFFFF"/>
              <w:right w:val="single" w:sz="8" w:space="0" w:color="FFFFFF"/>
            </w:tcBorders>
            <w:shd w:val="clear" w:color="000000" w:fill="AF1E2D"/>
            <w:vAlign w:val="center"/>
            <w:hideMark/>
          </w:tcPr>
          <w:p w14:paraId="76C7E6DE"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WA</w:t>
            </w:r>
          </w:p>
        </w:tc>
        <w:tc>
          <w:tcPr>
            <w:tcW w:w="1142" w:type="dxa"/>
            <w:tcBorders>
              <w:top w:val="nil"/>
              <w:left w:val="nil"/>
              <w:bottom w:val="single" w:sz="8" w:space="0" w:color="FFFFFF"/>
              <w:right w:val="single" w:sz="8" w:space="0" w:color="FFFFFF"/>
            </w:tcBorders>
            <w:shd w:val="clear" w:color="000000" w:fill="AF1E2D"/>
            <w:vAlign w:val="center"/>
            <w:hideMark/>
          </w:tcPr>
          <w:p w14:paraId="6DF0C07E"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Tas</w:t>
            </w:r>
          </w:p>
        </w:tc>
        <w:tc>
          <w:tcPr>
            <w:tcW w:w="1141" w:type="dxa"/>
            <w:tcBorders>
              <w:top w:val="nil"/>
              <w:left w:val="nil"/>
              <w:bottom w:val="single" w:sz="8" w:space="0" w:color="FFFFFF"/>
              <w:right w:val="single" w:sz="8" w:space="0" w:color="FFFFFF"/>
            </w:tcBorders>
            <w:shd w:val="clear" w:color="000000" w:fill="AF1E2D"/>
            <w:vAlign w:val="center"/>
            <w:hideMark/>
          </w:tcPr>
          <w:p w14:paraId="481586B4"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NT</w:t>
            </w:r>
          </w:p>
        </w:tc>
        <w:tc>
          <w:tcPr>
            <w:tcW w:w="1142" w:type="dxa"/>
            <w:tcBorders>
              <w:top w:val="nil"/>
              <w:left w:val="nil"/>
              <w:bottom w:val="single" w:sz="8" w:space="0" w:color="FFFFFF"/>
              <w:right w:val="single" w:sz="8" w:space="0" w:color="FFFFFF"/>
            </w:tcBorders>
            <w:shd w:val="clear" w:color="000000" w:fill="AF1E2D"/>
            <w:vAlign w:val="center"/>
            <w:hideMark/>
          </w:tcPr>
          <w:p w14:paraId="7CDD74A3"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Seacare</w:t>
            </w:r>
          </w:p>
        </w:tc>
        <w:tc>
          <w:tcPr>
            <w:tcW w:w="1276" w:type="dxa"/>
            <w:tcBorders>
              <w:top w:val="nil"/>
              <w:left w:val="nil"/>
              <w:bottom w:val="single" w:sz="8" w:space="0" w:color="FFFFFF"/>
              <w:right w:val="single" w:sz="8" w:space="0" w:color="FFFFFF"/>
            </w:tcBorders>
            <w:shd w:val="clear" w:color="000000" w:fill="AF1E2D"/>
            <w:vAlign w:val="center"/>
            <w:hideMark/>
          </w:tcPr>
          <w:p w14:paraId="56D09BD5"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Australia</w:t>
            </w:r>
          </w:p>
        </w:tc>
        <w:tc>
          <w:tcPr>
            <w:tcW w:w="1134" w:type="dxa"/>
            <w:tcBorders>
              <w:top w:val="nil"/>
              <w:left w:val="nil"/>
              <w:bottom w:val="single" w:sz="8" w:space="0" w:color="FFFFFF"/>
              <w:right w:val="single" w:sz="8" w:space="0" w:color="FFFFFF"/>
            </w:tcBorders>
            <w:shd w:val="clear" w:color="000000" w:fill="AF1E2D"/>
            <w:vAlign w:val="center"/>
            <w:hideMark/>
          </w:tcPr>
          <w:p w14:paraId="1BF715B8"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NZ</w:t>
            </w:r>
          </w:p>
        </w:tc>
      </w:tr>
      <w:tr w:rsidR="003E2022" w:rsidRPr="003E2022" w14:paraId="39C0E914" w14:textId="77777777" w:rsidTr="00293003">
        <w:trPr>
          <w:cantSplit/>
          <w:trHeight w:val="454"/>
        </w:trPr>
        <w:tc>
          <w:tcPr>
            <w:tcW w:w="2000" w:type="dxa"/>
            <w:tcBorders>
              <w:top w:val="nil"/>
              <w:left w:val="single" w:sz="8" w:space="0" w:color="FFFFFF"/>
              <w:bottom w:val="single" w:sz="8" w:space="0" w:color="FFFFFF"/>
              <w:right w:val="nil"/>
            </w:tcBorders>
            <w:shd w:val="clear" w:color="000000" w:fill="E1AAA9"/>
            <w:noWrap/>
            <w:vAlign w:val="center"/>
            <w:hideMark/>
          </w:tcPr>
          <w:p w14:paraId="00090AA9" w14:textId="72CAC661" w:rsidR="003E2022" w:rsidRPr="003E2022" w:rsidRDefault="003E2022" w:rsidP="008F302C">
            <w:pPr>
              <w:spacing w:before="0"/>
              <w:jc w:val="left"/>
              <w:rPr>
                <w:rFonts w:cs="Arial"/>
                <w:b/>
                <w:bCs/>
                <w:color w:val="000000"/>
                <w:sz w:val="18"/>
                <w:szCs w:val="18"/>
              </w:rPr>
            </w:pPr>
            <w:r w:rsidRPr="003E2022">
              <w:rPr>
                <w:rFonts w:cs="Arial"/>
                <w:b/>
                <w:bCs/>
                <w:color w:val="000000"/>
                <w:sz w:val="18"/>
                <w:szCs w:val="16"/>
              </w:rPr>
              <w:t>201</w:t>
            </w:r>
            <w:r w:rsidR="008F302C">
              <w:rPr>
                <w:rFonts w:cs="Arial"/>
                <w:b/>
                <w:bCs/>
                <w:color w:val="000000"/>
                <w:sz w:val="18"/>
                <w:szCs w:val="16"/>
              </w:rPr>
              <w:t>2</w:t>
            </w:r>
            <w:r w:rsidRPr="003E2022">
              <w:rPr>
                <w:rFonts w:cs="Arial"/>
                <w:b/>
                <w:bCs/>
                <w:color w:val="000000"/>
                <w:sz w:val="18"/>
                <w:szCs w:val="16"/>
              </w:rPr>
              <w:t>–1</w:t>
            </w:r>
            <w:r w:rsidR="008F302C">
              <w:rPr>
                <w:rFonts w:cs="Arial"/>
                <w:b/>
                <w:bCs/>
                <w:color w:val="000000"/>
                <w:sz w:val="18"/>
                <w:szCs w:val="16"/>
              </w:rPr>
              <w:t>3</w:t>
            </w:r>
          </w:p>
        </w:tc>
        <w:tc>
          <w:tcPr>
            <w:tcW w:w="1099" w:type="dxa"/>
            <w:tcBorders>
              <w:top w:val="nil"/>
              <w:left w:val="nil"/>
              <w:bottom w:val="single" w:sz="8" w:space="0" w:color="FFFFFF"/>
              <w:right w:val="nil"/>
            </w:tcBorders>
            <w:shd w:val="clear" w:color="000000" w:fill="E1AAA9"/>
            <w:noWrap/>
            <w:vAlign w:val="center"/>
            <w:hideMark/>
          </w:tcPr>
          <w:p w14:paraId="75EAA4D2"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noWrap/>
            <w:vAlign w:val="center"/>
            <w:hideMark/>
          </w:tcPr>
          <w:p w14:paraId="45C20BAB"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099" w:type="dxa"/>
            <w:tcBorders>
              <w:top w:val="nil"/>
              <w:left w:val="nil"/>
              <w:bottom w:val="single" w:sz="8" w:space="0" w:color="FFFFFF"/>
              <w:right w:val="nil"/>
            </w:tcBorders>
            <w:shd w:val="clear" w:color="000000" w:fill="E1AAA9"/>
            <w:noWrap/>
            <w:vAlign w:val="center"/>
            <w:hideMark/>
          </w:tcPr>
          <w:p w14:paraId="40467EA8"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vAlign w:val="center"/>
            <w:hideMark/>
          </w:tcPr>
          <w:p w14:paraId="6B75BD35"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00" w:type="dxa"/>
            <w:tcBorders>
              <w:top w:val="nil"/>
              <w:left w:val="nil"/>
              <w:bottom w:val="single" w:sz="8" w:space="0" w:color="FFFFFF"/>
              <w:right w:val="nil"/>
            </w:tcBorders>
            <w:shd w:val="clear" w:color="000000" w:fill="E1AAA9"/>
            <w:vAlign w:val="center"/>
            <w:hideMark/>
          </w:tcPr>
          <w:p w14:paraId="1EE893B7"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41" w:type="dxa"/>
            <w:tcBorders>
              <w:top w:val="nil"/>
              <w:left w:val="nil"/>
              <w:bottom w:val="single" w:sz="8" w:space="0" w:color="FFFFFF"/>
              <w:right w:val="nil"/>
            </w:tcBorders>
            <w:shd w:val="clear" w:color="000000" w:fill="E1AAA9"/>
            <w:noWrap/>
            <w:vAlign w:val="center"/>
            <w:hideMark/>
          </w:tcPr>
          <w:p w14:paraId="5B7797E3"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noWrap/>
            <w:vAlign w:val="center"/>
            <w:hideMark/>
          </w:tcPr>
          <w:p w14:paraId="160AD973"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1" w:type="dxa"/>
            <w:tcBorders>
              <w:top w:val="nil"/>
              <w:left w:val="nil"/>
              <w:bottom w:val="single" w:sz="8" w:space="0" w:color="FFFFFF"/>
              <w:right w:val="nil"/>
            </w:tcBorders>
            <w:shd w:val="clear" w:color="000000" w:fill="E1AAA9"/>
            <w:noWrap/>
            <w:vAlign w:val="center"/>
            <w:hideMark/>
          </w:tcPr>
          <w:p w14:paraId="3944DF87"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vAlign w:val="center"/>
            <w:hideMark/>
          </w:tcPr>
          <w:p w14:paraId="22401436"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276" w:type="dxa"/>
            <w:tcBorders>
              <w:top w:val="nil"/>
              <w:left w:val="nil"/>
              <w:bottom w:val="single" w:sz="8" w:space="0" w:color="FFFFFF"/>
              <w:right w:val="nil"/>
            </w:tcBorders>
            <w:shd w:val="clear" w:color="000000" w:fill="E1AAA9"/>
            <w:noWrap/>
            <w:vAlign w:val="center"/>
            <w:hideMark/>
          </w:tcPr>
          <w:p w14:paraId="0F54311D"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34" w:type="dxa"/>
            <w:tcBorders>
              <w:top w:val="nil"/>
              <w:left w:val="nil"/>
              <w:bottom w:val="single" w:sz="8" w:space="0" w:color="FFFFFF"/>
              <w:right w:val="single" w:sz="8" w:space="0" w:color="FFFFFF"/>
            </w:tcBorders>
            <w:shd w:val="clear" w:color="000000" w:fill="E1AAA9"/>
            <w:noWrap/>
            <w:vAlign w:val="center"/>
            <w:hideMark/>
          </w:tcPr>
          <w:p w14:paraId="2BECE2AE"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r>
      <w:tr w:rsidR="008F302C" w:rsidRPr="003E2022" w14:paraId="74132F37"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38BA8320"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Direct to claimant</w:t>
            </w:r>
          </w:p>
        </w:tc>
        <w:tc>
          <w:tcPr>
            <w:tcW w:w="1099" w:type="dxa"/>
            <w:tcBorders>
              <w:top w:val="nil"/>
              <w:left w:val="nil"/>
              <w:bottom w:val="single" w:sz="8" w:space="0" w:color="FFFFFF"/>
              <w:right w:val="single" w:sz="8" w:space="0" w:color="FFFFFF"/>
            </w:tcBorders>
            <w:shd w:val="clear" w:color="auto" w:fill="auto"/>
            <w:noWrap/>
            <w:vAlign w:val="center"/>
            <w:hideMark/>
          </w:tcPr>
          <w:p w14:paraId="66453AD0" w14:textId="293D60DD" w:rsidR="008F302C" w:rsidRPr="003E2022" w:rsidRDefault="008F302C" w:rsidP="008F302C">
            <w:pPr>
              <w:spacing w:before="0"/>
              <w:jc w:val="right"/>
              <w:rPr>
                <w:rFonts w:cs="Arial"/>
                <w:color w:val="000000"/>
                <w:sz w:val="18"/>
                <w:szCs w:val="18"/>
              </w:rPr>
            </w:pPr>
            <w:r w:rsidRPr="007E337F">
              <w:t>47.1</w:t>
            </w:r>
          </w:p>
        </w:tc>
        <w:tc>
          <w:tcPr>
            <w:tcW w:w="1100" w:type="dxa"/>
            <w:tcBorders>
              <w:top w:val="nil"/>
              <w:left w:val="nil"/>
              <w:bottom w:val="single" w:sz="8" w:space="0" w:color="FFFFFF"/>
              <w:right w:val="single" w:sz="8" w:space="0" w:color="FFFFFF"/>
            </w:tcBorders>
            <w:shd w:val="clear" w:color="auto" w:fill="auto"/>
            <w:noWrap/>
            <w:vAlign w:val="center"/>
            <w:hideMark/>
          </w:tcPr>
          <w:p w14:paraId="08EE35C0" w14:textId="1A4CA759" w:rsidR="008F302C" w:rsidRPr="003E2022" w:rsidRDefault="008F302C" w:rsidP="008F302C">
            <w:pPr>
              <w:spacing w:before="0"/>
              <w:jc w:val="right"/>
              <w:rPr>
                <w:rFonts w:cs="Arial"/>
                <w:color w:val="000000"/>
                <w:sz w:val="18"/>
                <w:szCs w:val="18"/>
              </w:rPr>
            </w:pPr>
            <w:r w:rsidRPr="007E337F">
              <w:t>51.5</w:t>
            </w:r>
          </w:p>
        </w:tc>
        <w:tc>
          <w:tcPr>
            <w:tcW w:w="1099" w:type="dxa"/>
            <w:tcBorders>
              <w:top w:val="nil"/>
              <w:left w:val="nil"/>
              <w:bottom w:val="single" w:sz="8" w:space="0" w:color="FFFFFF"/>
              <w:right w:val="single" w:sz="8" w:space="0" w:color="FFFFFF"/>
            </w:tcBorders>
            <w:shd w:val="clear" w:color="auto" w:fill="auto"/>
            <w:noWrap/>
            <w:vAlign w:val="center"/>
            <w:hideMark/>
          </w:tcPr>
          <w:p w14:paraId="3590C7B7" w14:textId="2AAA35C2" w:rsidR="008F302C" w:rsidRPr="003E2022" w:rsidRDefault="008F302C" w:rsidP="008F302C">
            <w:pPr>
              <w:spacing w:before="0"/>
              <w:jc w:val="right"/>
              <w:rPr>
                <w:rFonts w:cs="Arial"/>
                <w:color w:val="000000"/>
                <w:sz w:val="18"/>
                <w:szCs w:val="18"/>
              </w:rPr>
            </w:pPr>
            <w:r w:rsidRPr="007E337F">
              <w:t>66.1</w:t>
            </w:r>
          </w:p>
        </w:tc>
        <w:tc>
          <w:tcPr>
            <w:tcW w:w="1100" w:type="dxa"/>
            <w:tcBorders>
              <w:top w:val="nil"/>
              <w:left w:val="nil"/>
              <w:bottom w:val="single" w:sz="8" w:space="0" w:color="FFFFFF"/>
              <w:right w:val="single" w:sz="8" w:space="0" w:color="FFFFFF"/>
            </w:tcBorders>
            <w:shd w:val="clear" w:color="auto" w:fill="auto"/>
            <w:vAlign w:val="center"/>
            <w:hideMark/>
          </w:tcPr>
          <w:p w14:paraId="0E4A7D78" w14:textId="614965D6" w:rsidR="008F302C" w:rsidRPr="003E2022" w:rsidRDefault="008F302C" w:rsidP="008F302C">
            <w:pPr>
              <w:spacing w:before="0"/>
              <w:jc w:val="right"/>
              <w:rPr>
                <w:rFonts w:cs="Arial"/>
                <w:color w:val="000000"/>
                <w:sz w:val="18"/>
                <w:szCs w:val="18"/>
              </w:rPr>
            </w:pPr>
            <w:r w:rsidRPr="007E337F">
              <w:t>51.5</w:t>
            </w:r>
          </w:p>
        </w:tc>
        <w:tc>
          <w:tcPr>
            <w:tcW w:w="1100" w:type="dxa"/>
            <w:tcBorders>
              <w:top w:val="nil"/>
              <w:left w:val="nil"/>
              <w:bottom w:val="single" w:sz="8" w:space="0" w:color="FFFFFF"/>
              <w:right w:val="single" w:sz="8" w:space="0" w:color="FFFFFF"/>
            </w:tcBorders>
            <w:shd w:val="clear" w:color="auto" w:fill="auto"/>
            <w:vAlign w:val="center"/>
            <w:hideMark/>
          </w:tcPr>
          <w:p w14:paraId="5ABC0ABB" w14:textId="142E5ECB" w:rsidR="008F302C" w:rsidRPr="003E2022" w:rsidRDefault="008F302C" w:rsidP="008F302C">
            <w:pPr>
              <w:spacing w:before="0"/>
              <w:jc w:val="right"/>
              <w:rPr>
                <w:rFonts w:cs="Arial"/>
                <w:color w:val="000000"/>
                <w:sz w:val="18"/>
                <w:szCs w:val="18"/>
              </w:rPr>
            </w:pPr>
            <w:r w:rsidRPr="007E337F">
              <w:t>54.3</w:t>
            </w:r>
          </w:p>
        </w:tc>
        <w:tc>
          <w:tcPr>
            <w:tcW w:w="1141" w:type="dxa"/>
            <w:tcBorders>
              <w:top w:val="nil"/>
              <w:left w:val="nil"/>
              <w:bottom w:val="single" w:sz="8" w:space="0" w:color="FFFFFF"/>
              <w:right w:val="single" w:sz="8" w:space="0" w:color="FFFFFF"/>
            </w:tcBorders>
            <w:shd w:val="clear" w:color="auto" w:fill="auto"/>
            <w:noWrap/>
            <w:vAlign w:val="center"/>
            <w:hideMark/>
          </w:tcPr>
          <w:p w14:paraId="7AF4933A" w14:textId="01163DC4" w:rsidR="008F302C" w:rsidRPr="003E2022" w:rsidRDefault="008F302C" w:rsidP="008F302C">
            <w:pPr>
              <w:spacing w:before="0"/>
              <w:jc w:val="right"/>
              <w:rPr>
                <w:rFonts w:cs="Arial"/>
                <w:color w:val="000000"/>
                <w:sz w:val="18"/>
                <w:szCs w:val="18"/>
              </w:rPr>
            </w:pPr>
            <w:r w:rsidRPr="009E3A90">
              <w:t>51.4</w:t>
            </w:r>
          </w:p>
        </w:tc>
        <w:tc>
          <w:tcPr>
            <w:tcW w:w="1142" w:type="dxa"/>
            <w:tcBorders>
              <w:top w:val="nil"/>
              <w:left w:val="nil"/>
              <w:bottom w:val="single" w:sz="8" w:space="0" w:color="FFFFFF"/>
              <w:right w:val="single" w:sz="8" w:space="0" w:color="FFFFFF"/>
            </w:tcBorders>
            <w:shd w:val="clear" w:color="auto" w:fill="auto"/>
            <w:noWrap/>
            <w:vAlign w:val="center"/>
            <w:hideMark/>
          </w:tcPr>
          <w:p w14:paraId="13C11C79" w14:textId="7F21C4D2" w:rsidR="008F302C" w:rsidRPr="003E2022" w:rsidRDefault="008F302C" w:rsidP="008F302C">
            <w:pPr>
              <w:spacing w:before="0"/>
              <w:jc w:val="right"/>
              <w:rPr>
                <w:rFonts w:cs="Arial"/>
                <w:color w:val="000000"/>
                <w:sz w:val="18"/>
                <w:szCs w:val="18"/>
              </w:rPr>
            </w:pPr>
            <w:r w:rsidRPr="009E3A90">
              <w:t>49.3</w:t>
            </w:r>
          </w:p>
        </w:tc>
        <w:tc>
          <w:tcPr>
            <w:tcW w:w="1141" w:type="dxa"/>
            <w:tcBorders>
              <w:top w:val="nil"/>
              <w:left w:val="nil"/>
              <w:bottom w:val="single" w:sz="8" w:space="0" w:color="FFFFFF"/>
              <w:right w:val="single" w:sz="8" w:space="0" w:color="FFFFFF"/>
            </w:tcBorders>
            <w:shd w:val="clear" w:color="auto" w:fill="auto"/>
            <w:noWrap/>
            <w:vAlign w:val="center"/>
            <w:hideMark/>
          </w:tcPr>
          <w:p w14:paraId="726DFFEE" w14:textId="115F17BA" w:rsidR="008F302C" w:rsidRPr="003E2022" w:rsidRDefault="008F302C" w:rsidP="008F302C">
            <w:pPr>
              <w:spacing w:before="0"/>
              <w:jc w:val="right"/>
              <w:rPr>
                <w:rFonts w:cs="Arial"/>
                <w:color w:val="000000"/>
                <w:sz w:val="18"/>
                <w:szCs w:val="18"/>
              </w:rPr>
            </w:pPr>
            <w:r w:rsidRPr="009E3A90">
              <w:t>65.1</w:t>
            </w:r>
          </w:p>
        </w:tc>
        <w:tc>
          <w:tcPr>
            <w:tcW w:w="1142" w:type="dxa"/>
            <w:tcBorders>
              <w:top w:val="nil"/>
              <w:left w:val="nil"/>
              <w:bottom w:val="single" w:sz="8" w:space="0" w:color="FFFFFF"/>
              <w:right w:val="single" w:sz="8" w:space="0" w:color="FFFFFF"/>
            </w:tcBorders>
            <w:shd w:val="clear" w:color="auto" w:fill="auto"/>
            <w:vAlign w:val="center"/>
            <w:hideMark/>
          </w:tcPr>
          <w:p w14:paraId="01005396" w14:textId="01951944" w:rsidR="008F302C" w:rsidRPr="003E2022" w:rsidRDefault="008F302C" w:rsidP="008F302C">
            <w:pPr>
              <w:spacing w:before="0"/>
              <w:jc w:val="right"/>
              <w:rPr>
                <w:rFonts w:cs="Arial"/>
                <w:color w:val="000000"/>
                <w:sz w:val="18"/>
                <w:szCs w:val="18"/>
              </w:rPr>
            </w:pPr>
            <w:r w:rsidRPr="009E3A90">
              <w:t>70.7</w:t>
            </w:r>
          </w:p>
        </w:tc>
        <w:tc>
          <w:tcPr>
            <w:tcW w:w="1276" w:type="dxa"/>
            <w:tcBorders>
              <w:top w:val="nil"/>
              <w:left w:val="nil"/>
              <w:bottom w:val="single" w:sz="8" w:space="0" w:color="FFFFFF"/>
              <w:right w:val="single" w:sz="8" w:space="0" w:color="FFFFFF"/>
            </w:tcBorders>
            <w:shd w:val="clear" w:color="auto" w:fill="auto"/>
            <w:noWrap/>
            <w:vAlign w:val="center"/>
            <w:hideMark/>
          </w:tcPr>
          <w:p w14:paraId="04935A5E" w14:textId="1E17F2B6" w:rsidR="008F302C" w:rsidRPr="003E2022" w:rsidRDefault="008F302C" w:rsidP="008F302C">
            <w:pPr>
              <w:spacing w:before="0"/>
              <w:jc w:val="right"/>
              <w:rPr>
                <w:rFonts w:cs="Arial"/>
                <w:color w:val="000000"/>
                <w:sz w:val="18"/>
                <w:szCs w:val="18"/>
              </w:rPr>
            </w:pPr>
            <w:r w:rsidRPr="004D52B3">
              <w:t>52.8</w:t>
            </w:r>
          </w:p>
        </w:tc>
        <w:tc>
          <w:tcPr>
            <w:tcW w:w="1134" w:type="dxa"/>
            <w:tcBorders>
              <w:top w:val="nil"/>
              <w:left w:val="nil"/>
              <w:bottom w:val="single" w:sz="8" w:space="0" w:color="FFFFFF"/>
              <w:right w:val="single" w:sz="8" w:space="0" w:color="FFFFFF"/>
            </w:tcBorders>
            <w:shd w:val="clear" w:color="auto" w:fill="auto"/>
            <w:noWrap/>
            <w:vAlign w:val="center"/>
            <w:hideMark/>
          </w:tcPr>
          <w:p w14:paraId="23FE7675" w14:textId="441BCFA2" w:rsidR="008F302C" w:rsidRPr="003E2022" w:rsidRDefault="008F302C" w:rsidP="008F302C">
            <w:pPr>
              <w:spacing w:before="0"/>
              <w:jc w:val="right"/>
              <w:rPr>
                <w:rFonts w:cs="Arial"/>
                <w:color w:val="000000"/>
                <w:sz w:val="18"/>
                <w:szCs w:val="18"/>
              </w:rPr>
            </w:pPr>
            <w:r w:rsidRPr="004D52B3">
              <w:t>44.8</w:t>
            </w:r>
          </w:p>
        </w:tc>
      </w:tr>
      <w:tr w:rsidR="008F302C" w:rsidRPr="003E2022" w14:paraId="25F7A133"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1F074130"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Services to claimant</w:t>
            </w:r>
          </w:p>
        </w:tc>
        <w:tc>
          <w:tcPr>
            <w:tcW w:w="1099" w:type="dxa"/>
            <w:tcBorders>
              <w:top w:val="nil"/>
              <w:left w:val="nil"/>
              <w:bottom w:val="single" w:sz="8" w:space="0" w:color="FFFFFF"/>
              <w:right w:val="single" w:sz="8" w:space="0" w:color="FFFFFF"/>
            </w:tcBorders>
            <w:shd w:val="clear" w:color="000000" w:fill="EFD3D2"/>
            <w:noWrap/>
            <w:vAlign w:val="center"/>
            <w:hideMark/>
          </w:tcPr>
          <w:p w14:paraId="745C9564" w14:textId="1749C052" w:rsidR="008F302C" w:rsidRPr="003E2022" w:rsidRDefault="008F302C" w:rsidP="008F302C">
            <w:pPr>
              <w:spacing w:before="0"/>
              <w:jc w:val="right"/>
              <w:rPr>
                <w:rFonts w:cs="Arial"/>
                <w:color w:val="000000"/>
                <w:sz w:val="18"/>
                <w:szCs w:val="18"/>
              </w:rPr>
            </w:pPr>
            <w:r w:rsidRPr="007E337F">
              <w:t>32.5</w:t>
            </w:r>
          </w:p>
        </w:tc>
        <w:tc>
          <w:tcPr>
            <w:tcW w:w="1100" w:type="dxa"/>
            <w:tcBorders>
              <w:top w:val="nil"/>
              <w:left w:val="nil"/>
              <w:bottom w:val="single" w:sz="8" w:space="0" w:color="FFFFFF"/>
              <w:right w:val="single" w:sz="8" w:space="0" w:color="FFFFFF"/>
            </w:tcBorders>
            <w:shd w:val="clear" w:color="000000" w:fill="EFD3D2"/>
            <w:noWrap/>
            <w:vAlign w:val="center"/>
            <w:hideMark/>
          </w:tcPr>
          <w:p w14:paraId="1EDC1E0F" w14:textId="252CC232" w:rsidR="008F302C" w:rsidRPr="003E2022" w:rsidRDefault="008F302C" w:rsidP="008F302C">
            <w:pPr>
              <w:spacing w:before="0"/>
              <w:jc w:val="right"/>
              <w:rPr>
                <w:rFonts w:cs="Arial"/>
                <w:color w:val="000000"/>
                <w:sz w:val="18"/>
                <w:szCs w:val="18"/>
              </w:rPr>
            </w:pPr>
            <w:r w:rsidRPr="007E337F">
              <w:t>28.4</w:t>
            </w:r>
          </w:p>
        </w:tc>
        <w:tc>
          <w:tcPr>
            <w:tcW w:w="1099" w:type="dxa"/>
            <w:tcBorders>
              <w:top w:val="nil"/>
              <w:left w:val="nil"/>
              <w:bottom w:val="single" w:sz="8" w:space="0" w:color="FFFFFF"/>
              <w:right w:val="single" w:sz="8" w:space="0" w:color="FFFFFF"/>
            </w:tcBorders>
            <w:shd w:val="clear" w:color="000000" w:fill="EFD3D2"/>
            <w:noWrap/>
            <w:vAlign w:val="center"/>
            <w:hideMark/>
          </w:tcPr>
          <w:p w14:paraId="7D79DB52" w14:textId="6C334C53" w:rsidR="008F302C" w:rsidRPr="003E2022" w:rsidRDefault="008F302C" w:rsidP="008F302C">
            <w:pPr>
              <w:spacing w:before="0"/>
              <w:jc w:val="right"/>
              <w:rPr>
                <w:rFonts w:cs="Arial"/>
                <w:color w:val="000000"/>
                <w:sz w:val="18"/>
                <w:szCs w:val="18"/>
              </w:rPr>
            </w:pPr>
            <w:r w:rsidRPr="007E337F">
              <w:t>20.3</w:t>
            </w:r>
          </w:p>
        </w:tc>
        <w:tc>
          <w:tcPr>
            <w:tcW w:w="1100" w:type="dxa"/>
            <w:tcBorders>
              <w:top w:val="nil"/>
              <w:left w:val="nil"/>
              <w:bottom w:val="single" w:sz="8" w:space="0" w:color="FFFFFF"/>
              <w:right w:val="single" w:sz="8" w:space="0" w:color="FFFFFF"/>
            </w:tcBorders>
            <w:shd w:val="clear" w:color="000000" w:fill="EFD3D2"/>
            <w:vAlign w:val="center"/>
            <w:hideMark/>
          </w:tcPr>
          <w:p w14:paraId="46DFC9A2" w14:textId="3C44AB77" w:rsidR="008F302C" w:rsidRPr="003E2022" w:rsidRDefault="008F302C" w:rsidP="008F302C">
            <w:pPr>
              <w:spacing w:before="0"/>
              <w:jc w:val="right"/>
              <w:rPr>
                <w:rFonts w:cs="Arial"/>
                <w:color w:val="000000"/>
                <w:sz w:val="18"/>
                <w:szCs w:val="18"/>
              </w:rPr>
            </w:pPr>
            <w:r w:rsidRPr="007E337F">
              <w:t>31.0</w:t>
            </w:r>
          </w:p>
        </w:tc>
        <w:tc>
          <w:tcPr>
            <w:tcW w:w="1100" w:type="dxa"/>
            <w:tcBorders>
              <w:top w:val="nil"/>
              <w:left w:val="nil"/>
              <w:bottom w:val="single" w:sz="8" w:space="0" w:color="FFFFFF"/>
              <w:right w:val="single" w:sz="8" w:space="0" w:color="FFFFFF"/>
            </w:tcBorders>
            <w:shd w:val="clear" w:color="000000" w:fill="EFD3D2"/>
            <w:vAlign w:val="center"/>
            <w:hideMark/>
          </w:tcPr>
          <w:p w14:paraId="1247149C" w14:textId="0C1026EB" w:rsidR="008F302C" w:rsidRPr="003E2022" w:rsidRDefault="008F302C" w:rsidP="00F529C8">
            <w:pPr>
              <w:spacing w:before="0"/>
              <w:jc w:val="right"/>
              <w:rPr>
                <w:rFonts w:cs="Arial"/>
                <w:color w:val="000000"/>
                <w:sz w:val="18"/>
                <w:szCs w:val="18"/>
              </w:rPr>
            </w:pPr>
            <w:r w:rsidRPr="007E337F">
              <w:t>2</w:t>
            </w:r>
            <w:r w:rsidR="00F529C8">
              <w:t>7.6</w:t>
            </w:r>
          </w:p>
        </w:tc>
        <w:tc>
          <w:tcPr>
            <w:tcW w:w="1141" w:type="dxa"/>
            <w:tcBorders>
              <w:top w:val="nil"/>
              <w:left w:val="nil"/>
              <w:bottom w:val="single" w:sz="8" w:space="0" w:color="FFFFFF"/>
              <w:right w:val="single" w:sz="8" w:space="0" w:color="FFFFFF"/>
            </w:tcBorders>
            <w:shd w:val="clear" w:color="000000" w:fill="EFD3D2"/>
            <w:noWrap/>
            <w:vAlign w:val="center"/>
            <w:hideMark/>
          </w:tcPr>
          <w:p w14:paraId="4BEE6675" w14:textId="4F551BCF" w:rsidR="008F302C" w:rsidRPr="003E2022" w:rsidRDefault="008F302C" w:rsidP="008F302C">
            <w:pPr>
              <w:spacing w:before="0"/>
              <w:jc w:val="right"/>
              <w:rPr>
                <w:rFonts w:cs="Arial"/>
                <w:color w:val="000000"/>
                <w:sz w:val="18"/>
                <w:szCs w:val="18"/>
              </w:rPr>
            </w:pPr>
            <w:r w:rsidRPr="009E3A90">
              <w:t>27.0</w:t>
            </w:r>
          </w:p>
        </w:tc>
        <w:tc>
          <w:tcPr>
            <w:tcW w:w="1142" w:type="dxa"/>
            <w:tcBorders>
              <w:top w:val="nil"/>
              <w:left w:val="nil"/>
              <w:bottom w:val="single" w:sz="8" w:space="0" w:color="FFFFFF"/>
              <w:right w:val="single" w:sz="8" w:space="0" w:color="FFFFFF"/>
            </w:tcBorders>
            <w:shd w:val="clear" w:color="000000" w:fill="EFD3D2"/>
            <w:noWrap/>
            <w:vAlign w:val="center"/>
            <w:hideMark/>
          </w:tcPr>
          <w:p w14:paraId="13DD82C7" w14:textId="40720BF6" w:rsidR="008F302C" w:rsidRPr="003E2022" w:rsidRDefault="008F302C" w:rsidP="008F302C">
            <w:pPr>
              <w:spacing w:before="0"/>
              <w:jc w:val="right"/>
              <w:rPr>
                <w:rFonts w:cs="Arial"/>
                <w:color w:val="000000"/>
                <w:sz w:val="18"/>
                <w:szCs w:val="18"/>
              </w:rPr>
            </w:pPr>
            <w:r w:rsidRPr="009E3A90">
              <w:t>30.9</w:t>
            </w:r>
          </w:p>
        </w:tc>
        <w:tc>
          <w:tcPr>
            <w:tcW w:w="1141" w:type="dxa"/>
            <w:tcBorders>
              <w:top w:val="nil"/>
              <w:left w:val="nil"/>
              <w:bottom w:val="single" w:sz="8" w:space="0" w:color="FFFFFF"/>
              <w:right w:val="single" w:sz="8" w:space="0" w:color="FFFFFF"/>
            </w:tcBorders>
            <w:shd w:val="clear" w:color="000000" w:fill="EFD3D2"/>
            <w:noWrap/>
            <w:vAlign w:val="center"/>
            <w:hideMark/>
          </w:tcPr>
          <w:p w14:paraId="33EED1D4" w14:textId="5D232A7F" w:rsidR="008F302C" w:rsidRPr="003E2022" w:rsidRDefault="008F302C" w:rsidP="008F302C">
            <w:pPr>
              <w:spacing w:before="0"/>
              <w:jc w:val="right"/>
              <w:rPr>
                <w:rFonts w:cs="Arial"/>
                <w:color w:val="000000"/>
                <w:sz w:val="18"/>
                <w:szCs w:val="18"/>
              </w:rPr>
            </w:pPr>
            <w:r w:rsidRPr="009E3A90">
              <w:t>31.5</w:t>
            </w:r>
          </w:p>
        </w:tc>
        <w:tc>
          <w:tcPr>
            <w:tcW w:w="1142" w:type="dxa"/>
            <w:tcBorders>
              <w:top w:val="nil"/>
              <w:left w:val="nil"/>
              <w:bottom w:val="single" w:sz="8" w:space="0" w:color="FFFFFF"/>
              <w:right w:val="single" w:sz="8" w:space="0" w:color="FFFFFF"/>
            </w:tcBorders>
            <w:shd w:val="clear" w:color="000000" w:fill="EFD3D2"/>
            <w:vAlign w:val="center"/>
            <w:hideMark/>
          </w:tcPr>
          <w:p w14:paraId="6BF47B11" w14:textId="775C4294" w:rsidR="008F302C" w:rsidRPr="003E2022" w:rsidRDefault="00F529C8" w:rsidP="008F302C">
            <w:pPr>
              <w:spacing w:before="0"/>
              <w:jc w:val="right"/>
              <w:rPr>
                <w:rFonts w:cs="Arial"/>
                <w:color w:val="000000"/>
                <w:sz w:val="18"/>
                <w:szCs w:val="18"/>
              </w:rPr>
            </w:pPr>
            <w:r>
              <w:t>14.2</w:t>
            </w:r>
          </w:p>
        </w:tc>
        <w:tc>
          <w:tcPr>
            <w:tcW w:w="1276" w:type="dxa"/>
            <w:tcBorders>
              <w:top w:val="nil"/>
              <w:left w:val="nil"/>
              <w:bottom w:val="single" w:sz="8" w:space="0" w:color="FFFFFF"/>
              <w:right w:val="single" w:sz="8" w:space="0" w:color="FFFFFF"/>
            </w:tcBorders>
            <w:shd w:val="clear" w:color="000000" w:fill="EFD3D2"/>
            <w:noWrap/>
            <w:vAlign w:val="center"/>
            <w:hideMark/>
          </w:tcPr>
          <w:p w14:paraId="1D223F34" w14:textId="63211413" w:rsidR="008F302C" w:rsidRPr="003E2022" w:rsidRDefault="008F302C" w:rsidP="00A739CA">
            <w:pPr>
              <w:spacing w:before="0"/>
              <w:jc w:val="right"/>
              <w:rPr>
                <w:rFonts w:cs="Arial"/>
                <w:color w:val="000000"/>
                <w:sz w:val="18"/>
                <w:szCs w:val="18"/>
              </w:rPr>
            </w:pPr>
            <w:r w:rsidRPr="004D52B3">
              <w:t>28.</w:t>
            </w:r>
            <w:r w:rsidR="00A739CA">
              <w:t>3</w:t>
            </w:r>
          </w:p>
        </w:tc>
        <w:tc>
          <w:tcPr>
            <w:tcW w:w="1134" w:type="dxa"/>
            <w:tcBorders>
              <w:top w:val="nil"/>
              <w:left w:val="nil"/>
              <w:bottom w:val="single" w:sz="8" w:space="0" w:color="FFFFFF"/>
              <w:right w:val="single" w:sz="8" w:space="0" w:color="FFFFFF"/>
            </w:tcBorders>
            <w:shd w:val="clear" w:color="000000" w:fill="EFD3D2"/>
            <w:noWrap/>
            <w:vAlign w:val="center"/>
            <w:hideMark/>
          </w:tcPr>
          <w:p w14:paraId="45DF6377" w14:textId="49C28E5A" w:rsidR="008F302C" w:rsidRPr="003E2022" w:rsidRDefault="008F302C" w:rsidP="008F302C">
            <w:pPr>
              <w:spacing w:before="0"/>
              <w:jc w:val="right"/>
              <w:rPr>
                <w:rFonts w:cs="Arial"/>
                <w:color w:val="000000"/>
                <w:sz w:val="18"/>
                <w:szCs w:val="18"/>
              </w:rPr>
            </w:pPr>
            <w:r w:rsidRPr="004D52B3">
              <w:t>34.1</w:t>
            </w:r>
          </w:p>
        </w:tc>
      </w:tr>
      <w:tr w:rsidR="008F302C" w:rsidRPr="003E2022" w14:paraId="5F317B4B"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27EFFA9E"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Insurance operations</w:t>
            </w:r>
          </w:p>
        </w:tc>
        <w:tc>
          <w:tcPr>
            <w:tcW w:w="1099" w:type="dxa"/>
            <w:tcBorders>
              <w:top w:val="nil"/>
              <w:left w:val="nil"/>
              <w:bottom w:val="single" w:sz="8" w:space="0" w:color="FFFFFF"/>
              <w:right w:val="single" w:sz="8" w:space="0" w:color="FFFFFF"/>
            </w:tcBorders>
            <w:shd w:val="clear" w:color="auto" w:fill="auto"/>
            <w:noWrap/>
            <w:vAlign w:val="center"/>
            <w:hideMark/>
          </w:tcPr>
          <w:p w14:paraId="3C6E581D" w14:textId="4655835F" w:rsidR="008F302C" w:rsidRPr="003E2022" w:rsidRDefault="008F302C" w:rsidP="008F302C">
            <w:pPr>
              <w:spacing w:before="0"/>
              <w:jc w:val="right"/>
              <w:rPr>
                <w:rFonts w:cs="Arial"/>
                <w:color w:val="000000"/>
                <w:sz w:val="18"/>
                <w:szCs w:val="18"/>
              </w:rPr>
            </w:pPr>
            <w:r w:rsidRPr="007E337F">
              <w:t>17.0</w:t>
            </w:r>
          </w:p>
        </w:tc>
        <w:tc>
          <w:tcPr>
            <w:tcW w:w="1100" w:type="dxa"/>
            <w:tcBorders>
              <w:top w:val="nil"/>
              <w:left w:val="nil"/>
              <w:bottom w:val="single" w:sz="8" w:space="0" w:color="FFFFFF"/>
              <w:right w:val="single" w:sz="8" w:space="0" w:color="FFFFFF"/>
            </w:tcBorders>
            <w:shd w:val="clear" w:color="auto" w:fill="auto"/>
            <w:noWrap/>
            <w:vAlign w:val="center"/>
            <w:hideMark/>
          </w:tcPr>
          <w:p w14:paraId="70372CC5" w14:textId="1101C804" w:rsidR="008F302C" w:rsidRPr="003E2022" w:rsidRDefault="008F302C" w:rsidP="008F302C">
            <w:pPr>
              <w:spacing w:before="0"/>
              <w:jc w:val="right"/>
              <w:rPr>
                <w:rFonts w:cs="Arial"/>
                <w:color w:val="000000"/>
                <w:sz w:val="18"/>
                <w:szCs w:val="18"/>
              </w:rPr>
            </w:pPr>
            <w:r w:rsidRPr="007E337F">
              <w:t>14.2</w:t>
            </w:r>
          </w:p>
        </w:tc>
        <w:tc>
          <w:tcPr>
            <w:tcW w:w="1099" w:type="dxa"/>
            <w:tcBorders>
              <w:top w:val="nil"/>
              <w:left w:val="nil"/>
              <w:bottom w:val="single" w:sz="8" w:space="0" w:color="FFFFFF"/>
              <w:right w:val="single" w:sz="8" w:space="0" w:color="FFFFFF"/>
            </w:tcBorders>
            <w:shd w:val="clear" w:color="auto" w:fill="auto"/>
            <w:noWrap/>
            <w:vAlign w:val="center"/>
            <w:hideMark/>
          </w:tcPr>
          <w:p w14:paraId="0FBD7269" w14:textId="4E605D58" w:rsidR="008F302C" w:rsidRPr="003E2022" w:rsidRDefault="008F302C" w:rsidP="008F302C">
            <w:pPr>
              <w:spacing w:before="0"/>
              <w:jc w:val="right"/>
              <w:rPr>
                <w:rFonts w:cs="Arial"/>
                <w:color w:val="000000"/>
                <w:sz w:val="18"/>
                <w:szCs w:val="18"/>
              </w:rPr>
            </w:pPr>
            <w:r w:rsidRPr="007E337F">
              <w:t>8.8</w:t>
            </w:r>
          </w:p>
        </w:tc>
        <w:tc>
          <w:tcPr>
            <w:tcW w:w="1100" w:type="dxa"/>
            <w:tcBorders>
              <w:top w:val="nil"/>
              <w:left w:val="nil"/>
              <w:bottom w:val="single" w:sz="8" w:space="0" w:color="FFFFFF"/>
              <w:right w:val="single" w:sz="8" w:space="0" w:color="FFFFFF"/>
            </w:tcBorders>
            <w:shd w:val="clear" w:color="auto" w:fill="auto"/>
            <w:vAlign w:val="center"/>
            <w:hideMark/>
          </w:tcPr>
          <w:p w14:paraId="71DAEEE6" w14:textId="62D03ACA" w:rsidR="008F302C" w:rsidRPr="003E2022" w:rsidRDefault="008F302C" w:rsidP="008F302C">
            <w:pPr>
              <w:spacing w:before="0"/>
              <w:jc w:val="right"/>
              <w:rPr>
                <w:rFonts w:cs="Arial"/>
                <w:color w:val="000000"/>
                <w:sz w:val="18"/>
                <w:szCs w:val="18"/>
              </w:rPr>
            </w:pPr>
            <w:r w:rsidRPr="007E337F">
              <w:t>9.2</w:t>
            </w:r>
          </w:p>
        </w:tc>
        <w:tc>
          <w:tcPr>
            <w:tcW w:w="1100" w:type="dxa"/>
            <w:tcBorders>
              <w:top w:val="nil"/>
              <w:left w:val="nil"/>
              <w:bottom w:val="single" w:sz="8" w:space="0" w:color="FFFFFF"/>
              <w:right w:val="single" w:sz="8" w:space="0" w:color="FFFFFF"/>
            </w:tcBorders>
            <w:shd w:val="clear" w:color="auto" w:fill="auto"/>
            <w:vAlign w:val="center"/>
            <w:hideMark/>
          </w:tcPr>
          <w:p w14:paraId="770BD5B4" w14:textId="559AAAAF" w:rsidR="008F302C" w:rsidRPr="003E2022" w:rsidRDefault="00F529C8" w:rsidP="008F302C">
            <w:pPr>
              <w:spacing w:before="0"/>
              <w:jc w:val="right"/>
              <w:rPr>
                <w:rFonts w:cs="Arial"/>
                <w:color w:val="000000"/>
                <w:sz w:val="18"/>
                <w:szCs w:val="18"/>
              </w:rPr>
            </w:pPr>
            <w:r>
              <w:t>8.5</w:t>
            </w:r>
          </w:p>
        </w:tc>
        <w:tc>
          <w:tcPr>
            <w:tcW w:w="1141" w:type="dxa"/>
            <w:tcBorders>
              <w:top w:val="nil"/>
              <w:left w:val="nil"/>
              <w:bottom w:val="single" w:sz="8" w:space="0" w:color="FFFFFF"/>
              <w:right w:val="single" w:sz="8" w:space="0" w:color="FFFFFF"/>
            </w:tcBorders>
            <w:shd w:val="clear" w:color="auto" w:fill="auto"/>
            <w:noWrap/>
            <w:vAlign w:val="center"/>
            <w:hideMark/>
          </w:tcPr>
          <w:p w14:paraId="1C1246D0" w14:textId="457738FF" w:rsidR="008F302C" w:rsidRPr="003E2022" w:rsidRDefault="008F302C" w:rsidP="008F302C">
            <w:pPr>
              <w:spacing w:before="0"/>
              <w:jc w:val="right"/>
              <w:rPr>
                <w:rFonts w:cs="Arial"/>
                <w:color w:val="000000"/>
                <w:sz w:val="18"/>
                <w:szCs w:val="18"/>
              </w:rPr>
            </w:pPr>
            <w:r w:rsidRPr="009E3A90">
              <w:t>20.0</w:t>
            </w:r>
          </w:p>
        </w:tc>
        <w:tc>
          <w:tcPr>
            <w:tcW w:w="1142" w:type="dxa"/>
            <w:tcBorders>
              <w:top w:val="nil"/>
              <w:left w:val="nil"/>
              <w:bottom w:val="single" w:sz="8" w:space="0" w:color="FFFFFF"/>
              <w:right w:val="single" w:sz="8" w:space="0" w:color="FFFFFF"/>
            </w:tcBorders>
            <w:shd w:val="clear" w:color="auto" w:fill="auto"/>
            <w:noWrap/>
            <w:vAlign w:val="center"/>
            <w:hideMark/>
          </w:tcPr>
          <w:p w14:paraId="04336D1D" w14:textId="65867E71" w:rsidR="008F302C" w:rsidRPr="003E2022" w:rsidRDefault="008F302C" w:rsidP="008F302C">
            <w:pPr>
              <w:spacing w:before="0"/>
              <w:jc w:val="right"/>
              <w:rPr>
                <w:rFonts w:cs="Arial"/>
                <w:color w:val="000000"/>
                <w:sz w:val="18"/>
                <w:szCs w:val="18"/>
              </w:rPr>
            </w:pPr>
            <w:r w:rsidRPr="009E3A90">
              <w:t>17.3</w:t>
            </w:r>
          </w:p>
        </w:tc>
        <w:tc>
          <w:tcPr>
            <w:tcW w:w="1141" w:type="dxa"/>
            <w:tcBorders>
              <w:top w:val="nil"/>
              <w:left w:val="nil"/>
              <w:bottom w:val="single" w:sz="8" w:space="0" w:color="FFFFFF"/>
              <w:right w:val="single" w:sz="8" w:space="0" w:color="FFFFFF"/>
            </w:tcBorders>
            <w:shd w:val="clear" w:color="auto" w:fill="auto"/>
            <w:noWrap/>
            <w:vAlign w:val="center"/>
            <w:hideMark/>
          </w:tcPr>
          <w:p w14:paraId="43ED92F4" w14:textId="67E1A95F" w:rsidR="008F302C" w:rsidRPr="003E2022" w:rsidRDefault="008F302C" w:rsidP="008F302C">
            <w:pPr>
              <w:spacing w:before="0"/>
              <w:jc w:val="right"/>
              <w:rPr>
                <w:rFonts w:cs="Arial"/>
                <w:color w:val="000000"/>
                <w:sz w:val="18"/>
                <w:szCs w:val="18"/>
              </w:rPr>
            </w:pPr>
            <w:r w:rsidRPr="009E3A90">
              <w:t>1.4</w:t>
            </w:r>
          </w:p>
        </w:tc>
        <w:tc>
          <w:tcPr>
            <w:tcW w:w="1142" w:type="dxa"/>
            <w:tcBorders>
              <w:top w:val="nil"/>
              <w:left w:val="nil"/>
              <w:bottom w:val="single" w:sz="8" w:space="0" w:color="FFFFFF"/>
              <w:right w:val="single" w:sz="8" w:space="0" w:color="FFFFFF"/>
            </w:tcBorders>
            <w:shd w:val="clear" w:color="auto" w:fill="auto"/>
            <w:vAlign w:val="center"/>
            <w:hideMark/>
          </w:tcPr>
          <w:p w14:paraId="0C2B74EF" w14:textId="7FA993CE" w:rsidR="008F302C" w:rsidRPr="003E2022" w:rsidRDefault="00F529C8" w:rsidP="008F302C">
            <w:pPr>
              <w:spacing w:before="0"/>
              <w:jc w:val="right"/>
              <w:rPr>
                <w:rFonts w:cs="Arial"/>
                <w:color w:val="000000"/>
                <w:sz w:val="18"/>
                <w:szCs w:val="18"/>
              </w:rPr>
            </w:pPr>
            <w:r>
              <w:t>10.3</w:t>
            </w:r>
          </w:p>
        </w:tc>
        <w:tc>
          <w:tcPr>
            <w:tcW w:w="1276" w:type="dxa"/>
            <w:tcBorders>
              <w:top w:val="nil"/>
              <w:left w:val="nil"/>
              <w:bottom w:val="single" w:sz="8" w:space="0" w:color="FFFFFF"/>
              <w:right w:val="single" w:sz="8" w:space="0" w:color="FFFFFF"/>
            </w:tcBorders>
            <w:shd w:val="clear" w:color="auto" w:fill="auto"/>
            <w:noWrap/>
            <w:vAlign w:val="center"/>
            <w:hideMark/>
          </w:tcPr>
          <w:p w14:paraId="7A31A394" w14:textId="5E02D207" w:rsidR="008F302C" w:rsidRPr="003E2022" w:rsidRDefault="008F302C" w:rsidP="00A739CA">
            <w:pPr>
              <w:spacing w:before="0"/>
              <w:jc w:val="right"/>
              <w:rPr>
                <w:rFonts w:cs="Arial"/>
                <w:color w:val="000000"/>
                <w:sz w:val="18"/>
                <w:szCs w:val="18"/>
              </w:rPr>
            </w:pPr>
            <w:r w:rsidRPr="004D52B3">
              <w:t>14.</w:t>
            </w:r>
            <w:r w:rsidR="00A739CA">
              <w:t>3</w:t>
            </w:r>
          </w:p>
        </w:tc>
        <w:tc>
          <w:tcPr>
            <w:tcW w:w="1134" w:type="dxa"/>
            <w:tcBorders>
              <w:top w:val="nil"/>
              <w:left w:val="nil"/>
              <w:bottom w:val="single" w:sz="8" w:space="0" w:color="FFFFFF"/>
              <w:right w:val="single" w:sz="8" w:space="0" w:color="FFFFFF"/>
            </w:tcBorders>
            <w:shd w:val="clear" w:color="auto" w:fill="auto"/>
            <w:noWrap/>
            <w:vAlign w:val="center"/>
            <w:hideMark/>
          </w:tcPr>
          <w:p w14:paraId="5D5D4BCA" w14:textId="120AAC08" w:rsidR="008F302C" w:rsidRPr="003E2022" w:rsidRDefault="008F302C" w:rsidP="008F302C">
            <w:pPr>
              <w:spacing w:before="0"/>
              <w:jc w:val="right"/>
              <w:rPr>
                <w:rFonts w:cs="Arial"/>
                <w:color w:val="000000"/>
                <w:sz w:val="18"/>
                <w:szCs w:val="18"/>
              </w:rPr>
            </w:pPr>
            <w:r w:rsidRPr="004D52B3">
              <w:t>8.0</w:t>
            </w:r>
          </w:p>
        </w:tc>
      </w:tr>
      <w:tr w:rsidR="008F302C" w:rsidRPr="003E2022" w14:paraId="79410DF8"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0853D034"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Regulation</w:t>
            </w:r>
          </w:p>
        </w:tc>
        <w:tc>
          <w:tcPr>
            <w:tcW w:w="1099" w:type="dxa"/>
            <w:tcBorders>
              <w:top w:val="nil"/>
              <w:left w:val="nil"/>
              <w:bottom w:val="single" w:sz="8" w:space="0" w:color="FFFFFF"/>
              <w:right w:val="single" w:sz="8" w:space="0" w:color="FFFFFF"/>
            </w:tcBorders>
            <w:shd w:val="clear" w:color="000000" w:fill="EFD3D2"/>
            <w:noWrap/>
            <w:vAlign w:val="center"/>
            <w:hideMark/>
          </w:tcPr>
          <w:p w14:paraId="12671A35" w14:textId="5C1C6B64" w:rsidR="008F302C" w:rsidRPr="003E2022" w:rsidRDefault="008F302C" w:rsidP="008F302C">
            <w:pPr>
              <w:spacing w:before="0"/>
              <w:jc w:val="right"/>
              <w:rPr>
                <w:rFonts w:cs="Arial"/>
                <w:color w:val="000000"/>
                <w:sz w:val="18"/>
                <w:szCs w:val="18"/>
              </w:rPr>
            </w:pPr>
            <w:r w:rsidRPr="007E337F">
              <w:t>1.6</w:t>
            </w:r>
          </w:p>
        </w:tc>
        <w:tc>
          <w:tcPr>
            <w:tcW w:w="1100" w:type="dxa"/>
            <w:tcBorders>
              <w:top w:val="nil"/>
              <w:left w:val="nil"/>
              <w:bottom w:val="single" w:sz="8" w:space="0" w:color="FFFFFF"/>
              <w:right w:val="single" w:sz="8" w:space="0" w:color="FFFFFF"/>
            </w:tcBorders>
            <w:shd w:val="clear" w:color="000000" w:fill="EFD3D2"/>
            <w:noWrap/>
            <w:vAlign w:val="center"/>
            <w:hideMark/>
          </w:tcPr>
          <w:p w14:paraId="18652964" w14:textId="3D19EC8E" w:rsidR="008F302C" w:rsidRPr="003E2022" w:rsidRDefault="008F302C" w:rsidP="008F302C">
            <w:pPr>
              <w:spacing w:before="0"/>
              <w:jc w:val="right"/>
              <w:rPr>
                <w:rFonts w:cs="Arial"/>
                <w:color w:val="000000"/>
                <w:sz w:val="18"/>
                <w:szCs w:val="18"/>
              </w:rPr>
            </w:pPr>
            <w:r w:rsidRPr="007E337F">
              <w:t>2.7</w:t>
            </w:r>
          </w:p>
        </w:tc>
        <w:tc>
          <w:tcPr>
            <w:tcW w:w="1099" w:type="dxa"/>
            <w:tcBorders>
              <w:top w:val="nil"/>
              <w:left w:val="nil"/>
              <w:bottom w:val="single" w:sz="8" w:space="0" w:color="FFFFFF"/>
              <w:right w:val="single" w:sz="8" w:space="0" w:color="FFFFFF"/>
            </w:tcBorders>
            <w:shd w:val="clear" w:color="000000" w:fill="EFD3D2"/>
            <w:noWrap/>
            <w:vAlign w:val="center"/>
            <w:hideMark/>
          </w:tcPr>
          <w:p w14:paraId="7BF19566" w14:textId="363664D5" w:rsidR="008F302C" w:rsidRPr="003E2022" w:rsidRDefault="008F302C" w:rsidP="008F302C">
            <w:pPr>
              <w:spacing w:before="0"/>
              <w:jc w:val="right"/>
              <w:rPr>
                <w:rFonts w:cs="Arial"/>
                <w:color w:val="000000"/>
                <w:sz w:val="18"/>
                <w:szCs w:val="18"/>
              </w:rPr>
            </w:pPr>
            <w:r w:rsidRPr="007E337F">
              <w:t>0.7</w:t>
            </w:r>
          </w:p>
        </w:tc>
        <w:tc>
          <w:tcPr>
            <w:tcW w:w="1100" w:type="dxa"/>
            <w:tcBorders>
              <w:top w:val="nil"/>
              <w:left w:val="nil"/>
              <w:bottom w:val="single" w:sz="8" w:space="0" w:color="FFFFFF"/>
              <w:right w:val="single" w:sz="8" w:space="0" w:color="FFFFFF"/>
            </w:tcBorders>
            <w:shd w:val="clear" w:color="000000" w:fill="EFD3D2"/>
            <w:vAlign w:val="center"/>
            <w:hideMark/>
          </w:tcPr>
          <w:p w14:paraId="7DFD7378" w14:textId="7483E67C" w:rsidR="008F302C" w:rsidRPr="003E2022" w:rsidRDefault="008F302C" w:rsidP="008F302C">
            <w:pPr>
              <w:spacing w:before="0"/>
              <w:jc w:val="right"/>
              <w:rPr>
                <w:rFonts w:cs="Arial"/>
                <w:color w:val="000000"/>
                <w:sz w:val="18"/>
                <w:szCs w:val="18"/>
              </w:rPr>
            </w:pPr>
            <w:r w:rsidRPr="007E337F">
              <w:t>1.6</w:t>
            </w:r>
          </w:p>
        </w:tc>
        <w:tc>
          <w:tcPr>
            <w:tcW w:w="1100" w:type="dxa"/>
            <w:tcBorders>
              <w:top w:val="nil"/>
              <w:left w:val="nil"/>
              <w:bottom w:val="single" w:sz="8" w:space="0" w:color="FFFFFF"/>
              <w:right w:val="single" w:sz="8" w:space="0" w:color="FFFFFF"/>
            </w:tcBorders>
            <w:shd w:val="clear" w:color="000000" w:fill="EFD3D2"/>
            <w:vAlign w:val="center"/>
            <w:hideMark/>
          </w:tcPr>
          <w:p w14:paraId="7F43C7E3" w14:textId="1D5B70CB" w:rsidR="008F302C" w:rsidRPr="003E2022" w:rsidRDefault="008F302C" w:rsidP="008F302C">
            <w:pPr>
              <w:spacing w:before="0"/>
              <w:jc w:val="right"/>
              <w:rPr>
                <w:rFonts w:cs="Arial"/>
                <w:color w:val="000000"/>
                <w:sz w:val="18"/>
                <w:szCs w:val="18"/>
              </w:rPr>
            </w:pPr>
            <w:r w:rsidRPr="007E337F">
              <w:t>0.5</w:t>
            </w:r>
          </w:p>
        </w:tc>
        <w:tc>
          <w:tcPr>
            <w:tcW w:w="1141" w:type="dxa"/>
            <w:tcBorders>
              <w:top w:val="nil"/>
              <w:left w:val="nil"/>
              <w:bottom w:val="single" w:sz="8" w:space="0" w:color="FFFFFF"/>
              <w:right w:val="single" w:sz="8" w:space="0" w:color="FFFFFF"/>
            </w:tcBorders>
            <w:shd w:val="clear" w:color="000000" w:fill="EFD3D2"/>
            <w:noWrap/>
            <w:vAlign w:val="center"/>
            <w:hideMark/>
          </w:tcPr>
          <w:p w14:paraId="6658550F" w14:textId="5BF7CA54" w:rsidR="008F302C" w:rsidRPr="003E2022" w:rsidRDefault="008F302C" w:rsidP="008F302C">
            <w:pPr>
              <w:spacing w:before="0"/>
              <w:jc w:val="right"/>
              <w:rPr>
                <w:rFonts w:cs="Arial"/>
                <w:color w:val="000000"/>
                <w:sz w:val="18"/>
                <w:szCs w:val="18"/>
              </w:rPr>
            </w:pPr>
            <w:r w:rsidRPr="009E3A90">
              <w:t>0.4</w:t>
            </w:r>
          </w:p>
        </w:tc>
        <w:tc>
          <w:tcPr>
            <w:tcW w:w="1142" w:type="dxa"/>
            <w:tcBorders>
              <w:top w:val="nil"/>
              <w:left w:val="nil"/>
              <w:bottom w:val="single" w:sz="8" w:space="0" w:color="FFFFFF"/>
              <w:right w:val="single" w:sz="8" w:space="0" w:color="FFFFFF"/>
            </w:tcBorders>
            <w:shd w:val="clear" w:color="000000" w:fill="EFD3D2"/>
            <w:noWrap/>
            <w:vAlign w:val="center"/>
            <w:hideMark/>
          </w:tcPr>
          <w:p w14:paraId="65C41B8E" w14:textId="19BE0FA9" w:rsidR="008F302C" w:rsidRPr="003E2022" w:rsidRDefault="008F302C" w:rsidP="008F302C">
            <w:pPr>
              <w:spacing w:before="0"/>
              <w:jc w:val="right"/>
              <w:rPr>
                <w:rFonts w:cs="Arial"/>
                <w:color w:val="000000"/>
                <w:sz w:val="18"/>
                <w:szCs w:val="18"/>
              </w:rPr>
            </w:pPr>
            <w:r w:rsidRPr="009E3A90">
              <w:t>1.3</w:t>
            </w:r>
          </w:p>
        </w:tc>
        <w:tc>
          <w:tcPr>
            <w:tcW w:w="1141" w:type="dxa"/>
            <w:tcBorders>
              <w:top w:val="nil"/>
              <w:left w:val="nil"/>
              <w:bottom w:val="single" w:sz="8" w:space="0" w:color="FFFFFF"/>
              <w:right w:val="single" w:sz="8" w:space="0" w:color="FFFFFF"/>
            </w:tcBorders>
            <w:shd w:val="clear" w:color="000000" w:fill="EFD3D2"/>
            <w:noWrap/>
            <w:vAlign w:val="center"/>
            <w:hideMark/>
          </w:tcPr>
          <w:p w14:paraId="2F620123" w14:textId="5488792F" w:rsidR="008F302C" w:rsidRPr="003E2022" w:rsidRDefault="008F302C" w:rsidP="008F302C">
            <w:pPr>
              <w:spacing w:before="0"/>
              <w:jc w:val="right"/>
              <w:rPr>
                <w:rFonts w:cs="Arial"/>
                <w:color w:val="000000"/>
                <w:sz w:val="18"/>
                <w:szCs w:val="18"/>
              </w:rPr>
            </w:pPr>
            <w:r w:rsidRPr="009E3A90">
              <w:t>0.0</w:t>
            </w:r>
          </w:p>
        </w:tc>
        <w:tc>
          <w:tcPr>
            <w:tcW w:w="1142" w:type="dxa"/>
            <w:tcBorders>
              <w:top w:val="nil"/>
              <w:left w:val="nil"/>
              <w:bottom w:val="single" w:sz="8" w:space="0" w:color="FFFFFF"/>
              <w:right w:val="single" w:sz="8" w:space="0" w:color="FFFFFF"/>
            </w:tcBorders>
            <w:shd w:val="clear" w:color="000000" w:fill="EFD3D2"/>
            <w:vAlign w:val="center"/>
            <w:hideMark/>
          </w:tcPr>
          <w:p w14:paraId="5DD25A6E" w14:textId="4DFFA932" w:rsidR="008F302C" w:rsidRPr="003E2022" w:rsidRDefault="008F302C" w:rsidP="008F302C">
            <w:pPr>
              <w:spacing w:before="0"/>
              <w:jc w:val="right"/>
              <w:rPr>
                <w:rFonts w:cs="Arial"/>
                <w:color w:val="000000"/>
                <w:sz w:val="18"/>
                <w:szCs w:val="18"/>
              </w:rPr>
            </w:pPr>
            <w:r w:rsidRPr="009E3A90">
              <w:t>0.2</w:t>
            </w:r>
          </w:p>
        </w:tc>
        <w:tc>
          <w:tcPr>
            <w:tcW w:w="1276" w:type="dxa"/>
            <w:tcBorders>
              <w:top w:val="nil"/>
              <w:left w:val="nil"/>
              <w:bottom w:val="single" w:sz="8" w:space="0" w:color="FFFFFF"/>
              <w:right w:val="single" w:sz="8" w:space="0" w:color="FFFFFF"/>
            </w:tcBorders>
            <w:shd w:val="clear" w:color="000000" w:fill="EFD3D2"/>
            <w:noWrap/>
            <w:vAlign w:val="center"/>
            <w:hideMark/>
          </w:tcPr>
          <w:p w14:paraId="69E40912" w14:textId="5E869CD3" w:rsidR="008F302C" w:rsidRPr="003E2022" w:rsidRDefault="008F302C" w:rsidP="008F302C">
            <w:pPr>
              <w:spacing w:before="0"/>
              <w:jc w:val="right"/>
              <w:rPr>
                <w:rFonts w:cs="Arial"/>
                <w:color w:val="000000"/>
                <w:sz w:val="18"/>
                <w:szCs w:val="18"/>
              </w:rPr>
            </w:pPr>
            <w:r w:rsidRPr="004D52B3">
              <w:t>1.5</w:t>
            </w:r>
          </w:p>
        </w:tc>
        <w:tc>
          <w:tcPr>
            <w:tcW w:w="1134" w:type="dxa"/>
            <w:tcBorders>
              <w:top w:val="nil"/>
              <w:left w:val="nil"/>
              <w:bottom w:val="single" w:sz="8" w:space="0" w:color="FFFFFF"/>
              <w:right w:val="single" w:sz="8" w:space="0" w:color="FFFFFF"/>
            </w:tcBorders>
            <w:shd w:val="clear" w:color="000000" w:fill="EFD3D2"/>
            <w:noWrap/>
            <w:vAlign w:val="center"/>
            <w:hideMark/>
          </w:tcPr>
          <w:p w14:paraId="6C3CF2F2" w14:textId="128BF516" w:rsidR="008F302C" w:rsidRPr="003E2022" w:rsidRDefault="008F302C" w:rsidP="008F302C">
            <w:pPr>
              <w:spacing w:before="0"/>
              <w:jc w:val="right"/>
              <w:rPr>
                <w:rFonts w:cs="Arial"/>
                <w:color w:val="000000"/>
                <w:sz w:val="18"/>
                <w:szCs w:val="18"/>
              </w:rPr>
            </w:pPr>
            <w:r w:rsidRPr="004D52B3">
              <w:t>4.5</w:t>
            </w:r>
          </w:p>
        </w:tc>
      </w:tr>
      <w:tr w:rsidR="008F302C" w:rsidRPr="003E2022" w14:paraId="193C15C0"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4FC1DE33"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Dispute resolution</w:t>
            </w:r>
          </w:p>
        </w:tc>
        <w:tc>
          <w:tcPr>
            <w:tcW w:w="1099" w:type="dxa"/>
            <w:tcBorders>
              <w:top w:val="nil"/>
              <w:left w:val="nil"/>
              <w:bottom w:val="single" w:sz="8" w:space="0" w:color="FFFFFF"/>
              <w:right w:val="single" w:sz="8" w:space="0" w:color="FFFFFF"/>
            </w:tcBorders>
            <w:shd w:val="clear" w:color="auto" w:fill="auto"/>
            <w:noWrap/>
            <w:vAlign w:val="center"/>
            <w:hideMark/>
          </w:tcPr>
          <w:p w14:paraId="5B763526" w14:textId="013EAA95" w:rsidR="008F302C" w:rsidRPr="003E2022" w:rsidRDefault="008F302C" w:rsidP="008F302C">
            <w:pPr>
              <w:spacing w:before="0"/>
              <w:jc w:val="right"/>
              <w:rPr>
                <w:rFonts w:cs="Arial"/>
                <w:color w:val="000000"/>
                <w:sz w:val="18"/>
                <w:szCs w:val="18"/>
              </w:rPr>
            </w:pPr>
            <w:r w:rsidRPr="007E337F">
              <w:t>1.2</w:t>
            </w:r>
          </w:p>
        </w:tc>
        <w:tc>
          <w:tcPr>
            <w:tcW w:w="1100" w:type="dxa"/>
            <w:tcBorders>
              <w:top w:val="nil"/>
              <w:left w:val="nil"/>
              <w:bottom w:val="single" w:sz="8" w:space="0" w:color="FFFFFF"/>
              <w:right w:val="single" w:sz="8" w:space="0" w:color="FFFFFF"/>
            </w:tcBorders>
            <w:shd w:val="clear" w:color="auto" w:fill="auto"/>
            <w:noWrap/>
            <w:vAlign w:val="center"/>
            <w:hideMark/>
          </w:tcPr>
          <w:p w14:paraId="60E1DED9" w14:textId="3BA327BE" w:rsidR="008F302C" w:rsidRPr="003E2022" w:rsidRDefault="008F302C" w:rsidP="008F302C">
            <w:pPr>
              <w:spacing w:before="0"/>
              <w:jc w:val="right"/>
              <w:rPr>
                <w:rFonts w:cs="Arial"/>
                <w:color w:val="000000"/>
                <w:sz w:val="18"/>
                <w:szCs w:val="18"/>
              </w:rPr>
            </w:pPr>
            <w:r w:rsidRPr="007E337F">
              <w:t>1.6</w:t>
            </w:r>
          </w:p>
        </w:tc>
        <w:tc>
          <w:tcPr>
            <w:tcW w:w="1099" w:type="dxa"/>
            <w:tcBorders>
              <w:top w:val="nil"/>
              <w:left w:val="nil"/>
              <w:bottom w:val="single" w:sz="8" w:space="0" w:color="FFFFFF"/>
              <w:right w:val="single" w:sz="8" w:space="0" w:color="FFFFFF"/>
            </w:tcBorders>
            <w:shd w:val="clear" w:color="auto" w:fill="auto"/>
            <w:noWrap/>
            <w:vAlign w:val="center"/>
            <w:hideMark/>
          </w:tcPr>
          <w:p w14:paraId="542F2830" w14:textId="7C5DEC26" w:rsidR="008F302C" w:rsidRPr="003E2022" w:rsidRDefault="008F302C" w:rsidP="008F302C">
            <w:pPr>
              <w:spacing w:before="0"/>
              <w:jc w:val="right"/>
              <w:rPr>
                <w:rFonts w:cs="Arial"/>
                <w:color w:val="000000"/>
                <w:sz w:val="18"/>
                <w:szCs w:val="18"/>
              </w:rPr>
            </w:pPr>
            <w:r w:rsidRPr="007E337F">
              <w:t>1.0</w:t>
            </w:r>
          </w:p>
        </w:tc>
        <w:tc>
          <w:tcPr>
            <w:tcW w:w="1100" w:type="dxa"/>
            <w:tcBorders>
              <w:top w:val="nil"/>
              <w:left w:val="nil"/>
              <w:bottom w:val="single" w:sz="8" w:space="0" w:color="FFFFFF"/>
              <w:right w:val="single" w:sz="8" w:space="0" w:color="FFFFFF"/>
            </w:tcBorders>
            <w:shd w:val="clear" w:color="auto" w:fill="auto"/>
            <w:vAlign w:val="center"/>
            <w:hideMark/>
          </w:tcPr>
          <w:p w14:paraId="30258EDB" w14:textId="4A493CF0" w:rsidR="008F302C" w:rsidRPr="003E2022" w:rsidRDefault="008F302C" w:rsidP="008F302C">
            <w:pPr>
              <w:spacing w:before="0"/>
              <w:jc w:val="right"/>
              <w:rPr>
                <w:rFonts w:cs="Arial"/>
                <w:color w:val="000000"/>
                <w:sz w:val="18"/>
                <w:szCs w:val="18"/>
              </w:rPr>
            </w:pPr>
            <w:r w:rsidRPr="007E337F">
              <w:t>1.2</w:t>
            </w:r>
          </w:p>
        </w:tc>
        <w:tc>
          <w:tcPr>
            <w:tcW w:w="1100" w:type="dxa"/>
            <w:tcBorders>
              <w:top w:val="nil"/>
              <w:left w:val="nil"/>
              <w:bottom w:val="single" w:sz="8" w:space="0" w:color="FFFFFF"/>
              <w:right w:val="single" w:sz="8" w:space="0" w:color="FFFFFF"/>
            </w:tcBorders>
            <w:shd w:val="clear" w:color="auto" w:fill="auto"/>
            <w:vAlign w:val="center"/>
            <w:hideMark/>
          </w:tcPr>
          <w:p w14:paraId="2BE64419" w14:textId="616B606F" w:rsidR="008F302C" w:rsidRPr="003E2022" w:rsidRDefault="008F302C" w:rsidP="008F302C">
            <w:pPr>
              <w:spacing w:before="0"/>
              <w:jc w:val="right"/>
              <w:rPr>
                <w:rFonts w:cs="Arial"/>
                <w:color w:val="000000"/>
                <w:sz w:val="18"/>
                <w:szCs w:val="18"/>
              </w:rPr>
            </w:pPr>
            <w:r w:rsidRPr="007E337F">
              <w:t>1.2</w:t>
            </w:r>
          </w:p>
        </w:tc>
        <w:tc>
          <w:tcPr>
            <w:tcW w:w="1141" w:type="dxa"/>
            <w:tcBorders>
              <w:top w:val="nil"/>
              <w:left w:val="nil"/>
              <w:bottom w:val="single" w:sz="8" w:space="0" w:color="FFFFFF"/>
              <w:right w:val="single" w:sz="8" w:space="0" w:color="FFFFFF"/>
            </w:tcBorders>
            <w:shd w:val="clear" w:color="auto" w:fill="auto"/>
            <w:noWrap/>
            <w:vAlign w:val="center"/>
            <w:hideMark/>
          </w:tcPr>
          <w:p w14:paraId="3BCF3312" w14:textId="0AC263E2" w:rsidR="008F302C" w:rsidRPr="003E2022" w:rsidRDefault="008F302C" w:rsidP="008F302C">
            <w:pPr>
              <w:spacing w:before="0"/>
              <w:jc w:val="right"/>
              <w:rPr>
                <w:rFonts w:cs="Arial"/>
                <w:color w:val="000000"/>
                <w:sz w:val="18"/>
                <w:szCs w:val="18"/>
              </w:rPr>
            </w:pPr>
            <w:r w:rsidRPr="009E3A90">
              <w:t>0.4</w:t>
            </w:r>
          </w:p>
        </w:tc>
        <w:tc>
          <w:tcPr>
            <w:tcW w:w="1142" w:type="dxa"/>
            <w:tcBorders>
              <w:top w:val="nil"/>
              <w:left w:val="nil"/>
              <w:bottom w:val="single" w:sz="8" w:space="0" w:color="FFFFFF"/>
              <w:right w:val="single" w:sz="8" w:space="0" w:color="FFFFFF"/>
            </w:tcBorders>
            <w:shd w:val="clear" w:color="auto" w:fill="auto"/>
            <w:noWrap/>
            <w:vAlign w:val="center"/>
            <w:hideMark/>
          </w:tcPr>
          <w:p w14:paraId="16E71807" w14:textId="394FD029" w:rsidR="008F302C" w:rsidRPr="003E2022" w:rsidRDefault="008F302C" w:rsidP="008F302C">
            <w:pPr>
              <w:spacing w:before="0"/>
              <w:jc w:val="right"/>
              <w:rPr>
                <w:rFonts w:cs="Arial"/>
                <w:color w:val="000000"/>
                <w:sz w:val="18"/>
                <w:szCs w:val="18"/>
              </w:rPr>
            </w:pPr>
            <w:r w:rsidRPr="009E3A90">
              <w:t>0.8</w:t>
            </w:r>
          </w:p>
        </w:tc>
        <w:tc>
          <w:tcPr>
            <w:tcW w:w="1141" w:type="dxa"/>
            <w:tcBorders>
              <w:top w:val="nil"/>
              <w:left w:val="nil"/>
              <w:bottom w:val="single" w:sz="8" w:space="0" w:color="FFFFFF"/>
              <w:right w:val="single" w:sz="8" w:space="0" w:color="FFFFFF"/>
            </w:tcBorders>
            <w:shd w:val="clear" w:color="auto" w:fill="auto"/>
            <w:noWrap/>
            <w:vAlign w:val="center"/>
            <w:hideMark/>
          </w:tcPr>
          <w:p w14:paraId="3A9179E4" w14:textId="5CFDEAFD" w:rsidR="008F302C" w:rsidRPr="003E2022" w:rsidRDefault="008F302C" w:rsidP="008F302C">
            <w:pPr>
              <w:spacing w:before="0"/>
              <w:jc w:val="right"/>
              <w:rPr>
                <w:rFonts w:cs="Arial"/>
                <w:color w:val="000000"/>
                <w:sz w:val="18"/>
                <w:szCs w:val="18"/>
              </w:rPr>
            </w:pPr>
            <w:r w:rsidRPr="009E3A90">
              <w:t>0.6</w:t>
            </w:r>
          </w:p>
        </w:tc>
        <w:tc>
          <w:tcPr>
            <w:tcW w:w="1142" w:type="dxa"/>
            <w:tcBorders>
              <w:top w:val="nil"/>
              <w:left w:val="nil"/>
              <w:bottom w:val="single" w:sz="8" w:space="0" w:color="FFFFFF"/>
              <w:right w:val="single" w:sz="8" w:space="0" w:color="FFFFFF"/>
            </w:tcBorders>
            <w:shd w:val="clear" w:color="auto" w:fill="auto"/>
            <w:vAlign w:val="center"/>
            <w:hideMark/>
          </w:tcPr>
          <w:p w14:paraId="79FE0640" w14:textId="154C212F" w:rsidR="008F302C" w:rsidRPr="003E2022" w:rsidRDefault="008F302C" w:rsidP="008F302C">
            <w:pPr>
              <w:spacing w:before="0"/>
              <w:jc w:val="right"/>
              <w:rPr>
                <w:rFonts w:cs="Arial"/>
                <w:color w:val="000000"/>
                <w:sz w:val="18"/>
                <w:szCs w:val="18"/>
              </w:rPr>
            </w:pPr>
            <w:r w:rsidRPr="009E3A90">
              <w:t>3.0</w:t>
            </w:r>
          </w:p>
        </w:tc>
        <w:tc>
          <w:tcPr>
            <w:tcW w:w="1276" w:type="dxa"/>
            <w:tcBorders>
              <w:top w:val="nil"/>
              <w:left w:val="nil"/>
              <w:bottom w:val="single" w:sz="8" w:space="0" w:color="FFFFFF"/>
              <w:right w:val="single" w:sz="8" w:space="0" w:color="FFFFFF"/>
            </w:tcBorders>
            <w:shd w:val="clear" w:color="auto" w:fill="auto"/>
            <w:noWrap/>
            <w:vAlign w:val="center"/>
            <w:hideMark/>
          </w:tcPr>
          <w:p w14:paraId="2142D112" w14:textId="7D05DEDA" w:rsidR="008F302C" w:rsidRPr="003E2022" w:rsidRDefault="008F302C" w:rsidP="008F302C">
            <w:pPr>
              <w:spacing w:before="0"/>
              <w:jc w:val="right"/>
              <w:rPr>
                <w:rFonts w:cs="Arial"/>
                <w:color w:val="000000"/>
                <w:sz w:val="18"/>
                <w:szCs w:val="18"/>
              </w:rPr>
            </w:pPr>
            <w:r w:rsidRPr="004D52B3">
              <w:t>1.1</w:t>
            </w:r>
          </w:p>
        </w:tc>
        <w:tc>
          <w:tcPr>
            <w:tcW w:w="1134" w:type="dxa"/>
            <w:tcBorders>
              <w:top w:val="nil"/>
              <w:left w:val="nil"/>
              <w:bottom w:val="single" w:sz="8" w:space="0" w:color="FFFFFF"/>
              <w:right w:val="single" w:sz="8" w:space="0" w:color="FFFFFF"/>
            </w:tcBorders>
            <w:shd w:val="clear" w:color="auto" w:fill="auto"/>
            <w:noWrap/>
            <w:vAlign w:val="center"/>
            <w:hideMark/>
          </w:tcPr>
          <w:p w14:paraId="1B5B50EB" w14:textId="60466271" w:rsidR="008F302C" w:rsidRPr="003E2022" w:rsidRDefault="008F302C" w:rsidP="008F302C">
            <w:pPr>
              <w:spacing w:before="0"/>
              <w:jc w:val="right"/>
              <w:rPr>
                <w:rFonts w:cs="Arial"/>
                <w:color w:val="000000"/>
                <w:sz w:val="18"/>
                <w:szCs w:val="18"/>
              </w:rPr>
            </w:pPr>
            <w:r w:rsidRPr="004D52B3">
              <w:t>0.0</w:t>
            </w:r>
          </w:p>
        </w:tc>
      </w:tr>
      <w:tr w:rsidR="008F302C" w:rsidRPr="003E2022" w14:paraId="370A5723"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311B1A14"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Other administration</w:t>
            </w:r>
          </w:p>
        </w:tc>
        <w:tc>
          <w:tcPr>
            <w:tcW w:w="1099" w:type="dxa"/>
            <w:tcBorders>
              <w:top w:val="nil"/>
              <w:left w:val="nil"/>
              <w:bottom w:val="single" w:sz="8" w:space="0" w:color="FFFFFF"/>
              <w:right w:val="single" w:sz="8" w:space="0" w:color="FFFFFF"/>
            </w:tcBorders>
            <w:shd w:val="clear" w:color="000000" w:fill="EFD3D2"/>
            <w:noWrap/>
            <w:vAlign w:val="center"/>
            <w:hideMark/>
          </w:tcPr>
          <w:p w14:paraId="77C434FF" w14:textId="38038D12" w:rsidR="008F302C" w:rsidRPr="003E2022" w:rsidRDefault="008F302C" w:rsidP="008F302C">
            <w:pPr>
              <w:spacing w:before="0"/>
              <w:jc w:val="right"/>
              <w:rPr>
                <w:rFonts w:cs="Arial"/>
                <w:color w:val="000000"/>
                <w:sz w:val="18"/>
                <w:szCs w:val="18"/>
              </w:rPr>
            </w:pPr>
            <w:r w:rsidRPr="007E337F">
              <w:t>0.7</w:t>
            </w:r>
          </w:p>
        </w:tc>
        <w:tc>
          <w:tcPr>
            <w:tcW w:w="1100" w:type="dxa"/>
            <w:tcBorders>
              <w:top w:val="nil"/>
              <w:left w:val="nil"/>
              <w:bottom w:val="single" w:sz="8" w:space="0" w:color="FFFFFF"/>
              <w:right w:val="single" w:sz="8" w:space="0" w:color="FFFFFF"/>
            </w:tcBorders>
            <w:shd w:val="clear" w:color="000000" w:fill="EFD3D2"/>
            <w:noWrap/>
            <w:vAlign w:val="center"/>
            <w:hideMark/>
          </w:tcPr>
          <w:p w14:paraId="3D3222A2" w14:textId="082491AD" w:rsidR="008F302C" w:rsidRPr="003E2022" w:rsidRDefault="008F302C" w:rsidP="008F302C">
            <w:pPr>
              <w:spacing w:before="0"/>
              <w:jc w:val="right"/>
              <w:rPr>
                <w:rFonts w:cs="Arial"/>
                <w:color w:val="000000"/>
                <w:sz w:val="18"/>
                <w:szCs w:val="18"/>
              </w:rPr>
            </w:pPr>
            <w:r w:rsidRPr="007E337F">
              <w:t>1.6</w:t>
            </w:r>
          </w:p>
        </w:tc>
        <w:tc>
          <w:tcPr>
            <w:tcW w:w="1099" w:type="dxa"/>
            <w:tcBorders>
              <w:top w:val="nil"/>
              <w:left w:val="nil"/>
              <w:bottom w:val="single" w:sz="8" w:space="0" w:color="FFFFFF"/>
              <w:right w:val="single" w:sz="8" w:space="0" w:color="FFFFFF"/>
            </w:tcBorders>
            <w:shd w:val="clear" w:color="000000" w:fill="EFD3D2"/>
            <w:noWrap/>
            <w:vAlign w:val="center"/>
            <w:hideMark/>
          </w:tcPr>
          <w:p w14:paraId="47676E67" w14:textId="48B52307" w:rsidR="008F302C" w:rsidRPr="003E2022" w:rsidRDefault="008F302C" w:rsidP="008F302C">
            <w:pPr>
              <w:spacing w:before="0"/>
              <w:jc w:val="right"/>
              <w:rPr>
                <w:rFonts w:cs="Arial"/>
                <w:color w:val="000000"/>
                <w:sz w:val="18"/>
                <w:szCs w:val="18"/>
              </w:rPr>
            </w:pPr>
            <w:r w:rsidRPr="007E337F">
              <w:t>3.1</w:t>
            </w:r>
          </w:p>
        </w:tc>
        <w:tc>
          <w:tcPr>
            <w:tcW w:w="1100" w:type="dxa"/>
            <w:tcBorders>
              <w:top w:val="nil"/>
              <w:left w:val="nil"/>
              <w:bottom w:val="single" w:sz="8" w:space="0" w:color="FFFFFF"/>
              <w:right w:val="single" w:sz="8" w:space="0" w:color="FFFFFF"/>
            </w:tcBorders>
            <w:shd w:val="clear" w:color="000000" w:fill="EFD3D2"/>
            <w:vAlign w:val="center"/>
            <w:hideMark/>
          </w:tcPr>
          <w:p w14:paraId="66033F2E" w14:textId="6EA8FB45" w:rsidR="008F302C" w:rsidRPr="003E2022" w:rsidRDefault="008F302C" w:rsidP="008F302C">
            <w:pPr>
              <w:spacing w:before="0"/>
              <w:jc w:val="right"/>
              <w:rPr>
                <w:rFonts w:cs="Arial"/>
                <w:color w:val="000000"/>
                <w:sz w:val="18"/>
                <w:szCs w:val="18"/>
              </w:rPr>
            </w:pPr>
            <w:r w:rsidRPr="007E337F">
              <w:t>5.4</w:t>
            </w:r>
          </w:p>
        </w:tc>
        <w:tc>
          <w:tcPr>
            <w:tcW w:w="1100" w:type="dxa"/>
            <w:tcBorders>
              <w:top w:val="nil"/>
              <w:left w:val="nil"/>
              <w:bottom w:val="single" w:sz="8" w:space="0" w:color="FFFFFF"/>
              <w:right w:val="single" w:sz="8" w:space="0" w:color="FFFFFF"/>
            </w:tcBorders>
            <w:shd w:val="clear" w:color="000000" w:fill="EFD3D2"/>
            <w:vAlign w:val="center"/>
            <w:hideMark/>
          </w:tcPr>
          <w:p w14:paraId="259BB8C8" w14:textId="4FC0361C" w:rsidR="008F302C" w:rsidRPr="003E2022" w:rsidRDefault="008F302C" w:rsidP="008F302C">
            <w:pPr>
              <w:spacing w:before="0"/>
              <w:jc w:val="right"/>
              <w:rPr>
                <w:rFonts w:cs="Arial"/>
                <w:color w:val="000000"/>
                <w:sz w:val="18"/>
                <w:szCs w:val="18"/>
              </w:rPr>
            </w:pPr>
            <w:r w:rsidRPr="007E337F">
              <w:t>7.9</w:t>
            </w:r>
          </w:p>
        </w:tc>
        <w:tc>
          <w:tcPr>
            <w:tcW w:w="1141" w:type="dxa"/>
            <w:tcBorders>
              <w:top w:val="nil"/>
              <w:left w:val="nil"/>
              <w:bottom w:val="single" w:sz="8" w:space="0" w:color="FFFFFF"/>
              <w:right w:val="single" w:sz="8" w:space="0" w:color="FFFFFF"/>
            </w:tcBorders>
            <w:shd w:val="clear" w:color="000000" w:fill="EFD3D2"/>
            <w:noWrap/>
            <w:vAlign w:val="center"/>
            <w:hideMark/>
          </w:tcPr>
          <w:p w14:paraId="620C87CD" w14:textId="6B7CA3B4" w:rsidR="008F302C" w:rsidRPr="003E2022" w:rsidRDefault="008F302C" w:rsidP="008F302C">
            <w:pPr>
              <w:spacing w:before="0"/>
              <w:jc w:val="right"/>
              <w:rPr>
                <w:rFonts w:cs="Arial"/>
                <w:color w:val="000000"/>
                <w:sz w:val="18"/>
                <w:szCs w:val="18"/>
              </w:rPr>
            </w:pPr>
            <w:r w:rsidRPr="009E3A90">
              <w:t>0.9</w:t>
            </w:r>
          </w:p>
        </w:tc>
        <w:tc>
          <w:tcPr>
            <w:tcW w:w="1142" w:type="dxa"/>
            <w:tcBorders>
              <w:top w:val="nil"/>
              <w:left w:val="nil"/>
              <w:bottom w:val="single" w:sz="8" w:space="0" w:color="FFFFFF"/>
              <w:right w:val="single" w:sz="8" w:space="0" w:color="FFFFFF"/>
            </w:tcBorders>
            <w:shd w:val="clear" w:color="000000" w:fill="EFD3D2"/>
            <w:noWrap/>
            <w:vAlign w:val="center"/>
            <w:hideMark/>
          </w:tcPr>
          <w:p w14:paraId="15C2B7B0" w14:textId="6AE6AA97" w:rsidR="008F302C" w:rsidRPr="003E2022" w:rsidRDefault="008F302C" w:rsidP="008F302C">
            <w:pPr>
              <w:spacing w:before="0"/>
              <w:jc w:val="right"/>
              <w:rPr>
                <w:rFonts w:cs="Arial"/>
                <w:color w:val="000000"/>
                <w:sz w:val="18"/>
                <w:szCs w:val="18"/>
              </w:rPr>
            </w:pPr>
            <w:r w:rsidRPr="009E3A90">
              <w:t>0.5</w:t>
            </w:r>
          </w:p>
        </w:tc>
        <w:tc>
          <w:tcPr>
            <w:tcW w:w="1141" w:type="dxa"/>
            <w:tcBorders>
              <w:top w:val="nil"/>
              <w:left w:val="nil"/>
              <w:bottom w:val="single" w:sz="8" w:space="0" w:color="FFFFFF"/>
              <w:right w:val="single" w:sz="8" w:space="0" w:color="FFFFFF"/>
            </w:tcBorders>
            <w:shd w:val="clear" w:color="000000" w:fill="EFD3D2"/>
            <w:noWrap/>
            <w:vAlign w:val="center"/>
            <w:hideMark/>
          </w:tcPr>
          <w:p w14:paraId="6A0DAA36" w14:textId="4C56E3E4" w:rsidR="008F302C" w:rsidRPr="003E2022" w:rsidRDefault="008F302C" w:rsidP="008F302C">
            <w:pPr>
              <w:spacing w:before="0"/>
              <w:jc w:val="right"/>
              <w:rPr>
                <w:rFonts w:cs="Arial"/>
                <w:color w:val="000000"/>
                <w:sz w:val="18"/>
                <w:szCs w:val="18"/>
              </w:rPr>
            </w:pPr>
            <w:r w:rsidRPr="009E3A90">
              <w:t>1.4</w:t>
            </w:r>
          </w:p>
        </w:tc>
        <w:tc>
          <w:tcPr>
            <w:tcW w:w="1142" w:type="dxa"/>
            <w:tcBorders>
              <w:top w:val="nil"/>
              <w:left w:val="nil"/>
              <w:bottom w:val="single" w:sz="8" w:space="0" w:color="FFFFFF"/>
              <w:right w:val="single" w:sz="8" w:space="0" w:color="FFFFFF"/>
            </w:tcBorders>
            <w:shd w:val="clear" w:color="000000" w:fill="EFD3D2"/>
            <w:vAlign w:val="center"/>
            <w:hideMark/>
          </w:tcPr>
          <w:p w14:paraId="2947BA34" w14:textId="67E74932" w:rsidR="008F302C" w:rsidRPr="003E2022" w:rsidRDefault="008F302C" w:rsidP="008F302C">
            <w:pPr>
              <w:spacing w:before="0"/>
              <w:jc w:val="right"/>
              <w:rPr>
                <w:rFonts w:cs="Arial"/>
                <w:color w:val="000000"/>
                <w:sz w:val="18"/>
                <w:szCs w:val="18"/>
              </w:rPr>
            </w:pPr>
            <w:r w:rsidRPr="009E3A90">
              <w:t>1.6</w:t>
            </w:r>
          </w:p>
        </w:tc>
        <w:tc>
          <w:tcPr>
            <w:tcW w:w="1276" w:type="dxa"/>
            <w:tcBorders>
              <w:top w:val="nil"/>
              <w:left w:val="nil"/>
              <w:bottom w:val="single" w:sz="8" w:space="0" w:color="FFFFFF"/>
              <w:right w:val="single" w:sz="8" w:space="0" w:color="FFFFFF"/>
            </w:tcBorders>
            <w:shd w:val="clear" w:color="000000" w:fill="EFD3D2"/>
            <w:noWrap/>
            <w:vAlign w:val="center"/>
            <w:hideMark/>
          </w:tcPr>
          <w:p w14:paraId="3FBF1589" w14:textId="0E0562B7" w:rsidR="008F302C" w:rsidRPr="003E2022" w:rsidRDefault="008F302C" w:rsidP="008F302C">
            <w:pPr>
              <w:spacing w:before="0"/>
              <w:jc w:val="right"/>
              <w:rPr>
                <w:rFonts w:cs="Arial"/>
                <w:color w:val="000000"/>
                <w:sz w:val="18"/>
                <w:szCs w:val="18"/>
              </w:rPr>
            </w:pPr>
            <w:r w:rsidRPr="004D52B3">
              <w:t>2.0</w:t>
            </w:r>
          </w:p>
        </w:tc>
        <w:tc>
          <w:tcPr>
            <w:tcW w:w="1134" w:type="dxa"/>
            <w:tcBorders>
              <w:top w:val="nil"/>
              <w:left w:val="nil"/>
              <w:bottom w:val="single" w:sz="8" w:space="0" w:color="FFFFFF"/>
              <w:right w:val="single" w:sz="8" w:space="0" w:color="FFFFFF"/>
            </w:tcBorders>
            <w:shd w:val="clear" w:color="000000" w:fill="EFD3D2"/>
            <w:noWrap/>
            <w:vAlign w:val="center"/>
            <w:hideMark/>
          </w:tcPr>
          <w:p w14:paraId="20AA0EE6" w14:textId="0A203915" w:rsidR="008F302C" w:rsidRPr="003E2022" w:rsidRDefault="008F302C" w:rsidP="008F302C">
            <w:pPr>
              <w:spacing w:before="0"/>
              <w:jc w:val="right"/>
              <w:rPr>
                <w:rFonts w:cs="Arial"/>
                <w:color w:val="000000"/>
                <w:sz w:val="18"/>
                <w:szCs w:val="18"/>
              </w:rPr>
            </w:pPr>
            <w:r w:rsidRPr="004D52B3">
              <w:t>8.7</w:t>
            </w:r>
          </w:p>
        </w:tc>
      </w:tr>
      <w:tr w:rsidR="008F302C" w:rsidRPr="00DF7579" w14:paraId="18FC3F2D"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000000" w:fill="808080"/>
            <w:noWrap/>
            <w:vAlign w:val="center"/>
            <w:hideMark/>
          </w:tcPr>
          <w:p w14:paraId="22BD9B6E" w14:textId="77777777" w:rsidR="008F302C" w:rsidRPr="00DF7579" w:rsidRDefault="008F302C" w:rsidP="008F302C">
            <w:pPr>
              <w:spacing w:before="0"/>
              <w:jc w:val="left"/>
              <w:rPr>
                <w:rFonts w:cs="Arial"/>
                <w:b/>
                <w:bCs/>
                <w:color w:val="FFFFFF" w:themeColor="background1"/>
                <w:sz w:val="18"/>
                <w:szCs w:val="18"/>
              </w:rPr>
            </w:pPr>
            <w:r w:rsidRPr="00DF7579">
              <w:rPr>
                <w:rFonts w:cs="Arial"/>
                <w:b/>
                <w:bCs/>
                <w:color w:val="FFFFFF" w:themeColor="background1"/>
                <w:sz w:val="18"/>
                <w:szCs w:val="16"/>
              </w:rPr>
              <w:t>Total</w:t>
            </w:r>
          </w:p>
        </w:tc>
        <w:tc>
          <w:tcPr>
            <w:tcW w:w="1099" w:type="dxa"/>
            <w:tcBorders>
              <w:top w:val="nil"/>
              <w:left w:val="nil"/>
              <w:bottom w:val="single" w:sz="8" w:space="0" w:color="FFFFFF"/>
              <w:right w:val="single" w:sz="8" w:space="0" w:color="FFFFFF"/>
            </w:tcBorders>
            <w:shd w:val="clear" w:color="000000" w:fill="808080"/>
            <w:noWrap/>
            <w:vAlign w:val="center"/>
            <w:hideMark/>
          </w:tcPr>
          <w:p w14:paraId="5F0089E6" w14:textId="48C35BC5"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noWrap/>
            <w:vAlign w:val="center"/>
            <w:hideMark/>
          </w:tcPr>
          <w:p w14:paraId="32B72C93" w14:textId="035A86E6"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099" w:type="dxa"/>
            <w:tcBorders>
              <w:top w:val="nil"/>
              <w:left w:val="nil"/>
              <w:bottom w:val="single" w:sz="8" w:space="0" w:color="FFFFFF"/>
              <w:right w:val="single" w:sz="8" w:space="0" w:color="FFFFFF"/>
            </w:tcBorders>
            <w:shd w:val="clear" w:color="000000" w:fill="808080"/>
            <w:noWrap/>
            <w:vAlign w:val="center"/>
            <w:hideMark/>
          </w:tcPr>
          <w:p w14:paraId="3835CC15" w14:textId="6B99C4D4"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14:paraId="02E322D1" w14:textId="59317744"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14:paraId="5EBB4F97" w14:textId="3393D855"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14:paraId="52E93F61" w14:textId="4892E0C3"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noWrap/>
            <w:vAlign w:val="center"/>
            <w:hideMark/>
          </w:tcPr>
          <w:p w14:paraId="59314FD1" w14:textId="40800965"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14:paraId="53CFEE20" w14:textId="7DEE2F6E"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vAlign w:val="center"/>
            <w:hideMark/>
          </w:tcPr>
          <w:p w14:paraId="6AEF1C5C" w14:textId="1BBF546C"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276" w:type="dxa"/>
            <w:tcBorders>
              <w:top w:val="nil"/>
              <w:left w:val="nil"/>
              <w:bottom w:val="single" w:sz="8" w:space="0" w:color="FFFFFF"/>
              <w:right w:val="single" w:sz="8" w:space="0" w:color="FFFFFF"/>
            </w:tcBorders>
            <w:shd w:val="clear" w:color="000000" w:fill="808080"/>
            <w:noWrap/>
            <w:vAlign w:val="center"/>
            <w:hideMark/>
          </w:tcPr>
          <w:p w14:paraId="721FF459" w14:textId="0C0ECEA4"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34" w:type="dxa"/>
            <w:tcBorders>
              <w:top w:val="nil"/>
              <w:left w:val="nil"/>
              <w:bottom w:val="single" w:sz="8" w:space="0" w:color="FFFFFF"/>
              <w:right w:val="single" w:sz="8" w:space="0" w:color="FFFFFF"/>
            </w:tcBorders>
            <w:shd w:val="clear" w:color="000000" w:fill="808080"/>
            <w:noWrap/>
            <w:vAlign w:val="center"/>
            <w:hideMark/>
          </w:tcPr>
          <w:p w14:paraId="4EEDEF25" w14:textId="1AFE4F8D"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r>
      <w:tr w:rsidR="003E2022" w:rsidRPr="003E2022" w14:paraId="7E5B57C1" w14:textId="77777777" w:rsidTr="00293003">
        <w:trPr>
          <w:cantSplit/>
          <w:trHeight w:val="454"/>
        </w:trPr>
        <w:tc>
          <w:tcPr>
            <w:tcW w:w="2000" w:type="dxa"/>
            <w:tcBorders>
              <w:top w:val="nil"/>
              <w:left w:val="single" w:sz="8" w:space="0" w:color="FFFFFF"/>
              <w:bottom w:val="single" w:sz="8" w:space="0" w:color="FFFFFF"/>
              <w:right w:val="nil"/>
            </w:tcBorders>
            <w:shd w:val="clear" w:color="000000" w:fill="E1AAA9"/>
            <w:noWrap/>
            <w:vAlign w:val="center"/>
            <w:hideMark/>
          </w:tcPr>
          <w:p w14:paraId="201067EF" w14:textId="51CCA753" w:rsidR="003E2022" w:rsidRPr="003E2022" w:rsidRDefault="003E2022" w:rsidP="008F302C">
            <w:pPr>
              <w:spacing w:before="0"/>
              <w:jc w:val="left"/>
              <w:rPr>
                <w:rFonts w:cs="Arial"/>
                <w:b/>
                <w:bCs/>
                <w:color w:val="000000"/>
                <w:sz w:val="18"/>
                <w:szCs w:val="18"/>
              </w:rPr>
            </w:pPr>
            <w:r w:rsidRPr="003E2022">
              <w:rPr>
                <w:rFonts w:cs="Arial"/>
                <w:b/>
                <w:bCs/>
                <w:color w:val="000000"/>
                <w:sz w:val="18"/>
                <w:szCs w:val="16"/>
              </w:rPr>
              <w:t>201</w:t>
            </w:r>
            <w:r w:rsidR="008F302C">
              <w:rPr>
                <w:rFonts w:cs="Arial"/>
                <w:b/>
                <w:bCs/>
                <w:color w:val="000000"/>
                <w:sz w:val="18"/>
                <w:szCs w:val="16"/>
              </w:rPr>
              <w:t>6</w:t>
            </w:r>
            <w:r w:rsidRPr="003E2022">
              <w:rPr>
                <w:rFonts w:cs="Arial"/>
                <w:b/>
                <w:bCs/>
                <w:color w:val="000000"/>
                <w:sz w:val="18"/>
                <w:szCs w:val="16"/>
              </w:rPr>
              <w:t>–1</w:t>
            </w:r>
            <w:r w:rsidR="008F302C">
              <w:rPr>
                <w:rFonts w:cs="Arial"/>
                <w:b/>
                <w:bCs/>
                <w:color w:val="000000"/>
                <w:sz w:val="18"/>
                <w:szCs w:val="16"/>
              </w:rPr>
              <w:t>7</w:t>
            </w:r>
          </w:p>
        </w:tc>
        <w:tc>
          <w:tcPr>
            <w:tcW w:w="1099" w:type="dxa"/>
            <w:tcBorders>
              <w:top w:val="nil"/>
              <w:left w:val="nil"/>
              <w:bottom w:val="single" w:sz="8" w:space="0" w:color="FFFFFF"/>
              <w:right w:val="nil"/>
            </w:tcBorders>
            <w:shd w:val="clear" w:color="000000" w:fill="E1AAA9"/>
            <w:noWrap/>
            <w:vAlign w:val="center"/>
            <w:hideMark/>
          </w:tcPr>
          <w:p w14:paraId="306FF359"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noWrap/>
            <w:vAlign w:val="center"/>
            <w:hideMark/>
          </w:tcPr>
          <w:p w14:paraId="51D767A9"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099" w:type="dxa"/>
            <w:tcBorders>
              <w:top w:val="nil"/>
              <w:left w:val="nil"/>
              <w:bottom w:val="single" w:sz="8" w:space="0" w:color="FFFFFF"/>
              <w:right w:val="nil"/>
            </w:tcBorders>
            <w:shd w:val="clear" w:color="000000" w:fill="E1AAA9"/>
            <w:noWrap/>
            <w:vAlign w:val="center"/>
            <w:hideMark/>
          </w:tcPr>
          <w:p w14:paraId="4FB09F6D"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vAlign w:val="center"/>
            <w:hideMark/>
          </w:tcPr>
          <w:p w14:paraId="45E0FB0E"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00" w:type="dxa"/>
            <w:tcBorders>
              <w:top w:val="nil"/>
              <w:left w:val="nil"/>
              <w:bottom w:val="single" w:sz="8" w:space="0" w:color="FFFFFF"/>
              <w:right w:val="nil"/>
            </w:tcBorders>
            <w:shd w:val="clear" w:color="000000" w:fill="E1AAA9"/>
            <w:vAlign w:val="center"/>
            <w:hideMark/>
          </w:tcPr>
          <w:p w14:paraId="630C157C"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41" w:type="dxa"/>
            <w:tcBorders>
              <w:top w:val="nil"/>
              <w:left w:val="nil"/>
              <w:bottom w:val="single" w:sz="8" w:space="0" w:color="FFFFFF"/>
              <w:right w:val="nil"/>
            </w:tcBorders>
            <w:shd w:val="clear" w:color="000000" w:fill="E1AAA9"/>
            <w:noWrap/>
            <w:vAlign w:val="center"/>
            <w:hideMark/>
          </w:tcPr>
          <w:p w14:paraId="61A1283C"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noWrap/>
            <w:vAlign w:val="center"/>
            <w:hideMark/>
          </w:tcPr>
          <w:p w14:paraId="7E917F1A"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1" w:type="dxa"/>
            <w:tcBorders>
              <w:top w:val="nil"/>
              <w:left w:val="nil"/>
              <w:bottom w:val="single" w:sz="8" w:space="0" w:color="FFFFFF"/>
              <w:right w:val="nil"/>
            </w:tcBorders>
            <w:shd w:val="clear" w:color="000000" w:fill="E1AAA9"/>
            <w:noWrap/>
            <w:vAlign w:val="center"/>
            <w:hideMark/>
          </w:tcPr>
          <w:p w14:paraId="2EC60B92"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vAlign w:val="center"/>
            <w:hideMark/>
          </w:tcPr>
          <w:p w14:paraId="7EB6B514"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276" w:type="dxa"/>
            <w:tcBorders>
              <w:top w:val="nil"/>
              <w:left w:val="nil"/>
              <w:bottom w:val="single" w:sz="8" w:space="0" w:color="FFFFFF"/>
              <w:right w:val="nil"/>
            </w:tcBorders>
            <w:shd w:val="clear" w:color="000000" w:fill="E1AAA9"/>
            <w:noWrap/>
            <w:vAlign w:val="center"/>
            <w:hideMark/>
          </w:tcPr>
          <w:p w14:paraId="424DC6B0"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34" w:type="dxa"/>
            <w:tcBorders>
              <w:top w:val="nil"/>
              <w:left w:val="nil"/>
              <w:bottom w:val="single" w:sz="8" w:space="0" w:color="FFFFFF"/>
              <w:right w:val="single" w:sz="8" w:space="0" w:color="FFFFFF"/>
            </w:tcBorders>
            <w:shd w:val="clear" w:color="000000" w:fill="E1AAA9"/>
            <w:noWrap/>
            <w:vAlign w:val="center"/>
            <w:hideMark/>
          </w:tcPr>
          <w:p w14:paraId="3CCC22AF"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r>
      <w:tr w:rsidR="008F302C" w:rsidRPr="003E2022" w14:paraId="27F298E4"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1142928F"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Direct to claimant</w:t>
            </w:r>
          </w:p>
        </w:tc>
        <w:tc>
          <w:tcPr>
            <w:tcW w:w="1099" w:type="dxa"/>
            <w:tcBorders>
              <w:top w:val="nil"/>
              <w:left w:val="nil"/>
              <w:bottom w:val="single" w:sz="8" w:space="0" w:color="FFFFFF"/>
              <w:right w:val="single" w:sz="8" w:space="0" w:color="FFFFFF"/>
            </w:tcBorders>
            <w:shd w:val="clear" w:color="auto" w:fill="auto"/>
            <w:noWrap/>
            <w:vAlign w:val="center"/>
            <w:hideMark/>
          </w:tcPr>
          <w:p w14:paraId="41FD2CC6" w14:textId="67CDFCEA" w:rsidR="008F302C" w:rsidRPr="003E2022" w:rsidRDefault="008F302C" w:rsidP="008F302C">
            <w:pPr>
              <w:spacing w:before="0"/>
              <w:jc w:val="right"/>
              <w:rPr>
                <w:rFonts w:cs="Arial"/>
                <w:color w:val="000000"/>
                <w:sz w:val="18"/>
                <w:szCs w:val="18"/>
              </w:rPr>
            </w:pPr>
            <w:r w:rsidRPr="00656EFB">
              <w:t>45.2</w:t>
            </w:r>
          </w:p>
        </w:tc>
        <w:tc>
          <w:tcPr>
            <w:tcW w:w="1100" w:type="dxa"/>
            <w:tcBorders>
              <w:top w:val="nil"/>
              <w:left w:val="nil"/>
              <w:bottom w:val="single" w:sz="8" w:space="0" w:color="FFFFFF"/>
              <w:right w:val="single" w:sz="8" w:space="0" w:color="FFFFFF"/>
            </w:tcBorders>
            <w:shd w:val="clear" w:color="auto" w:fill="auto"/>
            <w:noWrap/>
            <w:vAlign w:val="center"/>
            <w:hideMark/>
          </w:tcPr>
          <w:p w14:paraId="28AB83F2" w14:textId="33205196" w:rsidR="008F302C" w:rsidRPr="003E2022" w:rsidRDefault="008F302C" w:rsidP="008F302C">
            <w:pPr>
              <w:spacing w:before="0"/>
              <w:jc w:val="right"/>
              <w:rPr>
                <w:rFonts w:cs="Arial"/>
                <w:color w:val="000000"/>
                <w:sz w:val="18"/>
                <w:szCs w:val="18"/>
              </w:rPr>
            </w:pPr>
            <w:r w:rsidRPr="00656EFB">
              <w:t>52.2</w:t>
            </w:r>
          </w:p>
        </w:tc>
        <w:tc>
          <w:tcPr>
            <w:tcW w:w="1099" w:type="dxa"/>
            <w:tcBorders>
              <w:top w:val="nil"/>
              <w:left w:val="nil"/>
              <w:bottom w:val="single" w:sz="8" w:space="0" w:color="FFFFFF"/>
              <w:right w:val="single" w:sz="8" w:space="0" w:color="FFFFFF"/>
            </w:tcBorders>
            <w:shd w:val="clear" w:color="auto" w:fill="auto"/>
            <w:noWrap/>
            <w:vAlign w:val="center"/>
            <w:hideMark/>
          </w:tcPr>
          <w:p w14:paraId="56F1907D" w14:textId="247CAC96" w:rsidR="008F302C" w:rsidRPr="003E2022" w:rsidRDefault="008F302C" w:rsidP="008F302C">
            <w:pPr>
              <w:spacing w:before="0"/>
              <w:jc w:val="right"/>
              <w:rPr>
                <w:rFonts w:cs="Arial"/>
                <w:color w:val="000000"/>
                <w:sz w:val="18"/>
                <w:szCs w:val="18"/>
              </w:rPr>
            </w:pPr>
            <w:r w:rsidRPr="00656EFB">
              <w:t>64.3</w:t>
            </w:r>
          </w:p>
        </w:tc>
        <w:tc>
          <w:tcPr>
            <w:tcW w:w="1100" w:type="dxa"/>
            <w:tcBorders>
              <w:top w:val="nil"/>
              <w:left w:val="nil"/>
              <w:bottom w:val="single" w:sz="8" w:space="0" w:color="FFFFFF"/>
              <w:right w:val="single" w:sz="8" w:space="0" w:color="FFFFFF"/>
            </w:tcBorders>
            <w:shd w:val="clear" w:color="auto" w:fill="auto"/>
            <w:vAlign w:val="center"/>
            <w:hideMark/>
          </w:tcPr>
          <w:p w14:paraId="0C40E062" w14:textId="396BA861" w:rsidR="008F302C" w:rsidRPr="003E2022" w:rsidRDefault="008F302C" w:rsidP="008F302C">
            <w:pPr>
              <w:spacing w:before="0"/>
              <w:jc w:val="right"/>
              <w:rPr>
                <w:rFonts w:cs="Arial"/>
                <w:color w:val="000000"/>
                <w:sz w:val="18"/>
                <w:szCs w:val="18"/>
              </w:rPr>
            </w:pPr>
            <w:r w:rsidRPr="00656EFB">
              <w:t>38.1</w:t>
            </w:r>
          </w:p>
        </w:tc>
        <w:tc>
          <w:tcPr>
            <w:tcW w:w="1100" w:type="dxa"/>
            <w:tcBorders>
              <w:top w:val="nil"/>
              <w:left w:val="nil"/>
              <w:bottom w:val="single" w:sz="8" w:space="0" w:color="FFFFFF"/>
              <w:right w:val="single" w:sz="8" w:space="0" w:color="FFFFFF"/>
            </w:tcBorders>
            <w:shd w:val="clear" w:color="auto" w:fill="auto"/>
            <w:vAlign w:val="center"/>
            <w:hideMark/>
          </w:tcPr>
          <w:p w14:paraId="2FECC254" w14:textId="6E23E5D9" w:rsidR="008F302C" w:rsidRPr="003E2022" w:rsidRDefault="008F302C" w:rsidP="008F302C">
            <w:pPr>
              <w:spacing w:before="0"/>
              <w:jc w:val="right"/>
              <w:rPr>
                <w:rFonts w:cs="Arial"/>
                <w:color w:val="000000"/>
                <w:sz w:val="18"/>
                <w:szCs w:val="18"/>
              </w:rPr>
            </w:pPr>
            <w:r w:rsidRPr="00656EFB">
              <w:t>53.3</w:t>
            </w:r>
          </w:p>
        </w:tc>
        <w:tc>
          <w:tcPr>
            <w:tcW w:w="1141" w:type="dxa"/>
            <w:tcBorders>
              <w:top w:val="nil"/>
              <w:left w:val="nil"/>
              <w:bottom w:val="single" w:sz="8" w:space="0" w:color="FFFFFF"/>
              <w:right w:val="single" w:sz="8" w:space="0" w:color="FFFFFF"/>
            </w:tcBorders>
            <w:shd w:val="clear" w:color="auto" w:fill="auto"/>
            <w:noWrap/>
            <w:vAlign w:val="center"/>
            <w:hideMark/>
          </w:tcPr>
          <w:p w14:paraId="28E7E93C" w14:textId="70C53F3E" w:rsidR="008F302C" w:rsidRPr="003E2022" w:rsidRDefault="008F302C" w:rsidP="008F302C">
            <w:pPr>
              <w:spacing w:before="0"/>
              <w:jc w:val="right"/>
              <w:rPr>
                <w:rFonts w:cs="Arial"/>
                <w:color w:val="000000"/>
                <w:sz w:val="18"/>
                <w:szCs w:val="18"/>
              </w:rPr>
            </w:pPr>
            <w:r w:rsidRPr="006C715F">
              <w:t>53.8</w:t>
            </w:r>
          </w:p>
        </w:tc>
        <w:tc>
          <w:tcPr>
            <w:tcW w:w="1142" w:type="dxa"/>
            <w:tcBorders>
              <w:top w:val="nil"/>
              <w:left w:val="nil"/>
              <w:bottom w:val="single" w:sz="8" w:space="0" w:color="FFFFFF"/>
              <w:right w:val="single" w:sz="8" w:space="0" w:color="FFFFFF"/>
            </w:tcBorders>
            <w:shd w:val="clear" w:color="auto" w:fill="auto"/>
            <w:noWrap/>
            <w:vAlign w:val="center"/>
            <w:hideMark/>
          </w:tcPr>
          <w:p w14:paraId="63EB58AB" w14:textId="699CACF9" w:rsidR="008F302C" w:rsidRPr="003E2022" w:rsidRDefault="008F302C" w:rsidP="008F302C">
            <w:pPr>
              <w:spacing w:before="0"/>
              <w:jc w:val="right"/>
              <w:rPr>
                <w:rFonts w:cs="Arial"/>
                <w:color w:val="000000"/>
                <w:sz w:val="18"/>
                <w:szCs w:val="18"/>
              </w:rPr>
            </w:pPr>
            <w:r w:rsidRPr="006C715F">
              <w:t>51.2</w:t>
            </w:r>
          </w:p>
        </w:tc>
        <w:tc>
          <w:tcPr>
            <w:tcW w:w="1141" w:type="dxa"/>
            <w:tcBorders>
              <w:top w:val="nil"/>
              <w:left w:val="nil"/>
              <w:bottom w:val="single" w:sz="8" w:space="0" w:color="FFFFFF"/>
              <w:right w:val="single" w:sz="8" w:space="0" w:color="FFFFFF"/>
            </w:tcBorders>
            <w:shd w:val="clear" w:color="auto" w:fill="auto"/>
            <w:noWrap/>
            <w:vAlign w:val="center"/>
            <w:hideMark/>
          </w:tcPr>
          <w:p w14:paraId="56B588F6" w14:textId="5F0FE3C8" w:rsidR="008F302C" w:rsidRPr="003E2022" w:rsidRDefault="008F302C" w:rsidP="008F302C">
            <w:pPr>
              <w:spacing w:before="0"/>
              <w:jc w:val="right"/>
              <w:rPr>
                <w:rFonts w:cs="Arial"/>
                <w:color w:val="000000"/>
                <w:sz w:val="18"/>
                <w:szCs w:val="18"/>
              </w:rPr>
            </w:pPr>
            <w:r w:rsidRPr="006C715F">
              <w:t>57.5</w:t>
            </w:r>
          </w:p>
        </w:tc>
        <w:tc>
          <w:tcPr>
            <w:tcW w:w="1142" w:type="dxa"/>
            <w:tcBorders>
              <w:top w:val="nil"/>
              <w:left w:val="nil"/>
              <w:bottom w:val="single" w:sz="8" w:space="0" w:color="FFFFFF"/>
              <w:right w:val="single" w:sz="8" w:space="0" w:color="FFFFFF"/>
            </w:tcBorders>
            <w:shd w:val="clear" w:color="auto" w:fill="auto"/>
            <w:vAlign w:val="center"/>
            <w:hideMark/>
          </w:tcPr>
          <w:p w14:paraId="0D543457" w14:textId="1151AEA5" w:rsidR="008F302C" w:rsidRPr="003E2022" w:rsidRDefault="008F302C" w:rsidP="008F302C">
            <w:pPr>
              <w:spacing w:before="0"/>
              <w:jc w:val="right"/>
              <w:rPr>
                <w:rFonts w:cs="Arial"/>
                <w:color w:val="000000"/>
                <w:sz w:val="18"/>
                <w:szCs w:val="18"/>
              </w:rPr>
            </w:pPr>
            <w:r w:rsidRPr="006C715F">
              <w:t>71.2</w:t>
            </w:r>
          </w:p>
        </w:tc>
        <w:tc>
          <w:tcPr>
            <w:tcW w:w="1276" w:type="dxa"/>
            <w:tcBorders>
              <w:top w:val="nil"/>
              <w:left w:val="nil"/>
              <w:bottom w:val="single" w:sz="8" w:space="0" w:color="FFFFFF"/>
              <w:right w:val="single" w:sz="8" w:space="0" w:color="FFFFFF"/>
            </w:tcBorders>
            <w:shd w:val="clear" w:color="auto" w:fill="auto"/>
            <w:noWrap/>
            <w:vAlign w:val="center"/>
            <w:hideMark/>
          </w:tcPr>
          <w:p w14:paraId="7268A174" w14:textId="0481DAAF" w:rsidR="008F302C" w:rsidRPr="003E2022" w:rsidRDefault="008F302C" w:rsidP="008F302C">
            <w:pPr>
              <w:spacing w:before="0"/>
              <w:jc w:val="right"/>
              <w:rPr>
                <w:rFonts w:cs="Arial"/>
                <w:color w:val="000000"/>
                <w:sz w:val="18"/>
                <w:szCs w:val="18"/>
              </w:rPr>
            </w:pPr>
            <w:r w:rsidRPr="00526201">
              <w:t>51.4</w:t>
            </w:r>
          </w:p>
        </w:tc>
        <w:tc>
          <w:tcPr>
            <w:tcW w:w="1134" w:type="dxa"/>
            <w:tcBorders>
              <w:top w:val="nil"/>
              <w:left w:val="nil"/>
              <w:bottom w:val="single" w:sz="8" w:space="0" w:color="FFFFFF"/>
              <w:right w:val="single" w:sz="8" w:space="0" w:color="FFFFFF"/>
            </w:tcBorders>
            <w:shd w:val="clear" w:color="auto" w:fill="auto"/>
            <w:noWrap/>
            <w:vAlign w:val="center"/>
            <w:hideMark/>
          </w:tcPr>
          <w:p w14:paraId="3306D3A8" w14:textId="4E5DDAD9" w:rsidR="008F302C" w:rsidRPr="003E2022" w:rsidRDefault="008F302C" w:rsidP="008F302C">
            <w:pPr>
              <w:spacing w:before="0"/>
              <w:jc w:val="right"/>
              <w:rPr>
                <w:rFonts w:cs="Arial"/>
                <w:color w:val="000000"/>
                <w:sz w:val="18"/>
                <w:szCs w:val="18"/>
              </w:rPr>
            </w:pPr>
            <w:r w:rsidRPr="00526201">
              <w:t>47.6</w:t>
            </w:r>
          </w:p>
        </w:tc>
      </w:tr>
      <w:tr w:rsidR="008F302C" w:rsidRPr="003E2022" w14:paraId="64D5994B"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20E039E6"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Services to claimant</w:t>
            </w:r>
          </w:p>
        </w:tc>
        <w:tc>
          <w:tcPr>
            <w:tcW w:w="1099" w:type="dxa"/>
            <w:tcBorders>
              <w:top w:val="nil"/>
              <w:left w:val="nil"/>
              <w:bottom w:val="single" w:sz="8" w:space="0" w:color="FFFFFF"/>
              <w:right w:val="single" w:sz="8" w:space="0" w:color="FFFFFF"/>
            </w:tcBorders>
            <w:shd w:val="clear" w:color="000000" w:fill="EFD3D2"/>
            <w:noWrap/>
            <w:vAlign w:val="center"/>
            <w:hideMark/>
          </w:tcPr>
          <w:p w14:paraId="5519E294" w14:textId="0F5662E3" w:rsidR="008F302C" w:rsidRPr="003E2022" w:rsidRDefault="008F302C" w:rsidP="008F302C">
            <w:pPr>
              <w:spacing w:before="0"/>
              <w:jc w:val="right"/>
              <w:rPr>
                <w:rFonts w:cs="Arial"/>
                <w:color w:val="000000"/>
                <w:sz w:val="18"/>
                <w:szCs w:val="18"/>
              </w:rPr>
            </w:pPr>
            <w:r w:rsidRPr="00656EFB">
              <w:t>33.5</w:t>
            </w:r>
          </w:p>
        </w:tc>
        <w:tc>
          <w:tcPr>
            <w:tcW w:w="1100" w:type="dxa"/>
            <w:tcBorders>
              <w:top w:val="nil"/>
              <w:left w:val="nil"/>
              <w:bottom w:val="single" w:sz="8" w:space="0" w:color="FFFFFF"/>
              <w:right w:val="single" w:sz="8" w:space="0" w:color="FFFFFF"/>
            </w:tcBorders>
            <w:shd w:val="clear" w:color="000000" w:fill="EFD3D2"/>
            <w:noWrap/>
            <w:vAlign w:val="center"/>
            <w:hideMark/>
          </w:tcPr>
          <w:p w14:paraId="5D16202E" w14:textId="578672FC" w:rsidR="008F302C" w:rsidRPr="003E2022" w:rsidRDefault="008F302C" w:rsidP="008F302C">
            <w:pPr>
              <w:spacing w:before="0"/>
              <w:jc w:val="right"/>
              <w:rPr>
                <w:rFonts w:cs="Arial"/>
                <w:color w:val="000000"/>
                <w:sz w:val="18"/>
                <w:szCs w:val="18"/>
              </w:rPr>
            </w:pPr>
            <w:r w:rsidRPr="00656EFB">
              <w:t>29.8</w:t>
            </w:r>
          </w:p>
        </w:tc>
        <w:tc>
          <w:tcPr>
            <w:tcW w:w="1099" w:type="dxa"/>
            <w:tcBorders>
              <w:top w:val="nil"/>
              <w:left w:val="nil"/>
              <w:bottom w:val="single" w:sz="8" w:space="0" w:color="FFFFFF"/>
              <w:right w:val="single" w:sz="8" w:space="0" w:color="FFFFFF"/>
            </w:tcBorders>
            <w:shd w:val="clear" w:color="000000" w:fill="EFD3D2"/>
            <w:noWrap/>
            <w:vAlign w:val="center"/>
            <w:hideMark/>
          </w:tcPr>
          <w:p w14:paraId="34DD6B70" w14:textId="07EB0803" w:rsidR="008F302C" w:rsidRPr="003E2022" w:rsidRDefault="008F302C" w:rsidP="008F302C">
            <w:pPr>
              <w:spacing w:before="0"/>
              <w:jc w:val="right"/>
              <w:rPr>
                <w:rFonts w:cs="Arial"/>
                <w:color w:val="000000"/>
                <w:sz w:val="18"/>
                <w:szCs w:val="18"/>
              </w:rPr>
            </w:pPr>
            <w:r w:rsidRPr="00656EFB">
              <w:t>22.9</w:t>
            </w:r>
          </w:p>
        </w:tc>
        <w:tc>
          <w:tcPr>
            <w:tcW w:w="1100" w:type="dxa"/>
            <w:tcBorders>
              <w:top w:val="nil"/>
              <w:left w:val="nil"/>
              <w:bottom w:val="single" w:sz="8" w:space="0" w:color="FFFFFF"/>
              <w:right w:val="single" w:sz="8" w:space="0" w:color="FFFFFF"/>
            </w:tcBorders>
            <w:shd w:val="clear" w:color="000000" w:fill="EFD3D2"/>
            <w:vAlign w:val="center"/>
            <w:hideMark/>
          </w:tcPr>
          <w:p w14:paraId="2D6F82A7" w14:textId="15103898" w:rsidR="008F302C" w:rsidRPr="003E2022" w:rsidRDefault="008F302C" w:rsidP="008F302C">
            <w:pPr>
              <w:spacing w:before="0"/>
              <w:jc w:val="right"/>
              <w:rPr>
                <w:rFonts w:cs="Arial"/>
                <w:color w:val="000000"/>
                <w:sz w:val="18"/>
                <w:szCs w:val="18"/>
              </w:rPr>
            </w:pPr>
            <w:r w:rsidRPr="00656EFB">
              <w:t>26.6</w:t>
            </w:r>
          </w:p>
        </w:tc>
        <w:tc>
          <w:tcPr>
            <w:tcW w:w="1100" w:type="dxa"/>
            <w:tcBorders>
              <w:top w:val="nil"/>
              <w:left w:val="nil"/>
              <w:bottom w:val="single" w:sz="8" w:space="0" w:color="FFFFFF"/>
              <w:right w:val="single" w:sz="8" w:space="0" w:color="FFFFFF"/>
            </w:tcBorders>
            <w:shd w:val="clear" w:color="000000" w:fill="EFD3D2"/>
            <w:vAlign w:val="center"/>
            <w:hideMark/>
          </w:tcPr>
          <w:p w14:paraId="29F407C7" w14:textId="274676AB" w:rsidR="008F302C" w:rsidRPr="003E2022" w:rsidRDefault="00A739CA" w:rsidP="008F302C">
            <w:pPr>
              <w:spacing w:before="0"/>
              <w:jc w:val="right"/>
              <w:rPr>
                <w:rFonts w:cs="Arial"/>
                <w:color w:val="000000"/>
                <w:sz w:val="18"/>
                <w:szCs w:val="18"/>
              </w:rPr>
            </w:pPr>
            <w:r>
              <w:t>29.3</w:t>
            </w:r>
          </w:p>
        </w:tc>
        <w:tc>
          <w:tcPr>
            <w:tcW w:w="1141" w:type="dxa"/>
            <w:tcBorders>
              <w:top w:val="nil"/>
              <w:left w:val="nil"/>
              <w:bottom w:val="single" w:sz="8" w:space="0" w:color="FFFFFF"/>
              <w:right w:val="single" w:sz="8" w:space="0" w:color="FFFFFF"/>
            </w:tcBorders>
            <w:shd w:val="clear" w:color="000000" w:fill="EFD3D2"/>
            <w:noWrap/>
            <w:vAlign w:val="center"/>
            <w:hideMark/>
          </w:tcPr>
          <w:p w14:paraId="11DB1F3C" w14:textId="41B6EC4C" w:rsidR="008F302C" w:rsidRPr="003E2022" w:rsidRDefault="008F302C" w:rsidP="008F302C">
            <w:pPr>
              <w:spacing w:before="0"/>
              <w:jc w:val="right"/>
              <w:rPr>
                <w:rFonts w:cs="Arial"/>
                <w:color w:val="000000"/>
                <w:sz w:val="18"/>
                <w:szCs w:val="18"/>
              </w:rPr>
            </w:pPr>
            <w:r w:rsidRPr="006C715F">
              <w:t>25.9</w:t>
            </w:r>
          </w:p>
        </w:tc>
        <w:tc>
          <w:tcPr>
            <w:tcW w:w="1142" w:type="dxa"/>
            <w:tcBorders>
              <w:top w:val="nil"/>
              <w:left w:val="nil"/>
              <w:bottom w:val="single" w:sz="8" w:space="0" w:color="FFFFFF"/>
              <w:right w:val="single" w:sz="8" w:space="0" w:color="FFFFFF"/>
            </w:tcBorders>
            <w:shd w:val="clear" w:color="000000" w:fill="EFD3D2"/>
            <w:noWrap/>
            <w:vAlign w:val="center"/>
            <w:hideMark/>
          </w:tcPr>
          <w:p w14:paraId="1E49EE48" w14:textId="45203F16" w:rsidR="008F302C" w:rsidRPr="003E2022" w:rsidRDefault="008F302C" w:rsidP="008F302C">
            <w:pPr>
              <w:spacing w:before="0"/>
              <w:jc w:val="right"/>
              <w:rPr>
                <w:rFonts w:cs="Arial"/>
                <w:color w:val="000000"/>
                <w:sz w:val="18"/>
                <w:szCs w:val="18"/>
              </w:rPr>
            </w:pPr>
            <w:r w:rsidRPr="006C715F">
              <w:t>28.8</w:t>
            </w:r>
          </w:p>
        </w:tc>
        <w:tc>
          <w:tcPr>
            <w:tcW w:w="1141" w:type="dxa"/>
            <w:tcBorders>
              <w:top w:val="nil"/>
              <w:left w:val="nil"/>
              <w:bottom w:val="single" w:sz="8" w:space="0" w:color="FFFFFF"/>
              <w:right w:val="single" w:sz="8" w:space="0" w:color="FFFFFF"/>
            </w:tcBorders>
            <w:shd w:val="clear" w:color="000000" w:fill="EFD3D2"/>
            <w:noWrap/>
            <w:vAlign w:val="center"/>
            <w:hideMark/>
          </w:tcPr>
          <w:p w14:paraId="1546FD73" w14:textId="6C7C181E" w:rsidR="008F302C" w:rsidRPr="003E2022" w:rsidRDefault="008F302C" w:rsidP="008F302C">
            <w:pPr>
              <w:spacing w:before="0"/>
              <w:jc w:val="right"/>
              <w:rPr>
                <w:rFonts w:cs="Arial"/>
                <w:color w:val="000000"/>
                <w:sz w:val="18"/>
                <w:szCs w:val="18"/>
              </w:rPr>
            </w:pPr>
            <w:r w:rsidRPr="006C715F">
              <w:t>38.6</w:t>
            </w:r>
          </w:p>
        </w:tc>
        <w:tc>
          <w:tcPr>
            <w:tcW w:w="1142" w:type="dxa"/>
            <w:tcBorders>
              <w:top w:val="nil"/>
              <w:left w:val="nil"/>
              <w:bottom w:val="single" w:sz="8" w:space="0" w:color="FFFFFF"/>
              <w:right w:val="single" w:sz="8" w:space="0" w:color="FFFFFF"/>
            </w:tcBorders>
            <w:shd w:val="clear" w:color="000000" w:fill="EFD3D2"/>
            <w:vAlign w:val="center"/>
            <w:hideMark/>
          </w:tcPr>
          <w:p w14:paraId="5F75EE95" w14:textId="767FB15D" w:rsidR="008F302C" w:rsidRPr="003E2022" w:rsidRDefault="00A739CA" w:rsidP="008F302C">
            <w:pPr>
              <w:spacing w:before="0"/>
              <w:jc w:val="right"/>
              <w:rPr>
                <w:rFonts w:cs="Arial"/>
                <w:color w:val="000000"/>
                <w:sz w:val="18"/>
                <w:szCs w:val="18"/>
              </w:rPr>
            </w:pPr>
            <w:r>
              <w:t>14.6</w:t>
            </w:r>
          </w:p>
        </w:tc>
        <w:tc>
          <w:tcPr>
            <w:tcW w:w="1276" w:type="dxa"/>
            <w:tcBorders>
              <w:top w:val="nil"/>
              <w:left w:val="nil"/>
              <w:bottom w:val="single" w:sz="8" w:space="0" w:color="FFFFFF"/>
              <w:right w:val="single" w:sz="8" w:space="0" w:color="FFFFFF"/>
            </w:tcBorders>
            <w:shd w:val="clear" w:color="000000" w:fill="EFD3D2"/>
            <w:noWrap/>
            <w:vAlign w:val="center"/>
            <w:hideMark/>
          </w:tcPr>
          <w:p w14:paraId="4A4EA0BF" w14:textId="0C640151" w:rsidR="008F302C" w:rsidRPr="003E2022" w:rsidRDefault="008F302C" w:rsidP="00A739CA">
            <w:pPr>
              <w:spacing w:before="0"/>
              <w:jc w:val="right"/>
              <w:rPr>
                <w:rFonts w:cs="Arial"/>
                <w:color w:val="000000"/>
                <w:sz w:val="18"/>
                <w:szCs w:val="18"/>
              </w:rPr>
            </w:pPr>
            <w:r w:rsidRPr="00526201">
              <w:t>2</w:t>
            </w:r>
            <w:r w:rsidR="00A739CA">
              <w:t>9.1</w:t>
            </w:r>
          </w:p>
        </w:tc>
        <w:tc>
          <w:tcPr>
            <w:tcW w:w="1134" w:type="dxa"/>
            <w:tcBorders>
              <w:top w:val="nil"/>
              <w:left w:val="nil"/>
              <w:bottom w:val="single" w:sz="8" w:space="0" w:color="FFFFFF"/>
              <w:right w:val="single" w:sz="8" w:space="0" w:color="FFFFFF"/>
            </w:tcBorders>
            <w:shd w:val="clear" w:color="000000" w:fill="EFD3D2"/>
            <w:noWrap/>
            <w:vAlign w:val="center"/>
            <w:hideMark/>
          </w:tcPr>
          <w:p w14:paraId="45799854" w14:textId="24DEA578" w:rsidR="008F302C" w:rsidRPr="003E2022" w:rsidRDefault="008F302C" w:rsidP="008F302C">
            <w:pPr>
              <w:spacing w:before="0"/>
              <w:jc w:val="right"/>
              <w:rPr>
                <w:rFonts w:cs="Arial"/>
                <w:color w:val="000000"/>
                <w:sz w:val="18"/>
                <w:szCs w:val="18"/>
              </w:rPr>
            </w:pPr>
            <w:r w:rsidRPr="00526201">
              <w:t>33.5</w:t>
            </w:r>
          </w:p>
        </w:tc>
      </w:tr>
      <w:tr w:rsidR="008F302C" w:rsidRPr="003E2022" w14:paraId="34A172A5"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7166B6B9"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Insurance operations</w:t>
            </w:r>
          </w:p>
        </w:tc>
        <w:tc>
          <w:tcPr>
            <w:tcW w:w="1099" w:type="dxa"/>
            <w:tcBorders>
              <w:top w:val="nil"/>
              <w:left w:val="nil"/>
              <w:bottom w:val="single" w:sz="8" w:space="0" w:color="FFFFFF"/>
              <w:right w:val="single" w:sz="8" w:space="0" w:color="FFFFFF"/>
            </w:tcBorders>
            <w:shd w:val="clear" w:color="auto" w:fill="auto"/>
            <w:noWrap/>
            <w:vAlign w:val="center"/>
            <w:hideMark/>
          </w:tcPr>
          <w:p w14:paraId="0C7CC74E" w14:textId="5827F955" w:rsidR="008F302C" w:rsidRPr="003E2022" w:rsidRDefault="008F302C" w:rsidP="008F302C">
            <w:pPr>
              <w:spacing w:before="0"/>
              <w:jc w:val="right"/>
              <w:rPr>
                <w:rFonts w:cs="Arial"/>
                <w:color w:val="000000"/>
                <w:sz w:val="18"/>
                <w:szCs w:val="18"/>
              </w:rPr>
            </w:pPr>
            <w:r w:rsidRPr="00656EFB">
              <w:t>16.8</w:t>
            </w:r>
          </w:p>
        </w:tc>
        <w:tc>
          <w:tcPr>
            <w:tcW w:w="1100" w:type="dxa"/>
            <w:tcBorders>
              <w:top w:val="nil"/>
              <w:left w:val="nil"/>
              <w:bottom w:val="single" w:sz="8" w:space="0" w:color="FFFFFF"/>
              <w:right w:val="single" w:sz="8" w:space="0" w:color="FFFFFF"/>
            </w:tcBorders>
            <w:shd w:val="clear" w:color="auto" w:fill="auto"/>
            <w:noWrap/>
            <w:vAlign w:val="center"/>
            <w:hideMark/>
          </w:tcPr>
          <w:p w14:paraId="29F6A4A0" w14:textId="4572EF87" w:rsidR="008F302C" w:rsidRPr="003E2022" w:rsidRDefault="008F302C" w:rsidP="008F302C">
            <w:pPr>
              <w:spacing w:before="0"/>
              <w:jc w:val="right"/>
              <w:rPr>
                <w:rFonts w:cs="Arial"/>
                <w:color w:val="000000"/>
                <w:sz w:val="18"/>
                <w:szCs w:val="18"/>
              </w:rPr>
            </w:pPr>
            <w:r w:rsidRPr="00656EFB">
              <w:t>11.9</w:t>
            </w:r>
          </w:p>
        </w:tc>
        <w:tc>
          <w:tcPr>
            <w:tcW w:w="1099" w:type="dxa"/>
            <w:tcBorders>
              <w:top w:val="nil"/>
              <w:left w:val="nil"/>
              <w:bottom w:val="single" w:sz="8" w:space="0" w:color="FFFFFF"/>
              <w:right w:val="single" w:sz="8" w:space="0" w:color="FFFFFF"/>
            </w:tcBorders>
            <w:shd w:val="clear" w:color="auto" w:fill="auto"/>
            <w:noWrap/>
            <w:vAlign w:val="center"/>
            <w:hideMark/>
          </w:tcPr>
          <w:p w14:paraId="761644D2" w14:textId="10BC27B6" w:rsidR="008F302C" w:rsidRPr="003E2022" w:rsidRDefault="008F302C" w:rsidP="008F302C">
            <w:pPr>
              <w:spacing w:before="0"/>
              <w:jc w:val="right"/>
              <w:rPr>
                <w:rFonts w:cs="Arial"/>
                <w:color w:val="000000"/>
                <w:sz w:val="18"/>
                <w:szCs w:val="18"/>
              </w:rPr>
            </w:pPr>
            <w:r w:rsidRPr="00656EFB">
              <w:t>7.4</w:t>
            </w:r>
          </w:p>
        </w:tc>
        <w:tc>
          <w:tcPr>
            <w:tcW w:w="1100" w:type="dxa"/>
            <w:tcBorders>
              <w:top w:val="nil"/>
              <w:left w:val="nil"/>
              <w:bottom w:val="single" w:sz="8" w:space="0" w:color="FFFFFF"/>
              <w:right w:val="single" w:sz="8" w:space="0" w:color="FFFFFF"/>
            </w:tcBorders>
            <w:shd w:val="clear" w:color="auto" w:fill="auto"/>
            <w:vAlign w:val="center"/>
            <w:hideMark/>
          </w:tcPr>
          <w:p w14:paraId="4F5B1D0E" w14:textId="0B97FEBE" w:rsidR="008F302C" w:rsidRPr="003E2022" w:rsidRDefault="008F302C" w:rsidP="008F302C">
            <w:pPr>
              <w:spacing w:before="0"/>
              <w:jc w:val="right"/>
              <w:rPr>
                <w:rFonts w:cs="Arial"/>
                <w:color w:val="000000"/>
                <w:sz w:val="18"/>
                <w:szCs w:val="18"/>
              </w:rPr>
            </w:pPr>
            <w:r w:rsidRPr="00656EFB">
              <w:t>13.8</w:t>
            </w:r>
          </w:p>
        </w:tc>
        <w:tc>
          <w:tcPr>
            <w:tcW w:w="1100" w:type="dxa"/>
            <w:tcBorders>
              <w:top w:val="nil"/>
              <w:left w:val="nil"/>
              <w:bottom w:val="single" w:sz="8" w:space="0" w:color="FFFFFF"/>
              <w:right w:val="single" w:sz="8" w:space="0" w:color="FFFFFF"/>
            </w:tcBorders>
            <w:shd w:val="clear" w:color="auto" w:fill="auto"/>
            <w:vAlign w:val="center"/>
            <w:hideMark/>
          </w:tcPr>
          <w:p w14:paraId="75768A29" w14:textId="3AF2D390" w:rsidR="008F302C" w:rsidRPr="003E2022" w:rsidRDefault="00A739CA" w:rsidP="008F302C">
            <w:pPr>
              <w:spacing w:before="0"/>
              <w:jc w:val="right"/>
              <w:rPr>
                <w:rFonts w:cs="Arial"/>
                <w:color w:val="000000"/>
                <w:sz w:val="18"/>
                <w:szCs w:val="18"/>
              </w:rPr>
            </w:pPr>
            <w:r>
              <w:t>8.4</w:t>
            </w:r>
          </w:p>
        </w:tc>
        <w:tc>
          <w:tcPr>
            <w:tcW w:w="1141" w:type="dxa"/>
            <w:tcBorders>
              <w:top w:val="nil"/>
              <w:left w:val="nil"/>
              <w:bottom w:val="single" w:sz="8" w:space="0" w:color="FFFFFF"/>
              <w:right w:val="single" w:sz="8" w:space="0" w:color="FFFFFF"/>
            </w:tcBorders>
            <w:shd w:val="clear" w:color="auto" w:fill="auto"/>
            <w:noWrap/>
            <w:vAlign w:val="center"/>
            <w:hideMark/>
          </w:tcPr>
          <w:p w14:paraId="5F9F2C32" w14:textId="4DCAADC3" w:rsidR="008F302C" w:rsidRPr="003E2022" w:rsidRDefault="008F302C" w:rsidP="008F302C">
            <w:pPr>
              <w:spacing w:before="0"/>
              <w:jc w:val="right"/>
              <w:rPr>
                <w:rFonts w:cs="Arial"/>
                <w:color w:val="000000"/>
                <w:sz w:val="18"/>
                <w:szCs w:val="18"/>
              </w:rPr>
            </w:pPr>
            <w:r w:rsidRPr="006C715F">
              <w:t>18.7</w:t>
            </w:r>
          </w:p>
        </w:tc>
        <w:tc>
          <w:tcPr>
            <w:tcW w:w="1142" w:type="dxa"/>
            <w:tcBorders>
              <w:top w:val="nil"/>
              <w:left w:val="nil"/>
              <w:bottom w:val="single" w:sz="8" w:space="0" w:color="FFFFFF"/>
              <w:right w:val="single" w:sz="8" w:space="0" w:color="FFFFFF"/>
            </w:tcBorders>
            <w:shd w:val="clear" w:color="auto" w:fill="auto"/>
            <w:noWrap/>
            <w:vAlign w:val="center"/>
            <w:hideMark/>
          </w:tcPr>
          <w:p w14:paraId="786F6A2E" w14:textId="03B3A455" w:rsidR="008F302C" w:rsidRPr="003E2022" w:rsidRDefault="008F302C" w:rsidP="008F302C">
            <w:pPr>
              <w:spacing w:before="0"/>
              <w:jc w:val="right"/>
              <w:rPr>
                <w:rFonts w:cs="Arial"/>
                <w:color w:val="000000"/>
                <w:sz w:val="18"/>
                <w:szCs w:val="18"/>
              </w:rPr>
            </w:pPr>
            <w:r w:rsidRPr="006C715F">
              <w:t>16.7</w:t>
            </w:r>
          </w:p>
        </w:tc>
        <w:tc>
          <w:tcPr>
            <w:tcW w:w="1141" w:type="dxa"/>
            <w:tcBorders>
              <w:top w:val="nil"/>
              <w:left w:val="nil"/>
              <w:bottom w:val="single" w:sz="8" w:space="0" w:color="FFFFFF"/>
              <w:right w:val="single" w:sz="8" w:space="0" w:color="FFFFFF"/>
            </w:tcBorders>
            <w:shd w:val="clear" w:color="auto" w:fill="auto"/>
            <w:noWrap/>
            <w:vAlign w:val="center"/>
            <w:hideMark/>
          </w:tcPr>
          <w:p w14:paraId="654955C1" w14:textId="1CD5F738" w:rsidR="008F302C" w:rsidRPr="003E2022" w:rsidRDefault="008F302C" w:rsidP="008F302C">
            <w:pPr>
              <w:spacing w:before="0"/>
              <w:jc w:val="right"/>
              <w:rPr>
                <w:rFonts w:cs="Arial"/>
                <w:color w:val="000000"/>
                <w:sz w:val="18"/>
                <w:szCs w:val="18"/>
              </w:rPr>
            </w:pPr>
            <w:r w:rsidRPr="006C715F">
              <w:t>1.7</w:t>
            </w:r>
          </w:p>
        </w:tc>
        <w:tc>
          <w:tcPr>
            <w:tcW w:w="1142" w:type="dxa"/>
            <w:tcBorders>
              <w:top w:val="nil"/>
              <w:left w:val="nil"/>
              <w:bottom w:val="single" w:sz="8" w:space="0" w:color="FFFFFF"/>
              <w:right w:val="single" w:sz="8" w:space="0" w:color="FFFFFF"/>
            </w:tcBorders>
            <w:shd w:val="clear" w:color="auto" w:fill="auto"/>
            <w:vAlign w:val="center"/>
            <w:hideMark/>
          </w:tcPr>
          <w:p w14:paraId="496BAE72" w14:textId="1229F103" w:rsidR="008F302C" w:rsidRPr="003E2022" w:rsidRDefault="00A739CA" w:rsidP="008F302C">
            <w:pPr>
              <w:spacing w:before="0"/>
              <w:jc w:val="right"/>
              <w:rPr>
                <w:rFonts w:cs="Arial"/>
                <w:color w:val="000000"/>
                <w:sz w:val="18"/>
                <w:szCs w:val="18"/>
              </w:rPr>
            </w:pPr>
            <w:r>
              <w:t>9.8</w:t>
            </w:r>
          </w:p>
        </w:tc>
        <w:tc>
          <w:tcPr>
            <w:tcW w:w="1276" w:type="dxa"/>
            <w:tcBorders>
              <w:top w:val="nil"/>
              <w:left w:val="nil"/>
              <w:bottom w:val="single" w:sz="8" w:space="0" w:color="FFFFFF"/>
              <w:right w:val="single" w:sz="8" w:space="0" w:color="FFFFFF"/>
            </w:tcBorders>
            <w:shd w:val="clear" w:color="auto" w:fill="auto"/>
            <w:noWrap/>
            <w:vAlign w:val="center"/>
            <w:hideMark/>
          </w:tcPr>
          <w:p w14:paraId="43102361" w14:textId="5A981319" w:rsidR="008F302C" w:rsidRPr="003E2022" w:rsidRDefault="008F302C" w:rsidP="00A739CA">
            <w:pPr>
              <w:spacing w:before="0"/>
              <w:jc w:val="right"/>
              <w:rPr>
                <w:rFonts w:cs="Arial"/>
                <w:color w:val="000000"/>
                <w:sz w:val="18"/>
                <w:szCs w:val="18"/>
              </w:rPr>
            </w:pPr>
            <w:r w:rsidRPr="00526201">
              <w:t>13.</w:t>
            </w:r>
            <w:r w:rsidR="00A739CA">
              <w:t>6</w:t>
            </w:r>
          </w:p>
        </w:tc>
        <w:tc>
          <w:tcPr>
            <w:tcW w:w="1134" w:type="dxa"/>
            <w:tcBorders>
              <w:top w:val="nil"/>
              <w:left w:val="nil"/>
              <w:bottom w:val="single" w:sz="8" w:space="0" w:color="FFFFFF"/>
              <w:right w:val="single" w:sz="8" w:space="0" w:color="FFFFFF"/>
            </w:tcBorders>
            <w:shd w:val="clear" w:color="auto" w:fill="auto"/>
            <w:noWrap/>
            <w:vAlign w:val="center"/>
            <w:hideMark/>
          </w:tcPr>
          <w:p w14:paraId="5D2A2384" w14:textId="0618D352" w:rsidR="008F302C" w:rsidRPr="003E2022" w:rsidRDefault="008F302C" w:rsidP="008F302C">
            <w:pPr>
              <w:spacing w:before="0"/>
              <w:jc w:val="right"/>
              <w:rPr>
                <w:rFonts w:cs="Arial"/>
                <w:color w:val="000000"/>
                <w:sz w:val="18"/>
                <w:szCs w:val="18"/>
              </w:rPr>
            </w:pPr>
            <w:r w:rsidRPr="00526201">
              <w:t>8.9</w:t>
            </w:r>
          </w:p>
        </w:tc>
      </w:tr>
      <w:tr w:rsidR="008F302C" w:rsidRPr="003E2022" w14:paraId="1C24FD1A"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30B7E8CD"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Regulation</w:t>
            </w:r>
          </w:p>
        </w:tc>
        <w:tc>
          <w:tcPr>
            <w:tcW w:w="1099" w:type="dxa"/>
            <w:tcBorders>
              <w:top w:val="nil"/>
              <w:left w:val="nil"/>
              <w:bottom w:val="single" w:sz="8" w:space="0" w:color="FFFFFF"/>
              <w:right w:val="single" w:sz="8" w:space="0" w:color="FFFFFF"/>
            </w:tcBorders>
            <w:shd w:val="clear" w:color="000000" w:fill="EFD3D2"/>
            <w:noWrap/>
            <w:vAlign w:val="center"/>
            <w:hideMark/>
          </w:tcPr>
          <w:p w14:paraId="1A6AD78B" w14:textId="57E964A2" w:rsidR="008F302C" w:rsidRPr="003E2022" w:rsidRDefault="008F302C" w:rsidP="008F302C">
            <w:pPr>
              <w:spacing w:before="0"/>
              <w:jc w:val="right"/>
              <w:rPr>
                <w:rFonts w:cs="Arial"/>
                <w:color w:val="000000"/>
                <w:sz w:val="18"/>
                <w:szCs w:val="18"/>
              </w:rPr>
            </w:pPr>
            <w:r w:rsidRPr="00656EFB">
              <w:t>0.6</w:t>
            </w:r>
          </w:p>
        </w:tc>
        <w:tc>
          <w:tcPr>
            <w:tcW w:w="1100" w:type="dxa"/>
            <w:tcBorders>
              <w:top w:val="nil"/>
              <w:left w:val="nil"/>
              <w:bottom w:val="single" w:sz="8" w:space="0" w:color="FFFFFF"/>
              <w:right w:val="single" w:sz="8" w:space="0" w:color="FFFFFF"/>
            </w:tcBorders>
            <w:shd w:val="clear" w:color="000000" w:fill="EFD3D2"/>
            <w:noWrap/>
            <w:vAlign w:val="center"/>
            <w:hideMark/>
          </w:tcPr>
          <w:p w14:paraId="0FDBA586" w14:textId="6E06DE7C" w:rsidR="008F302C" w:rsidRPr="003E2022" w:rsidRDefault="008F302C" w:rsidP="008F302C">
            <w:pPr>
              <w:spacing w:before="0"/>
              <w:jc w:val="right"/>
              <w:rPr>
                <w:rFonts w:cs="Arial"/>
                <w:color w:val="000000"/>
                <w:sz w:val="18"/>
                <w:szCs w:val="18"/>
              </w:rPr>
            </w:pPr>
            <w:r w:rsidRPr="00656EFB">
              <w:t>1.9</w:t>
            </w:r>
          </w:p>
        </w:tc>
        <w:tc>
          <w:tcPr>
            <w:tcW w:w="1099" w:type="dxa"/>
            <w:tcBorders>
              <w:top w:val="nil"/>
              <w:left w:val="nil"/>
              <w:bottom w:val="single" w:sz="8" w:space="0" w:color="FFFFFF"/>
              <w:right w:val="single" w:sz="8" w:space="0" w:color="FFFFFF"/>
            </w:tcBorders>
            <w:shd w:val="clear" w:color="000000" w:fill="EFD3D2"/>
            <w:noWrap/>
            <w:vAlign w:val="center"/>
            <w:hideMark/>
          </w:tcPr>
          <w:p w14:paraId="7869B7BB" w14:textId="3A12395D" w:rsidR="008F302C" w:rsidRPr="003E2022" w:rsidRDefault="008F302C" w:rsidP="008F302C">
            <w:pPr>
              <w:spacing w:before="0"/>
              <w:jc w:val="right"/>
              <w:rPr>
                <w:rFonts w:cs="Arial"/>
                <w:color w:val="000000"/>
                <w:sz w:val="18"/>
                <w:szCs w:val="18"/>
              </w:rPr>
            </w:pPr>
            <w:r w:rsidRPr="00656EFB">
              <w:t>0.9</w:t>
            </w:r>
          </w:p>
        </w:tc>
        <w:tc>
          <w:tcPr>
            <w:tcW w:w="1100" w:type="dxa"/>
            <w:tcBorders>
              <w:top w:val="nil"/>
              <w:left w:val="nil"/>
              <w:bottom w:val="single" w:sz="8" w:space="0" w:color="FFFFFF"/>
              <w:right w:val="single" w:sz="8" w:space="0" w:color="FFFFFF"/>
            </w:tcBorders>
            <w:shd w:val="clear" w:color="000000" w:fill="EFD3D2"/>
            <w:vAlign w:val="center"/>
            <w:hideMark/>
          </w:tcPr>
          <w:p w14:paraId="0ABA67AA" w14:textId="006FF96E" w:rsidR="008F302C" w:rsidRPr="003E2022" w:rsidRDefault="008F302C" w:rsidP="008F302C">
            <w:pPr>
              <w:spacing w:before="0"/>
              <w:jc w:val="right"/>
              <w:rPr>
                <w:rFonts w:cs="Arial"/>
                <w:color w:val="000000"/>
                <w:sz w:val="18"/>
                <w:szCs w:val="18"/>
              </w:rPr>
            </w:pPr>
            <w:r w:rsidRPr="00656EFB">
              <w:t>1.1</w:t>
            </w:r>
          </w:p>
        </w:tc>
        <w:tc>
          <w:tcPr>
            <w:tcW w:w="1100" w:type="dxa"/>
            <w:tcBorders>
              <w:top w:val="nil"/>
              <w:left w:val="nil"/>
              <w:bottom w:val="single" w:sz="8" w:space="0" w:color="FFFFFF"/>
              <w:right w:val="single" w:sz="8" w:space="0" w:color="FFFFFF"/>
            </w:tcBorders>
            <w:shd w:val="clear" w:color="000000" w:fill="EFD3D2"/>
            <w:vAlign w:val="center"/>
            <w:hideMark/>
          </w:tcPr>
          <w:p w14:paraId="2C27996F" w14:textId="155138C4" w:rsidR="008F302C" w:rsidRPr="003E2022" w:rsidRDefault="008F302C" w:rsidP="008F302C">
            <w:pPr>
              <w:spacing w:before="0"/>
              <w:jc w:val="right"/>
              <w:rPr>
                <w:rFonts w:cs="Arial"/>
                <w:color w:val="000000"/>
                <w:sz w:val="18"/>
                <w:szCs w:val="18"/>
              </w:rPr>
            </w:pPr>
            <w:r w:rsidRPr="00656EFB">
              <w:t>0.8</w:t>
            </w:r>
          </w:p>
        </w:tc>
        <w:tc>
          <w:tcPr>
            <w:tcW w:w="1141" w:type="dxa"/>
            <w:tcBorders>
              <w:top w:val="nil"/>
              <w:left w:val="nil"/>
              <w:bottom w:val="single" w:sz="8" w:space="0" w:color="FFFFFF"/>
              <w:right w:val="single" w:sz="8" w:space="0" w:color="FFFFFF"/>
            </w:tcBorders>
            <w:shd w:val="clear" w:color="000000" w:fill="EFD3D2"/>
            <w:noWrap/>
            <w:vAlign w:val="center"/>
            <w:hideMark/>
          </w:tcPr>
          <w:p w14:paraId="06360567" w14:textId="74538BCD" w:rsidR="008F302C" w:rsidRPr="003E2022" w:rsidRDefault="008F302C" w:rsidP="008F302C">
            <w:pPr>
              <w:spacing w:before="0"/>
              <w:jc w:val="right"/>
              <w:rPr>
                <w:rFonts w:cs="Arial"/>
                <w:color w:val="000000"/>
                <w:sz w:val="18"/>
                <w:szCs w:val="18"/>
              </w:rPr>
            </w:pPr>
            <w:r w:rsidRPr="006C715F">
              <w:t>0.4</w:t>
            </w:r>
          </w:p>
        </w:tc>
        <w:tc>
          <w:tcPr>
            <w:tcW w:w="1142" w:type="dxa"/>
            <w:tcBorders>
              <w:top w:val="nil"/>
              <w:left w:val="nil"/>
              <w:bottom w:val="single" w:sz="8" w:space="0" w:color="FFFFFF"/>
              <w:right w:val="single" w:sz="8" w:space="0" w:color="FFFFFF"/>
            </w:tcBorders>
            <w:shd w:val="clear" w:color="000000" w:fill="EFD3D2"/>
            <w:noWrap/>
            <w:vAlign w:val="center"/>
            <w:hideMark/>
          </w:tcPr>
          <w:p w14:paraId="6179FE3B" w14:textId="2EF76086" w:rsidR="008F302C" w:rsidRPr="003E2022" w:rsidRDefault="008F302C" w:rsidP="008F302C">
            <w:pPr>
              <w:spacing w:before="0"/>
              <w:jc w:val="right"/>
              <w:rPr>
                <w:rFonts w:cs="Arial"/>
                <w:color w:val="000000"/>
                <w:sz w:val="18"/>
                <w:szCs w:val="18"/>
              </w:rPr>
            </w:pPr>
            <w:r w:rsidRPr="006C715F">
              <w:t>1.5</w:t>
            </w:r>
          </w:p>
        </w:tc>
        <w:tc>
          <w:tcPr>
            <w:tcW w:w="1141" w:type="dxa"/>
            <w:tcBorders>
              <w:top w:val="nil"/>
              <w:left w:val="nil"/>
              <w:bottom w:val="single" w:sz="8" w:space="0" w:color="FFFFFF"/>
              <w:right w:val="single" w:sz="8" w:space="0" w:color="FFFFFF"/>
            </w:tcBorders>
            <w:shd w:val="clear" w:color="000000" w:fill="EFD3D2"/>
            <w:noWrap/>
            <w:vAlign w:val="center"/>
            <w:hideMark/>
          </w:tcPr>
          <w:p w14:paraId="201B1805" w14:textId="7BC7B303" w:rsidR="008F302C" w:rsidRPr="003E2022" w:rsidRDefault="008F302C" w:rsidP="008F302C">
            <w:pPr>
              <w:spacing w:before="0"/>
              <w:jc w:val="right"/>
              <w:rPr>
                <w:rFonts w:cs="Arial"/>
                <w:color w:val="000000"/>
                <w:sz w:val="18"/>
                <w:szCs w:val="18"/>
              </w:rPr>
            </w:pPr>
            <w:r w:rsidRPr="006C715F">
              <w:t>0.0</w:t>
            </w:r>
          </w:p>
        </w:tc>
        <w:tc>
          <w:tcPr>
            <w:tcW w:w="1142" w:type="dxa"/>
            <w:tcBorders>
              <w:top w:val="nil"/>
              <w:left w:val="nil"/>
              <w:bottom w:val="single" w:sz="8" w:space="0" w:color="FFFFFF"/>
              <w:right w:val="single" w:sz="8" w:space="0" w:color="FFFFFF"/>
            </w:tcBorders>
            <w:shd w:val="clear" w:color="000000" w:fill="EFD3D2"/>
            <w:vAlign w:val="center"/>
            <w:hideMark/>
          </w:tcPr>
          <w:p w14:paraId="4A753196" w14:textId="173960DD" w:rsidR="008F302C" w:rsidRPr="003E2022" w:rsidRDefault="008F302C" w:rsidP="008F302C">
            <w:pPr>
              <w:spacing w:before="0"/>
              <w:jc w:val="right"/>
              <w:rPr>
                <w:rFonts w:cs="Arial"/>
                <w:color w:val="000000"/>
                <w:sz w:val="18"/>
                <w:szCs w:val="18"/>
              </w:rPr>
            </w:pPr>
            <w:r w:rsidRPr="006C715F">
              <w:t>0.0</w:t>
            </w:r>
          </w:p>
        </w:tc>
        <w:tc>
          <w:tcPr>
            <w:tcW w:w="1276" w:type="dxa"/>
            <w:tcBorders>
              <w:top w:val="nil"/>
              <w:left w:val="nil"/>
              <w:bottom w:val="single" w:sz="8" w:space="0" w:color="FFFFFF"/>
              <w:right w:val="single" w:sz="8" w:space="0" w:color="FFFFFF"/>
            </w:tcBorders>
            <w:shd w:val="clear" w:color="000000" w:fill="EFD3D2"/>
            <w:noWrap/>
            <w:vAlign w:val="center"/>
            <w:hideMark/>
          </w:tcPr>
          <w:p w14:paraId="0CFC230F" w14:textId="333CD388" w:rsidR="008F302C" w:rsidRPr="003E2022" w:rsidRDefault="008F302C" w:rsidP="008F302C">
            <w:pPr>
              <w:spacing w:before="0"/>
              <w:jc w:val="right"/>
              <w:rPr>
                <w:rFonts w:cs="Arial"/>
                <w:color w:val="000000"/>
                <w:sz w:val="18"/>
                <w:szCs w:val="18"/>
              </w:rPr>
            </w:pPr>
            <w:r w:rsidRPr="00526201">
              <w:t>1.0</w:t>
            </w:r>
          </w:p>
        </w:tc>
        <w:tc>
          <w:tcPr>
            <w:tcW w:w="1134" w:type="dxa"/>
            <w:tcBorders>
              <w:top w:val="nil"/>
              <w:left w:val="nil"/>
              <w:bottom w:val="single" w:sz="8" w:space="0" w:color="FFFFFF"/>
              <w:right w:val="single" w:sz="8" w:space="0" w:color="FFFFFF"/>
            </w:tcBorders>
            <w:shd w:val="clear" w:color="000000" w:fill="EFD3D2"/>
            <w:noWrap/>
            <w:vAlign w:val="center"/>
            <w:hideMark/>
          </w:tcPr>
          <w:p w14:paraId="3FD9A894" w14:textId="724B80E3" w:rsidR="008F302C" w:rsidRPr="003E2022" w:rsidRDefault="008F302C" w:rsidP="008F302C">
            <w:pPr>
              <w:spacing w:before="0"/>
              <w:jc w:val="right"/>
              <w:rPr>
                <w:rFonts w:cs="Arial"/>
                <w:color w:val="000000"/>
                <w:sz w:val="18"/>
                <w:szCs w:val="18"/>
              </w:rPr>
            </w:pPr>
            <w:r w:rsidRPr="00526201">
              <w:t>4.1</w:t>
            </w:r>
          </w:p>
        </w:tc>
      </w:tr>
      <w:tr w:rsidR="008F302C" w:rsidRPr="003E2022" w14:paraId="2F87C250"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520E7EEC"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Dispute resolution</w:t>
            </w:r>
          </w:p>
        </w:tc>
        <w:tc>
          <w:tcPr>
            <w:tcW w:w="1099" w:type="dxa"/>
            <w:tcBorders>
              <w:top w:val="nil"/>
              <w:left w:val="nil"/>
              <w:bottom w:val="single" w:sz="8" w:space="0" w:color="FFFFFF"/>
              <w:right w:val="single" w:sz="8" w:space="0" w:color="FFFFFF"/>
            </w:tcBorders>
            <w:shd w:val="clear" w:color="auto" w:fill="auto"/>
            <w:noWrap/>
            <w:vAlign w:val="center"/>
            <w:hideMark/>
          </w:tcPr>
          <w:p w14:paraId="11281195" w14:textId="35380FDD" w:rsidR="008F302C" w:rsidRPr="003E2022" w:rsidRDefault="008F302C" w:rsidP="008F302C">
            <w:pPr>
              <w:spacing w:before="0"/>
              <w:jc w:val="right"/>
              <w:rPr>
                <w:rFonts w:cs="Arial"/>
                <w:color w:val="000000"/>
                <w:sz w:val="18"/>
                <w:szCs w:val="18"/>
              </w:rPr>
            </w:pPr>
            <w:r w:rsidRPr="00656EFB">
              <w:t>3.4</w:t>
            </w:r>
          </w:p>
        </w:tc>
        <w:tc>
          <w:tcPr>
            <w:tcW w:w="1100" w:type="dxa"/>
            <w:tcBorders>
              <w:top w:val="nil"/>
              <w:left w:val="nil"/>
              <w:bottom w:val="single" w:sz="8" w:space="0" w:color="FFFFFF"/>
              <w:right w:val="single" w:sz="8" w:space="0" w:color="FFFFFF"/>
            </w:tcBorders>
            <w:shd w:val="clear" w:color="auto" w:fill="auto"/>
            <w:noWrap/>
            <w:vAlign w:val="center"/>
            <w:hideMark/>
          </w:tcPr>
          <w:p w14:paraId="49373F8B" w14:textId="29E80518" w:rsidR="008F302C" w:rsidRPr="003E2022" w:rsidRDefault="008F302C" w:rsidP="008F302C">
            <w:pPr>
              <w:spacing w:before="0"/>
              <w:jc w:val="right"/>
              <w:rPr>
                <w:rFonts w:cs="Arial"/>
                <w:color w:val="000000"/>
                <w:sz w:val="18"/>
                <w:szCs w:val="18"/>
              </w:rPr>
            </w:pPr>
            <w:r w:rsidRPr="00656EFB">
              <w:t>1.6</w:t>
            </w:r>
          </w:p>
        </w:tc>
        <w:tc>
          <w:tcPr>
            <w:tcW w:w="1099" w:type="dxa"/>
            <w:tcBorders>
              <w:top w:val="nil"/>
              <w:left w:val="nil"/>
              <w:bottom w:val="single" w:sz="8" w:space="0" w:color="FFFFFF"/>
              <w:right w:val="single" w:sz="8" w:space="0" w:color="FFFFFF"/>
            </w:tcBorders>
            <w:shd w:val="clear" w:color="auto" w:fill="auto"/>
            <w:noWrap/>
            <w:vAlign w:val="center"/>
            <w:hideMark/>
          </w:tcPr>
          <w:p w14:paraId="678D9D19" w14:textId="4AD40570" w:rsidR="008F302C" w:rsidRPr="003E2022" w:rsidRDefault="008F302C" w:rsidP="008F302C">
            <w:pPr>
              <w:spacing w:before="0"/>
              <w:jc w:val="right"/>
              <w:rPr>
                <w:rFonts w:cs="Arial"/>
                <w:color w:val="000000"/>
                <w:sz w:val="18"/>
                <w:szCs w:val="18"/>
              </w:rPr>
            </w:pPr>
            <w:r w:rsidRPr="00656EFB">
              <w:t>1.1</w:t>
            </w:r>
          </w:p>
        </w:tc>
        <w:tc>
          <w:tcPr>
            <w:tcW w:w="1100" w:type="dxa"/>
            <w:tcBorders>
              <w:top w:val="nil"/>
              <w:left w:val="nil"/>
              <w:bottom w:val="single" w:sz="8" w:space="0" w:color="FFFFFF"/>
              <w:right w:val="single" w:sz="8" w:space="0" w:color="FFFFFF"/>
            </w:tcBorders>
            <w:shd w:val="clear" w:color="auto" w:fill="auto"/>
            <w:vAlign w:val="center"/>
            <w:hideMark/>
          </w:tcPr>
          <w:p w14:paraId="3ED0AD9C" w14:textId="5D61DBFD" w:rsidR="008F302C" w:rsidRPr="003E2022" w:rsidRDefault="008F302C" w:rsidP="008F302C">
            <w:pPr>
              <w:spacing w:before="0"/>
              <w:jc w:val="right"/>
              <w:rPr>
                <w:rFonts w:cs="Arial"/>
                <w:color w:val="000000"/>
                <w:sz w:val="18"/>
                <w:szCs w:val="18"/>
              </w:rPr>
            </w:pPr>
            <w:r w:rsidRPr="00656EFB">
              <w:t>1.1</w:t>
            </w:r>
          </w:p>
        </w:tc>
        <w:tc>
          <w:tcPr>
            <w:tcW w:w="1100" w:type="dxa"/>
            <w:tcBorders>
              <w:top w:val="nil"/>
              <w:left w:val="nil"/>
              <w:bottom w:val="single" w:sz="8" w:space="0" w:color="FFFFFF"/>
              <w:right w:val="single" w:sz="8" w:space="0" w:color="FFFFFF"/>
            </w:tcBorders>
            <w:shd w:val="clear" w:color="auto" w:fill="auto"/>
            <w:vAlign w:val="center"/>
            <w:hideMark/>
          </w:tcPr>
          <w:p w14:paraId="66A1183B" w14:textId="0006E844" w:rsidR="008F302C" w:rsidRPr="003E2022" w:rsidRDefault="008F302C" w:rsidP="008F302C">
            <w:pPr>
              <w:spacing w:before="0"/>
              <w:jc w:val="right"/>
              <w:rPr>
                <w:rFonts w:cs="Arial"/>
                <w:color w:val="000000"/>
                <w:sz w:val="18"/>
                <w:szCs w:val="18"/>
              </w:rPr>
            </w:pPr>
            <w:r w:rsidRPr="00656EFB">
              <w:t>1.2</w:t>
            </w:r>
          </w:p>
        </w:tc>
        <w:tc>
          <w:tcPr>
            <w:tcW w:w="1141" w:type="dxa"/>
            <w:tcBorders>
              <w:top w:val="nil"/>
              <w:left w:val="nil"/>
              <w:bottom w:val="single" w:sz="8" w:space="0" w:color="FFFFFF"/>
              <w:right w:val="single" w:sz="8" w:space="0" w:color="FFFFFF"/>
            </w:tcBorders>
            <w:shd w:val="clear" w:color="auto" w:fill="auto"/>
            <w:noWrap/>
            <w:vAlign w:val="center"/>
            <w:hideMark/>
          </w:tcPr>
          <w:p w14:paraId="4D2B721D" w14:textId="02C0D4FC" w:rsidR="008F302C" w:rsidRPr="003E2022" w:rsidRDefault="008F302C" w:rsidP="008F302C">
            <w:pPr>
              <w:spacing w:before="0"/>
              <w:jc w:val="right"/>
              <w:rPr>
                <w:rFonts w:cs="Arial"/>
                <w:color w:val="000000"/>
                <w:sz w:val="18"/>
                <w:szCs w:val="18"/>
              </w:rPr>
            </w:pPr>
            <w:r w:rsidRPr="006C715F">
              <w:t>0.4</w:t>
            </w:r>
          </w:p>
        </w:tc>
        <w:tc>
          <w:tcPr>
            <w:tcW w:w="1142" w:type="dxa"/>
            <w:tcBorders>
              <w:top w:val="nil"/>
              <w:left w:val="nil"/>
              <w:bottom w:val="single" w:sz="8" w:space="0" w:color="FFFFFF"/>
              <w:right w:val="single" w:sz="8" w:space="0" w:color="FFFFFF"/>
            </w:tcBorders>
            <w:shd w:val="clear" w:color="auto" w:fill="auto"/>
            <w:noWrap/>
            <w:vAlign w:val="center"/>
            <w:hideMark/>
          </w:tcPr>
          <w:p w14:paraId="16C5A4D8" w14:textId="2DBAB28D" w:rsidR="008F302C" w:rsidRPr="003E2022" w:rsidRDefault="008F302C" w:rsidP="008F302C">
            <w:pPr>
              <w:spacing w:before="0"/>
              <w:jc w:val="right"/>
              <w:rPr>
                <w:rFonts w:cs="Arial"/>
                <w:color w:val="000000"/>
                <w:sz w:val="18"/>
                <w:szCs w:val="18"/>
              </w:rPr>
            </w:pPr>
            <w:r w:rsidRPr="006C715F">
              <w:t>0.7</w:t>
            </w:r>
          </w:p>
        </w:tc>
        <w:tc>
          <w:tcPr>
            <w:tcW w:w="1141" w:type="dxa"/>
            <w:tcBorders>
              <w:top w:val="nil"/>
              <w:left w:val="nil"/>
              <w:bottom w:val="single" w:sz="8" w:space="0" w:color="FFFFFF"/>
              <w:right w:val="single" w:sz="8" w:space="0" w:color="FFFFFF"/>
            </w:tcBorders>
            <w:shd w:val="clear" w:color="auto" w:fill="auto"/>
            <w:noWrap/>
            <w:vAlign w:val="center"/>
            <w:hideMark/>
          </w:tcPr>
          <w:p w14:paraId="3751B1EF" w14:textId="0B10FADA" w:rsidR="008F302C" w:rsidRPr="003E2022" w:rsidRDefault="008F302C" w:rsidP="008F302C">
            <w:pPr>
              <w:spacing w:before="0"/>
              <w:jc w:val="right"/>
              <w:rPr>
                <w:rFonts w:cs="Arial"/>
                <w:color w:val="000000"/>
                <w:sz w:val="18"/>
                <w:szCs w:val="18"/>
              </w:rPr>
            </w:pPr>
            <w:r w:rsidRPr="006C715F">
              <w:t>0.5</w:t>
            </w:r>
          </w:p>
        </w:tc>
        <w:tc>
          <w:tcPr>
            <w:tcW w:w="1142" w:type="dxa"/>
            <w:tcBorders>
              <w:top w:val="nil"/>
              <w:left w:val="nil"/>
              <w:bottom w:val="single" w:sz="8" w:space="0" w:color="FFFFFF"/>
              <w:right w:val="single" w:sz="8" w:space="0" w:color="FFFFFF"/>
            </w:tcBorders>
            <w:shd w:val="clear" w:color="auto" w:fill="auto"/>
            <w:vAlign w:val="center"/>
            <w:hideMark/>
          </w:tcPr>
          <w:p w14:paraId="5423F1E5" w14:textId="76E0781E" w:rsidR="008F302C" w:rsidRPr="003E2022" w:rsidRDefault="008F302C" w:rsidP="008F302C">
            <w:pPr>
              <w:spacing w:before="0"/>
              <w:jc w:val="right"/>
              <w:rPr>
                <w:rFonts w:cs="Arial"/>
                <w:color w:val="000000"/>
                <w:sz w:val="18"/>
                <w:szCs w:val="18"/>
              </w:rPr>
            </w:pPr>
            <w:r w:rsidRPr="006C715F">
              <w:t>0.0</w:t>
            </w:r>
          </w:p>
        </w:tc>
        <w:tc>
          <w:tcPr>
            <w:tcW w:w="1276" w:type="dxa"/>
            <w:tcBorders>
              <w:top w:val="nil"/>
              <w:left w:val="nil"/>
              <w:bottom w:val="single" w:sz="8" w:space="0" w:color="FFFFFF"/>
              <w:right w:val="single" w:sz="8" w:space="0" w:color="FFFFFF"/>
            </w:tcBorders>
            <w:shd w:val="clear" w:color="auto" w:fill="auto"/>
            <w:noWrap/>
            <w:vAlign w:val="center"/>
            <w:hideMark/>
          </w:tcPr>
          <w:p w14:paraId="0203B064" w14:textId="7091C62E" w:rsidR="008F302C" w:rsidRPr="003E2022" w:rsidRDefault="008F302C" w:rsidP="008F302C">
            <w:pPr>
              <w:spacing w:before="0"/>
              <w:jc w:val="right"/>
              <w:rPr>
                <w:rFonts w:cs="Arial"/>
                <w:color w:val="000000"/>
                <w:sz w:val="18"/>
                <w:szCs w:val="18"/>
              </w:rPr>
            </w:pPr>
            <w:r w:rsidRPr="00526201">
              <w:t>1.8</w:t>
            </w:r>
          </w:p>
        </w:tc>
        <w:tc>
          <w:tcPr>
            <w:tcW w:w="1134" w:type="dxa"/>
            <w:tcBorders>
              <w:top w:val="nil"/>
              <w:left w:val="nil"/>
              <w:bottom w:val="single" w:sz="8" w:space="0" w:color="FFFFFF"/>
              <w:right w:val="single" w:sz="8" w:space="0" w:color="FFFFFF"/>
            </w:tcBorders>
            <w:shd w:val="clear" w:color="auto" w:fill="auto"/>
            <w:noWrap/>
            <w:vAlign w:val="center"/>
            <w:hideMark/>
          </w:tcPr>
          <w:p w14:paraId="6292A9C4" w14:textId="1CED7A7C" w:rsidR="008F302C" w:rsidRPr="003E2022" w:rsidRDefault="008F302C" w:rsidP="008F302C">
            <w:pPr>
              <w:spacing w:before="0"/>
              <w:jc w:val="right"/>
              <w:rPr>
                <w:rFonts w:cs="Arial"/>
                <w:color w:val="000000"/>
                <w:sz w:val="18"/>
                <w:szCs w:val="18"/>
              </w:rPr>
            </w:pPr>
            <w:r w:rsidRPr="00526201">
              <w:t>0.0</w:t>
            </w:r>
          </w:p>
        </w:tc>
      </w:tr>
      <w:tr w:rsidR="008F302C" w:rsidRPr="003E2022" w14:paraId="5E935182"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06363615" w14:textId="77777777" w:rsidR="008F302C" w:rsidRPr="003E2022" w:rsidRDefault="008F302C" w:rsidP="008F302C">
            <w:pPr>
              <w:spacing w:before="0"/>
              <w:jc w:val="left"/>
              <w:rPr>
                <w:rFonts w:cs="Arial"/>
                <w:color w:val="000000"/>
                <w:sz w:val="18"/>
                <w:szCs w:val="18"/>
              </w:rPr>
            </w:pPr>
            <w:r w:rsidRPr="003E2022">
              <w:rPr>
                <w:rFonts w:cs="Arial"/>
                <w:color w:val="000000"/>
                <w:sz w:val="18"/>
                <w:szCs w:val="16"/>
              </w:rPr>
              <w:t>Other administration</w:t>
            </w:r>
          </w:p>
        </w:tc>
        <w:tc>
          <w:tcPr>
            <w:tcW w:w="1099" w:type="dxa"/>
            <w:tcBorders>
              <w:top w:val="nil"/>
              <w:left w:val="nil"/>
              <w:bottom w:val="single" w:sz="8" w:space="0" w:color="FFFFFF"/>
              <w:right w:val="single" w:sz="8" w:space="0" w:color="FFFFFF"/>
            </w:tcBorders>
            <w:shd w:val="clear" w:color="000000" w:fill="EFD3D2"/>
            <w:noWrap/>
            <w:vAlign w:val="center"/>
            <w:hideMark/>
          </w:tcPr>
          <w:p w14:paraId="68C56DE3" w14:textId="0C1C52FA" w:rsidR="008F302C" w:rsidRPr="003E2022" w:rsidRDefault="008F302C" w:rsidP="008F302C">
            <w:pPr>
              <w:spacing w:before="0"/>
              <w:jc w:val="right"/>
              <w:rPr>
                <w:rFonts w:cs="Arial"/>
                <w:color w:val="000000"/>
                <w:sz w:val="18"/>
                <w:szCs w:val="18"/>
              </w:rPr>
            </w:pPr>
            <w:r w:rsidRPr="00656EFB">
              <w:t>0.6</w:t>
            </w:r>
          </w:p>
        </w:tc>
        <w:tc>
          <w:tcPr>
            <w:tcW w:w="1100" w:type="dxa"/>
            <w:tcBorders>
              <w:top w:val="nil"/>
              <w:left w:val="nil"/>
              <w:bottom w:val="single" w:sz="8" w:space="0" w:color="FFFFFF"/>
              <w:right w:val="single" w:sz="8" w:space="0" w:color="FFFFFF"/>
            </w:tcBorders>
            <w:shd w:val="clear" w:color="000000" w:fill="EFD3D2"/>
            <w:noWrap/>
            <w:vAlign w:val="center"/>
            <w:hideMark/>
          </w:tcPr>
          <w:p w14:paraId="79158862" w14:textId="09B53DDE" w:rsidR="008F302C" w:rsidRPr="003E2022" w:rsidRDefault="008F302C" w:rsidP="008F302C">
            <w:pPr>
              <w:spacing w:before="0"/>
              <w:jc w:val="right"/>
              <w:rPr>
                <w:rFonts w:cs="Arial"/>
                <w:color w:val="000000"/>
                <w:sz w:val="18"/>
                <w:szCs w:val="18"/>
              </w:rPr>
            </w:pPr>
            <w:r w:rsidRPr="00656EFB">
              <w:t>2.7</w:t>
            </w:r>
          </w:p>
        </w:tc>
        <w:tc>
          <w:tcPr>
            <w:tcW w:w="1099" w:type="dxa"/>
            <w:tcBorders>
              <w:top w:val="nil"/>
              <w:left w:val="nil"/>
              <w:bottom w:val="single" w:sz="8" w:space="0" w:color="FFFFFF"/>
              <w:right w:val="single" w:sz="8" w:space="0" w:color="FFFFFF"/>
            </w:tcBorders>
            <w:shd w:val="clear" w:color="000000" w:fill="EFD3D2"/>
            <w:noWrap/>
            <w:vAlign w:val="center"/>
            <w:hideMark/>
          </w:tcPr>
          <w:p w14:paraId="4A1E1F85" w14:textId="3F26CC12" w:rsidR="008F302C" w:rsidRPr="003E2022" w:rsidRDefault="008F302C" w:rsidP="008F302C">
            <w:pPr>
              <w:spacing w:before="0"/>
              <w:jc w:val="right"/>
              <w:rPr>
                <w:rFonts w:cs="Arial"/>
                <w:color w:val="000000"/>
                <w:sz w:val="18"/>
                <w:szCs w:val="18"/>
              </w:rPr>
            </w:pPr>
            <w:r w:rsidRPr="00656EFB">
              <w:t>3.4</w:t>
            </w:r>
          </w:p>
        </w:tc>
        <w:tc>
          <w:tcPr>
            <w:tcW w:w="1100" w:type="dxa"/>
            <w:tcBorders>
              <w:top w:val="nil"/>
              <w:left w:val="nil"/>
              <w:bottom w:val="single" w:sz="8" w:space="0" w:color="FFFFFF"/>
              <w:right w:val="single" w:sz="8" w:space="0" w:color="FFFFFF"/>
            </w:tcBorders>
            <w:shd w:val="clear" w:color="000000" w:fill="EFD3D2"/>
            <w:vAlign w:val="center"/>
            <w:hideMark/>
          </w:tcPr>
          <w:p w14:paraId="00AC1E57" w14:textId="2D985788" w:rsidR="008F302C" w:rsidRPr="003E2022" w:rsidRDefault="008F302C" w:rsidP="008F302C">
            <w:pPr>
              <w:spacing w:before="0"/>
              <w:jc w:val="right"/>
              <w:rPr>
                <w:rFonts w:cs="Arial"/>
                <w:color w:val="000000"/>
                <w:sz w:val="18"/>
                <w:szCs w:val="18"/>
              </w:rPr>
            </w:pPr>
            <w:r w:rsidRPr="00656EFB">
              <w:t>19.3</w:t>
            </w:r>
          </w:p>
        </w:tc>
        <w:tc>
          <w:tcPr>
            <w:tcW w:w="1100" w:type="dxa"/>
            <w:tcBorders>
              <w:top w:val="nil"/>
              <w:left w:val="nil"/>
              <w:bottom w:val="single" w:sz="8" w:space="0" w:color="FFFFFF"/>
              <w:right w:val="single" w:sz="8" w:space="0" w:color="FFFFFF"/>
            </w:tcBorders>
            <w:shd w:val="clear" w:color="000000" w:fill="EFD3D2"/>
            <w:vAlign w:val="center"/>
            <w:hideMark/>
          </w:tcPr>
          <w:p w14:paraId="6614AE18" w14:textId="1015DF57" w:rsidR="008F302C" w:rsidRPr="003E2022" w:rsidRDefault="008F302C" w:rsidP="008F302C">
            <w:pPr>
              <w:spacing w:before="0"/>
              <w:jc w:val="right"/>
              <w:rPr>
                <w:rFonts w:cs="Arial"/>
                <w:color w:val="000000"/>
                <w:sz w:val="18"/>
                <w:szCs w:val="18"/>
              </w:rPr>
            </w:pPr>
            <w:r w:rsidRPr="00656EFB">
              <w:t>7.0</w:t>
            </w:r>
          </w:p>
        </w:tc>
        <w:tc>
          <w:tcPr>
            <w:tcW w:w="1141" w:type="dxa"/>
            <w:tcBorders>
              <w:top w:val="nil"/>
              <w:left w:val="nil"/>
              <w:bottom w:val="single" w:sz="8" w:space="0" w:color="FFFFFF"/>
              <w:right w:val="single" w:sz="8" w:space="0" w:color="FFFFFF"/>
            </w:tcBorders>
            <w:shd w:val="clear" w:color="000000" w:fill="EFD3D2"/>
            <w:noWrap/>
            <w:vAlign w:val="center"/>
            <w:hideMark/>
          </w:tcPr>
          <w:p w14:paraId="4267BB4B" w14:textId="1E33682E" w:rsidR="008F302C" w:rsidRPr="003E2022" w:rsidRDefault="008F302C" w:rsidP="008F302C">
            <w:pPr>
              <w:spacing w:before="0"/>
              <w:jc w:val="right"/>
              <w:rPr>
                <w:rFonts w:cs="Arial"/>
                <w:color w:val="000000"/>
                <w:sz w:val="18"/>
                <w:szCs w:val="18"/>
              </w:rPr>
            </w:pPr>
            <w:r w:rsidRPr="006C715F">
              <w:t>0.8</w:t>
            </w:r>
          </w:p>
        </w:tc>
        <w:tc>
          <w:tcPr>
            <w:tcW w:w="1142" w:type="dxa"/>
            <w:tcBorders>
              <w:top w:val="nil"/>
              <w:left w:val="nil"/>
              <w:bottom w:val="single" w:sz="8" w:space="0" w:color="FFFFFF"/>
              <w:right w:val="single" w:sz="8" w:space="0" w:color="FFFFFF"/>
            </w:tcBorders>
            <w:shd w:val="clear" w:color="000000" w:fill="EFD3D2"/>
            <w:noWrap/>
            <w:vAlign w:val="center"/>
            <w:hideMark/>
          </w:tcPr>
          <w:p w14:paraId="2088F2C2" w14:textId="1E622688" w:rsidR="008F302C" w:rsidRPr="003E2022" w:rsidRDefault="008F302C" w:rsidP="008F302C">
            <w:pPr>
              <w:spacing w:before="0"/>
              <w:jc w:val="right"/>
              <w:rPr>
                <w:rFonts w:cs="Arial"/>
                <w:color w:val="000000"/>
                <w:sz w:val="18"/>
                <w:szCs w:val="18"/>
              </w:rPr>
            </w:pPr>
            <w:r w:rsidRPr="006C715F">
              <w:t>1.0</w:t>
            </w:r>
          </w:p>
        </w:tc>
        <w:tc>
          <w:tcPr>
            <w:tcW w:w="1141" w:type="dxa"/>
            <w:tcBorders>
              <w:top w:val="nil"/>
              <w:left w:val="nil"/>
              <w:bottom w:val="single" w:sz="8" w:space="0" w:color="FFFFFF"/>
              <w:right w:val="single" w:sz="8" w:space="0" w:color="FFFFFF"/>
            </w:tcBorders>
            <w:shd w:val="clear" w:color="000000" w:fill="EFD3D2"/>
            <w:noWrap/>
            <w:vAlign w:val="center"/>
            <w:hideMark/>
          </w:tcPr>
          <w:p w14:paraId="40D5AD08" w14:textId="0BB5D95A" w:rsidR="008F302C" w:rsidRPr="003E2022" w:rsidRDefault="008F302C" w:rsidP="008F302C">
            <w:pPr>
              <w:spacing w:before="0"/>
              <w:jc w:val="right"/>
              <w:rPr>
                <w:rFonts w:cs="Arial"/>
                <w:color w:val="000000"/>
                <w:sz w:val="18"/>
                <w:szCs w:val="18"/>
              </w:rPr>
            </w:pPr>
            <w:r w:rsidRPr="006C715F">
              <w:t>1.7</w:t>
            </w:r>
          </w:p>
        </w:tc>
        <w:tc>
          <w:tcPr>
            <w:tcW w:w="1142" w:type="dxa"/>
            <w:tcBorders>
              <w:top w:val="nil"/>
              <w:left w:val="nil"/>
              <w:bottom w:val="single" w:sz="8" w:space="0" w:color="FFFFFF"/>
              <w:right w:val="single" w:sz="8" w:space="0" w:color="FFFFFF"/>
            </w:tcBorders>
            <w:shd w:val="clear" w:color="000000" w:fill="EFD3D2"/>
            <w:vAlign w:val="center"/>
            <w:hideMark/>
          </w:tcPr>
          <w:p w14:paraId="605BDA5B" w14:textId="32B003C4" w:rsidR="008F302C" w:rsidRPr="003E2022" w:rsidRDefault="008F302C" w:rsidP="008F302C">
            <w:pPr>
              <w:spacing w:before="0"/>
              <w:jc w:val="right"/>
              <w:rPr>
                <w:rFonts w:cs="Arial"/>
                <w:color w:val="000000"/>
                <w:sz w:val="18"/>
                <w:szCs w:val="18"/>
              </w:rPr>
            </w:pPr>
            <w:r w:rsidRPr="006C715F">
              <w:t>4.4</w:t>
            </w:r>
          </w:p>
        </w:tc>
        <w:tc>
          <w:tcPr>
            <w:tcW w:w="1276" w:type="dxa"/>
            <w:tcBorders>
              <w:top w:val="nil"/>
              <w:left w:val="nil"/>
              <w:bottom w:val="single" w:sz="8" w:space="0" w:color="FFFFFF"/>
              <w:right w:val="single" w:sz="8" w:space="0" w:color="FFFFFF"/>
            </w:tcBorders>
            <w:shd w:val="clear" w:color="000000" w:fill="EFD3D2"/>
            <w:noWrap/>
            <w:vAlign w:val="center"/>
            <w:hideMark/>
          </w:tcPr>
          <w:p w14:paraId="3ED4B5B7" w14:textId="2B446660" w:rsidR="008F302C" w:rsidRPr="003E2022" w:rsidRDefault="008F302C" w:rsidP="008F302C">
            <w:pPr>
              <w:spacing w:before="0"/>
              <w:jc w:val="right"/>
              <w:rPr>
                <w:rFonts w:cs="Arial"/>
                <w:color w:val="000000"/>
                <w:sz w:val="18"/>
                <w:szCs w:val="18"/>
              </w:rPr>
            </w:pPr>
            <w:r w:rsidRPr="00526201">
              <w:t>3.2</w:t>
            </w:r>
          </w:p>
        </w:tc>
        <w:tc>
          <w:tcPr>
            <w:tcW w:w="1134" w:type="dxa"/>
            <w:tcBorders>
              <w:top w:val="nil"/>
              <w:left w:val="nil"/>
              <w:bottom w:val="single" w:sz="8" w:space="0" w:color="FFFFFF"/>
              <w:right w:val="single" w:sz="8" w:space="0" w:color="FFFFFF"/>
            </w:tcBorders>
            <w:shd w:val="clear" w:color="000000" w:fill="EFD3D2"/>
            <w:noWrap/>
            <w:vAlign w:val="center"/>
            <w:hideMark/>
          </w:tcPr>
          <w:p w14:paraId="014C1376" w14:textId="114A7C68" w:rsidR="008F302C" w:rsidRPr="003E2022" w:rsidRDefault="008F302C" w:rsidP="008F302C">
            <w:pPr>
              <w:spacing w:before="0"/>
              <w:jc w:val="right"/>
              <w:rPr>
                <w:rFonts w:cs="Arial"/>
                <w:color w:val="000000"/>
                <w:sz w:val="18"/>
                <w:szCs w:val="18"/>
              </w:rPr>
            </w:pPr>
            <w:r w:rsidRPr="00526201">
              <w:t>5.9</w:t>
            </w:r>
          </w:p>
        </w:tc>
      </w:tr>
      <w:tr w:rsidR="008F302C" w:rsidRPr="00DF7579" w14:paraId="587965C4" w14:textId="77777777" w:rsidTr="008F302C">
        <w:trPr>
          <w:cantSplit/>
          <w:trHeight w:val="454"/>
        </w:trPr>
        <w:tc>
          <w:tcPr>
            <w:tcW w:w="2000" w:type="dxa"/>
            <w:tcBorders>
              <w:top w:val="nil"/>
              <w:left w:val="single" w:sz="8" w:space="0" w:color="FFFFFF"/>
              <w:bottom w:val="single" w:sz="8" w:space="0" w:color="FFFFFF"/>
              <w:right w:val="single" w:sz="8" w:space="0" w:color="FFFFFF"/>
            </w:tcBorders>
            <w:shd w:val="clear" w:color="000000" w:fill="808080"/>
            <w:noWrap/>
            <w:vAlign w:val="center"/>
            <w:hideMark/>
          </w:tcPr>
          <w:p w14:paraId="54AAD88B" w14:textId="77777777" w:rsidR="008F302C" w:rsidRPr="00DF7579" w:rsidRDefault="008F302C" w:rsidP="008F302C">
            <w:pPr>
              <w:spacing w:before="0"/>
              <w:jc w:val="left"/>
              <w:rPr>
                <w:rFonts w:cs="Arial"/>
                <w:b/>
                <w:bCs/>
                <w:color w:val="FFFFFF" w:themeColor="background1"/>
                <w:sz w:val="18"/>
                <w:szCs w:val="18"/>
              </w:rPr>
            </w:pPr>
            <w:r w:rsidRPr="00DF7579">
              <w:rPr>
                <w:rFonts w:cs="Arial"/>
                <w:b/>
                <w:bCs/>
                <w:color w:val="FFFFFF" w:themeColor="background1"/>
                <w:sz w:val="18"/>
                <w:szCs w:val="16"/>
              </w:rPr>
              <w:t>Total</w:t>
            </w:r>
          </w:p>
        </w:tc>
        <w:tc>
          <w:tcPr>
            <w:tcW w:w="1099" w:type="dxa"/>
            <w:tcBorders>
              <w:top w:val="nil"/>
              <w:left w:val="nil"/>
              <w:bottom w:val="single" w:sz="8" w:space="0" w:color="FFFFFF"/>
              <w:right w:val="single" w:sz="8" w:space="0" w:color="FFFFFF"/>
            </w:tcBorders>
            <w:shd w:val="clear" w:color="000000" w:fill="808080"/>
            <w:noWrap/>
            <w:vAlign w:val="center"/>
            <w:hideMark/>
          </w:tcPr>
          <w:p w14:paraId="39423C84" w14:textId="70771292"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noWrap/>
            <w:vAlign w:val="center"/>
            <w:hideMark/>
          </w:tcPr>
          <w:p w14:paraId="3D185CA2" w14:textId="44F25DAC"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099" w:type="dxa"/>
            <w:tcBorders>
              <w:top w:val="nil"/>
              <w:left w:val="nil"/>
              <w:bottom w:val="single" w:sz="8" w:space="0" w:color="FFFFFF"/>
              <w:right w:val="single" w:sz="8" w:space="0" w:color="FFFFFF"/>
            </w:tcBorders>
            <w:shd w:val="clear" w:color="000000" w:fill="808080"/>
            <w:noWrap/>
            <w:vAlign w:val="center"/>
            <w:hideMark/>
          </w:tcPr>
          <w:p w14:paraId="6AA69408" w14:textId="265CD7C5"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14:paraId="1389E74D" w14:textId="50D417A8"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14:paraId="2C7B3A22" w14:textId="552C2E1A"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14:paraId="0E71F6EE" w14:textId="391F295A"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noWrap/>
            <w:vAlign w:val="center"/>
            <w:hideMark/>
          </w:tcPr>
          <w:p w14:paraId="451AD45D" w14:textId="4AA9512E"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14:paraId="3151CDB3" w14:textId="6D429D46"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vAlign w:val="center"/>
            <w:hideMark/>
          </w:tcPr>
          <w:p w14:paraId="2A4D24AB" w14:textId="063BAB97"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276" w:type="dxa"/>
            <w:tcBorders>
              <w:top w:val="nil"/>
              <w:left w:val="nil"/>
              <w:bottom w:val="single" w:sz="8" w:space="0" w:color="FFFFFF"/>
              <w:right w:val="single" w:sz="8" w:space="0" w:color="FFFFFF"/>
            </w:tcBorders>
            <w:shd w:val="clear" w:color="000000" w:fill="808080"/>
            <w:noWrap/>
            <w:vAlign w:val="center"/>
            <w:hideMark/>
          </w:tcPr>
          <w:p w14:paraId="6C848963" w14:textId="3B829EED"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34" w:type="dxa"/>
            <w:tcBorders>
              <w:top w:val="nil"/>
              <w:left w:val="nil"/>
              <w:bottom w:val="single" w:sz="8" w:space="0" w:color="FFFFFF"/>
              <w:right w:val="single" w:sz="8" w:space="0" w:color="FFFFFF"/>
            </w:tcBorders>
            <w:shd w:val="clear" w:color="000000" w:fill="808080"/>
            <w:noWrap/>
            <w:vAlign w:val="center"/>
            <w:hideMark/>
          </w:tcPr>
          <w:p w14:paraId="33978FEE" w14:textId="330128A8"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r>
    </w:tbl>
    <w:p w14:paraId="4441F4E8" w14:textId="77777777" w:rsidR="003E2022" w:rsidRDefault="003E2022" w:rsidP="00A8653F">
      <w:pPr>
        <w:rPr>
          <w:b/>
        </w:rPr>
        <w:sectPr w:rsidR="003E2022" w:rsidSect="00B94996">
          <w:headerReference w:type="default" r:id="rId67"/>
          <w:footerReference w:type="default" r:id="rId68"/>
          <w:pgSz w:w="16838" w:h="11906" w:orient="landscape"/>
          <w:pgMar w:top="1134" w:right="1134" w:bottom="1134" w:left="1418" w:header="720" w:footer="720" w:gutter="0"/>
          <w:cols w:space="720"/>
          <w:noEndnote/>
          <w:docGrid w:linePitch="299"/>
        </w:sectPr>
      </w:pPr>
    </w:p>
    <w:p w14:paraId="315D46EB" w14:textId="03CB9312" w:rsidR="00A8653F" w:rsidRDefault="00A8653F" w:rsidP="000E20AE">
      <w:pPr>
        <w:pStyle w:val="BodyJustified"/>
      </w:pPr>
      <w:r w:rsidRPr="00A36F98">
        <w:lastRenderedPageBreak/>
        <w:t xml:space="preserve">Administrative costs are affected by the type of scheme in operation. </w:t>
      </w:r>
      <w:r>
        <w:t xml:space="preserve">Indicator </w:t>
      </w:r>
      <w:r w:rsidR="00DF086E">
        <w:rPr>
          <w:noProof/>
        </w:rPr>
        <w:t>20</w:t>
      </w:r>
      <w:r w:rsidRPr="00A36F98">
        <w:t xml:space="preserve"> shows the distribution of direct payments into weekly benefits and</w:t>
      </w:r>
      <w:r w:rsidR="00AD23FF">
        <w:t xml:space="preserve"> lump sums. The payment of long-</w:t>
      </w:r>
      <w:r w:rsidRPr="00A36F98">
        <w:t xml:space="preserve">term weekly benefits results in higher administration costs. This indicator shows that in </w:t>
      </w:r>
      <w:r w:rsidR="002F2CF9">
        <w:t>201</w:t>
      </w:r>
      <w:r w:rsidR="00041D87">
        <w:t>6</w:t>
      </w:r>
      <w:r w:rsidR="002F2CF9">
        <w:t>–1</w:t>
      </w:r>
      <w:r w:rsidR="00041D87">
        <w:t>7</w:t>
      </w:r>
      <w:r w:rsidR="00AD23FF">
        <w:t>,</w:t>
      </w:r>
      <w:r w:rsidR="002F2CF9" w:rsidRPr="00A36F98">
        <w:t xml:space="preserve"> </w:t>
      </w:r>
      <w:r w:rsidR="003B65F7">
        <w:t xml:space="preserve">all but two </w:t>
      </w:r>
      <w:r w:rsidRPr="00A36F98">
        <w:t>Australian schemes paid out more as weekly benefits than lump sum benefits. Queensland</w:t>
      </w:r>
      <w:r w:rsidR="003B65F7">
        <w:t xml:space="preserve"> and</w:t>
      </w:r>
      <w:r w:rsidRPr="00A36F98">
        <w:t xml:space="preserve"> </w:t>
      </w:r>
      <w:r w:rsidR="005E05A1">
        <w:t xml:space="preserve">Tasmania </w:t>
      </w:r>
      <w:r>
        <w:t>are</w:t>
      </w:r>
      <w:r w:rsidRPr="00A36F98">
        <w:t xml:space="preserve"> the only </w:t>
      </w:r>
      <w:r>
        <w:t>jurisdictions</w:t>
      </w:r>
      <w:r w:rsidRPr="00A36F98">
        <w:t xml:space="preserve"> which paid out more in lump sum payments than in weekly benefits. </w:t>
      </w:r>
    </w:p>
    <w:p w14:paraId="627668A8" w14:textId="2E0C9910" w:rsidR="00A8653F" w:rsidRPr="00A36F98" w:rsidRDefault="00A8653F" w:rsidP="000E20AE">
      <w:pPr>
        <w:pStyle w:val="BodyJustified"/>
      </w:pPr>
      <w:r w:rsidRPr="00A36F98">
        <w:t xml:space="preserve">Overall in Australia in </w:t>
      </w:r>
      <w:r>
        <w:t>201</w:t>
      </w:r>
      <w:r w:rsidR="003B65F7">
        <w:t>6</w:t>
      </w:r>
      <w:r>
        <w:t>–1</w:t>
      </w:r>
      <w:r w:rsidR="003B65F7">
        <w:t>7</w:t>
      </w:r>
      <w:r>
        <w:t>,</w:t>
      </w:r>
      <w:r w:rsidRPr="00A36F98">
        <w:t xml:space="preserve"> a </w:t>
      </w:r>
      <w:r w:rsidR="003F4BAB">
        <w:t>smaller</w:t>
      </w:r>
      <w:r w:rsidRPr="00A36F98">
        <w:t xml:space="preserve"> proportion (</w:t>
      </w:r>
      <w:r w:rsidR="003F4BAB">
        <w:t>down</w:t>
      </w:r>
      <w:r w:rsidR="002F2CF9">
        <w:t> </w:t>
      </w:r>
      <w:r w:rsidR="003F4BAB">
        <w:t>11</w:t>
      </w:r>
      <w:r w:rsidR="002F2CF9">
        <w:t> </w:t>
      </w:r>
      <w:r>
        <w:t>per</w:t>
      </w:r>
      <w:r w:rsidR="002F2CF9">
        <w:t> </w:t>
      </w:r>
      <w:r>
        <w:t>cent</w:t>
      </w:r>
      <w:r w:rsidRPr="00A36F98">
        <w:t xml:space="preserve">) of benefits were paid as a lump sum compared to the previous year, with </w:t>
      </w:r>
      <w:r w:rsidR="003F4BAB">
        <w:t>six</w:t>
      </w:r>
      <w:r>
        <w:t xml:space="preserve"> out of the nine </w:t>
      </w:r>
      <w:r w:rsidRPr="00A36F98">
        <w:t xml:space="preserve">jurisdictions recording </w:t>
      </w:r>
      <w:r w:rsidR="003F4BAB">
        <w:t>decreases</w:t>
      </w:r>
      <w:r w:rsidRPr="00A36F98">
        <w:t xml:space="preserve"> in the proportion paid as lump sums. The proportion of benefits paid as a lump sum </w:t>
      </w:r>
      <w:r>
        <w:t xml:space="preserve">by the New Zealand scheme decreased by </w:t>
      </w:r>
      <w:r w:rsidR="003F4BAB">
        <w:t>22 per cent</w:t>
      </w:r>
      <w:r>
        <w:t xml:space="preserve"> </w:t>
      </w:r>
      <w:r w:rsidRPr="00A36F98">
        <w:t xml:space="preserve">compared to the previous year. </w:t>
      </w:r>
      <w:r>
        <w:t>However</w:t>
      </w:r>
      <w:r w:rsidR="00AD23FF">
        <w:t>,</w:t>
      </w:r>
      <w:r w:rsidRPr="00A36F98">
        <w:t xml:space="preserve"> the New Zealand scheme has little provision for lump sum payments.</w:t>
      </w:r>
      <w:r>
        <w:t xml:space="preserve"> </w:t>
      </w:r>
    </w:p>
    <w:p w14:paraId="7399D337" w14:textId="201824D1" w:rsidR="00A8653F" w:rsidRDefault="00A8653F" w:rsidP="00CB108E">
      <w:pPr>
        <w:pStyle w:val="SWATableheader"/>
      </w:pPr>
      <w:bookmarkStart w:id="24" w:name="_Ref464211500"/>
      <w:r>
        <w:t xml:space="preserve">Indicator </w:t>
      </w:r>
      <w:bookmarkEnd w:id="24"/>
      <w:r w:rsidR="006710E7">
        <w:rPr>
          <w:noProof/>
        </w:rPr>
        <w:t>2</w:t>
      </w:r>
      <w:r w:rsidR="00535035">
        <w:rPr>
          <w:noProof/>
        </w:rPr>
        <w:t>0</w:t>
      </w:r>
      <w:r>
        <w:t xml:space="preserve"> – </w:t>
      </w:r>
      <w:r w:rsidRPr="00A36F98">
        <w:t>Direct compensation payments by type and jurisdiction, 201</w:t>
      </w:r>
      <w:r w:rsidR="00EC51D3">
        <w:t>6</w:t>
      </w:r>
      <w:r>
        <w:t>–1</w:t>
      </w:r>
      <w:r w:rsidR="00EC51D3">
        <w:t>7</w:t>
      </w:r>
    </w:p>
    <w:p w14:paraId="6F48CB2E" w14:textId="77777777" w:rsidR="00A8653F" w:rsidRDefault="004D5E09" w:rsidP="00A8653F">
      <w:pPr>
        <w:jc w:val="center"/>
        <w:rPr>
          <w:b/>
        </w:rPr>
      </w:pPr>
      <w:r>
        <w:rPr>
          <w:b/>
          <w:noProof/>
        </w:rPr>
        <w:drawing>
          <wp:inline distT="0" distB="0" distL="0" distR="0" wp14:anchorId="04C8918C" wp14:editId="1A4C5C97">
            <wp:extent cx="5579341" cy="2730252"/>
            <wp:effectExtent l="0" t="0" r="2540" b="0"/>
            <wp:docPr id="81" name="Picture 81" descr="This chart shows the direct compensation payments (percentage) by type (weekly benefits and lump sums) and jurisdiction for the financial year 2016-17." title="Indicator 20 - Direct compensation payments by type and jurisdictio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1 - Direct Compensation payments-0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79341" cy="2730252"/>
                    </a:xfrm>
                    <a:prstGeom prst="rect">
                      <a:avLst/>
                    </a:prstGeom>
                  </pic:spPr>
                </pic:pic>
              </a:graphicData>
            </a:graphic>
          </wp:inline>
        </w:drawing>
      </w:r>
    </w:p>
    <w:p w14:paraId="56A79A9F" w14:textId="7C4D2C83" w:rsidR="00A8653F" w:rsidRPr="00FF028E" w:rsidRDefault="00A8653F" w:rsidP="00FF028E">
      <w:pPr>
        <w:pStyle w:val="SWASectionnum2"/>
      </w:pPr>
      <w:bookmarkStart w:id="25" w:name="_Toc476564189"/>
      <w:bookmarkStart w:id="26" w:name="_Toc4508775"/>
      <w:r w:rsidRPr="00FF028E">
        <w:t>Current return to work</w:t>
      </w:r>
      <w:bookmarkEnd w:id="25"/>
      <w:bookmarkEnd w:id="26"/>
      <w:r w:rsidRPr="00FF028E">
        <w:t xml:space="preserve"> </w:t>
      </w:r>
    </w:p>
    <w:p w14:paraId="76E3A9CA" w14:textId="77777777" w:rsidR="00A8653F" w:rsidRDefault="002F2CF9" w:rsidP="000E20AE">
      <w:pPr>
        <w:pStyle w:val="BodyJustified"/>
      </w:pPr>
      <w:r>
        <w:t xml:space="preserve">This section reports on the </w:t>
      </w:r>
      <w:r w:rsidR="00B33B27">
        <w:t>c</w:t>
      </w:r>
      <w:r w:rsidR="00A8653F">
        <w:t>urrent return to work rates compiled from data published in the Return to Work Survey Report commissioned by Safe Work Australia.</w:t>
      </w:r>
    </w:p>
    <w:p w14:paraId="16F59708" w14:textId="343AC79D" w:rsidR="007E7EB0" w:rsidRPr="00AD3BDD" w:rsidRDefault="00A8653F" w:rsidP="007E7EB0">
      <w:pPr>
        <w:pStyle w:val="Body"/>
      </w:pPr>
      <w:r>
        <w:t>The Return to Work Survey replace</w:t>
      </w:r>
      <w:r w:rsidR="00AD23FF">
        <w:t>d</w:t>
      </w:r>
      <w:r>
        <w:t xml:space="preserve"> the Return to Work Monitor that was produced by the Heads of Workers’ Compensation Authorities (HWCA). </w:t>
      </w:r>
      <w:r w:rsidR="007E7EB0" w:rsidRPr="00AD3BDD">
        <w:t>The current National Return to Work survey dr</w:t>
      </w:r>
      <w:r w:rsidR="007E7EB0">
        <w:t>a</w:t>
      </w:r>
      <w:r w:rsidR="007E7EB0" w:rsidRPr="00AD3BDD">
        <w:t>w</w:t>
      </w:r>
      <w:r w:rsidR="007E7EB0">
        <w:t>s</w:t>
      </w:r>
      <w:r w:rsidR="007E7EB0" w:rsidRPr="00AD3BDD">
        <w:t xml:space="preserve"> sample from the population of injured workers who:</w:t>
      </w:r>
    </w:p>
    <w:p w14:paraId="66AFD011" w14:textId="77777777" w:rsidR="007E7EB0" w:rsidRPr="00AD3BDD" w:rsidRDefault="007E7EB0" w:rsidP="007E7EB0">
      <w:pPr>
        <w:pStyle w:val="Bullets1"/>
        <w:tabs>
          <w:tab w:val="clear" w:pos="568"/>
          <w:tab w:val="num" w:pos="425"/>
        </w:tabs>
        <w:ind w:left="851"/>
      </w:pPr>
      <w:r w:rsidRPr="00AD3BDD">
        <w:t>had at least one day away from work</w:t>
      </w:r>
    </w:p>
    <w:p w14:paraId="01CE04EE" w14:textId="77777777" w:rsidR="007E7EB0" w:rsidRPr="00AD3BDD" w:rsidRDefault="007E7EB0" w:rsidP="007E7EB0">
      <w:pPr>
        <w:pStyle w:val="Bullets1"/>
        <w:tabs>
          <w:tab w:val="clear" w:pos="568"/>
          <w:tab w:val="num" w:pos="425"/>
        </w:tabs>
        <w:ind w:left="851"/>
      </w:pPr>
      <w:r w:rsidRPr="00AD3BDD">
        <w:t>submitted a claim in the two years prior to the interview period</w:t>
      </w:r>
    </w:p>
    <w:p w14:paraId="579FCF63" w14:textId="77777777" w:rsidR="007E7EB0" w:rsidRPr="00AD3BDD" w:rsidRDefault="007E7EB0" w:rsidP="007E7EB0">
      <w:pPr>
        <w:pStyle w:val="Bullets1"/>
        <w:tabs>
          <w:tab w:val="clear" w:pos="568"/>
          <w:tab w:val="num" w:pos="425"/>
        </w:tabs>
        <w:ind w:left="851"/>
      </w:pPr>
      <w:r w:rsidRPr="00AD3BDD">
        <w:t>had or did not have payment-related activity within 6 months prior to the sample being drawn</w:t>
      </w:r>
    </w:p>
    <w:p w14:paraId="28E3FA43" w14:textId="77777777" w:rsidR="00A8653F" w:rsidRDefault="007E7EB0" w:rsidP="0003756A">
      <w:pPr>
        <w:pStyle w:val="Bullets1"/>
        <w:tabs>
          <w:tab w:val="clear" w:pos="568"/>
          <w:tab w:val="num" w:pos="851"/>
        </w:tabs>
        <w:ind w:left="426" w:firstLine="0"/>
      </w:pPr>
      <w:r w:rsidRPr="00AD3BDD">
        <w:t>worked in either premium paying (including own businesses) or self-insured organisations</w:t>
      </w:r>
      <w:r w:rsidR="00A8653F">
        <w:t>.</w:t>
      </w:r>
    </w:p>
    <w:p w14:paraId="4D049908" w14:textId="30805362" w:rsidR="0003756A" w:rsidRDefault="0003756A" w:rsidP="000E20AE">
      <w:pPr>
        <w:pStyle w:val="BodyJustified"/>
      </w:pPr>
      <w:r w:rsidRPr="00AD3BDD">
        <w:t xml:space="preserve">All Australian </w:t>
      </w:r>
      <w:r>
        <w:t>workers compensation authorities,</w:t>
      </w:r>
      <w:r w:rsidRPr="00D85E5F">
        <w:t xml:space="preserve"> except for South Australia</w:t>
      </w:r>
      <w:r>
        <w:t>,</w:t>
      </w:r>
      <w:r w:rsidRPr="00D85E5F">
        <w:t xml:space="preserve"> took part in the survey in 2018. The Australian Capital Territory participated for the first time in 2018.</w:t>
      </w:r>
    </w:p>
    <w:p w14:paraId="446FA6B1" w14:textId="77777777" w:rsidR="00A8653F" w:rsidRDefault="00A8653F" w:rsidP="000E20AE">
      <w:pPr>
        <w:pStyle w:val="BodyJustified"/>
      </w:pPr>
      <w:r>
        <w:t>The current return to work rate is based on Question C1 ‘Are you currently working in a paid job?’ and Question C7 ‘Can I just confirm, have you returned to work at any time since your workplace injury or illness?’ of the survey, with the rate referring to the proportion of injured workers who state ‘yes’ to both questions.</w:t>
      </w:r>
    </w:p>
    <w:p w14:paraId="0A5AA587" w14:textId="3E9C8957" w:rsidR="00A8653F" w:rsidRDefault="00A8653F" w:rsidP="000E20AE">
      <w:pPr>
        <w:pStyle w:val="BodyJustified"/>
      </w:pPr>
      <w:r>
        <w:lastRenderedPageBreak/>
        <w:t xml:space="preserve">Current return to work rates reported here </w:t>
      </w:r>
      <w:r w:rsidR="00AD23FF">
        <w:t xml:space="preserve">are </w:t>
      </w:r>
      <w:r>
        <w:t xml:space="preserve">for premium payers and self-insurers together, </w:t>
      </w:r>
      <w:r w:rsidR="00AD23FF">
        <w:t xml:space="preserve">and </w:t>
      </w:r>
      <w:r>
        <w:t>are estimates based on a sample of the eligible population. Differences between and within jurisdictions should be interpreted with caution. More information on this aspect and the survey design can be found in Note 4 in Appendix 1.</w:t>
      </w:r>
    </w:p>
    <w:p w14:paraId="528CDB9F" w14:textId="59AF235A" w:rsidR="00A8653F" w:rsidRDefault="00A8653F" w:rsidP="000E20AE">
      <w:pPr>
        <w:pStyle w:val="BodyJustified"/>
        <w:rPr>
          <w:szCs w:val="20"/>
        </w:rPr>
      </w:pPr>
      <w:r>
        <w:t xml:space="preserve">Indicator </w:t>
      </w:r>
      <w:r w:rsidR="00812078">
        <w:rPr>
          <w:noProof/>
        </w:rPr>
        <w:t>2</w:t>
      </w:r>
      <w:r w:rsidR="00E05D0C">
        <w:rPr>
          <w:noProof/>
        </w:rPr>
        <w:t>1</w:t>
      </w:r>
      <w:r w:rsidR="00812078">
        <w:rPr>
          <w:noProof/>
        </w:rPr>
        <w:t xml:space="preserve"> </w:t>
      </w:r>
      <w:r w:rsidRPr="007C7425">
        <w:t xml:space="preserve">shows </w:t>
      </w:r>
      <w:r w:rsidR="002F2CF9">
        <w:t xml:space="preserve">the </w:t>
      </w:r>
      <w:r w:rsidR="00B33B27">
        <w:t>c</w:t>
      </w:r>
      <w:r>
        <w:t xml:space="preserve">urrent return to work rates by jurisdiction for the </w:t>
      </w:r>
      <w:r w:rsidR="009A1DB6">
        <w:t>four</w:t>
      </w:r>
      <w:r>
        <w:t xml:space="preserve"> surveys conducted in 2012, 2014</w:t>
      </w:r>
      <w:r w:rsidR="009A1DB6">
        <w:t xml:space="preserve">, </w:t>
      </w:r>
      <w:r>
        <w:t>2016</w:t>
      </w:r>
      <w:r w:rsidR="009A1DB6">
        <w:t xml:space="preserve"> and 2018</w:t>
      </w:r>
      <w:r>
        <w:t xml:space="preserve">. </w:t>
      </w:r>
      <w:r w:rsidR="007C1728">
        <w:t xml:space="preserve">Readers should note that this data represents a new series comprising both the balance and historic cohorts and should not be compared to results prior to 2012. </w:t>
      </w:r>
      <w:r>
        <w:t>In 201</w:t>
      </w:r>
      <w:r w:rsidR="009A1DB6">
        <w:t>8</w:t>
      </w:r>
      <w:r>
        <w:t xml:space="preserve">, </w:t>
      </w:r>
      <w:r w:rsidRPr="007C7425">
        <w:t>8</w:t>
      </w:r>
      <w:r w:rsidR="009A1DB6">
        <w:t>2</w:t>
      </w:r>
      <w:r w:rsidR="00FB0257">
        <w:t> per cent</w:t>
      </w:r>
      <w:r w:rsidRPr="007C7425">
        <w:t xml:space="preserve"> of Australian and </w:t>
      </w:r>
      <w:r w:rsidR="009A1DB6">
        <w:t>80</w:t>
      </w:r>
      <w:r>
        <w:t> per cent</w:t>
      </w:r>
      <w:r w:rsidRPr="007C7425">
        <w:t xml:space="preserve"> of New</w:t>
      </w:r>
      <w:r>
        <w:t> </w:t>
      </w:r>
      <w:r w:rsidRPr="007C7425">
        <w:t>Zealand injured workers from premium paying and self-insured organisations had returned to work and were working in a paid job at the time of the interview.</w:t>
      </w:r>
    </w:p>
    <w:p w14:paraId="00D249B8" w14:textId="50F5BD27" w:rsidR="00A8653F" w:rsidRDefault="00A8653F" w:rsidP="00CB108E">
      <w:pPr>
        <w:pStyle w:val="SWATableheader"/>
      </w:pPr>
      <w:bookmarkStart w:id="27" w:name="_Ref464218047"/>
      <w:r>
        <w:t xml:space="preserve">Indicator </w:t>
      </w:r>
      <w:bookmarkEnd w:id="27"/>
      <w:r w:rsidR="006710E7">
        <w:rPr>
          <w:noProof/>
        </w:rPr>
        <w:t>2</w:t>
      </w:r>
      <w:r w:rsidR="00535035">
        <w:rPr>
          <w:noProof/>
        </w:rPr>
        <w:t>1</w:t>
      </w:r>
      <w:r>
        <w:t xml:space="preserve"> – Current return to work rate for 2012, 2014</w:t>
      </w:r>
      <w:r w:rsidR="00EC51D3">
        <w:t xml:space="preserve">, </w:t>
      </w:r>
      <w:r>
        <w:t>2016</w:t>
      </w:r>
      <w:r w:rsidR="00EC51D3">
        <w:t xml:space="preserve"> and 2018</w:t>
      </w:r>
      <w:r w:rsidR="007D1A00">
        <w:t xml:space="preserve"> </w:t>
      </w:r>
    </w:p>
    <w:p w14:paraId="1E62BAFD" w14:textId="77777777" w:rsidR="00A8653F" w:rsidRDefault="004D5E09" w:rsidP="00A8653F">
      <w:pPr>
        <w:pStyle w:val="Figureheading"/>
        <w:jc w:val="center"/>
      </w:pPr>
      <w:r>
        <w:rPr>
          <w:noProof/>
          <w:lang w:val="en-AU" w:eastAsia="en-AU"/>
        </w:rPr>
        <w:drawing>
          <wp:inline distT="0" distB="0" distL="0" distR="0" wp14:anchorId="7A7CDABB" wp14:editId="492637DD">
            <wp:extent cx="4682571" cy="2516383"/>
            <wp:effectExtent l="0" t="0" r="3810" b="0"/>
            <wp:docPr id="82" name="Picture 82" descr="This chart shows the current return to work rate for three years reported for premium payers and self-insurers together by Australian jurisdictions and New Zealand. " title="Indicator 21 - Current return to work rate for 2012, 2014, 201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9 - Current Return to Work rates - total cohort-0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82571" cy="2516383"/>
                    </a:xfrm>
                    <a:prstGeom prst="rect">
                      <a:avLst/>
                    </a:prstGeom>
                  </pic:spPr>
                </pic:pic>
              </a:graphicData>
            </a:graphic>
          </wp:inline>
        </w:drawing>
      </w:r>
    </w:p>
    <w:p w14:paraId="4CAC36A8" w14:textId="4663546B" w:rsidR="00A8653F" w:rsidRDefault="00A8653F" w:rsidP="000E20AE">
      <w:pPr>
        <w:pStyle w:val="BodyJustified"/>
      </w:pPr>
      <w:r>
        <w:t>T</w:t>
      </w:r>
      <w:r w:rsidRPr="00660E52">
        <w:t xml:space="preserve">he </w:t>
      </w:r>
      <w:r w:rsidR="00B33B27">
        <w:t>c</w:t>
      </w:r>
      <w:r w:rsidRPr="00660E52">
        <w:t xml:space="preserve">urrent </w:t>
      </w:r>
      <w:r>
        <w:t>r</w:t>
      </w:r>
      <w:r w:rsidRPr="00660E52">
        <w:t xml:space="preserve">eturn to </w:t>
      </w:r>
      <w:r>
        <w:t>w</w:t>
      </w:r>
      <w:r w:rsidRPr="00660E52">
        <w:t xml:space="preserve">ork </w:t>
      </w:r>
      <w:r>
        <w:t>r</w:t>
      </w:r>
      <w:r w:rsidRPr="00660E52">
        <w:t xml:space="preserve">ate </w:t>
      </w:r>
      <w:r>
        <w:t>in 201</w:t>
      </w:r>
      <w:r w:rsidR="009A1DB6">
        <w:t>8</w:t>
      </w:r>
      <w:r>
        <w:t xml:space="preserve"> </w:t>
      </w:r>
      <w:r w:rsidRPr="00660E52">
        <w:t xml:space="preserve">for </w:t>
      </w:r>
      <w:r>
        <w:t>Comcare</w:t>
      </w:r>
      <w:r w:rsidRPr="00660E52">
        <w:t xml:space="preserve"> (</w:t>
      </w:r>
      <w:r w:rsidR="009A1DB6">
        <w:t>85</w:t>
      </w:r>
      <w:r>
        <w:t> per cent),</w:t>
      </w:r>
      <w:r w:rsidRPr="00660E52">
        <w:t xml:space="preserve"> </w:t>
      </w:r>
      <w:r w:rsidR="009A1DB6">
        <w:t>Queensland</w:t>
      </w:r>
      <w:r w:rsidRPr="00660E52">
        <w:t xml:space="preserve"> (8</w:t>
      </w:r>
      <w:r w:rsidR="009A1DB6">
        <w:t>3</w:t>
      </w:r>
      <w:r w:rsidR="00FB0257">
        <w:t> per cent</w:t>
      </w:r>
      <w:r>
        <w:t>)</w:t>
      </w:r>
      <w:r w:rsidRPr="00660E52">
        <w:t xml:space="preserve"> and </w:t>
      </w:r>
      <w:r w:rsidR="009A1DB6">
        <w:t xml:space="preserve">the Australian Capital Territory </w:t>
      </w:r>
      <w:r w:rsidRPr="00660E52">
        <w:t>(8</w:t>
      </w:r>
      <w:r w:rsidR="009A1DB6">
        <w:t>6</w:t>
      </w:r>
      <w:r w:rsidR="00FB0257">
        <w:t> per cent</w:t>
      </w:r>
      <w:r w:rsidRPr="00660E52">
        <w:t>)</w:t>
      </w:r>
      <w:r w:rsidR="00336171">
        <w:t xml:space="preserve"> </w:t>
      </w:r>
      <w:r w:rsidR="00336171" w:rsidRPr="00660E52">
        <w:t>was higher than the national rate</w:t>
      </w:r>
      <w:r w:rsidRPr="00660E52">
        <w:t xml:space="preserve">. </w:t>
      </w:r>
      <w:r>
        <w:t>By contrast</w:t>
      </w:r>
      <w:r w:rsidRPr="00660E52">
        <w:t xml:space="preserve"> </w:t>
      </w:r>
      <w:r>
        <w:t>Victoria</w:t>
      </w:r>
      <w:r w:rsidRPr="00660E52">
        <w:t xml:space="preserve"> </w:t>
      </w:r>
      <w:r w:rsidR="009A1DB6">
        <w:t xml:space="preserve">and New South Wales (81 per cent each), Tasmania </w:t>
      </w:r>
      <w:r w:rsidRPr="00660E52">
        <w:t>(</w:t>
      </w:r>
      <w:r w:rsidR="009A1DB6">
        <w:t>79</w:t>
      </w:r>
      <w:r w:rsidR="00FB0257">
        <w:t> per cent</w:t>
      </w:r>
      <w:r>
        <w:t>)</w:t>
      </w:r>
      <w:r w:rsidR="009A1DB6">
        <w:t>,</w:t>
      </w:r>
      <w:r w:rsidR="00336171">
        <w:t xml:space="preserve"> </w:t>
      </w:r>
      <w:r w:rsidR="009A1DB6">
        <w:t>Seacare (68 per cent) and</w:t>
      </w:r>
      <w:r w:rsidR="00EB3876">
        <w:t xml:space="preserve"> the Northern Territory (7</w:t>
      </w:r>
      <w:r w:rsidR="009A1DB6">
        <w:t>3</w:t>
      </w:r>
      <w:r w:rsidR="00EB3876">
        <w:t> </w:t>
      </w:r>
      <w:r>
        <w:t>per</w:t>
      </w:r>
      <w:r w:rsidR="00EB3876">
        <w:t> </w:t>
      </w:r>
      <w:r>
        <w:t>cent), all recorded lower rates than the national average.</w:t>
      </w:r>
      <w:r w:rsidRPr="00660E52">
        <w:t xml:space="preserve"> </w:t>
      </w:r>
    </w:p>
    <w:p w14:paraId="05B99999" w14:textId="4A5B08D0" w:rsidR="00B33B27" w:rsidRPr="00BC5757" w:rsidRDefault="00582F30" w:rsidP="00907762">
      <w:r>
        <w:t>T</w:t>
      </w:r>
      <w:r w:rsidR="00B33B27">
        <w:t xml:space="preserve">he current return to work rate increased for </w:t>
      </w:r>
      <w:r w:rsidR="007D1A00">
        <w:t xml:space="preserve">all jurisdictions who participated in the four </w:t>
      </w:r>
      <w:r w:rsidR="00EA6A36">
        <w:t xml:space="preserve">biennial </w:t>
      </w:r>
      <w:r w:rsidR="007D1A00">
        <w:t>return to work surveys between 2012 and 2018.</w:t>
      </w:r>
      <w:r w:rsidR="00F31C4C">
        <w:t xml:space="preserve"> </w:t>
      </w:r>
      <w:r w:rsidR="00B33B27">
        <w:t>The rate fell in New Zealand during the same period.</w:t>
      </w:r>
    </w:p>
    <w:p w14:paraId="3C46342F" w14:textId="77777777" w:rsidR="00A8653F" w:rsidRPr="00D05BF2" w:rsidRDefault="00A8653F" w:rsidP="000E20AE">
      <w:pPr>
        <w:pStyle w:val="BodyJustified"/>
      </w:pPr>
      <w:r w:rsidRPr="007C7425">
        <w:t xml:space="preserve">The </w:t>
      </w:r>
      <w:r w:rsidR="00B33B27">
        <w:t>c</w:t>
      </w:r>
      <w:r w:rsidRPr="007C7425">
        <w:t xml:space="preserve">urrent </w:t>
      </w:r>
      <w:r>
        <w:t>r</w:t>
      </w:r>
      <w:r w:rsidRPr="007C7425">
        <w:t xml:space="preserve">eturn to </w:t>
      </w:r>
      <w:r>
        <w:t>w</w:t>
      </w:r>
      <w:r w:rsidRPr="007C7425">
        <w:t xml:space="preserve">ork </w:t>
      </w:r>
      <w:r>
        <w:t>rate</w:t>
      </w:r>
      <w:r w:rsidRPr="007C7425">
        <w:t xml:space="preserve"> </w:t>
      </w:r>
      <w:r>
        <w:t>for</w:t>
      </w:r>
      <w:r w:rsidRPr="007C7425">
        <w:t xml:space="preserve"> Seacare is affected by legislation which requires a person to be certified medically fit to perform the normal on-board work tasks and duties of a seafarer</w:t>
      </w:r>
      <w:r>
        <w:t>.</w:t>
      </w:r>
    </w:p>
    <w:p w14:paraId="6C4CD25A" w14:textId="77777777" w:rsidR="00A8653F" w:rsidRPr="00D070A2" w:rsidRDefault="00A8653F" w:rsidP="000E20AE">
      <w:pPr>
        <w:pStyle w:val="BodyJustified"/>
      </w:pPr>
      <w:r w:rsidRPr="00D05BF2">
        <w:t>Each jurisdiction faces varying challenges in their endeavors to improve return to work rates. Some drivers of return to work are defined by legislation and can only be influenced by the nature of the scheme design (whether it is short or long term in nature). For example, the benefit structure can influence return to work, as can the associated step down provisions and legislative differences regarding early claims reporting, employer obligations and common law arrangements.</w:t>
      </w:r>
    </w:p>
    <w:p w14:paraId="5A2EBA62" w14:textId="320AD367" w:rsidR="00A8653F" w:rsidRPr="00D05BF2" w:rsidRDefault="00A8653F" w:rsidP="00FF028E">
      <w:pPr>
        <w:pStyle w:val="SWASectionnum2"/>
      </w:pPr>
      <w:bookmarkStart w:id="28" w:name="_Toc476564190"/>
      <w:bookmarkStart w:id="29" w:name="_Toc4508776"/>
      <w:r w:rsidRPr="00D05BF2">
        <w:t>Disputation rate</w:t>
      </w:r>
      <w:bookmarkEnd w:id="28"/>
      <w:bookmarkEnd w:id="29"/>
      <w:r>
        <w:t xml:space="preserve"> </w:t>
      </w:r>
    </w:p>
    <w:p w14:paraId="4DB12CD3" w14:textId="77777777" w:rsidR="00A8653F" w:rsidRDefault="00A8653F" w:rsidP="000E20AE">
      <w:pPr>
        <w:pStyle w:val="BodyJustified"/>
      </w:pPr>
      <w:r>
        <w:t xml:space="preserve">A dispute is an appeal to a formal mechanism, such as a review officer, conciliation or mediation service, against an insurer’s decision or decisions relating to compensation. Disputes exclude common law and also exclude redemptions and commutations unless processed as disputes through the jurisdiction’s dispute resolution system. </w:t>
      </w:r>
    </w:p>
    <w:p w14:paraId="211171B9" w14:textId="77777777" w:rsidR="00A8653F" w:rsidRDefault="00A8653F" w:rsidP="000E20AE">
      <w:pPr>
        <w:pStyle w:val="BodyJustified"/>
      </w:pPr>
      <w:r>
        <w:t xml:space="preserve">Indicator </w:t>
      </w:r>
      <w:r>
        <w:rPr>
          <w:noProof/>
        </w:rPr>
        <w:t>2</w:t>
      </w:r>
      <w:r w:rsidR="008430D0">
        <w:rPr>
          <w:noProof/>
        </w:rPr>
        <w:t>2</w:t>
      </w:r>
      <w:r>
        <w:t xml:space="preserve"> shows the number of new disputes as a proportion of ‘active’ claims in the reference financial year. An active claim is described as any claim on which a payment of any type was made during the reference financial year (including claims with medical treatment costs only) regardless of when that claim was lodged.</w:t>
      </w:r>
    </w:p>
    <w:p w14:paraId="35447C3B" w14:textId="77777777" w:rsidR="00A8653F" w:rsidRDefault="00A8653F" w:rsidP="000E20AE">
      <w:pPr>
        <w:pStyle w:val="BodyJustified"/>
      </w:pPr>
      <w:r>
        <w:lastRenderedPageBreak/>
        <w:t xml:space="preserve">The measure includes all disputes lodged for the year against any active claim that had any type of payment in the reference financial year. The comparison of disputation rates between jurisdictions must be treated with caution due to jurisdictional differences in scheme design, types of decisions that can be appealed, dispute resolution models and the cost of appeals. </w:t>
      </w:r>
    </w:p>
    <w:p w14:paraId="1F5EBBDA" w14:textId="6448579A" w:rsidR="00A8653F" w:rsidRDefault="00A8653F" w:rsidP="000E20AE">
      <w:pPr>
        <w:pStyle w:val="BodyJustified"/>
      </w:pPr>
      <w:r>
        <w:t xml:space="preserve">Indicator </w:t>
      </w:r>
      <w:r>
        <w:rPr>
          <w:noProof/>
        </w:rPr>
        <w:t>2</w:t>
      </w:r>
      <w:r w:rsidR="008430D0">
        <w:rPr>
          <w:noProof/>
        </w:rPr>
        <w:t>2</w:t>
      </w:r>
      <w:r>
        <w:t xml:space="preserve"> shows that </w:t>
      </w:r>
      <w:r w:rsidR="002C72E2">
        <w:t xml:space="preserve">while </w:t>
      </w:r>
      <w:r>
        <w:t>the Australian disputation rate (</w:t>
      </w:r>
      <w:r w:rsidR="00CE5EEE">
        <w:t>5.1</w:t>
      </w:r>
      <w:r w:rsidR="002F2CF9">
        <w:t> </w:t>
      </w:r>
      <w:r>
        <w:t>per</w:t>
      </w:r>
      <w:r w:rsidR="002F2CF9">
        <w:t> </w:t>
      </w:r>
      <w:r>
        <w:t>cent of active claims) in 201</w:t>
      </w:r>
      <w:r w:rsidR="00CE5EEE">
        <w:t>6</w:t>
      </w:r>
      <w:r>
        <w:t>–1</w:t>
      </w:r>
      <w:r w:rsidR="00CE5EEE">
        <w:t>7</w:t>
      </w:r>
      <w:r>
        <w:t xml:space="preserve"> has </w:t>
      </w:r>
      <w:r w:rsidR="00B92A5B">
        <w:t>decreased</w:t>
      </w:r>
      <w:r>
        <w:t xml:space="preserve"> by </w:t>
      </w:r>
      <w:r w:rsidR="00B92A5B">
        <w:t>19</w:t>
      </w:r>
      <w:r w:rsidR="002F2CF9">
        <w:t> </w:t>
      </w:r>
      <w:r w:rsidRPr="00C47630">
        <w:t>per</w:t>
      </w:r>
      <w:r w:rsidR="002F2CF9">
        <w:t> </w:t>
      </w:r>
      <w:r w:rsidRPr="00C47630">
        <w:t>cent</w:t>
      </w:r>
      <w:r>
        <w:t xml:space="preserve"> since 201</w:t>
      </w:r>
      <w:r w:rsidR="00CE5EEE">
        <w:t>2</w:t>
      </w:r>
      <w:r>
        <w:t>–1</w:t>
      </w:r>
      <w:r w:rsidR="00CE5EEE">
        <w:t>3</w:t>
      </w:r>
      <w:r w:rsidR="002C72E2">
        <w:t xml:space="preserve">, the majority of </w:t>
      </w:r>
      <w:r w:rsidR="00B324B4">
        <w:t xml:space="preserve">Australian </w:t>
      </w:r>
      <w:r>
        <w:t>jurisdictions recorded increases in di</w:t>
      </w:r>
      <w:r w:rsidR="000452DF">
        <w:t>sputation rates during the five-</w:t>
      </w:r>
      <w:r>
        <w:t>year period.</w:t>
      </w:r>
      <w:r w:rsidR="006642D8">
        <w:t xml:space="preserve"> New South Wales recorded a substantial decrease (down 56</w:t>
      </w:r>
      <w:r w:rsidR="00405BF7">
        <w:t> </w:t>
      </w:r>
      <w:r w:rsidR="006642D8">
        <w:t xml:space="preserve">per cent) in its disputation rate since 2012–13, resulting in the 19 per cent decrease at the national level. </w:t>
      </w:r>
    </w:p>
    <w:p w14:paraId="10595A90" w14:textId="25F253CD" w:rsidR="00A8653F" w:rsidRDefault="00A8653F" w:rsidP="00CB108E">
      <w:pPr>
        <w:pStyle w:val="SWATableheader"/>
      </w:pPr>
      <w:bookmarkStart w:id="30" w:name="_Ref464220602"/>
      <w:r>
        <w:t xml:space="preserve">Indicator </w:t>
      </w:r>
      <w:r>
        <w:rPr>
          <w:noProof/>
        </w:rPr>
        <w:t>2</w:t>
      </w:r>
      <w:bookmarkEnd w:id="30"/>
      <w:r w:rsidR="00535035">
        <w:rPr>
          <w:noProof/>
        </w:rPr>
        <w:t>2</w:t>
      </w:r>
      <w:r>
        <w:t xml:space="preserve"> – Proportion of claims with dispute </w:t>
      </w:r>
    </w:p>
    <w:p w14:paraId="4EF3FAE9" w14:textId="77777777" w:rsidR="00A8653F" w:rsidRDefault="004D5E09" w:rsidP="00A8653F">
      <w:pPr>
        <w:pStyle w:val="Figureheading"/>
      </w:pPr>
      <w:r>
        <w:rPr>
          <w:noProof/>
          <w:lang w:val="en-AU" w:eastAsia="en-AU"/>
        </w:rPr>
        <w:drawing>
          <wp:inline distT="0" distB="0" distL="0" distR="0" wp14:anchorId="0B2A72AE" wp14:editId="122027ED">
            <wp:extent cx="5942104" cy="2281279"/>
            <wp:effectExtent l="0" t="0" r="1905" b="5080"/>
            <wp:docPr id="83" name="Picture 83" descr="This chart shows proportion of claims with disputes by jurisdiction and for five financial years." title="Indicator 22 - proportion of claims with disp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3 - Proportion of claims with dispute-01.png"/>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942104" cy="2281279"/>
                    </a:xfrm>
                    <a:prstGeom prst="rect">
                      <a:avLst/>
                    </a:prstGeom>
                    <a:ln>
                      <a:noFill/>
                    </a:ln>
                    <a:extLst>
                      <a:ext uri="{53640926-AAD7-44D8-BBD7-CCE9431645EC}">
                        <a14:shadowObscured xmlns:a14="http://schemas.microsoft.com/office/drawing/2010/main"/>
                      </a:ext>
                    </a:extLst>
                  </pic:spPr>
                </pic:pic>
              </a:graphicData>
            </a:graphic>
          </wp:inline>
        </w:drawing>
      </w:r>
    </w:p>
    <w:p w14:paraId="01C0D6BE" w14:textId="77777777" w:rsidR="00DE358B" w:rsidRDefault="00DE358B" w:rsidP="000E20AE">
      <w:pPr>
        <w:pStyle w:val="BodyJustified"/>
      </w:pPr>
    </w:p>
    <w:p w14:paraId="38A402D6" w14:textId="3A2535DA" w:rsidR="00A8653F" w:rsidRDefault="00A8653F" w:rsidP="000E20AE">
      <w:pPr>
        <w:pStyle w:val="BodyJustified"/>
      </w:pPr>
      <w:r w:rsidRPr="00F9749E">
        <w:t xml:space="preserve">New South Wales recorded a </w:t>
      </w:r>
      <w:r w:rsidR="00B324B4">
        <w:t>substantial decrease</w:t>
      </w:r>
      <w:r w:rsidRPr="00F9749E">
        <w:t xml:space="preserve"> (</w:t>
      </w:r>
      <w:r w:rsidR="00B324B4">
        <w:t>down</w:t>
      </w:r>
      <w:r w:rsidRPr="00F9749E">
        <w:t xml:space="preserve"> 3</w:t>
      </w:r>
      <w:r w:rsidR="00B324B4">
        <w:t>7</w:t>
      </w:r>
      <w:r w:rsidR="00FB0257">
        <w:t> per cent</w:t>
      </w:r>
      <w:r w:rsidRPr="00F9749E">
        <w:t>) in its disputation rate in 201</w:t>
      </w:r>
      <w:r w:rsidR="00B324B4">
        <w:t>6</w:t>
      </w:r>
      <w:r w:rsidRPr="00F9749E">
        <w:t>–1</w:t>
      </w:r>
      <w:r w:rsidR="00B324B4">
        <w:t>7</w:t>
      </w:r>
      <w:r w:rsidRPr="00F9749E">
        <w:t xml:space="preserve"> compared to the previous year. </w:t>
      </w:r>
      <w:r w:rsidR="0093484A">
        <w:t>D</w:t>
      </w:r>
      <w:r w:rsidR="00B324B4">
        <w:t xml:space="preserve">ispute </w:t>
      </w:r>
      <w:r w:rsidR="0093484A">
        <w:t xml:space="preserve">numbers </w:t>
      </w:r>
      <w:r w:rsidR="00B324B4">
        <w:t>(down 36 per cent from last year)</w:t>
      </w:r>
      <w:r w:rsidR="0093484A">
        <w:t xml:space="preserve"> were affected by the</w:t>
      </w:r>
      <w:r w:rsidR="00C37543">
        <w:t xml:space="preserve"> 2012 Workers’ Compensation System legislative amendments, which created</w:t>
      </w:r>
      <w:r w:rsidRPr="00F9749E">
        <w:t xml:space="preserve"> </w:t>
      </w:r>
      <w:r>
        <w:t>two discrete dispute avenues for claimants.</w:t>
      </w:r>
      <w:r w:rsidRPr="00F9749E">
        <w:t xml:space="preserve"> Th</w:t>
      </w:r>
      <w:r>
        <w:t>e new</w:t>
      </w:r>
      <w:r w:rsidRPr="00F9749E">
        <w:t xml:space="preserve"> staged review model for </w:t>
      </w:r>
      <w:r>
        <w:t>work capacity decision (</w:t>
      </w:r>
      <w:r w:rsidRPr="00F9749E">
        <w:t>WCD</w:t>
      </w:r>
      <w:r>
        <w:t>)</w:t>
      </w:r>
      <w:r w:rsidRPr="00F9749E">
        <w:t xml:space="preserve"> disputes enables a worker to seek an internal review by an insurer of </w:t>
      </w:r>
      <w:r>
        <w:t>the insurer’s</w:t>
      </w:r>
      <w:r w:rsidRPr="00F9749E">
        <w:t xml:space="preserve"> WCD, potentially followed by a merit review by the State Insurance Regulatory Authority. </w:t>
      </w:r>
      <w:r w:rsidR="00A37A4F" w:rsidRPr="00A37A4F">
        <w:rPr>
          <w:szCs w:val="20"/>
        </w:rPr>
        <w:t>Legal funding has been introduced for merit reviews.</w:t>
      </w:r>
      <w:r w:rsidR="00C70DA3">
        <w:rPr>
          <w:szCs w:val="20"/>
        </w:rPr>
        <w:t xml:space="preserve"> </w:t>
      </w:r>
      <w:r w:rsidR="00A37A4F" w:rsidRPr="00A37A4F">
        <w:rPr>
          <w:szCs w:val="20"/>
        </w:rPr>
        <w:t>In addition, a worker may also then seek a procedural review by the Workers</w:t>
      </w:r>
      <w:r w:rsidR="005D0AE4">
        <w:rPr>
          <w:szCs w:val="20"/>
        </w:rPr>
        <w:t>’</w:t>
      </w:r>
      <w:r w:rsidR="00A37A4F" w:rsidRPr="00A37A4F">
        <w:rPr>
          <w:szCs w:val="20"/>
        </w:rPr>
        <w:t xml:space="preserve"> Compensation Independent Review Office, of the procedures used by the insurer in making the original WCD decision</w:t>
      </w:r>
      <w:r w:rsidR="00A37A4F" w:rsidRPr="00A37A4F">
        <w:rPr>
          <w:sz w:val="22"/>
        </w:rPr>
        <w:t>.</w:t>
      </w:r>
      <w:r w:rsidRPr="00F9749E">
        <w:t xml:space="preserve"> The Workers’ Compensation Commission (WCC) retains jurisdiction over legally funded disputes involving claims liability, permanent impairment levels, and failure to commence provisional payments and approve medical procedures on time. In response to the </w:t>
      </w:r>
      <w:r w:rsidR="00C37543">
        <w:t xml:space="preserve">legislative amendments in </w:t>
      </w:r>
      <w:r w:rsidRPr="00F9749E">
        <w:t>2012, workers sought statutory reviews through the WCC in 2012–13 before the new WCD dispute process was introduced</w:t>
      </w:r>
      <w:r w:rsidR="005D0AE4">
        <w:t>,</w:t>
      </w:r>
      <w:r w:rsidRPr="00F9749E">
        <w:t xml:space="preserve"> causing a spike in the number of disputes lodged</w:t>
      </w:r>
      <w:r>
        <w:t xml:space="preserve"> in that year</w:t>
      </w:r>
      <w:r w:rsidRPr="00F9749E">
        <w:t>.</w:t>
      </w:r>
    </w:p>
    <w:p w14:paraId="070D9F98" w14:textId="6BDDF584" w:rsidR="00A8653F" w:rsidRDefault="00A8653F" w:rsidP="000E20AE">
      <w:pPr>
        <w:pStyle w:val="BodyJustified"/>
      </w:pPr>
      <w:r>
        <w:t>South Australia showed a</w:t>
      </w:r>
      <w:r w:rsidR="000234ED">
        <w:t xml:space="preserve"> substantial</w:t>
      </w:r>
      <w:r>
        <w:t xml:space="preserve"> </w:t>
      </w:r>
      <w:r w:rsidR="00C10E67">
        <w:t>in</w:t>
      </w:r>
      <w:r w:rsidR="00921F08">
        <w:t>crease</w:t>
      </w:r>
      <w:r>
        <w:t xml:space="preserve"> (</w:t>
      </w:r>
      <w:r w:rsidR="00C10E67">
        <w:t>up</w:t>
      </w:r>
      <w:r>
        <w:t xml:space="preserve"> </w:t>
      </w:r>
      <w:r w:rsidR="00C10E67">
        <w:t>30</w:t>
      </w:r>
      <w:r w:rsidR="00FB0257">
        <w:t> per cent</w:t>
      </w:r>
      <w:r>
        <w:t xml:space="preserve">) in the number of new disputes lodged in </w:t>
      </w:r>
      <w:r w:rsidR="002C72E2">
        <w:t xml:space="preserve">2016-17 </w:t>
      </w:r>
      <w:r w:rsidR="00F45D7E">
        <w:t xml:space="preserve">compared to </w:t>
      </w:r>
      <w:r w:rsidR="00FB3309" w:rsidRPr="00F9749E">
        <w:t>201</w:t>
      </w:r>
      <w:r w:rsidR="00FB3309">
        <w:t>5</w:t>
      </w:r>
      <w:r w:rsidR="00FB3309" w:rsidRPr="00F9749E">
        <w:t>–1</w:t>
      </w:r>
      <w:r w:rsidR="00FB3309">
        <w:t>6.</w:t>
      </w:r>
      <w:r w:rsidR="00233910">
        <w:t xml:space="preserve"> </w:t>
      </w:r>
      <w:r>
        <w:t xml:space="preserve">The disputation rate for South Australia has recorded a </w:t>
      </w:r>
      <w:r w:rsidR="000234ED">
        <w:t>5</w:t>
      </w:r>
      <w:r w:rsidR="00920521">
        <w:t>8</w:t>
      </w:r>
      <w:r w:rsidR="002029BF">
        <w:t> </w:t>
      </w:r>
      <w:r w:rsidR="00921F08">
        <w:t>per</w:t>
      </w:r>
      <w:r w:rsidR="002029BF">
        <w:t> </w:t>
      </w:r>
      <w:r w:rsidR="00921F08">
        <w:t>cent</w:t>
      </w:r>
      <w:r>
        <w:t xml:space="preserve"> increase </w:t>
      </w:r>
      <w:r w:rsidR="000234ED">
        <w:t>during the five year period.</w:t>
      </w:r>
      <w:r>
        <w:t xml:space="preserve"> </w:t>
      </w:r>
    </w:p>
    <w:p w14:paraId="30B02C9D" w14:textId="141BFD31" w:rsidR="00A8653F" w:rsidRDefault="00A8653F" w:rsidP="000E20AE">
      <w:pPr>
        <w:pStyle w:val="BodyJustified"/>
      </w:pPr>
      <w:r>
        <w:t xml:space="preserve">Western Australia recorded a disputation rate of </w:t>
      </w:r>
      <w:r w:rsidR="00121487">
        <w:t>4.1</w:t>
      </w:r>
      <w:r w:rsidR="00FB0257">
        <w:t> per cent</w:t>
      </w:r>
      <w:r>
        <w:t xml:space="preserve"> in 201</w:t>
      </w:r>
      <w:r w:rsidR="00121487">
        <w:t>6</w:t>
      </w:r>
      <w:r>
        <w:t>–1</w:t>
      </w:r>
      <w:r w:rsidR="00121487">
        <w:t>7</w:t>
      </w:r>
      <w:r>
        <w:t>. This represents a</w:t>
      </w:r>
      <w:r w:rsidR="00121487">
        <w:t>n</w:t>
      </w:r>
      <w:r>
        <w:t xml:space="preserve"> </w:t>
      </w:r>
      <w:r w:rsidR="00121487">
        <w:t>8</w:t>
      </w:r>
      <w:r>
        <w:t xml:space="preserve"> per cent </w:t>
      </w:r>
      <w:r w:rsidR="00390BEA">
        <w:t>increase</w:t>
      </w:r>
      <w:r>
        <w:t xml:space="preserve"> from 201</w:t>
      </w:r>
      <w:r w:rsidR="00121487">
        <w:t>5</w:t>
      </w:r>
      <w:r>
        <w:t>–1</w:t>
      </w:r>
      <w:r w:rsidR="00121487">
        <w:t>6</w:t>
      </w:r>
      <w:r>
        <w:t xml:space="preserve">. </w:t>
      </w:r>
      <w:r w:rsidR="00156A97">
        <w:t xml:space="preserve">Victoria recorded a </w:t>
      </w:r>
      <w:r w:rsidR="00761602">
        <w:t>21</w:t>
      </w:r>
      <w:r w:rsidR="00FB0257">
        <w:t> per cent</w:t>
      </w:r>
      <w:r w:rsidR="00156A97">
        <w:t xml:space="preserve"> </w:t>
      </w:r>
      <w:r w:rsidR="00761602">
        <w:t>increase</w:t>
      </w:r>
      <w:r w:rsidR="00156A97">
        <w:t xml:space="preserve"> in its disputation rate from the previous year. </w:t>
      </w:r>
      <w:r w:rsidR="002029BF">
        <w:t>Comcare</w:t>
      </w:r>
      <w:r>
        <w:t xml:space="preserve"> </w:t>
      </w:r>
      <w:r w:rsidR="00B53B92">
        <w:t xml:space="preserve">recorded a disputation rate of </w:t>
      </w:r>
      <w:r w:rsidR="00761602">
        <w:t>7.5</w:t>
      </w:r>
      <w:r w:rsidR="002029BF">
        <w:t> per cent</w:t>
      </w:r>
      <w:r w:rsidR="00B53B92">
        <w:t xml:space="preserve"> </w:t>
      </w:r>
      <w:r>
        <w:t>in 201</w:t>
      </w:r>
      <w:r w:rsidR="00761602">
        <w:t>6</w:t>
      </w:r>
      <w:r>
        <w:t>–1</w:t>
      </w:r>
      <w:r w:rsidR="00761602">
        <w:t>7</w:t>
      </w:r>
      <w:r w:rsidR="00B53B92">
        <w:t xml:space="preserve">, a </w:t>
      </w:r>
      <w:r w:rsidR="00761602">
        <w:t>17</w:t>
      </w:r>
      <w:r w:rsidR="002029BF">
        <w:t> per cent increase</w:t>
      </w:r>
      <w:r w:rsidR="00B53B92">
        <w:t xml:space="preserve"> from </w:t>
      </w:r>
      <w:r>
        <w:t xml:space="preserve">the previous year. </w:t>
      </w:r>
    </w:p>
    <w:p w14:paraId="71AC44D2" w14:textId="73FF2ACE" w:rsidR="00A8653F" w:rsidRDefault="00761602" w:rsidP="000E20AE">
      <w:pPr>
        <w:pStyle w:val="BodyJustified"/>
      </w:pPr>
      <w:r>
        <w:t xml:space="preserve">New South Wales reported </w:t>
      </w:r>
      <w:r w:rsidR="00A8653F">
        <w:t xml:space="preserve">the lowest disputation rate of all the Australian jurisdictions at </w:t>
      </w:r>
      <w:r>
        <w:t>2.9</w:t>
      </w:r>
      <w:r w:rsidR="00A8653F">
        <w:t> per cent of active claims in 201</w:t>
      </w:r>
      <w:r>
        <w:t>6</w:t>
      </w:r>
      <w:r w:rsidR="00A8653F">
        <w:t>–1</w:t>
      </w:r>
      <w:r>
        <w:t>7</w:t>
      </w:r>
      <w:r w:rsidR="00A8653F">
        <w:t xml:space="preserve">, followed by </w:t>
      </w:r>
      <w:r>
        <w:t>Queensland</w:t>
      </w:r>
      <w:r w:rsidR="00A8653F">
        <w:t xml:space="preserve"> (3.</w:t>
      </w:r>
      <w:r>
        <w:t>0</w:t>
      </w:r>
      <w:r w:rsidR="00156A97">
        <w:t> </w:t>
      </w:r>
      <w:r w:rsidR="00A8653F">
        <w:t>per</w:t>
      </w:r>
      <w:r w:rsidR="00156A97">
        <w:t> </w:t>
      </w:r>
      <w:r w:rsidR="00A8653F">
        <w:t xml:space="preserve">cent) </w:t>
      </w:r>
      <w:r w:rsidR="00156A97">
        <w:t xml:space="preserve">and </w:t>
      </w:r>
      <w:r>
        <w:t>Western Australia</w:t>
      </w:r>
      <w:r w:rsidR="00A8653F">
        <w:t xml:space="preserve"> (4.</w:t>
      </w:r>
      <w:r>
        <w:t>1</w:t>
      </w:r>
      <w:r w:rsidR="00A8653F">
        <w:t xml:space="preserve"> per cent). </w:t>
      </w:r>
      <w:r w:rsidR="00156A97">
        <w:t xml:space="preserve">The disputation rate of </w:t>
      </w:r>
      <w:r w:rsidR="00A8653F">
        <w:t xml:space="preserve">Seacare </w:t>
      </w:r>
      <w:r w:rsidR="00156A97">
        <w:t>in 201</w:t>
      </w:r>
      <w:r>
        <w:t>6</w:t>
      </w:r>
      <w:r w:rsidR="00156A97">
        <w:t>–1</w:t>
      </w:r>
      <w:r>
        <w:t>7</w:t>
      </w:r>
      <w:r w:rsidR="00156A97">
        <w:t xml:space="preserve"> was </w:t>
      </w:r>
      <w:r w:rsidR="00A8653F">
        <w:t xml:space="preserve">the highest </w:t>
      </w:r>
      <w:r w:rsidR="00156A97">
        <w:t xml:space="preserve">of all jurisdictions at </w:t>
      </w:r>
      <w:r>
        <w:t>19.6</w:t>
      </w:r>
      <w:r w:rsidR="00FB0257">
        <w:t> per cent</w:t>
      </w:r>
      <w:r w:rsidR="00A8653F">
        <w:t xml:space="preserve"> of active claims</w:t>
      </w:r>
      <w:r w:rsidR="00156A97">
        <w:t xml:space="preserve">, </w:t>
      </w:r>
      <w:r w:rsidR="002C72E2">
        <w:t xml:space="preserve">but this </w:t>
      </w:r>
      <w:r w:rsidR="00156A97">
        <w:t xml:space="preserve">is </w:t>
      </w:r>
      <w:r>
        <w:t>substantially lower than the previous year (down by 37 per cent).</w:t>
      </w:r>
      <w:r w:rsidR="00A8653F">
        <w:t xml:space="preserve"> </w:t>
      </w:r>
    </w:p>
    <w:p w14:paraId="78D9188F" w14:textId="6CCE425D" w:rsidR="00A8653F" w:rsidRDefault="00A8653F" w:rsidP="000E20AE">
      <w:pPr>
        <w:pStyle w:val="BodyJustified"/>
      </w:pPr>
      <w:r>
        <w:lastRenderedPageBreak/>
        <w:t xml:space="preserve">Recent increases in the Tasmanian disputation rate (up </w:t>
      </w:r>
      <w:r w:rsidR="002659E9">
        <w:t>1</w:t>
      </w:r>
      <w:r w:rsidR="00846D66">
        <w:t>5</w:t>
      </w:r>
      <w:r w:rsidR="00FB0257">
        <w:t> per cent</w:t>
      </w:r>
      <w:r w:rsidR="00846D66">
        <w:t xml:space="preserve"> since 2012–13</w:t>
      </w:r>
      <w:r>
        <w:t>) can be partly attributed to provisions introduced into the Tasmanian legislation in 2010, including that all settlements occurring within two years of the date of the claim lodgment must be referred to the tribunal for approval and for all parties to notify the tribunal of a dispute in respect to injury management.</w:t>
      </w:r>
    </w:p>
    <w:p w14:paraId="3B9011EC" w14:textId="57AD4A1F" w:rsidR="00A8653F" w:rsidRDefault="00A8653F" w:rsidP="000E20AE">
      <w:pPr>
        <w:pStyle w:val="BodyJustified"/>
      </w:pPr>
      <w:r>
        <w:t>The New Zealand disputation rate is very low (0.</w:t>
      </w:r>
      <w:r w:rsidR="00846D66">
        <w:t>7</w:t>
      </w:r>
      <w:r w:rsidR="00FB0257">
        <w:t> per cent</w:t>
      </w:r>
      <w:r>
        <w:t>) because of the universal nature of its accident compensation scheme. Since people are covered whether the incident occurs at work, home, on the road, playing sport and whether they ar</w:t>
      </w:r>
      <w:r w:rsidR="004047FC">
        <w:t xml:space="preserve">e employed, self-employed or a </w:t>
      </w:r>
      <w:r>
        <w:t xml:space="preserve">non-earner (child, pensioner, student, unemployed) there are very few disputes relating to cover. </w:t>
      </w:r>
    </w:p>
    <w:p w14:paraId="210C5AD6" w14:textId="0AD7FE43" w:rsidR="00A8653F" w:rsidRPr="00FF028E" w:rsidRDefault="00A8653F" w:rsidP="00FF028E">
      <w:pPr>
        <w:pStyle w:val="SWASectionnum2"/>
      </w:pPr>
      <w:bookmarkStart w:id="31" w:name="_Toc476564191"/>
      <w:bookmarkStart w:id="32" w:name="_Toc4508777"/>
      <w:r w:rsidRPr="00FF028E">
        <w:t>Dispute resolution</w:t>
      </w:r>
      <w:bookmarkEnd w:id="31"/>
      <w:bookmarkEnd w:id="32"/>
      <w:r w:rsidR="006C7599">
        <w:t xml:space="preserve"> </w:t>
      </w:r>
    </w:p>
    <w:p w14:paraId="72057DE2" w14:textId="77777777" w:rsidR="00A8653F" w:rsidRPr="009F50FF" w:rsidRDefault="00A8653F" w:rsidP="000E20AE">
      <w:pPr>
        <w:pStyle w:val="BodyJustified"/>
      </w:pPr>
      <w:r w:rsidRPr="00745967">
        <w:t xml:space="preserve">The </w:t>
      </w:r>
      <w:r>
        <w:t xml:space="preserve">speed with which </w:t>
      </w:r>
      <w:r w:rsidRPr="00745967">
        <w:t>dispute</w:t>
      </w:r>
      <w:r>
        <w:t>s</w:t>
      </w:r>
      <w:r w:rsidRPr="00745967">
        <w:t xml:space="preserve"> </w:t>
      </w:r>
      <w:r>
        <w:t xml:space="preserve">are </w:t>
      </w:r>
      <w:r w:rsidRPr="00745967">
        <w:t>resol</w:t>
      </w:r>
      <w:r>
        <w:t>ved</w:t>
      </w:r>
      <w:r w:rsidRPr="00745967">
        <w:t xml:space="preserve"> depends on the </w:t>
      </w:r>
      <w:r w:rsidRPr="009F50FF">
        <w:t xml:space="preserve">systems and processes </w:t>
      </w:r>
      <w:r>
        <w:t xml:space="preserve">that are </w:t>
      </w:r>
      <w:r w:rsidRPr="009F50FF">
        <w:t>in place for each jurisdiction. Generally, the simpler the process, the faster the dispute is resolved. Where there is a lag in collection, exchange and lodg</w:t>
      </w:r>
      <w:r>
        <w:t>m</w:t>
      </w:r>
      <w:r w:rsidRPr="009F50FF">
        <w:t xml:space="preserve">ent of information by one or more parties, disputes are likely to be more adversarial and therefore </w:t>
      </w:r>
      <w:r>
        <w:t>more costly</w:t>
      </w:r>
      <w:r w:rsidRPr="009F50FF">
        <w:t xml:space="preserve">. A high </w:t>
      </w:r>
      <w:r>
        <w:t>percentage</w:t>
      </w:r>
      <w:r w:rsidRPr="009F50FF">
        <w:t xml:space="preserve"> of disputes resolved in a longer time frame may also indicate that there are a high number of more complex disputes being dealt with within a jurisdiction, or that there are some mandatory medical or legal processes in place that inherently delay resolution. </w:t>
      </w:r>
    </w:p>
    <w:p w14:paraId="57BB4581" w14:textId="4626B9CC" w:rsidR="00A8653F" w:rsidRPr="00C47630" w:rsidRDefault="00A8653F" w:rsidP="000E20AE">
      <w:pPr>
        <w:pStyle w:val="BodyJustified"/>
      </w:pPr>
      <w:r>
        <w:t xml:space="preserve">Indicator </w:t>
      </w:r>
      <w:r>
        <w:rPr>
          <w:noProof/>
        </w:rPr>
        <w:t>2</w:t>
      </w:r>
      <w:r w:rsidR="00A12628">
        <w:rPr>
          <w:noProof/>
        </w:rPr>
        <w:t>3</w:t>
      </w:r>
      <w:r>
        <w:t xml:space="preserve"> </w:t>
      </w:r>
      <w:r w:rsidRPr="009F50FF">
        <w:t>demonstrates that in the past five years in Austr</w:t>
      </w:r>
      <w:r w:rsidR="00A12628">
        <w:t xml:space="preserve">alia there has been an increase </w:t>
      </w:r>
      <w:r w:rsidRPr="00C47630">
        <w:t>(up</w:t>
      </w:r>
      <w:r>
        <w:t> </w:t>
      </w:r>
      <w:r w:rsidR="00231598">
        <w:t>24</w:t>
      </w:r>
      <w:r>
        <w:t> per </w:t>
      </w:r>
      <w:r w:rsidRPr="00C47630">
        <w:t xml:space="preserve">cent) in the proportion of disputes resolved within one month. </w:t>
      </w:r>
    </w:p>
    <w:p w14:paraId="46665030" w14:textId="4E037497" w:rsidR="00A8653F" w:rsidRDefault="00A8653F" w:rsidP="000E20AE">
      <w:pPr>
        <w:pStyle w:val="BodyJustified"/>
      </w:pPr>
      <w:r w:rsidRPr="00C47630">
        <w:t xml:space="preserve">The percentage of disputes resolved within three months increased by </w:t>
      </w:r>
      <w:r w:rsidR="00231598">
        <w:t>25</w:t>
      </w:r>
      <w:r w:rsidR="00FB0257">
        <w:t> per cent</w:t>
      </w:r>
      <w:r w:rsidRPr="00C47630">
        <w:t xml:space="preserve">, </w:t>
      </w:r>
      <w:r w:rsidR="00231598">
        <w:t>and</w:t>
      </w:r>
      <w:r w:rsidRPr="00C47630">
        <w:t xml:space="preserve"> the percentage of disputes resolved within six months </w:t>
      </w:r>
      <w:r w:rsidR="00231598">
        <w:t>increased</w:t>
      </w:r>
      <w:r w:rsidRPr="00C47630">
        <w:t xml:space="preserve"> by </w:t>
      </w:r>
      <w:r w:rsidR="00231598">
        <w:t>5</w:t>
      </w:r>
      <w:r w:rsidR="00156A97">
        <w:t> </w:t>
      </w:r>
      <w:r w:rsidRPr="00C47630">
        <w:t>per</w:t>
      </w:r>
      <w:r w:rsidR="00C37543">
        <w:t xml:space="preserve"> cent</w:t>
      </w:r>
      <w:r w:rsidR="00231598">
        <w:t>, while the percentage of disputes resolved within nine months</w:t>
      </w:r>
      <w:r w:rsidR="00156A97">
        <w:t> </w:t>
      </w:r>
      <w:r w:rsidR="00231598">
        <w:t>decreased by 1</w:t>
      </w:r>
      <w:r>
        <w:t> </w:t>
      </w:r>
      <w:r w:rsidRPr="00C47630">
        <w:t>per</w:t>
      </w:r>
      <w:r>
        <w:t> </w:t>
      </w:r>
      <w:r w:rsidR="00231598">
        <w:t>cent</w:t>
      </w:r>
      <w:r w:rsidRPr="00C47630">
        <w:t xml:space="preserve"> during this period. </w:t>
      </w:r>
    </w:p>
    <w:p w14:paraId="5E1F119C" w14:textId="2A604CE9" w:rsidR="00A8653F" w:rsidRDefault="00A8653F" w:rsidP="000E20AE">
      <w:pPr>
        <w:pStyle w:val="BodyJustified"/>
      </w:pPr>
      <w:r w:rsidRPr="00C47630">
        <w:t>In 201</w:t>
      </w:r>
      <w:r w:rsidR="00DA0FD1">
        <w:t>6</w:t>
      </w:r>
      <w:r w:rsidRPr="00C47630">
        <w:t>–1</w:t>
      </w:r>
      <w:r w:rsidR="00DA0FD1">
        <w:t>7</w:t>
      </w:r>
      <w:r w:rsidRPr="00C47630">
        <w:t>, more than half the disputes (</w:t>
      </w:r>
      <w:r w:rsidR="00A12628">
        <w:t>63</w:t>
      </w:r>
      <w:r w:rsidR="00FB0257">
        <w:t> per cent</w:t>
      </w:r>
      <w:r w:rsidRPr="00C47630">
        <w:t xml:space="preserve">) were resolved within three months of the date of lodgment on average </w:t>
      </w:r>
      <w:r>
        <w:t>in</w:t>
      </w:r>
      <w:r w:rsidRPr="00C47630">
        <w:t xml:space="preserve"> Australia. Queensland resolved the highest proportion of disputes </w:t>
      </w:r>
      <w:r>
        <w:t xml:space="preserve">within three months </w:t>
      </w:r>
      <w:r w:rsidRPr="00C47630">
        <w:t>(8</w:t>
      </w:r>
      <w:r w:rsidR="00FC01D2">
        <w:t>1</w:t>
      </w:r>
      <w:r w:rsidR="00156A97">
        <w:t> </w:t>
      </w:r>
      <w:r w:rsidRPr="00C47630">
        <w:t>per</w:t>
      </w:r>
      <w:r w:rsidR="00156A97">
        <w:t> </w:t>
      </w:r>
      <w:r w:rsidRPr="00C47630">
        <w:t>cent), followed by Western Australia (</w:t>
      </w:r>
      <w:r w:rsidR="00A12628">
        <w:t>7</w:t>
      </w:r>
      <w:r w:rsidR="00FC01D2">
        <w:t>9</w:t>
      </w:r>
      <w:r>
        <w:t> per </w:t>
      </w:r>
      <w:r w:rsidRPr="00C47630">
        <w:t>cent), Tasmania (</w:t>
      </w:r>
      <w:r w:rsidR="00FC01D2">
        <w:t>68</w:t>
      </w:r>
      <w:r w:rsidR="00D2167B">
        <w:t> </w:t>
      </w:r>
      <w:r w:rsidRPr="00C47630">
        <w:t>per</w:t>
      </w:r>
      <w:r w:rsidR="00D2167B">
        <w:t> </w:t>
      </w:r>
      <w:r w:rsidRPr="00C47630">
        <w:t>cent) and Victoria (6</w:t>
      </w:r>
      <w:r w:rsidR="00FC01D2">
        <w:t>5</w:t>
      </w:r>
      <w:r w:rsidR="00D2167B">
        <w:t> </w:t>
      </w:r>
      <w:r w:rsidRPr="00C47630">
        <w:t>per</w:t>
      </w:r>
      <w:r w:rsidR="00D2167B">
        <w:t> </w:t>
      </w:r>
      <w:r w:rsidRPr="00C47630">
        <w:t>cent).</w:t>
      </w:r>
    </w:p>
    <w:p w14:paraId="68F37525" w14:textId="22048A8F" w:rsidR="00A8653F" w:rsidRDefault="00A8653F" w:rsidP="000E20AE">
      <w:pPr>
        <w:pStyle w:val="BodyJustified"/>
        <w:rPr>
          <w:color w:val="000000"/>
        </w:rPr>
      </w:pPr>
      <w:r>
        <w:t>W</w:t>
      </w:r>
      <w:r w:rsidRPr="00C47630">
        <w:t>estern Australia recorded</w:t>
      </w:r>
      <w:r w:rsidR="00D2167B">
        <w:t xml:space="preserve"> </w:t>
      </w:r>
      <w:r w:rsidR="00E657D0">
        <w:t>decreases</w:t>
      </w:r>
      <w:r w:rsidR="00D2167B">
        <w:t xml:space="preserve"> in the </w:t>
      </w:r>
      <w:r w:rsidRPr="00C47630">
        <w:t>percentage of disputes resolved within one</w:t>
      </w:r>
      <w:r w:rsidR="00E657D0">
        <w:t>, three, six and nine months</w:t>
      </w:r>
      <w:r w:rsidRPr="00C47630">
        <w:t xml:space="preserve"> (</w:t>
      </w:r>
      <w:r w:rsidR="00E657D0">
        <w:t>down 12, 4</w:t>
      </w:r>
      <w:r w:rsidR="003E63B2">
        <w:t>, 5</w:t>
      </w:r>
      <w:r w:rsidR="00E657D0">
        <w:t xml:space="preserve"> and 3 </w:t>
      </w:r>
      <w:r w:rsidR="00D2167B">
        <w:t>per cent</w:t>
      </w:r>
      <w:r w:rsidR="00E657D0">
        <w:t xml:space="preserve"> respectively</w:t>
      </w:r>
      <w:r w:rsidR="002C72E2">
        <w:t>)</w:t>
      </w:r>
      <w:r w:rsidR="003E63B2">
        <w:t>.</w:t>
      </w:r>
      <w:r w:rsidRPr="00A93613">
        <w:rPr>
          <w:color w:val="000000"/>
        </w:rPr>
        <w:t xml:space="preserve"> </w:t>
      </w:r>
    </w:p>
    <w:p w14:paraId="5EE206B9" w14:textId="2A2271A5" w:rsidR="00A8653F" w:rsidRPr="00557027" w:rsidRDefault="0042738D" w:rsidP="000E20AE">
      <w:pPr>
        <w:pStyle w:val="BodyJustified"/>
        <w:rPr>
          <w:b/>
        </w:rPr>
      </w:pPr>
      <w:r>
        <w:t>With the exception of Seacare,</w:t>
      </w:r>
      <w:r w:rsidR="00A8653F" w:rsidRPr="00A93613">
        <w:t xml:space="preserve"> </w:t>
      </w:r>
      <w:r w:rsidR="00E21FCD">
        <w:t>Comcare</w:t>
      </w:r>
      <w:r w:rsidR="00A8653F" w:rsidRPr="00A93613">
        <w:t xml:space="preserve"> disputes generally took more time to resolve than disputes in other jurisdictions. As </w:t>
      </w:r>
      <w:r w:rsidR="00E21FCD">
        <w:t>Comcare</w:t>
      </w:r>
      <w:r w:rsidR="00A8653F" w:rsidRPr="00A93613">
        <w:t xml:space="preserve"> disputes </w:t>
      </w:r>
      <w:r w:rsidR="00A8653F">
        <w:t>are referred</w:t>
      </w:r>
      <w:r w:rsidR="00A8653F" w:rsidRPr="00A93613">
        <w:t xml:space="preserve"> to an external and independent body</w:t>
      </w:r>
      <w:r w:rsidR="002C72E2">
        <w:t xml:space="preserve"> (</w:t>
      </w:r>
      <w:r w:rsidR="00A77918">
        <w:t>Admini</w:t>
      </w:r>
      <w:r w:rsidR="002C72E2">
        <w:t>strative Appeals Tribunal)</w:t>
      </w:r>
      <w:r w:rsidR="00A8653F" w:rsidRPr="00A93613">
        <w:t xml:space="preserve">, </w:t>
      </w:r>
      <w:r w:rsidR="00D2167B">
        <w:t>it</w:t>
      </w:r>
      <w:r w:rsidR="00A8653F" w:rsidRPr="00A93613">
        <w:t xml:space="preserve"> has minimal control over the associated time frames for dispute resolution. </w:t>
      </w:r>
      <w:r w:rsidR="00320F10">
        <w:t>D</w:t>
      </w:r>
      <w:r w:rsidR="00A8653F" w:rsidRPr="00A93613">
        <w:t>isputes tend to be quite complex and require a long time to resolve.</w:t>
      </w:r>
      <w:r w:rsidR="00A8653F">
        <w:t xml:space="preserve"> In line with this, </w:t>
      </w:r>
      <w:r w:rsidR="00E21FCD">
        <w:t>Comcare</w:t>
      </w:r>
      <w:r w:rsidR="00A8653F" w:rsidRPr="00A93613">
        <w:t xml:space="preserve"> </w:t>
      </w:r>
      <w:r w:rsidR="00A8653F">
        <w:t xml:space="preserve">recorded the </w:t>
      </w:r>
      <w:r w:rsidR="003E63B2">
        <w:t xml:space="preserve">second </w:t>
      </w:r>
      <w:r w:rsidR="00A8653F">
        <w:t xml:space="preserve">lowest proportion of disputes resolved for each of the four time periods in </w:t>
      </w:r>
      <w:r w:rsidR="00D2167B">
        <w:t>201</w:t>
      </w:r>
      <w:r w:rsidR="003E63B2">
        <w:t>6</w:t>
      </w:r>
      <w:r w:rsidR="00D2167B">
        <w:t>–1</w:t>
      </w:r>
      <w:r w:rsidR="003E63B2">
        <w:t>7</w:t>
      </w:r>
      <w:r w:rsidR="00A8653F">
        <w:t xml:space="preserve">. In addition, </w:t>
      </w:r>
      <w:r w:rsidR="00A8653F" w:rsidRPr="00A93613">
        <w:t>the</w:t>
      </w:r>
      <w:r w:rsidR="00320F10">
        <w:t>se</w:t>
      </w:r>
      <w:r w:rsidR="00A8653F" w:rsidRPr="00A93613">
        <w:t xml:space="preserve"> proportion</w:t>
      </w:r>
      <w:r w:rsidR="00320F10">
        <w:t>s</w:t>
      </w:r>
      <w:r w:rsidR="0021287F">
        <w:t xml:space="preserve"> </w:t>
      </w:r>
      <w:r w:rsidR="00405BF7">
        <w:t>have</w:t>
      </w:r>
      <w:r w:rsidR="00A8653F">
        <w:t xml:space="preserve"> </w:t>
      </w:r>
      <w:r>
        <w:t>improved</w:t>
      </w:r>
      <w:r w:rsidR="00A8653F">
        <w:t xml:space="preserve"> </w:t>
      </w:r>
      <w:r w:rsidR="0021287F">
        <w:t>over the four years to 2016–17</w:t>
      </w:r>
      <w:r w:rsidR="00320F10">
        <w:t xml:space="preserve"> for one month and three </w:t>
      </w:r>
      <w:r w:rsidR="00405BF7">
        <w:t>month time</w:t>
      </w:r>
      <w:r w:rsidR="00320F10">
        <w:t xml:space="preserve"> periods.</w:t>
      </w:r>
      <w:r w:rsidR="00557027">
        <w:t xml:space="preserve"> </w:t>
      </w:r>
    </w:p>
    <w:p w14:paraId="2028D1D5" w14:textId="5DA606FA" w:rsidR="00A8653F" w:rsidRDefault="002C72E2" w:rsidP="000E20AE">
      <w:pPr>
        <w:pStyle w:val="BodyJustified"/>
      </w:pPr>
      <w:r>
        <w:t xml:space="preserve">While </w:t>
      </w:r>
      <w:r w:rsidR="00A8653F" w:rsidRPr="00A93613">
        <w:t>Seacare recorded</w:t>
      </w:r>
      <w:r>
        <w:t xml:space="preserve"> a</w:t>
      </w:r>
      <w:r w:rsidR="00A8653F" w:rsidRPr="00A93613">
        <w:t xml:space="preserve"> </w:t>
      </w:r>
      <w:r w:rsidR="00A8653F">
        <w:t>substantial</w:t>
      </w:r>
      <w:r w:rsidR="00A8653F" w:rsidRPr="00A93613">
        <w:t xml:space="preserve"> </w:t>
      </w:r>
      <w:r w:rsidR="00C55252">
        <w:t>increase</w:t>
      </w:r>
      <w:r w:rsidR="00A8653F" w:rsidRPr="00A93613">
        <w:t xml:space="preserve"> in the proportion of disputes resolved within </w:t>
      </w:r>
      <w:r>
        <w:t>one month</w:t>
      </w:r>
      <w:r w:rsidR="00C55252">
        <w:t xml:space="preserve"> (up 147</w:t>
      </w:r>
      <w:r>
        <w:t> </w:t>
      </w:r>
      <w:r w:rsidR="00C55252">
        <w:t>per</w:t>
      </w:r>
      <w:r>
        <w:t> </w:t>
      </w:r>
      <w:r w:rsidR="00C55252">
        <w:t xml:space="preserve">cent), </w:t>
      </w:r>
      <w:r>
        <w:t xml:space="preserve">it </w:t>
      </w:r>
      <w:r w:rsidR="00C55252">
        <w:t>recorded decreases in the proportions of disputes resolved within three (down 4 per cent), six (down 8 per cent) and nine months (down 28 per cent)</w:t>
      </w:r>
      <w:r w:rsidR="00312CFA">
        <w:t>.</w:t>
      </w:r>
      <w:r w:rsidR="00A8653F" w:rsidRPr="00A93613">
        <w:t xml:space="preserve"> The time it takes to resolve applications in the seafarers</w:t>
      </w:r>
      <w:r w:rsidR="00A8653F">
        <w:t>’</w:t>
      </w:r>
      <w:r w:rsidR="00A8653F" w:rsidRPr="00A93613">
        <w:t xml:space="preserve"> jurisdiction is influenced by many factors, particularly the time needed by parties to obtain further evidence such as expert medical evidence as well as any delays associated with ensuring all related claims are before the </w:t>
      </w:r>
      <w:r w:rsidR="00312CFA">
        <w:t>Administrative Appeals Tribunal</w:t>
      </w:r>
      <w:r w:rsidR="00A8653F" w:rsidRPr="00A93613">
        <w:t xml:space="preserve">. The nature and complexity of the decisions under review will affect the time within which any agreed resolution can be reached or the applications can be progressed to hearing and determination. The number of applications made to the </w:t>
      </w:r>
      <w:r w:rsidR="00312CFA">
        <w:t>Administrative Appeals Tribunal</w:t>
      </w:r>
      <w:r w:rsidR="00312CFA" w:rsidRPr="00A93613">
        <w:t xml:space="preserve"> </w:t>
      </w:r>
      <w:r w:rsidR="00A8653F" w:rsidRPr="00A93613">
        <w:t xml:space="preserve">is relatively small. Small changes in the number of cases finalised at particular times can result in relatively large </w:t>
      </w:r>
      <w:r w:rsidR="00A8653F">
        <w:t>percentage</w:t>
      </w:r>
      <w:r w:rsidR="00A8653F" w:rsidRPr="00A93613">
        <w:t xml:space="preserve"> changes in the resolution rates within the specified time</w:t>
      </w:r>
      <w:r w:rsidR="00A8653F">
        <w:t xml:space="preserve"> </w:t>
      </w:r>
      <w:r w:rsidR="00A8653F" w:rsidRPr="00A93613">
        <w:t xml:space="preserve">frames. </w:t>
      </w:r>
    </w:p>
    <w:p w14:paraId="59069E10" w14:textId="73138A3A" w:rsidR="00A8653F" w:rsidRPr="00A93613" w:rsidRDefault="00A8653F" w:rsidP="000E20AE">
      <w:pPr>
        <w:pStyle w:val="BodyJustified"/>
      </w:pPr>
      <w:r w:rsidRPr="00A93613">
        <w:t xml:space="preserve">In </w:t>
      </w:r>
      <w:r w:rsidR="003427D2">
        <w:t>201</w:t>
      </w:r>
      <w:r w:rsidR="002062EB">
        <w:t>6</w:t>
      </w:r>
      <w:r w:rsidR="003427D2">
        <w:t>–1</w:t>
      </w:r>
      <w:r w:rsidR="002062EB">
        <w:t>7</w:t>
      </w:r>
      <w:r w:rsidRPr="00A93613">
        <w:t>, Tasmania</w:t>
      </w:r>
      <w:r w:rsidRPr="00A93613">
        <w:rPr>
          <w:color w:val="CB0002"/>
        </w:rPr>
        <w:t xml:space="preserve"> </w:t>
      </w:r>
      <w:r w:rsidRPr="00A93613">
        <w:t xml:space="preserve">resolved </w:t>
      </w:r>
      <w:r w:rsidR="003427D2">
        <w:t>5</w:t>
      </w:r>
      <w:r w:rsidR="002062EB">
        <w:t>8</w:t>
      </w:r>
      <w:r w:rsidR="003427D2">
        <w:t> per cent</w:t>
      </w:r>
      <w:r w:rsidRPr="00A93613">
        <w:t xml:space="preserve"> of disputed claims within one month,</w:t>
      </w:r>
      <w:r w:rsidR="003427D2">
        <w:t xml:space="preserve"> which was</w:t>
      </w:r>
      <w:r w:rsidRPr="00A93613">
        <w:t xml:space="preserve"> substantially higher than any other jurisdiction. The proportion of disputes resolved within </w:t>
      </w:r>
      <w:r w:rsidR="002062EB">
        <w:t>one month</w:t>
      </w:r>
      <w:r>
        <w:t xml:space="preserve"> (</w:t>
      </w:r>
      <w:r w:rsidR="002062EB">
        <w:t>58</w:t>
      </w:r>
      <w:r>
        <w:t> per cent)</w:t>
      </w:r>
      <w:r w:rsidR="002062EB">
        <w:t xml:space="preserve"> and three months (68 per cent)</w:t>
      </w:r>
      <w:r>
        <w:t xml:space="preserve"> </w:t>
      </w:r>
      <w:r w:rsidRPr="00A93613">
        <w:t xml:space="preserve">in Tasmania were all higher than the Australian average for these </w:t>
      </w:r>
      <w:r w:rsidR="002062EB">
        <w:t>two</w:t>
      </w:r>
      <w:r w:rsidRPr="00A93613">
        <w:t xml:space="preserve"> </w:t>
      </w:r>
      <w:r>
        <w:t xml:space="preserve">time </w:t>
      </w:r>
      <w:r w:rsidRPr="00A93613">
        <w:t xml:space="preserve">periods. </w:t>
      </w:r>
      <w:r w:rsidR="002062EB">
        <w:t>In 2016–17, Western Australia recorded dispute resolution rates higher</w:t>
      </w:r>
      <w:r w:rsidR="00750CB1">
        <w:t xml:space="preserve"> than the Australian average in all four time periods.</w:t>
      </w:r>
    </w:p>
    <w:p w14:paraId="6DEAA2CD" w14:textId="35C4B68E" w:rsidR="00A8653F" w:rsidRPr="00D150EE" w:rsidRDefault="00A8653F" w:rsidP="000E20AE">
      <w:pPr>
        <w:pStyle w:val="BodyJustified"/>
      </w:pPr>
      <w:r w:rsidRPr="00D150EE">
        <w:lastRenderedPageBreak/>
        <w:t xml:space="preserve">In the New South Wales </w:t>
      </w:r>
      <w:r w:rsidR="002E1600">
        <w:t>scheme</w:t>
      </w:r>
      <w:r w:rsidRPr="00D150EE">
        <w:t xml:space="preserve">, </w:t>
      </w:r>
      <w:r w:rsidR="002E1600">
        <w:t>only 5</w:t>
      </w:r>
      <w:r w:rsidR="004A2646">
        <w:t xml:space="preserve"> per cent </w:t>
      </w:r>
      <w:r w:rsidRPr="00D150EE">
        <w:t xml:space="preserve">of disputes were resolved within one month in </w:t>
      </w:r>
      <w:r w:rsidR="004A2646">
        <w:t>201</w:t>
      </w:r>
      <w:r w:rsidR="00750CB1">
        <w:t>6</w:t>
      </w:r>
      <w:r w:rsidR="004A2646">
        <w:t>–1</w:t>
      </w:r>
      <w:r w:rsidR="00750CB1">
        <w:t>7</w:t>
      </w:r>
      <w:r w:rsidRPr="00D150EE">
        <w:t xml:space="preserve">. </w:t>
      </w:r>
      <w:r w:rsidR="00985CEB">
        <w:t>However, increases were recorded in the New South Wales scheme for the long</w:t>
      </w:r>
      <w:r w:rsidR="00312CFA">
        <w:t>-</w:t>
      </w:r>
      <w:r w:rsidR="00985CEB">
        <w:t>term resolution rates</w:t>
      </w:r>
      <w:r w:rsidR="00C37543">
        <w:t xml:space="preserve"> within three, six and nine months (up 148 per cent, 28 per cent and 4 per cent respectively)</w:t>
      </w:r>
      <w:r w:rsidR="00985CEB">
        <w:t>.</w:t>
      </w:r>
      <w:r w:rsidRPr="00D150EE">
        <w:t xml:space="preserve"> </w:t>
      </w:r>
    </w:p>
    <w:p w14:paraId="5B823026" w14:textId="7B3182C8" w:rsidR="00A8653F" w:rsidRPr="00A93613" w:rsidRDefault="00A8653F" w:rsidP="000E20AE">
      <w:pPr>
        <w:pStyle w:val="BodyJustified"/>
      </w:pPr>
      <w:r w:rsidRPr="00A93613">
        <w:t>The resolution times for Victoria are affected by the compulsory conciliation process, which may or may not involve medical panel referral, and the fact that court litigation can only occur at the conclusion of the compulsory conciliation process.</w:t>
      </w:r>
      <w:r w:rsidR="00985CEB">
        <w:t xml:space="preserve"> </w:t>
      </w:r>
      <w:r w:rsidR="005745D3">
        <w:t>In 2016–17, Victoria recorded substantial increases in dispute resolution rates for one (up 57 per cent) and three months (up 1</w:t>
      </w:r>
      <w:r w:rsidR="00C37543">
        <w:t>1</w:t>
      </w:r>
      <w:r w:rsidR="005745D3">
        <w:t xml:space="preserve"> per cent), but showed slight drop in these rates for 6 and 9 months (down 2 per cent each). </w:t>
      </w:r>
    </w:p>
    <w:p w14:paraId="2C7E0829" w14:textId="77777777" w:rsidR="00A8653F" w:rsidRDefault="00A8653F" w:rsidP="000E20AE">
      <w:pPr>
        <w:pStyle w:val="BodyJustified"/>
      </w:pPr>
      <w:r w:rsidRPr="00A93613">
        <w:t>The proportion of disputes resolved in New Zealand is lower than the Australian average for the one</w:t>
      </w:r>
      <w:r w:rsidR="004A2646">
        <w:t xml:space="preserve"> and</w:t>
      </w:r>
      <w:r w:rsidRPr="00A93613">
        <w:t xml:space="preserve"> three</w:t>
      </w:r>
      <w:r>
        <w:t xml:space="preserve"> </w:t>
      </w:r>
      <w:r w:rsidRPr="00A93613">
        <w:t xml:space="preserve">month time periods but higher than the Australian average for </w:t>
      </w:r>
      <w:r>
        <w:t xml:space="preserve">the </w:t>
      </w:r>
      <w:r w:rsidR="004A2646">
        <w:t xml:space="preserve">six and </w:t>
      </w:r>
      <w:r w:rsidRPr="00A93613">
        <w:t>nine month time period</w:t>
      </w:r>
      <w:r w:rsidR="004A2646">
        <w:t>s</w:t>
      </w:r>
      <w:r w:rsidRPr="00A93613">
        <w:t>.</w:t>
      </w:r>
    </w:p>
    <w:p w14:paraId="7A0BC503" w14:textId="25953618" w:rsidR="00A8653F" w:rsidRPr="006A7092" w:rsidRDefault="00A8653F" w:rsidP="006A7092">
      <w:pPr>
        <w:pStyle w:val="SWATableheader"/>
        <w:rPr>
          <w:color w:val="FF0000"/>
          <w:sz w:val="18"/>
          <w:szCs w:val="18"/>
        </w:rPr>
      </w:pPr>
      <w:bookmarkStart w:id="33" w:name="_Ref464457932"/>
      <w:r>
        <w:t xml:space="preserve">Indicator </w:t>
      </w:r>
      <w:r>
        <w:rPr>
          <w:noProof/>
        </w:rPr>
        <w:t>2</w:t>
      </w:r>
      <w:bookmarkEnd w:id="33"/>
      <w:r w:rsidR="00535035">
        <w:rPr>
          <w:noProof/>
        </w:rPr>
        <w:t>3</w:t>
      </w:r>
      <w:r>
        <w:t xml:space="preserve"> – Percentage of disputes resolved within selected time periods (cumulative)</w:t>
      </w:r>
      <w:r w:rsidR="00AB7CCC">
        <w:t xml:space="preserve"> </w:t>
      </w:r>
    </w:p>
    <w:tbl>
      <w:tblPr>
        <w:tblW w:w="9371" w:type="dxa"/>
        <w:tblInd w:w="93" w:type="dxa"/>
        <w:tblLook w:val="04A0" w:firstRow="1" w:lastRow="0" w:firstColumn="1" w:lastColumn="0" w:noHBand="0" w:noVBand="1"/>
      </w:tblPr>
      <w:tblGrid>
        <w:gridCol w:w="3134"/>
        <w:gridCol w:w="1559"/>
        <w:gridCol w:w="1559"/>
        <w:gridCol w:w="1559"/>
        <w:gridCol w:w="1560"/>
      </w:tblGrid>
      <w:tr w:rsidR="006A7092" w:rsidRPr="006A7092" w14:paraId="74345EE1" w14:textId="77777777" w:rsidTr="003A1680">
        <w:trPr>
          <w:cantSplit/>
          <w:trHeight w:val="454"/>
          <w:tblHeader/>
        </w:trPr>
        <w:tc>
          <w:tcPr>
            <w:tcW w:w="3134" w:type="dxa"/>
            <w:tcBorders>
              <w:top w:val="nil"/>
              <w:left w:val="single" w:sz="8" w:space="0" w:color="FFFFFF"/>
              <w:bottom w:val="single" w:sz="8" w:space="0" w:color="FFFFFF"/>
              <w:right w:val="single" w:sz="8" w:space="0" w:color="FFFFFF"/>
            </w:tcBorders>
            <w:shd w:val="clear" w:color="000000" w:fill="AF1E2D"/>
            <w:vAlign w:val="center"/>
            <w:hideMark/>
          </w:tcPr>
          <w:p w14:paraId="3092062B" w14:textId="77777777" w:rsidR="006A7092" w:rsidRPr="006A7092" w:rsidRDefault="006A7092" w:rsidP="00630B7A">
            <w:pPr>
              <w:spacing w:before="0"/>
              <w:jc w:val="left"/>
              <w:rPr>
                <w:rFonts w:cs="Arial"/>
                <w:b/>
                <w:bCs/>
                <w:color w:val="FFFFFF"/>
                <w:sz w:val="18"/>
                <w:szCs w:val="18"/>
              </w:rPr>
            </w:pPr>
            <w:r w:rsidRPr="006A7092">
              <w:rPr>
                <w:rFonts w:cs="Arial"/>
                <w:b/>
                <w:bCs/>
                <w:color w:val="FFFFFF"/>
                <w:sz w:val="18"/>
                <w:szCs w:val="18"/>
              </w:rPr>
              <w:t>Jurisdiction</w:t>
            </w:r>
            <w:r w:rsidR="00B33B27">
              <w:rPr>
                <w:rFonts w:cs="Arial"/>
                <w:b/>
                <w:bCs/>
                <w:color w:val="FFFFFF"/>
                <w:sz w:val="18"/>
                <w:szCs w:val="18"/>
              </w:rPr>
              <w:t>**</w:t>
            </w:r>
          </w:p>
        </w:tc>
        <w:tc>
          <w:tcPr>
            <w:tcW w:w="1559" w:type="dxa"/>
            <w:tcBorders>
              <w:top w:val="nil"/>
              <w:left w:val="nil"/>
              <w:bottom w:val="single" w:sz="8" w:space="0" w:color="FFFFFF"/>
              <w:right w:val="single" w:sz="8" w:space="0" w:color="FFFFFF"/>
            </w:tcBorders>
            <w:shd w:val="clear" w:color="000000" w:fill="AF1E2D"/>
            <w:vAlign w:val="center"/>
            <w:hideMark/>
          </w:tcPr>
          <w:p w14:paraId="6D035FAF" w14:textId="77777777" w:rsidR="006A7092" w:rsidRPr="006A7092" w:rsidRDefault="00032DFA" w:rsidP="006A7092">
            <w:pPr>
              <w:spacing w:before="0"/>
              <w:jc w:val="center"/>
              <w:rPr>
                <w:rFonts w:cs="Arial"/>
                <w:b/>
                <w:bCs/>
                <w:color w:val="FFFFFF"/>
                <w:sz w:val="18"/>
                <w:szCs w:val="18"/>
              </w:rPr>
            </w:pPr>
            <w:r>
              <w:rPr>
                <w:rFonts w:cs="Arial"/>
                <w:b/>
                <w:bCs/>
                <w:color w:val="FFFFFF"/>
                <w:sz w:val="18"/>
                <w:szCs w:val="18"/>
              </w:rPr>
              <w:t>Within</w:t>
            </w:r>
            <w:r>
              <w:rPr>
                <w:rFonts w:cs="Arial"/>
                <w:b/>
                <w:bCs/>
                <w:color w:val="FFFFFF"/>
                <w:sz w:val="18"/>
                <w:szCs w:val="18"/>
              </w:rPr>
              <w:br/>
            </w:r>
            <w:r w:rsidR="006A7092" w:rsidRPr="006A7092">
              <w:rPr>
                <w:rFonts w:cs="Arial"/>
                <w:b/>
                <w:bCs/>
                <w:color w:val="FFFFFF"/>
                <w:sz w:val="18"/>
                <w:szCs w:val="18"/>
              </w:rPr>
              <w:t>1 month</w:t>
            </w:r>
          </w:p>
        </w:tc>
        <w:tc>
          <w:tcPr>
            <w:tcW w:w="1559" w:type="dxa"/>
            <w:tcBorders>
              <w:top w:val="nil"/>
              <w:left w:val="nil"/>
              <w:bottom w:val="single" w:sz="8" w:space="0" w:color="FFFFFF"/>
              <w:right w:val="single" w:sz="8" w:space="0" w:color="FFFFFF"/>
            </w:tcBorders>
            <w:shd w:val="clear" w:color="000000" w:fill="AF1E2D"/>
            <w:vAlign w:val="center"/>
            <w:hideMark/>
          </w:tcPr>
          <w:p w14:paraId="357AA207" w14:textId="77777777"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3 months</w:t>
            </w:r>
          </w:p>
        </w:tc>
        <w:tc>
          <w:tcPr>
            <w:tcW w:w="1559" w:type="dxa"/>
            <w:tcBorders>
              <w:top w:val="nil"/>
              <w:left w:val="nil"/>
              <w:bottom w:val="single" w:sz="8" w:space="0" w:color="FFFFFF"/>
              <w:right w:val="single" w:sz="8" w:space="0" w:color="FFFFFF"/>
            </w:tcBorders>
            <w:shd w:val="clear" w:color="000000" w:fill="AF1E2D"/>
            <w:vAlign w:val="center"/>
            <w:hideMark/>
          </w:tcPr>
          <w:p w14:paraId="3CA6BE49" w14:textId="77777777"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6 months</w:t>
            </w:r>
          </w:p>
        </w:tc>
        <w:tc>
          <w:tcPr>
            <w:tcW w:w="1560" w:type="dxa"/>
            <w:tcBorders>
              <w:top w:val="nil"/>
              <w:left w:val="nil"/>
              <w:bottom w:val="single" w:sz="8" w:space="0" w:color="FFFFFF"/>
              <w:right w:val="single" w:sz="8" w:space="0" w:color="FFFFFF"/>
            </w:tcBorders>
            <w:shd w:val="clear" w:color="000000" w:fill="AF1E2D"/>
            <w:vAlign w:val="center"/>
            <w:hideMark/>
          </w:tcPr>
          <w:p w14:paraId="63DEC4E5" w14:textId="77777777"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9 months</w:t>
            </w:r>
          </w:p>
        </w:tc>
      </w:tr>
      <w:tr w:rsidR="00DF7579" w:rsidRPr="006A7092" w14:paraId="37B22380" w14:textId="77777777" w:rsidTr="003A1680">
        <w:trPr>
          <w:trHeight w:val="340"/>
        </w:trPr>
        <w:tc>
          <w:tcPr>
            <w:tcW w:w="3134" w:type="dxa"/>
            <w:tcBorders>
              <w:top w:val="nil"/>
              <w:left w:val="single" w:sz="8" w:space="0" w:color="FFFFFF"/>
              <w:bottom w:val="single" w:sz="8" w:space="0" w:color="FFFFFF"/>
            </w:tcBorders>
            <w:shd w:val="clear" w:color="000000" w:fill="808080"/>
            <w:noWrap/>
            <w:vAlign w:val="center"/>
            <w:hideMark/>
          </w:tcPr>
          <w:p w14:paraId="1828C7D7" w14:textId="78003943" w:rsidR="006A7092" w:rsidRPr="006A7092" w:rsidRDefault="00DF7579" w:rsidP="001A162F">
            <w:pPr>
              <w:spacing w:before="0"/>
              <w:jc w:val="left"/>
              <w:rPr>
                <w:rFonts w:cs="Arial"/>
                <w:b/>
                <w:bCs/>
                <w:color w:val="FFFFFF" w:themeColor="background1"/>
                <w:sz w:val="18"/>
                <w:szCs w:val="18"/>
              </w:rPr>
            </w:pPr>
            <w:r>
              <w:rPr>
                <w:rFonts w:cs="Arial"/>
                <w:b/>
                <w:bCs/>
                <w:color w:val="FFFFFF" w:themeColor="background1"/>
                <w:sz w:val="18"/>
                <w:szCs w:val="16"/>
              </w:rPr>
              <w:t>201</w:t>
            </w:r>
            <w:r w:rsidR="001A162F">
              <w:rPr>
                <w:rFonts w:cs="Arial"/>
                <w:b/>
                <w:bCs/>
                <w:color w:val="FFFFFF" w:themeColor="background1"/>
                <w:sz w:val="18"/>
                <w:szCs w:val="16"/>
              </w:rPr>
              <w:t>2</w:t>
            </w:r>
            <w:r>
              <w:rPr>
                <w:rFonts w:cs="Arial"/>
                <w:b/>
                <w:bCs/>
                <w:color w:val="FFFFFF" w:themeColor="background1"/>
                <w:sz w:val="18"/>
                <w:szCs w:val="16"/>
              </w:rPr>
              <w:t>–</w:t>
            </w:r>
            <w:r w:rsidR="006A7092" w:rsidRPr="006A7092">
              <w:rPr>
                <w:rFonts w:cs="Arial"/>
                <w:b/>
                <w:bCs/>
                <w:color w:val="FFFFFF" w:themeColor="background1"/>
                <w:sz w:val="18"/>
                <w:szCs w:val="16"/>
              </w:rPr>
              <w:t>1</w:t>
            </w:r>
            <w:r w:rsidR="001A162F">
              <w:rPr>
                <w:rFonts w:cs="Arial"/>
                <w:b/>
                <w:bCs/>
                <w:color w:val="FFFFFF" w:themeColor="background1"/>
                <w:sz w:val="18"/>
                <w:szCs w:val="16"/>
              </w:rPr>
              <w:t>3</w:t>
            </w:r>
          </w:p>
        </w:tc>
        <w:tc>
          <w:tcPr>
            <w:tcW w:w="1559" w:type="dxa"/>
            <w:tcBorders>
              <w:top w:val="single" w:sz="8" w:space="0" w:color="FFFFFF"/>
              <w:bottom w:val="single" w:sz="8" w:space="0" w:color="FFFFFF"/>
            </w:tcBorders>
            <w:shd w:val="clear" w:color="000000" w:fill="808080"/>
            <w:noWrap/>
            <w:vAlign w:val="center"/>
            <w:hideMark/>
          </w:tcPr>
          <w:p w14:paraId="6F873E5F"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14:paraId="3270B65A"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14:paraId="29106DA5"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60" w:type="dxa"/>
            <w:tcBorders>
              <w:top w:val="nil"/>
              <w:left w:val="nil"/>
              <w:bottom w:val="single" w:sz="8" w:space="0" w:color="FFFFFF"/>
              <w:right w:val="single" w:sz="8" w:space="0" w:color="FFFFFF"/>
            </w:tcBorders>
            <w:shd w:val="clear" w:color="000000" w:fill="808080"/>
            <w:vAlign w:val="center"/>
            <w:hideMark/>
          </w:tcPr>
          <w:p w14:paraId="764B0956"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r>
      <w:tr w:rsidR="006A7092" w:rsidRPr="006A7092" w14:paraId="455C5417"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4808B7B2"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New South Wales</w:t>
            </w:r>
          </w:p>
        </w:tc>
        <w:tc>
          <w:tcPr>
            <w:tcW w:w="1559" w:type="dxa"/>
            <w:tcBorders>
              <w:top w:val="nil"/>
              <w:left w:val="nil"/>
              <w:bottom w:val="single" w:sz="8" w:space="0" w:color="FFFFFF"/>
              <w:right w:val="single" w:sz="8" w:space="0" w:color="FFFFFF"/>
            </w:tcBorders>
            <w:shd w:val="clear" w:color="auto" w:fill="EFD3D2"/>
            <w:noWrap/>
            <w:vAlign w:val="center"/>
            <w:hideMark/>
          </w:tcPr>
          <w:p w14:paraId="117C0B79" w14:textId="0C2971FE" w:rsidR="006A7092" w:rsidRPr="006A7092" w:rsidRDefault="00F80F83" w:rsidP="00630B7A">
            <w:pPr>
              <w:spacing w:before="0"/>
              <w:jc w:val="right"/>
              <w:rPr>
                <w:rFonts w:cs="Arial"/>
                <w:color w:val="000000"/>
                <w:sz w:val="18"/>
                <w:szCs w:val="18"/>
              </w:rPr>
            </w:pPr>
            <w:r>
              <w:rPr>
                <w:rFonts w:cs="Arial"/>
                <w:color w:val="000000"/>
                <w:sz w:val="18"/>
                <w:szCs w:val="18"/>
              </w:rPr>
              <w:tab/>
            </w:r>
            <w:r w:rsidR="001A162F">
              <w:rPr>
                <w:rFonts w:cs="Arial"/>
                <w:color w:val="000000"/>
                <w:sz w:val="18"/>
                <w:szCs w:val="18"/>
              </w:rPr>
              <w:t>5.3</w:t>
            </w:r>
          </w:p>
        </w:tc>
        <w:tc>
          <w:tcPr>
            <w:tcW w:w="1559" w:type="dxa"/>
            <w:tcBorders>
              <w:top w:val="nil"/>
              <w:left w:val="nil"/>
              <w:bottom w:val="single" w:sz="8" w:space="0" w:color="FFFFFF"/>
              <w:right w:val="single" w:sz="8" w:space="0" w:color="FFFFFF"/>
            </w:tcBorders>
            <w:shd w:val="clear" w:color="auto" w:fill="EFD3D2"/>
            <w:noWrap/>
            <w:vAlign w:val="center"/>
            <w:hideMark/>
          </w:tcPr>
          <w:p w14:paraId="5ED0D255" w14:textId="55ACA9C8" w:rsidR="006A7092" w:rsidRPr="006A7092" w:rsidRDefault="001A162F" w:rsidP="00630B7A">
            <w:pPr>
              <w:spacing w:before="0"/>
              <w:jc w:val="right"/>
              <w:rPr>
                <w:rFonts w:cs="Arial"/>
                <w:color w:val="000000"/>
                <w:sz w:val="18"/>
                <w:szCs w:val="18"/>
              </w:rPr>
            </w:pPr>
            <w:r>
              <w:rPr>
                <w:rFonts w:cs="Arial"/>
                <w:color w:val="000000"/>
                <w:sz w:val="18"/>
                <w:szCs w:val="18"/>
              </w:rPr>
              <w:t>20.9</w:t>
            </w:r>
          </w:p>
        </w:tc>
        <w:tc>
          <w:tcPr>
            <w:tcW w:w="1559" w:type="dxa"/>
            <w:tcBorders>
              <w:top w:val="nil"/>
              <w:left w:val="nil"/>
              <w:bottom w:val="single" w:sz="8" w:space="0" w:color="FFFFFF"/>
              <w:right w:val="single" w:sz="8" w:space="0" w:color="FFFFFF"/>
            </w:tcBorders>
            <w:shd w:val="clear" w:color="auto" w:fill="EFD3D2"/>
            <w:noWrap/>
            <w:vAlign w:val="center"/>
            <w:hideMark/>
          </w:tcPr>
          <w:p w14:paraId="0C21FB9F" w14:textId="6EAAA037" w:rsidR="006A7092" w:rsidRPr="006A7092" w:rsidRDefault="001A162F" w:rsidP="00630B7A">
            <w:pPr>
              <w:spacing w:before="0"/>
              <w:jc w:val="right"/>
              <w:rPr>
                <w:rFonts w:cs="Arial"/>
                <w:color w:val="000000"/>
                <w:sz w:val="18"/>
                <w:szCs w:val="18"/>
              </w:rPr>
            </w:pPr>
            <w:r>
              <w:rPr>
                <w:rFonts w:cs="Arial"/>
                <w:color w:val="000000"/>
                <w:sz w:val="18"/>
                <w:szCs w:val="18"/>
              </w:rPr>
              <w:t>66.1</w:t>
            </w:r>
          </w:p>
        </w:tc>
        <w:tc>
          <w:tcPr>
            <w:tcW w:w="1560" w:type="dxa"/>
            <w:tcBorders>
              <w:top w:val="nil"/>
              <w:left w:val="nil"/>
              <w:bottom w:val="single" w:sz="8" w:space="0" w:color="FFFFFF"/>
              <w:right w:val="single" w:sz="8" w:space="0" w:color="FFFFFF"/>
            </w:tcBorders>
            <w:shd w:val="clear" w:color="auto" w:fill="EFD3D2"/>
            <w:vAlign w:val="center"/>
            <w:hideMark/>
          </w:tcPr>
          <w:p w14:paraId="0EBEB617" w14:textId="7FE7FE4C" w:rsidR="006A7092" w:rsidRPr="006A7092" w:rsidRDefault="001A162F" w:rsidP="00630B7A">
            <w:pPr>
              <w:spacing w:before="0"/>
              <w:jc w:val="right"/>
              <w:rPr>
                <w:rFonts w:cs="Arial"/>
                <w:color w:val="000000"/>
                <w:sz w:val="18"/>
                <w:szCs w:val="18"/>
              </w:rPr>
            </w:pPr>
            <w:r>
              <w:rPr>
                <w:rFonts w:cs="Arial"/>
                <w:color w:val="000000"/>
                <w:sz w:val="18"/>
                <w:szCs w:val="18"/>
              </w:rPr>
              <w:t>89.7</w:t>
            </w:r>
          </w:p>
        </w:tc>
      </w:tr>
      <w:tr w:rsidR="00EB3876" w:rsidRPr="006A7092" w14:paraId="75A675DD"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0212D7FE"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Victoria</w:t>
            </w:r>
          </w:p>
        </w:tc>
        <w:tc>
          <w:tcPr>
            <w:tcW w:w="1559" w:type="dxa"/>
            <w:tcBorders>
              <w:top w:val="nil"/>
              <w:left w:val="nil"/>
              <w:bottom w:val="single" w:sz="8" w:space="0" w:color="FFFFFF"/>
              <w:right w:val="single" w:sz="8" w:space="0" w:color="FFFFFF"/>
            </w:tcBorders>
            <w:shd w:val="clear" w:color="auto" w:fill="auto"/>
            <w:noWrap/>
            <w:vAlign w:val="center"/>
            <w:hideMark/>
          </w:tcPr>
          <w:p w14:paraId="27F4D263" w14:textId="28F665E1" w:rsidR="006A7092" w:rsidRPr="006A7092" w:rsidRDefault="001A162F" w:rsidP="00630B7A">
            <w:pPr>
              <w:spacing w:before="0"/>
              <w:jc w:val="right"/>
              <w:rPr>
                <w:rFonts w:cs="Arial"/>
                <w:color w:val="000000"/>
                <w:sz w:val="18"/>
                <w:szCs w:val="18"/>
              </w:rPr>
            </w:pPr>
            <w:r>
              <w:rPr>
                <w:rFonts w:cs="Arial"/>
                <w:color w:val="000000"/>
                <w:sz w:val="18"/>
                <w:szCs w:val="18"/>
              </w:rPr>
              <w:t>9.5</w:t>
            </w:r>
          </w:p>
        </w:tc>
        <w:tc>
          <w:tcPr>
            <w:tcW w:w="1559" w:type="dxa"/>
            <w:tcBorders>
              <w:top w:val="nil"/>
              <w:left w:val="nil"/>
              <w:bottom w:val="single" w:sz="8" w:space="0" w:color="FFFFFF"/>
              <w:right w:val="single" w:sz="8" w:space="0" w:color="FFFFFF"/>
            </w:tcBorders>
            <w:shd w:val="clear" w:color="auto" w:fill="auto"/>
            <w:noWrap/>
            <w:vAlign w:val="center"/>
            <w:hideMark/>
          </w:tcPr>
          <w:p w14:paraId="7637F2C3" w14:textId="70466247" w:rsidR="006A7092" w:rsidRPr="006A7092" w:rsidRDefault="001A162F" w:rsidP="00630B7A">
            <w:pPr>
              <w:spacing w:before="0"/>
              <w:jc w:val="right"/>
              <w:rPr>
                <w:rFonts w:cs="Arial"/>
                <w:color w:val="000000"/>
                <w:sz w:val="18"/>
                <w:szCs w:val="18"/>
              </w:rPr>
            </w:pPr>
            <w:r>
              <w:rPr>
                <w:rFonts w:cs="Arial"/>
                <w:color w:val="000000"/>
                <w:sz w:val="18"/>
                <w:szCs w:val="18"/>
              </w:rPr>
              <w:t>59.0</w:t>
            </w:r>
          </w:p>
        </w:tc>
        <w:tc>
          <w:tcPr>
            <w:tcW w:w="1559" w:type="dxa"/>
            <w:tcBorders>
              <w:top w:val="nil"/>
              <w:left w:val="nil"/>
              <w:bottom w:val="single" w:sz="8" w:space="0" w:color="FFFFFF"/>
              <w:right w:val="single" w:sz="8" w:space="0" w:color="FFFFFF"/>
            </w:tcBorders>
            <w:shd w:val="clear" w:color="auto" w:fill="auto"/>
            <w:noWrap/>
            <w:vAlign w:val="center"/>
            <w:hideMark/>
          </w:tcPr>
          <w:p w14:paraId="5B6908AB" w14:textId="52C3CE10" w:rsidR="006A7092" w:rsidRPr="006A7092" w:rsidRDefault="001A162F" w:rsidP="00630B7A">
            <w:pPr>
              <w:spacing w:before="0"/>
              <w:jc w:val="right"/>
              <w:rPr>
                <w:rFonts w:cs="Arial"/>
                <w:color w:val="000000"/>
                <w:sz w:val="18"/>
                <w:szCs w:val="18"/>
              </w:rPr>
            </w:pPr>
            <w:r>
              <w:rPr>
                <w:rFonts w:cs="Arial"/>
                <w:color w:val="000000"/>
                <w:sz w:val="18"/>
                <w:szCs w:val="18"/>
              </w:rPr>
              <w:t>84.2</w:t>
            </w:r>
          </w:p>
        </w:tc>
        <w:tc>
          <w:tcPr>
            <w:tcW w:w="1560" w:type="dxa"/>
            <w:tcBorders>
              <w:top w:val="nil"/>
              <w:left w:val="nil"/>
              <w:bottom w:val="single" w:sz="8" w:space="0" w:color="FFFFFF"/>
              <w:right w:val="single" w:sz="8" w:space="0" w:color="FFFFFF"/>
            </w:tcBorders>
            <w:shd w:val="clear" w:color="auto" w:fill="auto"/>
            <w:vAlign w:val="center"/>
            <w:hideMark/>
          </w:tcPr>
          <w:p w14:paraId="677E5C43" w14:textId="67DD19B1" w:rsidR="006A7092" w:rsidRPr="006A7092" w:rsidRDefault="001A162F" w:rsidP="00630B7A">
            <w:pPr>
              <w:spacing w:before="0"/>
              <w:jc w:val="right"/>
              <w:rPr>
                <w:rFonts w:cs="Arial"/>
                <w:color w:val="000000"/>
                <w:sz w:val="18"/>
                <w:szCs w:val="18"/>
              </w:rPr>
            </w:pPr>
            <w:r>
              <w:rPr>
                <w:rFonts w:cs="Arial"/>
                <w:color w:val="000000"/>
                <w:sz w:val="18"/>
                <w:szCs w:val="18"/>
              </w:rPr>
              <w:t>92.7</w:t>
            </w:r>
          </w:p>
        </w:tc>
      </w:tr>
      <w:tr w:rsidR="006A7092" w:rsidRPr="006A7092" w14:paraId="7682A1F2"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0E04A556"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Queensland</w:t>
            </w:r>
          </w:p>
        </w:tc>
        <w:tc>
          <w:tcPr>
            <w:tcW w:w="1559" w:type="dxa"/>
            <w:tcBorders>
              <w:top w:val="nil"/>
              <w:left w:val="nil"/>
              <w:bottom w:val="single" w:sz="8" w:space="0" w:color="FFFFFF"/>
              <w:right w:val="single" w:sz="8" w:space="0" w:color="FFFFFF"/>
            </w:tcBorders>
            <w:shd w:val="clear" w:color="auto" w:fill="EFD3D2"/>
            <w:noWrap/>
            <w:vAlign w:val="center"/>
            <w:hideMark/>
          </w:tcPr>
          <w:p w14:paraId="63478611" w14:textId="3B4A7093" w:rsidR="006A7092" w:rsidRPr="006A7092" w:rsidRDefault="001A162F" w:rsidP="00630B7A">
            <w:pPr>
              <w:spacing w:before="0"/>
              <w:jc w:val="right"/>
              <w:rPr>
                <w:rFonts w:cs="Arial"/>
                <w:color w:val="000000"/>
                <w:sz w:val="18"/>
                <w:szCs w:val="18"/>
              </w:rPr>
            </w:pPr>
            <w:r>
              <w:rPr>
                <w:rFonts w:cs="Arial"/>
                <w:color w:val="000000"/>
                <w:sz w:val="18"/>
                <w:szCs w:val="18"/>
              </w:rPr>
              <w:t>14.3</w:t>
            </w:r>
          </w:p>
        </w:tc>
        <w:tc>
          <w:tcPr>
            <w:tcW w:w="1559" w:type="dxa"/>
            <w:tcBorders>
              <w:top w:val="nil"/>
              <w:left w:val="nil"/>
              <w:bottom w:val="single" w:sz="8" w:space="0" w:color="FFFFFF"/>
              <w:right w:val="single" w:sz="8" w:space="0" w:color="FFFFFF"/>
            </w:tcBorders>
            <w:shd w:val="clear" w:color="auto" w:fill="EFD3D2"/>
            <w:noWrap/>
            <w:vAlign w:val="center"/>
            <w:hideMark/>
          </w:tcPr>
          <w:p w14:paraId="49EF325C" w14:textId="4D38A827" w:rsidR="006A7092" w:rsidRPr="006A7092" w:rsidRDefault="001A162F" w:rsidP="00630B7A">
            <w:pPr>
              <w:spacing w:before="0"/>
              <w:jc w:val="right"/>
              <w:rPr>
                <w:rFonts w:cs="Arial"/>
                <w:color w:val="000000"/>
                <w:sz w:val="18"/>
                <w:szCs w:val="18"/>
              </w:rPr>
            </w:pPr>
            <w:r>
              <w:rPr>
                <w:rFonts w:cs="Arial"/>
                <w:color w:val="000000"/>
                <w:sz w:val="18"/>
                <w:szCs w:val="18"/>
              </w:rPr>
              <w:t>85.1</w:t>
            </w:r>
          </w:p>
        </w:tc>
        <w:tc>
          <w:tcPr>
            <w:tcW w:w="1559" w:type="dxa"/>
            <w:tcBorders>
              <w:top w:val="nil"/>
              <w:left w:val="nil"/>
              <w:bottom w:val="single" w:sz="8" w:space="0" w:color="FFFFFF"/>
              <w:right w:val="single" w:sz="8" w:space="0" w:color="FFFFFF"/>
            </w:tcBorders>
            <w:shd w:val="clear" w:color="auto" w:fill="EFD3D2"/>
            <w:noWrap/>
            <w:vAlign w:val="center"/>
            <w:hideMark/>
          </w:tcPr>
          <w:p w14:paraId="786BDABF" w14:textId="46B6B0A3" w:rsidR="006A7092" w:rsidRPr="006A7092" w:rsidRDefault="001A162F" w:rsidP="00630B7A">
            <w:pPr>
              <w:spacing w:before="0"/>
              <w:jc w:val="right"/>
              <w:rPr>
                <w:rFonts w:cs="Arial"/>
                <w:color w:val="000000"/>
                <w:sz w:val="18"/>
                <w:szCs w:val="18"/>
              </w:rPr>
            </w:pPr>
            <w:r>
              <w:rPr>
                <w:rFonts w:cs="Arial"/>
                <w:color w:val="000000"/>
                <w:sz w:val="18"/>
                <w:szCs w:val="18"/>
              </w:rPr>
              <w:t>90.6</w:t>
            </w:r>
          </w:p>
        </w:tc>
        <w:tc>
          <w:tcPr>
            <w:tcW w:w="1560" w:type="dxa"/>
            <w:tcBorders>
              <w:top w:val="nil"/>
              <w:left w:val="nil"/>
              <w:bottom w:val="single" w:sz="8" w:space="0" w:color="FFFFFF"/>
              <w:right w:val="single" w:sz="8" w:space="0" w:color="FFFFFF"/>
            </w:tcBorders>
            <w:shd w:val="clear" w:color="auto" w:fill="EFD3D2"/>
            <w:vAlign w:val="center"/>
            <w:hideMark/>
          </w:tcPr>
          <w:p w14:paraId="5CB3BDBB" w14:textId="697B9CD2" w:rsidR="006A7092" w:rsidRPr="006A7092" w:rsidRDefault="001A162F" w:rsidP="00630B7A">
            <w:pPr>
              <w:spacing w:before="0"/>
              <w:jc w:val="right"/>
              <w:rPr>
                <w:rFonts w:cs="Arial"/>
                <w:color w:val="000000"/>
                <w:sz w:val="18"/>
                <w:szCs w:val="18"/>
              </w:rPr>
            </w:pPr>
            <w:r>
              <w:rPr>
                <w:rFonts w:cs="Arial"/>
                <w:color w:val="000000"/>
                <w:sz w:val="18"/>
                <w:szCs w:val="18"/>
              </w:rPr>
              <w:t>93.2</w:t>
            </w:r>
          </w:p>
        </w:tc>
      </w:tr>
      <w:tr w:rsidR="00EB3876" w:rsidRPr="006A7092" w14:paraId="3D120617"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0C8BBA27"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Western Australia</w:t>
            </w:r>
          </w:p>
        </w:tc>
        <w:tc>
          <w:tcPr>
            <w:tcW w:w="1559" w:type="dxa"/>
            <w:tcBorders>
              <w:top w:val="nil"/>
              <w:left w:val="nil"/>
              <w:bottom w:val="single" w:sz="8" w:space="0" w:color="FFFFFF"/>
              <w:right w:val="single" w:sz="8" w:space="0" w:color="FFFFFF"/>
            </w:tcBorders>
            <w:shd w:val="clear" w:color="auto" w:fill="auto"/>
            <w:noWrap/>
            <w:vAlign w:val="center"/>
            <w:hideMark/>
          </w:tcPr>
          <w:p w14:paraId="677119BF" w14:textId="084C581F" w:rsidR="006A7092" w:rsidRPr="006A7092" w:rsidRDefault="001A162F" w:rsidP="00630B7A">
            <w:pPr>
              <w:spacing w:before="0"/>
              <w:jc w:val="right"/>
              <w:rPr>
                <w:rFonts w:cs="Arial"/>
                <w:color w:val="000000"/>
                <w:sz w:val="18"/>
                <w:szCs w:val="18"/>
              </w:rPr>
            </w:pPr>
            <w:r>
              <w:rPr>
                <w:rFonts w:cs="Arial"/>
                <w:color w:val="000000"/>
                <w:sz w:val="18"/>
                <w:szCs w:val="18"/>
              </w:rPr>
              <w:t>46.2</w:t>
            </w:r>
          </w:p>
        </w:tc>
        <w:tc>
          <w:tcPr>
            <w:tcW w:w="1559" w:type="dxa"/>
            <w:tcBorders>
              <w:top w:val="nil"/>
              <w:left w:val="nil"/>
              <w:bottom w:val="single" w:sz="8" w:space="0" w:color="FFFFFF"/>
              <w:right w:val="single" w:sz="8" w:space="0" w:color="FFFFFF"/>
            </w:tcBorders>
            <w:shd w:val="clear" w:color="auto" w:fill="auto"/>
            <w:noWrap/>
            <w:vAlign w:val="center"/>
            <w:hideMark/>
          </w:tcPr>
          <w:p w14:paraId="78F59B56" w14:textId="20BB346F" w:rsidR="006A7092" w:rsidRPr="006A7092" w:rsidRDefault="001A162F" w:rsidP="00630B7A">
            <w:pPr>
              <w:spacing w:before="0"/>
              <w:jc w:val="right"/>
              <w:rPr>
                <w:rFonts w:cs="Arial"/>
                <w:color w:val="000000"/>
                <w:sz w:val="18"/>
                <w:szCs w:val="18"/>
              </w:rPr>
            </w:pPr>
            <w:r>
              <w:rPr>
                <w:rFonts w:cs="Arial"/>
                <w:color w:val="000000"/>
                <w:sz w:val="18"/>
                <w:szCs w:val="18"/>
              </w:rPr>
              <w:t>81.7</w:t>
            </w:r>
          </w:p>
        </w:tc>
        <w:tc>
          <w:tcPr>
            <w:tcW w:w="1559" w:type="dxa"/>
            <w:tcBorders>
              <w:top w:val="nil"/>
              <w:left w:val="nil"/>
              <w:bottom w:val="single" w:sz="8" w:space="0" w:color="FFFFFF"/>
              <w:right w:val="single" w:sz="8" w:space="0" w:color="FFFFFF"/>
            </w:tcBorders>
            <w:shd w:val="clear" w:color="auto" w:fill="auto"/>
            <w:noWrap/>
            <w:vAlign w:val="center"/>
            <w:hideMark/>
          </w:tcPr>
          <w:p w14:paraId="0155221D" w14:textId="15CCB5B8" w:rsidR="006A7092" w:rsidRPr="006A7092" w:rsidRDefault="001A162F" w:rsidP="00630B7A">
            <w:pPr>
              <w:spacing w:before="0"/>
              <w:jc w:val="right"/>
              <w:rPr>
                <w:rFonts w:cs="Arial"/>
                <w:color w:val="000000"/>
                <w:sz w:val="18"/>
                <w:szCs w:val="18"/>
              </w:rPr>
            </w:pPr>
            <w:r>
              <w:rPr>
                <w:rFonts w:cs="Arial"/>
                <w:color w:val="000000"/>
                <w:sz w:val="18"/>
                <w:szCs w:val="18"/>
              </w:rPr>
              <w:t>92.3</w:t>
            </w:r>
          </w:p>
        </w:tc>
        <w:tc>
          <w:tcPr>
            <w:tcW w:w="1560" w:type="dxa"/>
            <w:tcBorders>
              <w:top w:val="nil"/>
              <w:left w:val="nil"/>
              <w:bottom w:val="single" w:sz="8" w:space="0" w:color="FFFFFF"/>
              <w:right w:val="single" w:sz="8" w:space="0" w:color="FFFFFF"/>
            </w:tcBorders>
            <w:shd w:val="clear" w:color="auto" w:fill="auto"/>
            <w:vAlign w:val="center"/>
            <w:hideMark/>
          </w:tcPr>
          <w:p w14:paraId="3A0A6D5B" w14:textId="77AAD75C" w:rsidR="006A7092" w:rsidRPr="006A7092" w:rsidRDefault="001A162F" w:rsidP="00630B7A">
            <w:pPr>
              <w:spacing w:before="0"/>
              <w:jc w:val="right"/>
              <w:rPr>
                <w:rFonts w:cs="Arial"/>
                <w:color w:val="000000"/>
                <w:sz w:val="18"/>
                <w:szCs w:val="18"/>
              </w:rPr>
            </w:pPr>
            <w:r>
              <w:rPr>
                <w:rFonts w:cs="Arial"/>
                <w:color w:val="000000"/>
                <w:sz w:val="18"/>
                <w:szCs w:val="18"/>
              </w:rPr>
              <w:t>97.3</w:t>
            </w:r>
          </w:p>
        </w:tc>
      </w:tr>
      <w:tr w:rsidR="006A7092" w:rsidRPr="006A7092" w14:paraId="532FF801"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778070FA"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Tasmania</w:t>
            </w:r>
          </w:p>
        </w:tc>
        <w:tc>
          <w:tcPr>
            <w:tcW w:w="1559" w:type="dxa"/>
            <w:tcBorders>
              <w:top w:val="nil"/>
              <w:left w:val="nil"/>
              <w:bottom w:val="single" w:sz="8" w:space="0" w:color="FFFFFF"/>
              <w:right w:val="single" w:sz="8" w:space="0" w:color="FFFFFF"/>
            </w:tcBorders>
            <w:shd w:val="clear" w:color="auto" w:fill="EFD3D2"/>
            <w:noWrap/>
            <w:vAlign w:val="center"/>
            <w:hideMark/>
          </w:tcPr>
          <w:p w14:paraId="157B11BF" w14:textId="6E20A552" w:rsidR="006A7092" w:rsidRPr="006A7092" w:rsidRDefault="001A162F" w:rsidP="00630B7A">
            <w:pPr>
              <w:spacing w:before="0"/>
              <w:jc w:val="right"/>
              <w:rPr>
                <w:rFonts w:cs="Arial"/>
                <w:color w:val="000000"/>
                <w:sz w:val="18"/>
                <w:szCs w:val="18"/>
              </w:rPr>
            </w:pPr>
            <w:r>
              <w:rPr>
                <w:rFonts w:cs="Arial"/>
                <w:color w:val="000000"/>
                <w:sz w:val="18"/>
                <w:szCs w:val="18"/>
              </w:rPr>
              <w:t>57.6</w:t>
            </w:r>
          </w:p>
        </w:tc>
        <w:tc>
          <w:tcPr>
            <w:tcW w:w="1559" w:type="dxa"/>
            <w:tcBorders>
              <w:top w:val="nil"/>
              <w:left w:val="nil"/>
              <w:bottom w:val="single" w:sz="8" w:space="0" w:color="FFFFFF"/>
              <w:right w:val="single" w:sz="8" w:space="0" w:color="FFFFFF"/>
            </w:tcBorders>
            <w:shd w:val="clear" w:color="auto" w:fill="EFD3D2"/>
            <w:noWrap/>
            <w:vAlign w:val="center"/>
            <w:hideMark/>
          </w:tcPr>
          <w:p w14:paraId="2D6487A8" w14:textId="28D42E52" w:rsidR="006A7092" w:rsidRPr="006A7092" w:rsidRDefault="001A162F" w:rsidP="00630B7A">
            <w:pPr>
              <w:spacing w:before="0"/>
              <w:jc w:val="right"/>
              <w:rPr>
                <w:rFonts w:cs="Arial"/>
                <w:color w:val="000000"/>
                <w:sz w:val="18"/>
                <w:szCs w:val="18"/>
              </w:rPr>
            </w:pPr>
            <w:r>
              <w:rPr>
                <w:rFonts w:cs="Arial"/>
                <w:color w:val="000000"/>
                <w:sz w:val="18"/>
                <w:szCs w:val="18"/>
              </w:rPr>
              <w:t>70.1</w:t>
            </w:r>
          </w:p>
        </w:tc>
        <w:tc>
          <w:tcPr>
            <w:tcW w:w="1559" w:type="dxa"/>
            <w:tcBorders>
              <w:top w:val="nil"/>
              <w:left w:val="nil"/>
              <w:bottom w:val="single" w:sz="8" w:space="0" w:color="FFFFFF"/>
              <w:right w:val="single" w:sz="8" w:space="0" w:color="FFFFFF"/>
            </w:tcBorders>
            <w:shd w:val="clear" w:color="auto" w:fill="EFD3D2"/>
            <w:noWrap/>
            <w:vAlign w:val="center"/>
            <w:hideMark/>
          </w:tcPr>
          <w:p w14:paraId="04B50583" w14:textId="78BF6582" w:rsidR="006A7092" w:rsidRPr="006A7092" w:rsidRDefault="001A162F" w:rsidP="00630B7A">
            <w:pPr>
              <w:spacing w:before="0"/>
              <w:jc w:val="right"/>
              <w:rPr>
                <w:rFonts w:cs="Arial"/>
                <w:color w:val="000000"/>
                <w:sz w:val="18"/>
                <w:szCs w:val="18"/>
              </w:rPr>
            </w:pPr>
            <w:r>
              <w:rPr>
                <w:rFonts w:cs="Arial"/>
                <w:color w:val="000000"/>
                <w:sz w:val="18"/>
                <w:szCs w:val="18"/>
              </w:rPr>
              <w:t>81.6</w:t>
            </w:r>
          </w:p>
        </w:tc>
        <w:tc>
          <w:tcPr>
            <w:tcW w:w="1560" w:type="dxa"/>
            <w:tcBorders>
              <w:top w:val="nil"/>
              <w:left w:val="nil"/>
              <w:bottom w:val="single" w:sz="8" w:space="0" w:color="FFFFFF"/>
              <w:right w:val="single" w:sz="8" w:space="0" w:color="FFFFFF"/>
            </w:tcBorders>
            <w:shd w:val="clear" w:color="auto" w:fill="EFD3D2"/>
            <w:vAlign w:val="center"/>
            <w:hideMark/>
          </w:tcPr>
          <w:p w14:paraId="2FA11F06" w14:textId="1777FC20" w:rsidR="006A7092" w:rsidRPr="006A7092" w:rsidRDefault="001A162F" w:rsidP="00630B7A">
            <w:pPr>
              <w:spacing w:before="0"/>
              <w:jc w:val="right"/>
              <w:rPr>
                <w:rFonts w:cs="Arial"/>
                <w:color w:val="000000"/>
                <w:sz w:val="18"/>
                <w:szCs w:val="18"/>
              </w:rPr>
            </w:pPr>
            <w:r>
              <w:rPr>
                <w:rFonts w:cs="Arial"/>
                <w:color w:val="000000"/>
                <w:sz w:val="18"/>
                <w:szCs w:val="18"/>
              </w:rPr>
              <w:t>89.6</w:t>
            </w:r>
          </w:p>
        </w:tc>
      </w:tr>
      <w:tr w:rsidR="00EB3876" w:rsidRPr="006A7092" w14:paraId="353EAD6F"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724A1B7F" w14:textId="367480AC" w:rsidR="006A7092" w:rsidRPr="006A7092" w:rsidRDefault="00E21FCD" w:rsidP="00630B7A">
            <w:pPr>
              <w:spacing w:before="0"/>
              <w:jc w:val="left"/>
              <w:rPr>
                <w:rFonts w:cs="Arial"/>
                <w:color w:val="000000"/>
                <w:sz w:val="18"/>
                <w:szCs w:val="18"/>
              </w:rPr>
            </w:pPr>
            <w:r>
              <w:rPr>
                <w:rFonts w:cs="Arial"/>
                <w:color w:val="000000"/>
                <w:sz w:val="18"/>
                <w:szCs w:val="16"/>
              </w:rPr>
              <w:t>Comcare</w:t>
            </w:r>
          </w:p>
        </w:tc>
        <w:tc>
          <w:tcPr>
            <w:tcW w:w="1559" w:type="dxa"/>
            <w:tcBorders>
              <w:top w:val="nil"/>
              <w:left w:val="nil"/>
              <w:bottom w:val="single" w:sz="8" w:space="0" w:color="FFFFFF"/>
              <w:right w:val="single" w:sz="8" w:space="0" w:color="FFFFFF"/>
            </w:tcBorders>
            <w:shd w:val="clear" w:color="auto" w:fill="auto"/>
            <w:noWrap/>
            <w:vAlign w:val="center"/>
            <w:hideMark/>
          </w:tcPr>
          <w:p w14:paraId="200DCEE0" w14:textId="2CCB1B97" w:rsidR="006A7092" w:rsidRPr="006A7092" w:rsidRDefault="006A7092" w:rsidP="001A162F">
            <w:pPr>
              <w:spacing w:before="0"/>
              <w:jc w:val="right"/>
              <w:rPr>
                <w:rFonts w:cs="Arial"/>
                <w:color w:val="000000"/>
                <w:sz w:val="18"/>
                <w:szCs w:val="18"/>
              </w:rPr>
            </w:pPr>
            <w:r w:rsidRPr="006A7092">
              <w:rPr>
                <w:rFonts w:cs="Arial"/>
                <w:color w:val="000000"/>
                <w:sz w:val="18"/>
                <w:szCs w:val="18"/>
              </w:rPr>
              <w:t>3.</w:t>
            </w:r>
            <w:r w:rsidR="001A162F">
              <w:rPr>
                <w:rFonts w:cs="Arial"/>
                <w:color w:val="000000"/>
                <w:sz w:val="18"/>
                <w:szCs w:val="18"/>
              </w:rPr>
              <w:t>8</w:t>
            </w:r>
          </w:p>
        </w:tc>
        <w:tc>
          <w:tcPr>
            <w:tcW w:w="1559" w:type="dxa"/>
            <w:tcBorders>
              <w:top w:val="nil"/>
              <w:left w:val="nil"/>
              <w:bottom w:val="single" w:sz="8" w:space="0" w:color="FFFFFF"/>
              <w:right w:val="single" w:sz="8" w:space="0" w:color="FFFFFF"/>
            </w:tcBorders>
            <w:shd w:val="clear" w:color="auto" w:fill="auto"/>
            <w:noWrap/>
            <w:vAlign w:val="center"/>
            <w:hideMark/>
          </w:tcPr>
          <w:p w14:paraId="4CC6250A" w14:textId="0C09E137" w:rsidR="006A7092" w:rsidRPr="006A7092" w:rsidRDefault="006A7092" w:rsidP="001A162F">
            <w:pPr>
              <w:spacing w:before="0"/>
              <w:jc w:val="right"/>
              <w:rPr>
                <w:rFonts w:cs="Arial"/>
                <w:color w:val="000000"/>
                <w:sz w:val="18"/>
                <w:szCs w:val="18"/>
              </w:rPr>
            </w:pPr>
            <w:r w:rsidRPr="006A7092">
              <w:rPr>
                <w:rFonts w:cs="Arial"/>
                <w:color w:val="000000"/>
                <w:sz w:val="18"/>
                <w:szCs w:val="18"/>
              </w:rPr>
              <w:t>13.</w:t>
            </w:r>
            <w:r w:rsidR="001A162F">
              <w:rPr>
                <w:rFonts w:cs="Arial"/>
                <w:color w:val="000000"/>
                <w:sz w:val="18"/>
                <w:szCs w:val="18"/>
              </w:rPr>
              <w:t>7</w:t>
            </w:r>
          </w:p>
        </w:tc>
        <w:tc>
          <w:tcPr>
            <w:tcW w:w="1559" w:type="dxa"/>
            <w:tcBorders>
              <w:top w:val="nil"/>
              <w:left w:val="nil"/>
              <w:bottom w:val="single" w:sz="8" w:space="0" w:color="FFFFFF"/>
              <w:right w:val="single" w:sz="8" w:space="0" w:color="FFFFFF"/>
            </w:tcBorders>
            <w:shd w:val="clear" w:color="auto" w:fill="auto"/>
            <w:noWrap/>
            <w:vAlign w:val="center"/>
            <w:hideMark/>
          </w:tcPr>
          <w:p w14:paraId="6887DD47" w14:textId="7B139C57" w:rsidR="006A7092" w:rsidRPr="006A7092" w:rsidRDefault="006A7092" w:rsidP="001A162F">
            <w:pPr>
              <w:spacing w:before="0"/>
              <w:jc w:val="right"/>
              <w:rPr>
                <w:rFonts w:cs="Arial"/>
                <w:color w:val="000000"/>
                <w:sz w:val="18"/>
                <w:szCs w:val="18"/>
              </w:rPr>
            </w:pPr>
            <w:r w:rsidRPr="006A7092">
              <w:rPr>
                <w:rFonts w:cs="Arial"/>
                <w:color w:val="000000"/>
                <w:sz w:val="18"/>
                <w:szCs w:val="18"/>
              </w:rPr>
              <w:t>29.</w:t>
            </w:r>
            <w:r w:rsidR="001A162F">
              <w:rPr>
                <w:rFonts w:cs="Arial"/>
                <w:color w:val="000000"/>
                <w:sz w:val="18"/>
                <w:szCs w:val="18"/>
              </w:rPr>
              <w:t>6</w:t>
            </w:r>
          </w:p>
        </w:tc>
        <w:tc>
          <w:tcPr>
            <w:tcW w:w="1560" w:type="dxa"/>
            <w:tcBorders>
              <w:top w:val="nil"/>
              <w:left w:val="nil"/>
              <w:bottom w:val="single" w:sz="8" w:space="0" w:color="FFFFFF"/>
              <w:right w:val="single" w:sz="8" w:space="0" w:color="FFFFFF"/>
            </w:tcBorders>
            <w:shd w:val="clear" w:color="auto" w:fill="auto"/>
            <w:vAlign w:val="center"/>
            <w:hideMark/>
          </w:tcPr>
          <w:p w14:paraId="3F40D52B" w14:textId="419EC674" w:rsidR="006A7092" w:rsidRPr="006A7092" w:rsidRDefault="001A162F" w:rsidP="00630B7A">
            <w:pPr>
              <w:spacing w:before="0"/>
              <w:jc w:val="right"/>
              <w:rPr>
                <w:rFonts w:cs="Arial"/>
                <w:color w:val="000000"/>
                <w:sz w:val="18"/>
                <w:szCs w:val="18"/>
              </w:rPr>
            </w:pPr>
            <w:r>
              <w:rPr>
                <w:rFonts w:cs="Arial"/>
                <w:color w:val="000000"/>
                <w:sz w:val="18"/>
                <w:szCs w:val="18"/>
              </w:rPr>
              <w:t>47.7</w:t>
            </w:r>
          </w:p>
        </w:tc>
      </w:tr>
      <w:tr w:rsidR="006A7092" w:rsidRPr="006A7092" w14:paraId="1AB3EBAC"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40905ADC"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Seacare</w:t>
            </w:r>
          </w:p>
        </w:tc>
        <w:tc>
          <w:tcPr>
            <w:tcW w:w="1559" w:type="dxa"/>
            <w:tcBorders>
              <w:top w:val="nil"/>
              <w:left w:val="nil"/>
              <w:bottom w:val="single" w:sz="8" w:space="0" w:color="FFFFFF"/>
              <w:right w:val="single" w:sz="8" w:space="0" w:color="FFFFFF"/>
            </w:tcBorders>
            <w:shd w:val="clear" w:color="auto" w:fill="EFD3D2"/>
            <w:noWrap/>
            <w:vAlign w:val="center"/>
            <w:hideMark/>
          </w:tcPr>
          <w:p w14:paraId="7CFA7419" w14:textId="266A5965" w:rsidR="006A7092" w:rsidRPr="006A7092" w:rsidRDefault="001A162F" w:rsidP="00630B7A">
            <w:pPr>
              <w:spacing w:before="0"/>
              <w:jc w:val="right"/>
              <w:rPr>
                <w:rFonts w:cs="Arial"/>
                <w:color w:val="000000"/>
                <w:sz w:val="18"/>
                <w:szCs w:val="18"/>
              </w:rPr>
            </w:pPr>
            <w:r>
              <w:rPr>
                <w:rFonts w:cs="Arial"/>
                <w:color w:val="000000"/>
                <w:sz w:val="18"/>
                <w:szCs w:val="18"/>
              </w:rPr>
              <w:t>1.9</w:t>
            </w:r>
          </w:p>
        </w:tc>
        <w:tc>
          <w:tcPr>
            <w:tcW w:w="1559" w:type="dxa"/>
            <w:tcBorders>
              <w:top w:val="nil"/>
              <w:left w:val="nil"/>
              <w:bottom w:val="single" w:sz="8" w:space="0" w:color="FFFFFF"/>
              <w:right w:val="single" w:sz="8" w:space="0" w:color="FFFFFF"/>
            </w:tcBorders>
            <w:shd w:val="clear" w:color="auto" w:fill="EFD3D2"/>
            <w:noWrap/>
            <w:vAlign w:val="center"/>
            <w:hideMark/>
          </w:tcPr>
          <w:p w14:paraId="2F44DC8B" w14:textId="2B187316" w:rsidR="006A7092" w:rsidRPr="006A7092" w:rsidRDefault="001A162F" w:rsidP="00630B7A">
            <w:pPr>
              <w:spacing w:before="0"/>
              <w:jc w:val="right"/>
              <w:rPr>
                <w:rFonts w:cs="Arial"/>
                <w:color w:val="000000"/>
                <w:sz w:val="18"/>
                <w:szCs w:val="18"/>
              </w:rPr>
            </w:pPr>
            <w:r>
              <w:rPr>
                <w:rFonts w:cs="Arial"/>
                <w:color w:val="000000"/>
                <w:sz w:val="18"/>
                <w:szCs w:val="18"/>
              </w:rPr>
              <w:t>13.0</w:t>
            </w:r>
          </w:p>
        </w:tc>
        <w:tc>
          <w:tcPr>
            <w:tcW w:w="1559" w:type="dxa"/>
            <w:tcBorders>
              <w:top w:val="nil"/>
              <w:left w:val="nil"/>
              <w:bottom w:val="single" w:sz="8" w:space="0" w:color="FFFFFF"/>
              <w:right w:val="single" w:sz="8" w:space="0" w:color="FFFFFF"/>
            </w:tcBorders>
            <w:shd w:val="clear" w:color="auto" w:fill="EFD3D2"/>
            <w:noWrap/>
            <w:vAlign w:val="center"/>
            <w:hideMark/>
          </w:tcPr>
          <w:p w14:paraId="7FCD84E7" w14:textId="39B4EA50" w:rsidR="006A7092" w:rsidRPr="006A7092" w:rsidRDefault="001A162F" w:rsidP="00630B7A">
            <w:pPr>
              <w:spacing w:before="0"/>
              <w:jc w:val="right"/>
              <w:rPr>
                <w:rFonts w:cs="Arial"/>
                <w:color w:val="000000"/>
                <w:sz w:val="18"/>
                <w:szCs w:val="18"/>
              </w:rPr>
            </w:pPr>
            <w:r>
              <w:rPr>
                <w:rFonts w:cs="Arial"/>
                <w:color w:val="000000"/>
                <w:sz w:val="18"/>
                <w:szCs w:val="18"/>
              </w:rPr>
              <w:t>20.4</w:t>
            </w:r>
          </w:p>
        </w:tc>
        <w:tc>
          <w:tcPr>
            <w:tcW w:w="1560" w:type="dxa"/>
            <w:tcBorders>
              <w:top w:val="nil"/>
              <w:left w:val="nil"/>
              <w:bottom w:val="single" w:sz="8" w:space="0" w:color="FFFFFF"/>
              <w:right w:val="single" w:sz="8" w:space="0" w:color="FFFFFF"/>
            </w:tcBorders>
            <w:shd w:val="clear" w:color="auto" w:fill="EFD3D2"/>
            <w:vAlign w:val="center"/>
            <w:hideMark/>
          </w:tcPr>
          <w:p w14:paraId="0A708BE8" w14:textId="4CB1963B" w:rsidR="006A7092" w:rsidRPr="006A7092" w:rsidRDefault="001A162F" w:rsidP="00630B7A">
            <w:pPr>
              <w:spacing w:before="0"/>
              <w:jc w:val="right"/>
              <w:rPr>
                <w:rFonts w:cs="Arial"/>
                <w:color w:val="000000"/>
                <w:sz w:val="18"/>
                <w:szCs w:val="18"/>
              </w:rPr>
            </w:pPr>
            <w:r>
              <w:rPr>
                <w:rFonts w:cs="Arial"/>
                <w:color w:val="000000"/>
                <w:sz w:val="18"/>
                <w:szCs w:val="18"/>
              </w:rPr>
              <w:t>48.1</w:t>
            </w:r>
          </w:p>
        </w:tc>
      </w:tr>
      <w:tr w:rsidR="00EB3876" w:rsidRPr="006A7092" w14:paraId="22AEAA55"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0364D54B" w14:textId="77777777" w:rsidR="006A7092" w:rsidRPr="006A7092" w:rsidRDefault="006A7092" w:rsidP="00630B7A">
            <w:pPr>
              <w:spacing w:before="0"/>
              <w:jc w:val="left"/>
              <w:rPr>
                <w:rFonts w:cs="Arial"/>
                <w:b/>
                <w:color w:val="000000"/>
                <w:sz w:val="18"/>
                <w:szCs w:val="18"/>
              </w:rPr>
            </w:pPr>
            <w:r w:rsidRPr="006A7092">
              <w:rPr>
                <w:rFonts w:cs="Arial"/>
                <w:b/>
                <w:color w:val="000000"/>
                <w:sz w:val="18"/>
                <w:szCs w:val="16"/>
              </w:rPr>
              <w:t>Australia</w:t>
            </w:r>
          </w:p>
        </w:tc>
        <w:tc>
          <w:tcPr>
            <w:tcW w:w="1559" w:type="dxa"/>
            <w:tcBorders>
              <w:top w:val="nil"/>
              <w:left w:val="nil"/>
              <w:bottom w:val="single" w:sz="8" w:space="0" w:color="FFFFFF"/>
              <w:right w:val="single" w:sz="8" w:space="0" w:color="FFFFFF"/>
            </w:tcBorders>
            <w:shd w:val="clear" w:color="auto" w:fill="auto"/>
            <w:noWrap/>
            <w:vAlign w:val="center"/>
            <w:hideMark/>
          </w:tcPr>
          <w:p w14:paraId="4E574D60" w14:textId="4AFE29C6" w:rsidR="006A7092" w:rsidRPr="006A7092" w:rsidRDefault="006A7092" w:rsidP="001A162F">
            <w:pPr>
              <w:spacing w:before="0"/>
              <w:jc w:val="right"/>
              <w:rPr>
                <w:rFonts w:cs="Arial"/>
                <w:b/>
                <w:color w:val="000000"/>
                <w:sz w:val="18"/>
                <w:szCs w:val="18"/>
              </w:rPr>
            </w:pPr>
            <w:r w:rsidRPr="006A7092">
              <w:rPr>
                <w:rFonts w:cs="Arial"/>
                <w:b/>
                <w:color w:val="000000"/>
                <w:sz w:val="18"/>
                <w:szCs w:val="18"/>
              </w:rPr>
              <w:t>12.</w:t>
            </w:r>
            <w:r w:rsidR="001A162F">
              <w:rPr>
                <w:rFonts w:cs="Arial"/>
                <w:b/>
                <w:color w:val="000000"/>
                <w:sz w:val="18"/>
                <w:szCs w:val="18"/>
              </w:rPr>
              <w:t>7</w:t>
            </w:r>
          </w:p>
        </w:tc>
        <w:tc>
          <w:tcPr>
            <w:tcW w:w="1559" w:type="dxa"/>
            <w:tcBorders>
              <w:top w:val="nil"/>
              <w:left w:val="nil"/>
              <w:bottom w:val="single" w:sz="8" w:space="0" w:color="FFFFFF"/>
              <w:right w:val="single" w:sz="8" w:space="0" w:color="FFFFFF"/>
            </w:tcBorders>
            <w:shd w:val="clear" w:color="auto" w:fill="auto"/>
            <w:noWrap/>
            <w:vAlign w:val="center"/>
            <w:hideMark/>
          </w:tcPr>
          <w:p w14:paraId="06403F62" w14:textId="7C9BBE08" w:rsidR="006A7092" w:rsidRPr="006A7092" w:rsidRDefault="001A162F" w:rsidP="00630B7A">
            <w:pPr>
              <w:spacing w:before="0"/>
              <w:jc w:val="right"/>
              <w:rPr>
                <w:rFonts w:cs="Arial"/>
                <w:b/>
                <w:color w:val="000000"/>
                <w:sz w:val="18"/>
                <w:szCs w:val="18"/>
              </w:rPr>
            </w:pPr>
            <w:r>
              <w:rPr>
                <w:rFonts w:cs="Arial"/>
                <w:b/>
                <w:color w:val="000000"/>
                <w:sz w:val="18"/>
                <w:szCs w:val="18"/>
              </w:rPr>
              <w:t>50.3</w:t>
            </w:r>
          </w:p>
        </w:tc>
        <w:tc>
          <w:tcPr>
            <w:tcW w:w="1559" w:type="dxa"/>
            <w:tcBorders>
              <w:top w:val="nil"/>
              <w:left w:val="nil"/>
              <w:bottom w:val="single" w:sz="8" w:space="0" w:color="FFFFFF"/>
              <w:right w:val="single" w:sz="8" w:space="0" w:color="FFFFFF"/>
            </w:tcBorders>
            <w:shd w:val="clear" w:color="auto" w:fill="auto"/>
            <w:noWrap/>
            <w:vAlign w:val="center"/>
            <w:hideMark/>
          </w:tcPr>
          <w:p w14:paraId="69CC4E78" w14:textId="0C5D598E" w:rsidR="006A7092" w:rsidRPr="006A7092" w:rsidRDefault="001A162F" w:rsidP="00630B7A">
            <w:pPr>
              <w:spacing w:before="0"/>
              <w:jc w:val="right"/>
              <w:rPr>
                <w:rFonts w:cs="Arial"/>
                <w:b/>
                <w:color w:val="000000"/>
                <w:sz w:val="18"/>
                <w:szCs w:val="18"/>
              </w:rPr>
            </w:pPr>
            <w:r>
              <w:rPr>
                <w:rFonts w:cs="Arial"/>
                <w:b/>
                <w:color w:val="000000"/>
                <w:sz w:val="18"/>
                <w:szCs w:val="18"/>
              </w:rPr>
              <w:t>77.9</w:t>
            </w:r>
          </w:p>
        </w:tc>
        <w:tc>
          <w:tcPr>
            <w:tcW w:w="1560" w:type="dxa"/>
            <w:tcBorders>
              <w:top w:val="nil"/>
              <w:left w:val="nil"/>
              <w:bottom w:val="single" w:sz="8" w:space="0" w:color="FFFFFF"/>
              <w:right w:val="single" w:sz="8" w:space="0" w:color="FFFFFF"/>
            </w:tcBorders>
            <w:shd w:val="clear" w:color="auto" w:fill="auto"/>
            <w:vAlign w:val="center"/>
            <w:hideMark/>
          </w:tcPr>
          <w:p w14:paraId="5DEB3074" w14:textId="3DE46CEF" w:rsidR="006A7092" w:rsidRPr="006A7092" w:rsidRDefault="001A162F" w:rsidP="00630B7A">
            <w:pPr>
              <w:spacing w:before="0"/>
              <w:jc w:val="right"/>
              <w:rPr>
                <w:rFonts w:cs="Arial"/>
                <w:b/>
                <w:color w:val="000000"/>
                <w:sz w:val="18"/>
                <w:szCs w:val="18"/>
              </w:rPr>
            </w:pPr>
            <w:r>
              <w:rPr>
                <w:rFonts w:cs="Arial"/>
                <w:b/>
                <w:color w:val="000000"/>
                <w:sz w:val="18"/>
                <w:szCs w:val="18"/>
              </w:rPr>
              <w:t>90.7</w:t>
            </w:r>
          </w:p>
        </w:tc>
      </w:tr>
      <w:tr w:rsidR="006A7092" w:rsidRPr="006A7092" w14:paraId="443C405C"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21C950B4"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New Zealand</w:t>
            </w:r>
          </w:p>
        </w:tc>
        <w:tc>
          <w:tcPr>
            <w:tcW w:w="1559" w:type="dxa"/>
            <w:tcBorders>
              <w:top w:val="nil"/>
              <w:left w:val="nil"/>
              <w:bottom w:val="single" w:sz="8" w:space="0" w:color="FFFFFF"/>
              <w:right w:val="single" w:sz="8" w:space="0" w:color="FFFFFF"/>
            </w:tcBorders>
            <w:shd w:val="clear" w:color="auto" w:fill="EFD3D2"/>
            <w:noWrap/>
            <w:vAlign w:val="center"/>
            <w:hideMark/>
          </w:tcPr>
          <w:p w14:paraId="4329CA5B" w14:textId="3B5F7875" w:rsidR="006A7092" w:rsidRPr="006A7092" w:rsidRDefault="001A162F" w:rsidP="00630B7A">
            <w:pPr>
              <w:spacing w:before="0"/>
              <w:jc w:val="right"/>
              <w:rPr>
                <w:rFonts w:cs="Arial"/>
                <w:color w:val="000000"/>
                <w:sz w:val="18"/>
                <w:szCs w:val="18"/>
              </w:rPr>
            </w:pPr>
            <w:r>
              <w:rPr>
                <w:rFonts w:cs="Arial"/>
                <w:color w:val="000000"/>
                <w:sz w:val="18"/>
                <w:szCs w:val="18"/>
              </w:rPr>
              <w:t>11.5</w:t>
            </w:r>
          </w:p>
        </w:tc>
        <w:tc>
          <w:tcPr>
            <w:tcW w:w="1559" w:type="dxa"/>
            <w:tcBorders>
              <w:top w:val="nil"/>
              <w:left w:val="nil"/>
              <w:bottom w:val="single" w:sz="8" w:space="0" w:color="FFFFFF"/>
              <w:right w:val="single" w:sz="8" w:space="0" w:color="FFFFFF"/>
            </w:tcBorders>
            <w:shd w:val="clear" w:color="auto" w:fill="EFD3D2"/>
            <w:noWrap/>
            <w:vAlign w:val="center"/>
            <w:hideMark/>
          </w:tcPr>
          <w:p w14:paraId="3544CB0B" w14:textId="43A69858" w:rsidR="006A7092" w:rsidRPr="006A7092" w:rsidRDefault="001A162F" w:rsidP="00630B7A">
            <w:pPr>
              <w:spacing w:before="0"/>
              <w:jc w:val="right"/>
              <w:rPr>
                <w:rFonts w:cs="Arial"/>
                <w:color w:val="000000"/>
                <w:sz w:val="18"/>
                <w:szCs w:val="18"/>
              </w:rPr>
            </w:pPr>
            <w:r>
              <w:rPr>
                <w:rFonts w:cs="Arial"/>
                <w:color w:val="000000"/>
                <w:sz w:val="18"/>
                <w:szCs w:val="18"/>
              </w:rPr>
              <w:t>61.5</w:t>
            </w:r>
          </w:p>
        </w:tc>
        <w:tc>
          <w:tcPr>
            <w:tcW w:w="1559" w:type="dxa"/>
            <w:tcBorders>
              <w:top w:val="nil"/>
              <w:left w:val="nil"/>
              <w:bottom w:val="single" w:sz="8" w:space="0" w:color="FFFFFF"/>
              <w:right w:val="single" w:sz="8" w:space="0" w:color="FFFFFF"/>
            </w:tcBorders>
            <w:shd w:val="clear" w:color="auto" w:fill="EFD3D2"/>
            <w:noWrap/>
            <w:vAlign w:val="center"/>
            <w:hideMark/>
          </w:tcPr>
          <w:p w14:paraId="2B2E3180" w14:textId="07E6B973" w:rsidR="006A7092" w:rsidRPr="006A7092" w:rsidRDefault="001A162F" w:rsidP="00630B7A">
            <w:pPr>
              <w:spacing w:before="0"/>
              <w:jc w:val="right"/>
              <w:rPr>
                <w:rFonts w:cs="Arial"/>
                <w:color w:val="000000"/>
                <w:sz w:val="18"/>
                <w:szCs w:val="18"/>
              </w:rPr>
            </w:pPr>
            <w:r>
              <w:rPr>
                <w:rFonts w:cs="Arial"/>
                <w:color w:val="000000"/>
                <w:sz w:val="18"/>
                <w:szCs w:val="18"/>
              </w:rPr>
              <w:t>91.8</w:t>
            </w:r>
          </w:p>
        </w:tc>
        <w:tc>
          <w:tcPr>
            <w:tcW w:w="1560" w:type="dxa"/>
            <w:tcBorders>
              <w:top w:val="nil"/>
              <w:left w:val="nil"/>
              <w:bottom w:val="single" w:sz="8" w:space="0" w:color="FFFFFF"/>
              <w:right w:val="single" w:sz="8" w:space="0" w:color="FFFFFF"/>
            </w:tcBorders>
            <w:shd w:val="clear" w:color="auto" w:fill="EFD3D2"/>
            <w:vAlign w:val="center"/>
            <w:hideMark/>
          </w:tcPr>
          <w:p w14:paraId="262DC070" w14:textId="18152FAF" w:rsidR="006A7092" w:rsidRPr="006A7092" w:rsidRDefault="001A162F" w:rsidP="00630B7A">
            <w:pPr>
              <w:spacing w:before="0"/>
              <w:jc w:val="right"/>
              <w:rPr>
                <w:rFonts w:cs="Arial"/>
                <w:color w:val="000000"/>
                <w:sz w:val="18"/>
                <w:szCs w:val="18"/>
              </w:rPr>
            </w:pPr>
            <w:r>
              <w:rPr>
                <w:rFonts w:cs="Arial"/>
                <w:color w:val="000000"/>
                <w:sz w:val="18"/>
                <w:szCs w:val="18"/>
              </w:rPr>
              <w:t>97.4</w:t>
            </w:r>
          </w:p>
        </w:tc>
      </w:tr>
      <w:tr w:rsidR="00DF7579" w:rsidRPr="006A7092" w14:paraId="6CF327FF" w14:textId="77777777" w:rsidTr="003A1680">
        <w:trPr>
          <w:cantSplit/>
          <w:trHeight w:val="340"/>
        </w:trPr>
        <w:tc>
          <w:tcPr>
            <w:tcW w:w="3134" w:type="dxa"/>
            <w:tcBorders>
              <w:top w:val="nil"/>
              <w:left w:val="single" w:sz="8" w:space="0" w:color="FFFFFF"/>
              <w:bottom w:val="single" w:sz="8" w:space="0" w:color="FFFFFF"/>
            </w:tcBorders>
            <w:shd w:val="clear" w:color="000000" w:fill="808080"/>
            <w:noWrap/>
            <w:vAlign w:val="center"/>
            <w:hideMark/>
          </w:tcPr>
          <w:p w14:paraId="567DE1B0" w14:textId="605BFCC1" w:rsidR="006A7092" w:rsidRPr="006A7092" w:rsidRDefault="00DF7579" w:rsidP="001A162F">
            <w:pPr>
              <w:spacing w:before="0"/>
              <w:jc w:val="left"/>
              <w:rPr>
                <w:rFonts w:cs="Arial"/>
                <w:b/>
                <w:bCs/>
                <w:color w:val="FFFFFF" w:themeColor="background1"/>
                <w:sz w:val="18"/>
                <w:szCs w:val="18"/>
              </w:rPr>
            </w:pPr>
            <w:r>
              <w:rPr>
                <w:rFonts w:cs="Arial"/>
                <w:b/>
                <w:bCs/>
                <w:color w:val="FFFFFF" w:themeColor="background1"/>
                <w:sz w:val="18"/>
                <w:szCs w:val="16"/>
              </w:rPr>
              <w:t>201</w:t>
            </w:r>
            <w:r w:rsidR="001A162F">
              <w:rPr>
                <w:rFonts w:cs="Arial"/>
                <w:b/>
                <w:bCs/>
                <w:color w:val="FFFFFF" w:themeColor="background1"/>
                <w:sz w:val="18"/>
                <w:szCs w:val="16"/>
              </w:rPr>
              <w:t>6</w:t>
            </w:r>
            <w:r>
              <w:rPr>
                <w:rFonts w:cs="Arial"/>
                <w:b/>
                <w:bCs/>
                <w:color w:val="FFFFFF" w:themeColor="background1"/>
                <w:sz w:val="18"/>
                <w:szCs w:val="16"/>
              </w:rPr>
              <w:t>–</w:t>
            </w:r>
            <w:r w:rsidR="006A7092" w:rsidRPr="006A7092">
              <w:rPr>
                <w:rFonts w:cs="Arial"/>
                <w:b/>
                <w:bCs/>
                <w:color w:val="FFFFFF" w:themeColor="background1"/>
                <w:sz w:val="18"/>
                <w:szCs w:val="16"/>
              </w:rPr>
              <w:t>1</w:t>
            </w:r>
            <w:r w:rsidR="001A162F">
              <w:rPr>
                <w:rFonts w:cs="Arial"/>
                <w:b/>
                <w:bCs/>
                <w:color w:val="FFFFFF" w:themeColor="background1"/>
                <w:sz w:val="18"/>
                <w:szCs w:val="16"/>
              </w:rPr>
              <w:t>7</w:t>
            </w:r>
          </w:p>
        </w:tc>
        <w:tc>
          <w:tcPr>
            <w:tcW w:w="1559" w:type="dxa"/>
            <w:tcBorders>
              <w:top w:val="single" w:sz="8" w:space="0" w:color="FFFFFF"/>
              <w:bottom w:val="single" w:sz="8" w:space="0" w:color="FFFFFF"/>
            </w:tcBorders>
            <w:shd w:val="clear" w:color="000000" w:fill="808080"/>
            <w:noWrap/>
            <w:vAlign w:val="center"/>
            <w:hideMark/>
          </w:tcPr>
          <w:p w14:paraId="3647F5BA"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14:paraId="01AAC3C8"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14:paraId="0F256FA7"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60" w:type="dxa"/>
            <w:tcBorders>
              <w:top w:val="nil"/>
              <w:left w:val="nil"/>
              <w:bottom w:val="single" w:sz="8" w:space="0" w:color="FFFFFF"/>
              <w:right w:val="single" w:sz="8" w:space="0" w:color="FFFFFF"/>
            </w:tcBorders>
            <w:shd w:val="clear" w:color="000000" w:fill="808080"/>
            <w:vAlign w:val="center"/>
            <w:hideMark/>
          </w:tcPr>
          <w:p w14:paraId="2A3922A7"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r>
      <w:tr w:rsidR="006A7092" w:rsidRPr="006A7092" w14:paraId="3242D029"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47525ED7"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New South Wales</w:t>
            </w:r>
          </w:p>
        </w:tc>
        <w:tc>
          <w:tcPr>
            <w:tcW w:w="1559" w:type="dxa"/>
            <w:tcBorders>
              <w:top w:val="nil"/>
              <w:left w:val="nil"/>
              <w:bottom w:val="single" w:sz="8" w:space="0" w:color="FFFFFF"/>
              <w:right w:val="single" w:sz="8" w:space="0" w:color="FFFFFF"/>
            </w:tcBorders>
            <w:shd w:val="clear" w:color="auto" w:fill="EFD3D2"/>
            <w:noWrap/>
            <w:vAlign w:val="center"/>
            <w:hideMark/>
          </w:tcPr>
          <w:p w14:paraId="3E0D4C07" w14:textId="65D87798" w:rsidR="006A7092" w:rsidRPr="006A7092" w:rsidRDefault="000604A5" w:rsidP="00630B7A">
            <w:pPr>
              <w:spacing w:before="0"/>
              <w:jc w:val="right"/>
              <w:rPr>
                <w:rFonts w:cs="Arial"/>
                <w:color w:val="000000"/>
                <w:sz w:val="18"/>
                <w:szCs w:val="18"/>
              </w:rPr>
            </w:pPr>
            <w:r>
              <w:rPr>
                <w:rFonts w:cs="Arial"/>
                <w:color w:val="000000"/>
                <w:sz w:val="18"/>
                <w:szCs w:val="18"/>
              </w:rPr>
              <w:t>4.5</w:t>
            </w:r>
          </w:p>
        </w:tc>
        <w:tc>
          <w:tcPr>
            <w:tcW w:w="1559" w:type="dxa"/>
            <w:tcBorders>
              <w:top w:val="nil"/>
              <w:left w:val="nil"/>
              <w:bottom w:val="single" w:sz="8" w:space="0" w:color="FFFFFF"/>
              <w:right w:val="single" w:sz="8" w:space="0" w:color="FFFFFF"/>
            </w:tcBorders>
            <w:shd w:val="clear" w:color="auto" w:fill="EFD3D2"/>
            <w:noWrap/>
            <w:vAlign w:val="center"/>
            <w:hideMark/>
          </w:tcPr>
          <w:p w14:paraId="1F2A6DEE" w14:textId="3C6F2FE8" w:rsidR="006A7092" w:rsidRPr="006A7092" w:rsidRDefault="000604A5" w:rsidP="00630B7A">
            <w:pPr>
              <w:spacing w:before="0"/>
              <w:jc w:val="right"/>
              <w:rPr>
                <w:rFonts w:cs="Arial"/>
                <w:color w:val="000000"/>
                <w:sz w:val="18"/>
                <w:szCs w:val="18"/>
              </w:rPr>
            </w:pPr>
            <w:r>
              <w:rPr>
                <w:rFonts w:cs="Arial"/>
                <w:color w:val="000000"/>
                <w:sz w:val="18"/>
                <w:szCs w:val="18"/>
              </w:rPr>
              <w:t>51.9</w:t>
            </w:r>
          </w:p>
        </w:tc>
        <w:tc>
          <w:tcPr>
            <w:tcW w:w="1559" w:type="dxa"/>
            <w:tcBorders>
              <w:top w:val="nil"/>
              <w:left w:val="nil"/>
              <w:bottom w:val="single" w:sz="8" w:space="0" w:color="FFFFFF"/>
              <w:right w:val="single" w:sz="8" w:space="0" w:color="FFFFFF"/>
            </w:tcBorders>
            <w:shd w:val="clear" w:color="auto" w:fill="EFD3D2"/>
            <w:noWrap/>
            <w:vAlign w:val="center"/>
            <w:hideMark/>
          </w:tcPr>
          <w:p w14:paraId="39C7FE94" w14:textId="4D2C6760" w:rsidR="006A7092" w:rsidRPr="006A7092" w:rsidRDefault="000604A5" w:rsidP="00630B7A">
            <w:pPr>
              <w:spacing w:before="0"/>
              <w:jc w:val="right"/>
              <w:rPr>
                <w:rFonts w:cs="Arial"/>
                <w:color w:val="000000"/>
                <w:sz w:val="18"/>
                <w:szCs w:val="18"/>
              </w:rPr>
            </w:pPr>
            <w:r>
              <w:rPr>
                <w:rFonts w:cs="Arial"/>
                <w:color w:val="000000"/>
                <w:sz w:val="18"/>
                <w:szCs w:val="18"/>
              </w:rPr>
              <w:t>84.7</w:t>
            </w:r>
          </w:p>
        </w:tc>
        <w:tc>
          <w:tcPr>
            <w:tcW w:w="1560" w:type="dxa"/>
            <w:tcBorders>
              <w:top w:val="nil"/>
              <w:left w:val="nil"/>
              <w:bottom w:val="single" w:sz="8" w:space="0" w:color="FFFFFF"/>
              <w:right w:val="single" w:sz="8" w:space="0" w:color="FFFFFF"/>
            </w:tcBorders>
            <w:shd w:val="clear" w:color="auto" w:fill="EFD3D2"/>
            <w:vAlign w:val="center"/>
            <w:hideMark/>
          </w:tcPr>
          <w:p w14:paraId="487E59AB" w14:textId="718F71BA" w:rsidR="006A7092" w:rsidRPr="006A7092" w:rsidRDefault="000604A5" w:rsidP="00630B7A">
            <w:pPr>
              <w:spacing w:before="0"/>
              <w:jc w:val="right"/>
              <w:rPr>
                <w:rFonts w:cs="Arial"/>
                <w:color w:val="000000"/>
                <w:sz w:val="18"/>
                <w:szCs w:val="18"/>
              </w:rPr>
            </w:pPr>
            <w:r>
              <w:rPr>
                <w:rFonts w:cs="Arial"/>
                <w:color w:val="000000"/>
                <w:sz w:val="18"/>
                <w:szCs w:val="18"/>
              </w:rPr>
              <w:t>92.9</w:t>
            </w:r>
          </w:p>
        </w:tc>
      </w:tr>
      <w:tr w:rsidR="00EB3876" w:rsidRPr="006A7092" w14:paraId="1B9B20BE"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483882F8"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Victoria</w:t>
            </w:r>
          </w:p>
        </w:tc>
        <w:tc>
          <w:tcPr>
            <w:tcW w:w="1559" w:type="dxa"/>
            <w:tcBorders>
              <w:top w:val="nil"/>
              <w:left w:val="nil"/>
              <w:bottom w:val="single" w:sz="8" w:space="0" w:color="FFFFFF"/>
              <w:right w:val="single" w:sz="8" w:space="0" w:color="FFFFFF"/>
            </w:tcBorders>
            <w:shd w:val="clear" w:color="auto" w:fill="auto"/>
            <w:noWrap/>
            <w:vAlign w:val="center"/>
            <w:hideMark/>
          </w:tcPr>
          <w:p w14:paraId="3B054846" w14:textId="3BFCE7F0" w:rsidR="006A7092" w:rsidRPr="006A7092" w:rsidRDefault="000604A5" w:rsidP="000604A5">
            <w:pPr>
              <w:spacing w:before="0"/>
              <w:jc w:val="right"/>
              <w:rPr>
                <w:rFonts w:cs="Arial"/>
                <w:color w:val="000000"/>
                <w:sz w:val="18"/>
                <w:szCs w:val="18"/>
              </w:rPr>
            </w:pPr>
            <w:r>
              <w:rPr>
                <w:rFonts w:cs="Arial"/>
                <w:color w:val="000000"/>
                <w:sz w:val="18"/>
                <w:szCs w:val="18"/>
              </w:rPr>
              <w:t>14.9</w:t>
            </w:r>
          </w:p>
        </w:tc>
        <w:tc>
          <w:tcPr>
            <w:tcW w:w="1559" w:type="dxa"/>
            <w:tcBorders>
              <w:top w:val="nil"/>
              <w:left w:val="nil"/>
              <w:bottom w:val="single" w:sz="8" w:space="0" w:color="FFFFFF"/>
              <w:right w:val="single" w:sz="8" w:space="0" w:color="FFFFFF"/>
            </w:tcBorders>
            <w:shd w:val="clear" w:color="auto" w:fill="auto"/>
            <w:noWrap/>
            <w:vAlign w:val="center"/>
            <w:hideMark/>
          </w:tcPr>
          <w:p w14:paraId="54B279A6" w14:textId="708F4263" w:rsidR="006A7092" w:rsidRPr="006A7092" w:rsidRDefault="000604A5" w:rsidP="00630B7A">
            <w:pPr>
              <w:spacing w:before="0"/>
              <w:jc w:val="right"/>
              <w:rPr>
                <w:rFonts w:cs="Arial"/>
                <w:color w:val="000000"/>
                <w:sz w:val="18"/>
                <w:szCs w:val="18"/>
              </w:rPr>
            </w:pPr>
            <w:r>
              <w:rPr>
                <w:rFonts w:cs="Arial"/>
                <w:color w:val="000000"/>
                <w:sz w:val="18"/>
                <w:szCs w:val="18"/>
              </w:rPr>
              <w:t>65.2</w:t>
            </w:r>
          </w:p>
        </w:tc>
        <w:tc>
          <w:tcPr>
            <w:tcW w:w="1559" w:type="dxa"/>
            <w:tcBorders>
              <w:top w:val="nil"/>
              <w:left w:val="nil"/>
              <w:bottom w:val="single" w:sz="8" w:space="0" w:color="FFFFFF"/>
              <w:right w:val="single" w:sz="8" w:space="0" w:color="FFFFFF"/>
            </w:tcBorders>
            <w:shd w:val="clear" w:color="auto" w:fill="auto"/>
            <w:noWrap/>
            <w:vAlign w:val="center"/>
            <w:hideMark/>
          </w:tcPr>
          <w:p w14:paraId="5DF1B570" w14:textId="034AE0A3" w:rsidR="006A7092" w:rsidRPr="006A7092" w:rsidRDefault="000604A5" w:rsidP="00630B7A">
            <w:pPr>
              <w:spacing w:before="0"/>
              <w:jc w:val="right"/>
              <w:rPr>
                <w:rFonts w:cs="Arial"/>
                <w:color w:val="000000"/>
                <w:sz w:val="18"/>
                <w:szCs w:val="18"/>
              </w:rPr>
            </w:pPr>
            <w:r>
              <w:rPr>
                <w:rFonts w:cs="Arial"/>
                <w:color w:val="000000"/>
                <w:sz w:val="18"/>
                <w:szCs w:val="18"/>
              </w:rPr>
              <w:t>82.1</w:t>
            </w:r>
          </w:p>
        </w:tc>
        <w:tc>
          <w:tcPr>
            <w:tcW w:w="1560" w:type="dxa"/>
            <w:tcBorders>
              <w:top w:val="nil"/>
              <w:left w:val="nil"/>
              <w:bottom w:val="single" w:sz="8" w:space="0" w:color="FFFFFF"/>
              <w:right w:val="single" w:sz="8" w:space="0" w:color="FFFFFF"/>
            </w:tcBorders>
            <w:shd w:val="clear" w:color="auto" w:fill="auto"/>
            <w:vAlign w:val="center"/>
            <w:hideMark/>
          </w:tcPr>
          <w:p w14:paraId="1CCA6541" w14:textId="2D89568F" w:rsidR="006A7092" w:rsidRPr="006A7092" w:rsidRDefault="000604A5" w:rsidP="00630B7A">
            <w:pPr>
              <w:spacing w:before="0"/>
              <w:jc w:val="right"/>
              <w:rPr>
                <w:rFonts w:cs="Arial"/>
                <w:color w:val="000000"/>
                <w:sz w:val="18"/>
                <w:szCs w:val="18"/>
              </w:rPr>
            </w:pPr>
            <w:r>
              <w:rPr>
                <w:rFonts w:cs="Arial"/>
                <w:color w:val="000000"/>
                <w:sz w:val="18"/>
                <w:szCs w:val="18"/>
              </w:rPr>
              <w:t>90.9</w:t>
            </w:r>
          </w:p>
        </w:tc>
      </w:tr>
      <w:tr w:rsidR="006A7092" w:rsidRPr="006A7092" w14:paraId="4C2989B6"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2943E05B"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Queensland</w:t>
            </w:r>
          </w:p>
        </w:tc>
        <w:tc>
          <w:tcPr>
            <w:tcW w:w="1559" w:type="dxa"/>
            <w:tcBorders>
              <w:top w:val="nil"/>
              <w:left w:val="nil"/>
              <w:bottom w:val="single" w:sz="8" w:space="0" w:color="FFFFFF"/>
              <w:right w:val="single" w:sz="8" w:space="0" w:color="FFFFFF"/>
            </w:tcBorders>
            <w:shd w:val="clear" w:color="auto" w:fill="EFD3D2"/>
            <w:noWrap/>
            <w:vAlign w:val="center"/>
            <w:hideMark/>
          </w:tcPr>
          <w:p w14:paraId="2C02D9E7" w14:textId="77777777" w:rsidR="006A7092" w:rsidRPr="006A7092" w:rsidRDefault="006A7092" w:rsidP="00630B7A">
            <w:pPr>
              <w:spacing w:before="0"/>
              <w:jc w:val="right"/>
              <w:rPr>
                <w:rFonts w:cs="Arial"/>
                <w:color w:val="000000"/>
                <w:sz w:val="18"/>
                <w:szCs w:val="18"/>
              </w:rPr>
            </w:pPr>
            <w:r w:rsidRPr="006A7092">
              <w:rPr>
                <w:rFonts w:cs="Arial"/>
                <w:color w:val="000000"/>
                <w:sz w:val="18"/>
                <w:szCs w:val="18"/>
              </w:rPr>
              <w:t>9.2</w:t>
            </w:r>
          </w:p>
        </w:tc>
        <w:tc>
          <w:tcPr>
            <w:tcW w:w="1559" w:type="dxa"/>
            <w:tcBorders>
              <w:top w:val="nil"/>
              <w:left w:val="nil"/>
              <w:bottom w:val="single" w:sz="8" w:space="0" w:color="FFFFFF"/>
              <w:right w:val="single" w:sz="8" w:space="0" w:color="FFFFFF"/>
            </w:tcBorders>
            <w:shd w:val="clear" w:color="auto" w:fill="EFD3D2"/>
            <w:noWrap/>
            <w:vAlign w:val="center"/>
            <w:hideMark/>
          </w:tcPr>
          <w:p w14:paraId="046E3A67" w14:textId="352F9C23" w:rsidR="006A7092" w:rsidRPr="006A7092" w:rsidRDefault="000604A5" w:rsidP="00630B7A">
            <w:pPr>
              <w:spacing w:before="0"/>
              <w:jc w:val="right"/>
              <w:rPr>
                <w:rFonts w:cs="Arial"/>
                <w:color w:val="000000"/>
                <w:sz w:val="18"/>
                <w:szCs w:val="18"/>
              </w:rPr>
            </w:pPr>
            <w:r>
              <w:rPr>
                <w:rFonts w:cs="Arial"/>
                <w:color w:val="000000"/>
                <w:sz w:val="18"/>
                <w:szCs w:val="18"/>
              </w:rPr>
              <w:t>81.2</w:t>
            </w:r>
          </w:p>
        </w:tc>
        <w:tc>
          <w:tcPr>
            <w:tcW w:w="1559" w:type="dxa"/>
            <w:tcBorders>
              <w:top w:val="nil"/>
              <w:left w:val="nil"/>
              <w:bottom w:val="single" w:sz="8" w:space="0" w:color="FFFFFF"/>
              <w:right w:val="single" w:sz="8" w:space="0" w:color="FFFFFF"/>
            </w:tcBorders>
            <w:shd w:val="clear" w:color="auto" w:fill="EFD3D2"/>
            <w:noWrap/>
            <w:vAlign w:val="center"/>
            <w:hideMark/>
          </w:tcPr>
          <w:p w14:paraId="13C33FD6" w14:textId="646ABEA2" w:rsidR="006A7092" w:rsidRPr="006A7092" w:rsidRDefault="006A7092" w:rsidP="000604A5">
            <w:pPr>
              <w:spacing w:before="0"/>
              <w:jc w:val="right"/>
              <w:rPr>
                <w:rFonts w:cs="Arial"/>
                <w:color w:val="000000"/>
                <w:sz w:val="18"/>
                <w:szCs w:val="18"/>
              </w:rPr>
            </w:pPr>
            <w:r w:rsidRPr="006A7092">
              <w:rPr>
                <w:rFonts w:cs="Arial"/>
                <w:color w:val="000000"/>
                <w:sz w:val="18"/>
                <w:szCs w:val="18"/>
              </w:rPr>
              <w:t>95.</w:t>
            </w:r>
            <w:r w:rsidR="000604A5">
              <w:rPr>
                <w:rFonts w:cs="Arial"/>
                <w:color w:val="000000"/>
                <w:sz w:val="18"/>
                <w:szCs w:val="18"/>
              </w:rPr>
              <w:t>6</w:t>
            </w:r>
          </w:p>
        </w:tc>
        <w:tc>
          <w:tcPr>
            <w:tcW w:w="1560" w:type="dxa"/>
            <w:tcBorders>
              <w:top w:val="nil"/>
              <w:left w:val="nil"/>
              <w:bottom w:val="single" w:sz="8" w:space="0" w:color="FFFFFF"/>
              <w:right w:val="single" w:sz="8" w:space="0" w:color="FFFFFF"/>
            </w:tcBorders>
            <w:shd w:val="clear" w:color="auto" w:fill="EFD3D2"/>
            <w:vAlign w:val="center"/>
            <w:hideMark/>
          </w:tcPr>
          <w:p w14:paraId="4474B3FB" w14:textId="6D202587" w:rsidR="006A7092" w:rsidRPr="006A7092" w:rsidRDefault="006A7092" w:rsidP="000604A5">
            <w:pPr>
              <w:spacing w:before="0"/>
              <w:jc w:val="right"/>
              <w:rPr>
                <w:rFonts w:cs="Arial"/>
                <w:color w:val="000000"/>
                <w:sz w:val="18"/>
                <w:szCs w:val="18"/>
              </w:rPr>
            </w:pPr>
            <w:r w:rsidRPr="006A7092">
              <w:rPr>
                <w:rFonts w:cs="Arial"/>
                <w:color w:val="000000"/>
                <w:sz w:val="18"/>
                <w:szCs w:val="18"/>
              </w:rPr>
              <w:t>97.</w:t>
            </w:r>
            <w:r w:rsidR="000604A5">
              <w:rPr>
                <w:rFonts w:cs="Arial"/>
                <w:color w:val="000000"/>
                <w:sz w:val="18"/>
                <w:szCs w:val="18"/>
              </w:rPr>
              <w:t>2</w:t>
            </w:r>
          </w:p>
        </w:tc>
      </w:tr>
      <w:tr w:rsidR="00EB3876" w:rsidRPr="006A7092" w14:paraId="17549F22"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7094E9AD"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Western Australia</w:t>
            </w:r>
          </w:p>
        </w:tc>
        <w:tc>
          <w:tcPr>
            <w:tcW w:w="1559" w:type="dxa"/>
            <w:tcBorders>
              <w:top w:val="nil"/>
              <w:left w:val="nil"/>
              <w:bottom w:val="single" w:sz="8" w:space="0" w:color="FFFFFF"/>
              <w:right w:val="single" w:sz="8" w:space="0" w:color="FFFFFF"/>
            </w:tcBorders>
            <w:shd w:val="clear" w:color="auto" w:fill="auto"/>
            <w:noWrap/>
            <w:vAlign w:val="center"/>
            <w:hideMark/>
          </w:tcPr>
          <w:p w14:paraId="1BD57488" w14:textId="53105739" w:rsidR="006A7092" w:rsidRPr="006A7092" w:rsidRDefault="000604A5" w:rsidP="00630B7A">
            <w:pPr>
              <w:spacing w:before="0"/>
              <w:jc w:val="right"/>
              <w:rPr>
                <w:rFonts w:cs="Arial"/>
                <w:color w:val="000000"/>
                <w:sz w:val="18"/>
                <w:szCs w:val="18"/>
              </w:rPr>
            </w:pPr>
            <w:r>
              <w:rPr>
                <w:rFonts w:cs="Arial"/>
                <w:color w:val="000000"/>
                <w:sz w:val="18"/>
                <w:szCs w:val="18"/>
              </w:rPr>
              <w:t>40.6</w:t>
            </w:r>
          </w:p>
        </w:tc>
        <w:tc>
          <w:tcPr>
            <w:tcW w:w="1559" w:type="dxa"/>
            <w:tcBorders>
              <w:top w:val="nil"/>
              <w:left w:val="nil"/>
              <w:bottom w:val="single" w:sz="8" w:space="0" w:color="FFFFFF"/>
              <w:right w:val="single" w:sz="8" w:space="0" w:color="FFFFFF"/>
            </w:tcBorders>
            <w:shd w:val="clear" w:color="auto" w:fill="auto"/>
            <w:noWrap/>
            <w:vAlign w:val="center"/>
            <w:hideMark/>
          </w:tcPr>
          <w:p w14:paraId="66E4416C" w14:textId="40F91A1E" w:rsidR="006A7092" w:rsidRPr="006A7092" w:rsidRDefault="000604A5" w:rsidP="00630B7A">
            <w:pPr>
              <w:spacing w:before="0"/>
              <w:jc w:val="right"/>
              <w:rPr>
                <w:rFonts w:cs="Arial"/>
                <w:color w:val="000000"/>
                <w:sz w:val="18"/>
                <w:szCs w:val="18"/>
              </w:rPr>
            </w:pPr>
            <w:r>
              <w:rPr>
                <w:rFonts w:cs="Arial"/>
                <w:color w:val="000000"/>
                <w:sz w:val="18"/>
                <w:szCs w:val="18"/>
              </w:rPr>
              <w:t>78.5</w:t>
            </w:r>
          </w:p>
        </w:tc>
        <w:tc>
          <w:tcPr>
            <w:tcW w:w="1559" w:type="dxa"/>
            <w:tcBorders>
              <w:top w:val="nil"/>
              <w:left w:val="nil"/>
              <w:bottom w:val="single" w:sz="8" w:space="0" w:color="FFFFFF"/>
              <w:right w:val="single" w:sz="8" w:space="0" w:color="FFFFFF"/>
            </w:tcBorders>
            <w:shd w:val="clear" w:color="auto" w:fill="auto"/>
            <w:noWrap/>
            <w:vAlign w:val="center"/>
            <w:hideMark/>
          </w:tcPr>
          <w:p w14:paraId="5DAEB907" w14:textId="79DE2AA7" w:rsidR="006A7092" w:rsidRPr="006A7092" w:rsidRDefault="000604A5" w:rsidP="00630B7A">
            <w:pPr>
              <w:spacing w:before="0"/>
              <w:jc w:val="right"/>
              <w:rPr>
                <w:rFonts w:cs="Arial"/>
                <w:color w:val="000000"/>
                <w:sz w:val="18"/>
                <w:szCs w:val="18"/>
              </w:rPr>
            </w:pPr>
            <w:r>
              <w:rPr>
                <w:rFonts w:cs="Arial"/>
                <w:color w:val="000000"/>
                <w:sz w:val="18"/>
                <w:szCs w:val="18"/>
              </w:rPr>
              <w:t>87.6</w:t>
            </w:r>
          </w:p>
        </w:tc>
        <w:tc>
          <w:tcPr>
            <w:tcW w:w="1560" w:type="dxa"/>
            <w:tcBorders>
              <w:top w:val="nil"/>
              <w:left w:val="nil"/>
              <w:bottom w:val="single" w:sz="8" w:space="0" w:color="FFFFFF"/>
              <w:right w:val="single" w:sz="8" w:space="0" w:color="FFFFFF"/>
            </w:tcBorders>
            <w:shd w:val="clear" w:color="auto" w:fill="auto"/>
            <w:vAlign w:val="center"/>
            <w:hideMark/>
          </w:tcPr>
          <w:p w14:paraId="12FD37DC" w14:textId="185AF982" w:rsidR="006A7092" w:rsidRPr="006A7092" w:rsidRDefault="000604A5" w:rsidP="00630B7A">
            <w:pPr>
              <w:spacing w:before="0"/>
              <w:jc w:val="right"/>
              <w:rPr>
                <w:rFonts w:cs="Arial"/>
                <w:color w:val="000000"/>
                <w:sz w:val="18"/>
                <w:szCs w:val="18"/>
              </w:rPr>
            </w:pPr>
            <w:r>
              <w:rPr>
                <w:rFonts w:cs="Arial"/>
                <w:color w:val="000000"/>
                <w:sz w:val="18"/>
                <w:szCs w:val="18"/>
              </w:rPr>
              <w:t>94.5</w:t>
            </w:r>
          </w:p>
        </w:tc>
      </w:tr>
      <w:tr w:rsidR="006A7092" w:rsidRPr="006A7092" w14:paraId="54249569"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24699546"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Tasmania</w:t>
            </w:r>
          </w:p>
        </w:tc>
        <w:tc>
          <w:tcPr>
            <w:tcW w:w="1559" w:type="dxa"/>
            <w:tcBorders>
              <w:top w:val="nil"/>
              <w:left w:val="nil"/>
              <w:bottom w:val="single" w:sz="8" w:space="0" w:color="FFFFFF"/>
              <w:right w:val="single" w:sz="8" w:space="0" w:color="FFFFFF"/>
            </w:tcBorders>
            <w:shd w:val="clear" w:color="auto" w:fill="EFD3D2"/>
            <w:noWrap/>
            <w:vAlign w:val="center"/>
            <w:hideMark/>
          </w:tcPr>
          <w:p w14:paraId="01906192" w14:textId="7E6A43E2" w:rsidR="006A7092" w:rsidRPr="006A7092" w:rsidRDefault="0022512F" w:rsidP="00630B7A">
            <w:pPr>
              <w:spacing w:before="0"/>
              <w:jc w:val="right"/>
              <w:rPr>
                <w:rFonts w:cs="Arial"/>
                <w:color w:val="000000"/>
                <w:sz w:val="18"/>
                <w:szCs w:val="18"/>
              </w:rPr>
            </w:pPr>
            <w:r>
              <w:rPr>
                <w:rFonts w:cs="Arial"/>
                <w:color w:val="000000"/>
                <w:sz w:val="18"/>
                <w:szCs w:val="18"/>
              </w:rPr>
              <w:t>57.7</w:t>
            </w:r>
          </w:p>
        </w:tc>
        <w:tc>
          <w:tcPr>
            <w:tcW w:w="1559" w:type="dxa"/>
            <w:tcBorders>
              <w:top w:val="nil"/>
              <w:left w:val="nil"/>
              <w:bottom w:val="single" w:sz="8" w:space="0" w:color="FFFFFF"/>
              <w:right w:val="single" w:sz="8" w:space="0" w:color="FFFFFF"/>
            </w:tcBorders>
            <w:shd w:val="clear" w:color="auto" w:fill="EFD3D2"/>
            <w:noWrap/>
            <w:vAlign w:val="center"/>
            <w:hideMark/>
          </w:tcPr>
          <w:p w14:paraId="1AFBC7ED" w14:textId="1C4B986C" w:rsidR="006A7092" w:rsidRPr="006A7092" w:rsidRDefault="0022512F" w:rsidP="00630B7A">
            <w:pPr>
              <w:spacing w:before="0"/>
              <w:jc w:val="right"/>
              <w:rPr>
                <w:rFonts w:cs="Arial"/>
                <w:color w:val="000000"/>
                <w:sz w:val="18"/>
                <w:szCs w:val="18"/>
              </w:rPr>
            </w:pPr>
            <w:r>
              <w:rPr>
                <w:rFonts w:cs="Arial"/>
                <w:color w:val="000000"/>
                <w:sz w:val="18"/>
                <w:szCs w:val="18"/>
              </w:rPr>
              <w:t>67.5</w:t>
            </w:r>
          </w:p>
        </w:tc>
        <w:tc>
          <w:tcPr>
            <w:tcW w:w="1559" w:type="dxa"/>
            <w:tcBorders>
              <w:top w:val="nil"/>
              <w:left w:val="nil"/>
              <w:bottom w:val="single" w:sz="8" w:space="0" w:color="FFFFFF"/>
              <w:right w:val="single" w:sz="8" w:space="0" w:color="FFFFFF"/>
            </w:tcBorders>
            <w:shd w:val="clear" w:color="auto" w:fill="EFD3D2"/>
            <w:noWrap/>
            <w:vAlign w:val="center"/>
            <w:hideMark/>
          </w:tcPr>
          <w:p w14:paraId="4831972E" w14:textId="48D1BF6E" w:rsidR="006A7092" w:rsidRPr="006A7092" w:rsidRDefault="0022512F" w:rsidP="00630B7A">
            <w:pPr>
              <w:spacing w:before="0"/>
              <w:jc w:val="right"/>
              <w:rPr>
                <w:rFonts w:cs="Arial"/>
                <w:color w:val="000000"/>
                <w:sz w:val="18"/>
                <w:szCs w:val="18"/>
              </w:rPr>
            </w:pPr>
            <w:r>
              <w:rPr>
                <w:rFonts w:cs="Arial"/>
                <w:color w:val="000000"/>
                <w:sz w:val="18"/>
                <w:szCs w:val="18"/>
              </w:rPr>
              <w:t>78.4</w:t>
            </w:r>
          </w:p>
        </w:tc>
        <w:tc>
          <w:tcPr>
            <w:tcW w:w="1560" w:type="dxa"/>
            <w:tcBorders>
              <w:top w:val="nil"/>
              <w:left w:val="nil"/>
              <w:bottom w:val="single" w:sz="8" w:space="0" w:color="FFFFFF"/>
              <w:right w:val="single" w:sz="8" w:space="0" w:color="FFFFFF"/>
            </w:tcBorders>
            <w:shd w:val="clear" w:color="auto" w:fill="EFD3D2"/>
            <w:vAlign w:val="center"/>
            <w:hideMark/>
          </w:tcPr>
          <w:p w14:paraId="31819B03" w14:textId="77073D1A" w:rsidR="006A7092" w:rsidRPr="006A7092" w:rsidRDefault="0022512F" w:rsidP="00630B7A">
            <w:pPr>
              <w:spacing w:before="0"/>
              <w:jc w:val="right"/>
              <w:rPr>
                <w:rFonts w:cs="Arial"/>
                <w:color w:val="000000"/>
                <w:sz w:val="18"/>
                <w:szCs w:val="18"/>
              </w:rPr>
            </w:pPr>
            <w:r>
              <w:rPr>
                <w:rFonts w:cs="Arial"/>
                <w:color w:val="000000"/>
                <w:sz w:val="18"/>
                <w:szCs w:val="18"/>
              </w:rPr>
              <w:t>85.8</w:t>
            </w:r>
          </w:p>
        </w:tc>
      </w:tr>
      <w:tr w:rsidR="00EB3876" w:rsidRPr="006A7092" w14:paraId="66F6BEF0"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1A84B663" w14:textId="635B8883" w:rsidR="006A7092" w:rsidRPr="006A7092" w:rsidRDefault="00E21FCD" w:rsidP="00630B7A">
            <w:pPr>
              <w:spacing w:before="0"/>
              <w:jc w:val="left"/>
              <w:rPr>
                <w:rFonts w:cs="Arial"/>
                <w:color w:val="000000"/>
                <w:sz w:val="18"/>
                <w:szCs w:val="18"/>
              </w:rPr>
            </w:pPr>
            <w:r>
              <w:rPr>
                <w:rFonts w:cs="Arial"/>
                <w:color w:val="000000"/>
                <w:sz w:val="18"/>
                <w:szCs w:val="16"/>
              </w:rPr>
              <w:t>Comcare</w:t>
            </w:r>
          </w:p>
        </w:tc>
        <w:tc>
          <w:tcPr>
            <w:tcW w:w="1559" w:type="dxa"/>
            <w:tcBorders>
              <w:top w:val="nil"/>
              <w:left w:val="nil"/>
              <w:bottom w:val="single" w:sz="8" w:space="0" w:color="FFFFFF"/>
              <w:right w:val="single" w:sz="8" w:space="0" w:color="FFFFFF"/>
            </w:tcBorders>
            <w:shd w:val="clear" w:color="auto" w:fill="auto"/>
            <w:noWrap/>
            <w:vAlign w:val="center"/>
            <w:hideMark/>
          </w:tcPr>
          <w:p w14:paraId="7055B440" w14:textId="651D39E3" w:rsidR="006A7092" w:rsidRPr="006A7092" w:rsidRDefault="0022512F" w:rsidP="00630B7A">
            <w:pPr>
              <w:spacing w:before="0"/>
              <w:jc w:val="right"/>
              <w:rPr>
                <w:rFonts w:cs="Arial"/>
                <w:color w:val="000000"/>
                <w:sz w:val="18"/>
                <w:szCs w:val="18"/>
              </w:rPr>
            </w:pPr>
            <w:r>
              <w:rPr>
                <w:rFonts w:cs="Arial"/>
                <w:color w:val="000000"/>
                <w:sz w:val="18"/>
                <w:szCs w:val="18"/>
              </w:rPr>
              <w:t>6.1</w:t>
            </w:r>
          </w:p>
        </w:tc>
        <w:tc>
          <w:tcPr>
            <w:tcW w:w="1559" w:type="dxa"/>
            <w:tcBorders>
              <w:top w:val="nil"/>
              <w:left w:val="nil"/>
              <w:bottom w:val="single" w:sz="8" w:space="0" w:color="FFFFFF"/>
              <w:right w:val="single" w:sz="8" w:space="0" w:color="FFFFFF"/>
            </w:tcBorders>
            <w:shd w:val="clear" w:color="auto" w:fill="auto"/>
            <w:noWrap/>
            <w:vAlign w:val="center"/>
            <w:hideMark/>
          </w:tcPr>
          <w:p w14:paraId="22F0F59C" w14:textId="49F4075F" w:rsidR="006A7092" w:rsidRPr="006A7092" w:rsidRDefault="006A7092" w:rsidP="0022512F">
            <w:pPr>
              <w:spacing w:before="0"/>
              <w:jc w:val="right"/>
              <w:rPr>
                <w:rFonts w:cs="Arial"/>
                <w:color w:val="000000"/>
                <w:sz w:val="18"/>
                <w:szCs w:val="18"/>
              </w:rPr>
            </w:pPr>
            <w:r w:rsidRPr="006A7092">
              <w:rPr>
                <w:rFonts w:cs="Arial"/>
                <w:color w:val="000000"/>
                <w:sz w:val="18"/>
                <w:szCs w:val="18"/>
              </w:rPr>
              <w:t>14.</w:t>
            </w:r>
            <w:r w:rsidR="0022512F">
              <w:rPr>
                <w:rFonts w:cs="Arial"/>
                <w:color w:val="000000"/>
                <w:sz w:val="18"/>
                <w:szCs w:val="18"/>
              </w:rPr>
              <w:t>9</w:t>
            </w:r>
          </w:p>
        </w:tc>
        <w:tc>
          <w:tcPr>
            <w:tcW w:w="1559" w:type="dxa"/>
            <w:tcBorders>
              <w:top w:val="nil"/>
              <w:left w:val="nil"/>
              <w:bottom w:val="single" w:sz="8" w:space="0" w:color="FFFFFF"/>
              <w:right w:val="single" w:sz="8" w:space="0" w:color="FFFFFF"/>
            </w:tcBorders>
            <w:shd w:val="clear" w:color="auto" w:fill="auto"/>
            <w:noWrap/>
            <w:vAlign w:val="center"/>
            <w:hideMark/>
          </w:tcPr>
          <w:p w14:paraId="110B2CFA" w14:textId="28A1EFC2" w:rsidR="006A7092" w:rsidRPr="006A7092" w:rsidRDefault="0022512F" w:rsidP="00630B7A">
            <w:pPr>
              <w:spacing w:before="0"/>
              <w:jc w:val="right"/>
              <w:rPr>
                <w:rFonts w:cs="Arial"/>
                <w:color w:val="000000"/>
                <w:sz w:val="18"/>
                <w:szCs w:val="18"/>
              </w:rPr>
            </w:pPr>
            <w:r>
              <w:rPr>
                <w:rFonts w:cs="Arial"/>
                <w:color w:val="000000"/>
                <w:sz w:val="18"/>
                <w:szCs w:val="18"/>
              </w:rPr>
              <w:t>28.4</w:t>
            </w:r>
          </w:p>
        </w:tc>
        <w:tc>
          <w:tcPr>
            <w:tcW w:w="1560" w:type="dxa"/>
            <w:tcBorders>
              <w:top w:val="nil"/>
              <w:left w:val="nil"/>
              <w:bottom w:val="single" w:sz="8" w:space="0" w:color="FFFFFF"/>
              <w:right w:val="single" w:sz="8" w:space="0" w:color="FFFFFF"/>
            </w:tcBorders>
            <w:shd w:val="clear" w:color="auto" w:fill="auto"/>
            <w:vAlign w:val="center"/>
            <w:hideMark/>
          </w:tcPr>
          <w:p w14:paraId="74C93B59" w14:textId="384742DB" w:rsidR="006A7092" w:rsidRPr="006A7092" w:rsidRDefault="0022512F" w:rsidP="00630B7A">
            <w:pPr>
              <w:spacing w:before="0"/>
              <w:jc w:val="right"/>
              <w:rPr>
                <w:rFonts w:cs="Arial"/>
                <w:color w:val="000000"/>
                <w:sz w:val="18"/>
                <w:szCs w:val="18"/>
              </w:rPr>
            </w:pPr>
            <w:r>
              <w:rPr>
                <w:rFonts w:cs="Arial"/>
                <w:color w:val="000000"/>
                <w:sz w:val="18"/>
                <w:szCs w:val="18"/>
              </w:rPr>
              <w:t>42.6</w:t>
            </w:r>
          </w:p>
        </w:tc>
      </w:tr>
      <w:tr w:rsidR="006A7092" w:rsidRPr="006A7092" w14:paraId="7FDCD7F0"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2307F5E6"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Seacare</w:t>
            </w:r>
          </w:p>
        </w:tc>
        <w:tc>
          <w:tcPr>
            <w:tcW w:w="1559" w:type="dxa"/>
            <w:tcBorders>
              <w:top w:val="nil"/>
              <w:left w:val="nil"/>
              <w:bottom w:val="single" w:sz="8" w:space="0" w:color="FFFFFF"/>
              <w:right w:val="single" w:sz="8" w:space="0" w:color="FFFFFF"/>
            </w:tcBorders>
            <w:shd w:val="clear" w:color="auto" w:fill="EFD3D2"/>
            <w:noWrap/>
            <w:vAlign w:val="center"/>
            <w:hideMark/>
          </w:tcPr>
          <w:p w14:paraId="037143F0" w14:textId="5FF31650" w:rsidR="006A7092" w:rsidRPr="006A7092" w:rsidRDefault="0022512F" w:rsidP="00630B7A">
            <w:pPr>
              <w:spacing w:before="0"/>
              <w:jc w:val="right"/>
              <w:rPr>
                <w:rFonts w:cs="Arial"/>
                <w:color w:val="000000"/>
                <w:sz w:val="18"/>
                <w:szCs w:val="18"/>
              </w:rPr>
            </w:pPr>
            <w:r>
              <w:rPr>
                <w:rFonts w:cs="Arial"/>
                <w:color w:val="000000"/>
                <w:sz w:val="18"/>
                <w:szCs w:val="18"/>
              </w:rPr>
              <w:t>4.7</w:t>
            </w:r>
          </w:p>
        </w:tc>
        <w:tc>
          <w:tcPr>
            <w:tcW w:w="1559" w:type="dxa"/>
            <w:tcBorders>
              <w:top w:val="nil"/>
              <w:left w:val="nil"/>
              <w:bottom w:val="single" w:sz="8" w:space="0" w:color="FFFFFF"/>
              <w:right w:val="single" w:sz="8" w:space="0" w:color="FFFFFF"/>
            </w:tcBorders>
            <w:shd w:val="clear" w:color="auto" w:fill="EFD3D2"/>
            <w:noWrap/>
            <w:vAlign w:val="center"/>
            <w:hideMark/>
          </w:tcPr>
          <w:p w14:paraId="2B47F753" w14:textId="5EBEAD2D" w:rsidR="006A7092" w:rsidRPr="006A7092" w:rsidRDefault="0022512F" w:rsidP="00630B7A">
            <w:pPr>
              <w:spacing w:before="0"/>
              <w:jc w:val="right"/>
              <w:rPr>
                <w:rFonts w:cs="Arial"/>
                <w:color w:val="000000"/>
                <w:sz w:val="18"/>
                <w:szCs w:val="18"/>
              </w:rPr>
            </w:pPr>
            <w:r>
              <w:rPr>
                <w:rFonts w:cs="Arial"/>
                <w:color w:val="000000"/>
                <w:sz w:val="18"/>
                <w:szCs w:val="18"/>
              </w:rPr>
              <w:t>12.5</w:t>
            </w:r>
          </w:p>
        </w:tc>
        <w:tc>
          <w:tcPr>
            <w:tcW w:w="1559" w:type="dxa"/>
            <w:tcBorders>
              <w:top w:val="nil"/>
              <w:left w:val="nil"/>
              <w:bottom w:val="single" w:sz="8" w:space="0" w:color="FFFFFF"/>
              <w:right w:val="single" w:sz="8" w:space="0" w:color="FFFFFF"/>
            </w:tcBorders>
            <w:shd w:val="clear" w:color="auto" w:fill="EFD3D2"/>
            <w:noWrap/>
            <w:vAlign w:val="center"/>
            <w:hideMark/>
          </w:tcPr>
          <w:p w14:paraId="02E7FA48" w14:textId="731184DA" w:rsidR="006A7092" w:rsidRPr="006A7092" w:rsidRDefault="0022512F" w:rsidP="00630B7A">
            <w:pPr>
              <w:spacing w:before="0"/>
              <w:jc w:val="right"/>
              <w:rPr>
                <w:rFonts w:cs="Arial"/>
                <w:color w:val="000000"/>
                <w:sz w:val="18"/>
                <w:szCs w:val="18"/>
              </w:rPr>
            </w:pPr>
            <w:r>
              <w:rPr>
                <w:rFonts w:cs="Arial"/>
                <w:color w:val="000000"/>
                <w:sz w:val="18"/>
                <w:szCs w:val="18"/>
              </w:rPr>
              <w:t>18.8</w:t>
            </w:r>
          </w:p>
        </w:tc>
        <w:tc>
          <w:tcPr>
            <w:tcW w:w="1560" w:type="dxa"/>
            <w:tcBorders>
              <w:top w:val="nil"/>
              <w:left w:val="nil"/>
              <w:bottom w:val="single" w:sz="8" w:space="0" w:color="FFFFFF"/>
              <w:right w:val="single" w:sz="8" w:space="0" w:color="FFFFFF"/>
            </w:tcBorders>
            <w:shd w:val="clear" w:color="auto" w:fill="EFD3D2"/>
            <w:vAlign w:val="center"/>
            <w:hideMark/>
          </w:tcPr>
          <w:p w14:paraId="18794871" w14:textId="21B2231D" w:rsidR="006A7092" w:rsidRPr="006A7092" w:rsidRDefault="0022512F" w:rsidP="00630B7A">
            <w:pPr>
              <w:spacing w:before="0"/>
              <w:jc w:val="right"/>
              <w:rPr>
                <w:rFonts w:cs="Arial"/>
                <w:color w:val="000000"/>
                <w:sz w:val="18"/>
                <w:szCs w:val="18"/>
              </w:rPr>
            </w:pPr>
            <w:r>
              <w:rPr>
                <w:rFonts w:cs="Arial"/>
                <w:color w:val="000000"/>
                <w:sz w:val="18"/>
                <w:szCs w:val="18"/>
              </w:rPr>
              <w:t>34.4</w:t>
            </w:r>
          </w:p>
        </w:tc>
      </w:tr>
      <w:tr w:rsidR="00EB3876" w:rsidRPr="006A7092" w14:paraId="3B38175B"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56550E91" w14:textId="77777777" w:rsidR="006A7092" w:rsidRPr="006A7092" w:rsidRDefault="006A7092" w:rsidP="00630B7A">
            <w:pPr>
              <w:spacing w:before="0"/>
              <w:jc w:val="left"/>
              <w:rPr>
                <w:rFonts w:cs="Arial"/>
                <w:b/>
                <w:color w:val="000000"/>
                <w:sz w:val="18"/>
                <w:szCs w:val="18"/>
              </w:rPr>
            </w:pPr>
            <w:r w:rsidRPr="006A7092">
              <w:rPr>
                <w:rFonts w:cs="Arial"/>
                <w:b/>
                <w:color w:val="000000"/>
                <w:sz w:val="18"/>
                <w:szCs w:val="16"/>
              </w:rPr>
              <w:t>Australia</w:t>
            </w:r>
          </w:p>
        </w:tc>
        <w:tc>
          <w:tcPr>
            <w:tcW w:w="1559" w:type="dxa"/>
            <w:tcBorders>
              <w:top w:val="nil"/>
              <w:left w:val="nil"/>
              <w:bottom w:val="single" w:sz="8" w:space="0" w:color="FFFFFF"/>
              <w:right w:val="single" w:sz="8" w:space="0" w:color="FFFFFF"/>
            </w:tcBorders>
            <w:shd w:val="clear" w:color="auto" w:fill="auto"/>
            <w:noWrap/>
            <w:vAlign w:val="center"/>
            <w:hideMark/>
          </w:tcPr>
          <w:p w14:paraId="181CBE99" w14:textId="5E8984E4" w:rsidR="006A7092" w:rsidRPr="006A7092" w:rsidRDefault="0022512F" w:rsidP="00630B7A">
            <w:pPr>
              <w:spacing w:before="0"/>
              <w:jc w:val="right"/>
              <w:rPr>
                <w:rFonts w:cs="Arial"/>
                <w:b/>
                <w:color w:val="000000"/>
                <w:sz w:val="18"/>
                <w:szCs w:val="18"/>
              </w:rPr>
            </w:pPr>
            <w:r>
              <w:rPr>
                <w:rFonts w:cs="Arial"/>
                <w:b/>
                <w:color w:val="000000"/>
                <w:sz w:val="18"/>
                <w:szCs w:val="18"/>
              </w:rPr>
              <w:t>15.8</w:t>
            </w:r>
          </w:p>
        </w:tc>
        <w:tc>
          <w:tcPr>
            <w:tcW w:w="1559" w:type="dxa"/>
            <w:tcBorders>
              <w:top w:val="nil"/>
              <w:left w:val="nil"/>
              <w:bottom w:val="single" w:sz="8" w:space="0" w:color="FFFFFF"/>
              <w:right w:val="single" w:sz="8" w:space="0" w:color="FFFFFF"/>
            </w:tcBorders>
            <w:shd w:val="clear" w:color="auto" w:fill="auto"/>
            <w:noWrap/>
            <w:vAlign w:val="center"/>
            <w:hideMark/>
          </w:tcPr>
          <w:p w14:paraId="21C8B8F8" w14:textId="77777777" w:rsidR="006A7092" w:rsidRPr="006A7092" w:rsidRDefault="006A7092" w:rsidP="00630B7A">
            <w:pPr>
              <w:spacing w:before="0"/>
              <w:jc w:val="right"/>
              <w:rPr>
                <w:rFonts w:cs="Arial"/>
                <w:b/>
                <w:color w:val="000000"/>
                <w:sz w:val="18"/>
                <w:szCs w:val="18"/>
              </w:rPr>
            </w:pPr>
            <w:r w:rsidRPr="006A7092">
              <w:rPr>
                <w:rFonts w:cs="Arial"/>
                <w:b/>
                <w:color w:val="000000"/>
                <w:sz w:val="18"/>
                <w:szCs w:val="18"/>
              </w:rPr>
              <w:t>63.1</w:t>
            </w:r>
          </w:p>
        </w:tc>
        <w:tc>
          <w:tcPr>
            <w:tcW w:w="1559" w:type="dxa"/>
            <w:tcBorders>
              <w:top w:val="nil"/>
              <w:left w:val="nil"/>
              <w:bottom w:val="single" w:sz="8" w:space="0" w:color="FFFFFF"/>
              <w:right w:val="single" w:sz="8" w:space="0" w:color="FFFFFF"/>
            </w:tcBorders>
            <w:shd w:val="clear" w:color="auto" w:fill="auto"/>
            <w:noWrap/>
            <w:vAlign w:val="center"/>
            <w:hideMark/>
          </w:tcPr>
          <w:p w14:paraId="2C6CBD37" w14:textId="6912A4C5" w:rsidR="006A7092" w:rsidRPr="006A7092" w:rsidRDefault="0022512F" w:rsidP="00630B7A">
            <w:pPr>
              <w:spacing w:before="0"/>
              <w:jc w:val="right"/>
              <w:rPr>
                <w:rFonts w:cs="Arial"/>
                <w:b/>
                <w:color w:val="000000"/>
                <w:sz w:val="18"/>
                <w:szCs w:val="18"/>
              </w:rPr>
            </w:pPr>
            <w:r>
              <w:rPr>
                <w:rFonts w:cs="Arial"/>
                <w:b/>
                <w:color w:val="000000"/>
                <w:sz w:val="18"/>
                <w:szCs w:val="18"/>
              </w:rPr>
              <w:t>81.8</w:t>
            </w:r>
          </w:p>
        </w:tc>
        <w:tc>
          <w:tcPr>
            <w:tcW w:w="1560" w:type="dxa"/>
            <w:tcBorders>
              <w:top w:val="nil"/>
              <w:left w:val="nil"/>
              <w:bottom w:val="single" w:sz="8" w:space="0" w:color="FFFFFF"/>
              <w:right w:val="single" w:sz="8" w:space="0" w:color="FFFFFF"/>
            </w:tcBorders>
            <w:shd w:val="clear" w:color="auto" w:fill="auto"/>
            <w:vAlign w:val="center"/>
            <w:hideMark/>
          </w:tcPr>
          <w:p w14:paraId="62A3A685" w14:textId="5C3D7DAA" w:rsidR="006A7092" w:rsidRPr="006A7092" w:rsidRDefault="0022512F" w:rsidP="00630B7A">
            <w:pPr>
              <w:spacing w:before="0"/>
              <w:jc w:val="right"/>
              <w:rPr>
                <w:rFonts w:cs="Arial"/>
                <w:b/>
                <w:color w:val="000000"/>
                <w:sz w:val="18"/>
                <w:szCs w:val="18"/>
              </w:rPr>
            </w:pPr>
            <w:r>
              <w:rPr>
                <w:rFonts w:cs="Arial"/>
                <w:b/>
                <w:color w:val="000000"/>
                <w:sz w:val="18"/>
                <w:szCs w:val="18"/>
              </w:rPr>
              <w:t>89.6</w:t>
            </w:r>
          </w:p>
        </w:tc>
      </w:tr>
      <w:tr w:rsidR="006A7092" w:rsidRPr="006A7092" w14:paraId="0BF46EB8"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71E4CC22"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New Zealand</w:t>
            </w:r>
          </w:p>
        </w:tc>
        <w:tc>
          <w:tcPr>
            <w:tcW w:w="1559" w:type="dxa"/>
            <w:tcBorders>
              <w:top w:val="nil"/>
              <w:left w:val="nil"/>
              <w:bottom w:val="single" w:sz="8" w:space="0" w:color="FFFFFF"/>
              <w:right w:val="single" w:sz="8" w:space="0" w:color="FFFFFF"/>
            </w:tcBorders>
            <w:shd w:val="clear" w:color="auto" w:fill="EFD3D2"/>
            <w:noWrap/>
            <w:vAlign w:val="center"/>
            <w:hideMark/>
          </w:tcPr>
          <w:p w14:paraId="71781887" w14:textId="67EBE293" w:rsidR="006A7092" w:rsidRPr="006A7092" w:rsidRDefault="0022512F" w:rsidP="00630B7A">
            <w:pPr>
              <w:spacing w:before="0"/>
              <w:jc w:val="right"/>
              <w:rPr>
                <w:rFonts w:cs="Arial"/>
                <w:color w:val="000000"/>
                <w:sz w:val="18"/>
                <w:szCs w:val="18"/>
              </w:rPr>
            </w:pPr>
            <w:r>
              <w:rPr>
                <w:rFonts w:cs="Arial"/>
                <w:color w:val="000000"/>
                <w:sz w:val="18"/>
                <w:szCs w:val="18"/>
              </w:rPr>
              <w:t>13.7</w:t>
            </w:r>
          </w:p>
        </w:tc>
        <w:tc>
          <w:tcPr>
            <w:tcW w:w="1559" w:type="dxa"/>
            <w:tcBorders>
              <w:top w:val="nil"/>
              <w:left w:val="nil"/>
              <w:bottom w:val="single" w:sz="8" w:space="0" w:color="FFFFFF"/>
              <w:right w:val="single" w:sz="8" w:space="0" w:color="FFFFFF"/>
            </w:tcBorders>
            <w:shd w:val="clear" w:color="auto" w:fill="EFD3D2"/>
            <w:noWrap/>
            <w:vAlign w:val="center"/>
            <w:hideMark/>
          </w:tcPr>
          <w:p w14:paraId="2751EDB4" w14:textId="24032089" w:rsidR="006A7092" w:rsidRPr="006A7092" w:rsidRDefault="0022512F" w:rsidP="00630B7A">
            <w:pPr>
              <w:spacing w:before="0"/>
              <w:jc w:val="right"/>
              <w:rPr>
                <w:rFonts w:cs="Arial"/>
                <w:color w:val="000000"/>
                <w:sz w:val="18"/>
                <w:szCs w:val="18"/>
              </w:rPr>
            </w:pPr>
            <w:r>
              <w:rPr>
                <w:rFonts w:cs="Arial"/>
                <w:color w:val="000000"/>
                <w:sz w:val="18"/>
                <w:szCs w:val="18"/>
              </w:rPr>
              <w:t>54.8</w:t>
            </w:r>
          </w:p>
        </w:tc>
        <w:tc>
          <w:tcPr>
            <w:tcW w:w="1559" w:type="dxa"/>
            <w:tcBorders>
              <w:top w:val="nil"/>
              <w:left w:val="nil"/>
              <w:bottom w:val="single" w:sz="8" w:space="0" w:color="FFFFFF"/>
              <w:right w:val="single" w:sz="8" w:space="0" w:color="FFFFFF"/>
            </w:tcBorders>
            <w:shd w:val="clear" w:color="auto" w:fill="EFD3D2"/>
            <w:noWrap/>
            <w:vAlign w:val="center"/>
            <w:hideMark/>
          </w:tcPr>
          <w:p w14:paraId="0D18D335" w14:textId="0B1F1289" w:rsidR="006A7092" w:rsidRPr="006A7092" w:rsidRDefault="0022512F" w:rsidP="00630B7A">
            <w:pPr>
              <w:spacing w:before="0"/>
              <w:jc w:val="right"/>
              <w:rPr>
                <w:rFonts w:cs="Arial"/>
                <w:color w:val="000000"/>
                <w:sz w:val="18"/>
                <w:szCs w:val="18"/>
              </w:rPr>
            </w:pPr>
            <w:r>
              <w:rPr>
                <w:rFonts w:cs="Arial"/>
                <w:color w:val="000000"/>
                <w:sz w:val="18"/>
                <w:szCs w:val="18"/>
              </w:rPr>
              <w:t>89.9</w:t>
            </w:r>
          </w:p>
        </w:tc>
        <w:tc>
          <w:tcPr>
            <w:tcW w:w="1560" w:type="dxa"/>
            <w:tcBorders>
              <w:top w:val="nil"/>
              <w:left w:val="nil"/>
              <w:bottom w:val="single" w:sz="8" w:space="0" w:color="FFFFFF"/>
              <w:right w:val="single" w:sz="8" w:space="0" w:color="FFFFFF"/>
            </w:tcBorders>
            <w:shd w:val="clear" w:color="auto" w:fill="EFD3D2"/>
            <w:vAlign w:val="center"/>
            <w:hideMark/>
          </w:tcPr>
          <w:p w14:paraId="0C6B504E" w14:textId="1A33C10E" w:rsidR="006A7092" w:rsidRPr="006A7092" w:rsidRDefault="0022512F" w:rsidP="00630B7A">
            <w:pPr>
              <w:spacing w:before="0"/>
              <w:jc w:val="right"/>
              <w:rPr>
                <w:rFonts w:cs="Arial"/>
                <w:color w:val="000000"/>
                <w:sz w:val="18"/>
                <w:szCs w:val="18"/>
              </w:rPr>
            </w:pPr>
            <w:r>
              <w:rPr>
                <w:rFonts w:cs="Arial"/>
                <w:color w:val="000000"/>
                <w:sz w:val="18"/>
                <w:szCs w:val="18"/>
              </w:rPr>
              <w:t>96.4</w:t>
            </w:r>
          </w:p>
        </w:tc>
      </w:tr>
    </w:tbl>
    <w:p w14:paraId="3B484D07" w14:textId="77777777" w:rsidR="00A8653F" w:rsidRDefault="00B33B27" w:rsidP="00B33B27">
      <w:pPr>
        <w:pStyle w:val="Footnote"/>
        <w:jc w:val="left"/>
        <w:sectPr w:rsidR="00A8653F" w:rsidSect="00B94996">
          <w:headerReference w:type="even" r:id="rId72"/>
          <w:headerReference w:type="default" r:id="rId73"/>
          <w:footerReference w:type="even" r:id="rId74"/>
          <w:footerReference w:type="default" r:id="rId75"/>
          <w:pgSz w:w="11906" w:h="16838"/>
          <w:pgMar w:top="1134" w:right="1134" w:bottom="1134" w:left="1418" w:header="720" w:footer="720" w:gutter="0"/>
          <w:cols w:space="720"/>
          <w:noEndnote/>
        </w:sectPr>
      </w:pPr>
      <w:bookmarkStart w:id="34" w:name="_Toc476564192"/>
      <w:r w:rsidRPr="00B33B27">
        <w:t>*</w:t>
      </w:r>
      <w:r>
        <w:t xml:space="preserve">* </w:t>
      </w:r>
      <w:r w:rsidRPr="00B33B27">
        <w:t xml:space="preserve">South Australia and the Northern Territory cannot supply data on </w:t>
      </w:r>
      <w:r>
        <w:t xml:space="preserve">the </w:t>
      </w:r>
      <w:r w:rsidRPr="00B33B27">
        <w:t>time required to resolve disputes.</w:t>
      </w:r>
    </w:p>
    <w:p w14:paraId="5FBFEA9F" w14:textId="77777777" w:rsidR="00B747C9" w:rsidRPr="00863BDF" w:rsidRDefault="00B747C9" w:rsidP="00EB7886">
      <w:pPr>
        <w:pStyle w:val="SWASectionnumberingheading"/>
      </w:pPr>
      <w:bookmarkStart w:id="35" w:name="_Toc4508778"/>
      <w:bookmarkEnd w:id="34"/>
      <w:r w:rsidRPr="00863BDF">
        <w:lastRenderedPageBreak/>
        <w:t>Appendix 1 — Explanatory notes</w:t>
      </w:r>
      <w:bookmarkEnd w:id="35"/>
      <w:r w:rsidRPr="00863BDF">
        <w:t xml:space="preserve"> </w:t>
      </w:r>
    </w:p>
    <w:p w14:paraId="6098B0DF" w14:textId="77777777" w:rsidR="00CE00EC" w:rsidRDefault="00CE00EC" w:rsidP="00EB7886">
      <w:pPr>
        <w:pStyle w:val="SWASectionnum2"/>
      </w:pPr>
      <w:bookmarkStart w:id="36" w:name="_Toc476564198"/>
      <w:bookmarkStart w:id="37" w:name="_Toc4508779"/>
      <w:r>
        <w:t>Premium rates and entitlements</w:t>
      </w:r>
      <w:bookmarkEnd w:id="36"/>
      <w:bookmarkEnd w:id="37"/>
    </w:p>
    <w:p w14:paraId="5CC6566B" w14:textId="77777777" w:rsidR="00CE00EC" w:rsidRDefault="00CE00EC" w:rsidP="00CE00EC">
      <w:r>
        <w:t>Issues affecting the comparability of premium rates across the schemes include:</w:t>
      </w:r>
    </w:p>
    <w:p w14:paraId="3FEE26EE" w14:textId="77777777" w:rsidR="00CE00EC" w:rsidRDefault="00CE00EC" w:rsidP="000E20AE">
      <w:pPr>
        <w:pStyle w:val="BodyJustified"/>
        <w:numPr>
          <w:ilvl w:val="0"/>
          <w:numId w:val="6"/>
        </w:numPr>
      </w:pPr>
      <w:r>
        <w:t>differences in benefits and coverage for certain types of injuries, in particular the coverage of the journey to and from work</w:t>
      </w:r>
    </w:p>
    <w:p w14:paraId="2E584D0E" w14:textId="77777777" w:rsidR="00CE00EC" w:rsidRDefault="00CE00EC" w:rsidP="000E20AE">
      <w:pPr>
        <w:pStyle w:val="BodyJustified"/>
        <w:numPr>
          <w:ilvl w:val="0"/>
          <w:numId w:val="6"/>
        </w:numPr>
      </w:pPr>
      <w:r>
        <w:t>differences in claims management arrangements</w:t>
      </w:r>
    </w:p>
    <w:p w14:paraId="0C90EEB3" w14:textId="77777777" w:rsidR="00CE00EC" w:rsidRDefault="00CE00EC" w:rsidP="000E20AE">
      <w:pPr>
        <w:pStyle w:val="BodyJustified"/>
        <w:numPr>
          <w:ilvl w:val="0"/>
          <w:numId w:val="6"/>
        </w:numPr>
      </w:pPr>
      <w:r>
        <w:t>variations in the funding arrangements for delivery of work health and safety services, with some jurisdictions providing degrees of cross-subsidisation</w:t>
      </w:r>
    </w:p>
    <w:p w14:paraId="2F220FFC" w14:textId="77777777" w:rsidR="00CE00EC" w:rsidRDefault="00CE00EC" w:rsidP="000E20AE">
      <w:pPr>
        <w:pStyle w:val="BodyJustified"/>
        <w:numPr>
          <w:ilvl w:val="0"/>
          <w:numId w:val="6"/>
        </w:numPr>
      </w:pPr>
      <w:r>
        <w:t>differences in the definitions of wages for premium setting purposes, including whether superannuation contribution is part of wages</w:t>
      </w:r>
    </w:p>
    <w:p w14:paraId="48CC10E9" w14:textId="77777777" w:rsidR="00CE00EC" w:rsidRDefault="00CE00EC" w:rsidP="000E20AE">
      <w:pPr>
        <w:pStyle w:val="BodyJustified"/>
        <w:numPr>
          <w:ilvl w:val="0"/>
          <w:numId w:val="6"/>
        </w:numPr>
      </w:pPr>
      <w:r>
        <w:t>different scheme excess deductibles (note that wage under-declaration has not been accounted for as it is considered to have a similar prevalence in each jurisdiction)</w:t>
      </w:r>
    </w:p>
    <w:p w14:paraId="57B196BB" w14:textId="77777777" w:rsidR="00CE00EC" w:rsidRDefault="00CE00EC" w:rsidP="000E20AE">
      <w:pPr>
        <w:pStyle w:val="BodyJustified"/>
        <w:numPr>
          <w:ilvl w:val="0"/>
          <w:numId w:val="6"/>
        </w:numPr>
      </w:pPr>
      <w:r>
        <w:t>different levels of self-insurance</w:t>
      </w:r>
    </w:p>
    <w:p w14:paraId="52F066D7" w14:textId="77777777" w:rsidR="00CE00EC" w:rsidRDefault="00CE00EC" w:rsidP="000E20AE">
      <w:pPr>
        <w:pStyle w:val="BodyJustified"/>
        <w:numPr>
          <w:ilvl w:val="0"/>
          <w:numId w:val="6"/>
        </w:numPr>
      </w:pPr>
      <w:r>
        <w:t>different industry mixes</w:t>
      </w:r>
    </w:p>
    <w:p w14:paraId="6BA616F3" w14:textId="77777777" w:rsidR="00CE00EC" w:rsidRDefault="00CE00EC" w:rsidP="000E20AE">
      <w:pPr>
        <w:pStyle w:val="BodyJustified"/>
        <w:numPr>
          <w:ilvl w:val="0"/>
          <w:numId w:val="6"/>
        </w:numPr>
      </w:pPr>
      <w:r>
        <w:t>differences in premium calculation methodology, and</w:t>
      </w:r>
    </w:p>
    <w:p w14:paraId="5DCB681B" w14:textId="77777777" w:rsidR="00CE00EC" w:rsidRDefault="00CE00EC" w:rsidP="000E20AE">
      <w:pPr>
        <w:pStyle w:val="BodyJustified"/>
        <w:numPr>
          <w:ilvl w:val="0"/>
          <w:numId w:val="6"/>
        </w:numPr>
      </w:pPr>
      <w:r>
        <w:t>different actuarial assumptions used in the calculation of premium rates.</w:t>
      </w:r>
    </w:p>
    <w:p w14:paraId="5F65A926" w14:textId="77777777" w:rsidR="00CE00EC" w:rsidRDefault="00CE00EC" w:rsidP="000F6210">
      <w:pPr>
        <w:pStyle w:val="Heading2"/>
      </w:pPr>
      <w:r>
        <w:t>Premiums in the self-insured sector</w:t>
      </w:r>
    </w:p>
    <w:p w14:paraId="5A1712BC" w14:textId="77777777" w:rsidR="00CE00EC" w:rsidRDefault="00CE00EC" w:rsidP="000E20AE">
      <w:pPr>
        <w:pStyle w:val="BodyJustified"/>
      </w:pPr>
      <w:r>
        <w:t xml:space="preserve">Most jurisdictions allow large employers to self-insure their workers’ compensation if they prove that they can manage the associated financial and other risks. Jurisdictions with a large proportion of employees under self-insurance arrangements include New South Wales, South Australia, Tasmania and the Australian Government. Significantly fewer self-insurers operate in Victoria, Queensland, Western Australia and the Australian Capital Territory Private Scheme. A number of methodologies are employed in this report to obtain an estimate of the amount of premium that self-insurers would pay. </w:t>
      </w:r>
    </w:p>
    <w:p w14:paraId="4236A0C5" w14:textId="77777777" w:rsidR="00CE00EC" w:rsidRDefault="00CE00EC" w:rsidP="000F6210">
      <w:pPr>
        <w:pStyle w:val="Heading2"/>
      </w:pPr>
      <w:r>
        <w:t>Employer excess factors</w:t>
      </w:r>
    </w:p>
    <w:p w14:paraId="44C283AD" w14:textId="77777777" w:rsidR="00CE00EC" w:rsidRDefault="00CE00EC" w:rsidP="000E20AE">
      <w:pPr>
        <w:pStyle w:val="BodyJustified"/>
      </w:pPr>
      <w:r>
        <w:t>Some schemes have non-compensable excesses where the employer pays the first five or 10 days compensation and/or meets medical expenses to a maximum amount. To improve comparability of premium rates a common deductible for the first five days of compensation with no medical costs has been applied. The factors applied to the insured sector data in each jurisdiction are shown in Appendix 1 – Table 2. Adjustment factors have also been applied to the self-insured sector to make the data consistent with the common deductible of the first five days compensation with no medical costs.</w:t>
      </w:r>
    </w:p>
    <w:p w14:paraId="75426314" w14:textId="77777777" w:rsidR="00CE00EC" w:rsidRDefault="00CE00EC" w:rsidP="000F6210">
      <w:pPr>
        <w:pStyle w:val="Heading2"/>
      </w:pPr>
      <w:r>
        <w:t>Journey factors</w:t>
      </w:r>
    </w:p>
    <w:p w14:paraId="0EDFF14D" w14:textId="77777777" w:rsidR="000B5B63" w:rsidRDefault="00CE00EC" w:rsidP="000E20AE">
      <w:pPr>
        <w:pStyle w:val="BodyJustified"/>
      </w:pPr>
      <w:r>
        <w:t xml:space="preserve">All jurisdictions except Victoria, Western Australia, Tasmania, </w:t>
      </w:r>
      <w:r w:rsidR="000452DF">
        <w:t xml:space="preserve">the </w:t>
      </w:r>
      <w:r>
        <w:t>Australian Government and New Zealand provide some level of coverage for journey claims. Hence, an estimated amount equal to the cost of providing this coverage has been removed from the premium rates of the jurisdictions that provide this type of coverage. The factors applied are shown in Appendix 1 – Table 2. In New Zealand, journey claims are covered by a different scheme.</w:t>
      </w:r>
    </w:p>
    <w:p w14:paraId="4038D457" w14:textId="77777777" w:rsidR="000B5B63" w:rsidRDefault="000B5B63">
      <w:pPr>
        <w:spacing w:before="0" w:after="200" w:line="276" w:lineRule="auto"/>
        <w:jc w:val="left"/>
        <w:rPr>
          <w:rFonts w:eastAsiaTheme="minorHAnsi" w:cs="Arial"/>
          <w:color w:val="000000" w:themeColor="text1"/>
          <w:szCs w:val="22"/>
          <w:lang w:val="en-US" w:eastAsia="en-US"/>
        </w:rPr>
      </w:pPr>
      <w:r>
        <w:br w:type="page"/>
      </w:r>
    </w:p>
    <w:p w14:paraId="5F36DE60" w14:textId="719BBF45" w:rsidR="00CE00EC" w:rsidRDefault="00CE00EC" w:rsidP="00CB108E">
      <w:pPr>
        <w:pStyle w:val="SWATableheader"/>
        <w:rPr>
          <w:lang w:val="en-GB"/>
        </w:rPr>
      </w:pPr>
      <w:r w:rsidRPr="00B263A1">
        <w:rPr>
          <w:lang w:val="en-GB"/>
        </w:rPr>
        <w:lastRenderedPageBreak/>
        <w:t>Appendix 1 – Table 2: Premium rate adjustment factors (</w:t>
      </w:r>
      <w:r>
        <w:rPr>
          <w:lang w:val="en-GB"/>
        </w:rPr>
        <w:t>per cent</w:t>
      </w:r>
      <w:r w:rsidRPr="00B263A1">
        <w:rPr>
          <w:lang w:val="en-GB"/>
        </w:rPr>
        <w:t xml:space="preserve">) </w:t>
      </w:r>
      <w:r w:rsidR="004046BE">
        <w:rPr>
          <w:lang w:val="en-GB"/>
        </w:rPr>
        <w:t xml:space="preserve"> </w:t>
      </w:r>
    </w:p>
    <w:tbl>
      <w:tblPr>
        <w:tblW w:w="9371" w:type="dxa"/>
        <w:tblInd w:w="93" w:type="dxa"/>
        <w:tblLayout w:type="fixed"/>
        <w:tblLook w:val="04A0" w:firstRow="1" w:lastRow="0" w:firstColumn="1" w:lastColumn="0" w:noHBand="0" w:noVBand="1"/>
      </w:tblPr>
      <w:tblGrid>
        <w:gridCol w:w="3134"/>
        <w:gridCol w:w="1701"/>
        <w:gridCol w:w="1701"/>
        <w:gridCol w:w="1701"/>
        <w:gridCol w:w="1134"/>
      </w:tblGrid>
      <w:tr w:rsidR="000071CC" w:rsidRPr="000071CC" w14:paraId="2880551F" w14:textId="77777777" w:rsidTr="0050228A">
        <w:trPr>
          <w:cantSplit/>
          <w:trHeight w:val="319"/>
          <w:tblHeader/>
        </w:trPr>
        <w:tc>
          <w:tcPr>
            <w:tcW w:w="3134" w:type="dxa"/>
            <w:vMerge w:val="restart"/>
            <w:tcBorders>
              <w:top w:val="nil"/>
              <w:left w:val="single" w:sz="8" w:space="0" w:color="FFFFFF"/>
              <w:bottom w:val="single" w:sz="8" w:space="0" w:color="FFFFFF"/>
              <w:right w:val="single" w:sz="8" w:space="0" w:color="FFFFFF"/>
            </w:tcBorders>
            <w:shd w:val="clear" w:color="000000" w:fill="AF1E2D"/>
            <w:vAlign w:val="center"/>
            <w:hideMark/>
          </w:tcPr>
          <w:p w14:paraId="56FE01BC"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Jurisdiction</w:t>
            </w:r>
          </w:p>
        </w:tc>
        <w:tc>
          <w:tcPr>
            <w:tcW w:w="5103" w:type="dxa"/>
            <w:gridSpan w:val="3"/>
            <w:tcBorders>
              <w:top w:val="nil"/>
              <w:left w:val="nil"/>
              <w:bottom w:val="single" w:sz="8" w:space="0" w:color="FFFFFF"/>
              <w:right w:val="single" w:sz="8" w:space="0" w:color="FFFFFF"/>
            </w:tcBorders>
            <w:shd w:val="clear" w:color="000000" w:fill="AF1E2D"/>
            <w:vAlign w:val="center"/>
            <w:hideMark/>
          </w:tcPr>
          <w:p w14:paraId="6995629C"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Employer excess factors</w:t>
            </w:r>
          </w:p>
        </w:tc>
        <w:tc>
          <w:tcPr>
            <w:tcW w:w="1134" w:type="dxa"/>
            <w:vMerge w:val="restart"/>
            <w:tcBorders>
              <w:top w:val="nil"/>
              <w:left w:val="single" w:sz="8" w:space="0" w:color="FFFFFF"/>
              <w:bottom w:val="single" w:sz="8" w:space="0" w:color="FFFFFF"/>
              <w:right w:val="single" w:sz="8" w:space="0" w:color="FFFFFF"/>
            </w:tcBorders>
            <w:shd w:val="clear" w:color="000000" w:fill="AF1E2D"/>
            <w:vAlign w:val="center"/>
            <w:hideMark/>
          </w:tcPr>
          <w:p w14:paraId="22F4E84B" w14:textId="77777777" w:rsidR="000071CC" w:rsidRPr="000071CC" w:rsidRDefault="000071CC" w:rsidP="00701028">
            <w:pPr>
              <w:spacing w:before="0"/>
              <w:jc w:val="center"/>
              <w:rPr>
                <w:rFonts w:cs="Arial"/>
                <w:b/>
                <w:bCs/>
                <w:color w:val="FFFFFF"/>
                <w:sz w:val="18"/>
                <w:szCs w:val="18"/>
              </w:rPr>
            </w:pPr>
            <w:r w:rsidRPr="000071CC">
              <w:rPr>
                <w:rFonts w:cs="Arial"/>
                <w:b/>
                <w:bCs/>
                <w:color w:val="FFFFFF"/>
                <w:sz w:val="18"/>
                <w:szCs w:val="18"/>
              </w:rPr>
              <w:t>Journey</w:t>
            </w:r>
          </w:p>
        </w:tc>
      </w:tr>
      <w:tr w:rsidR="000071CC" w:rsidRPr="000071CC" w14:paraId="3BDE41B0" w14:textId="77777777" w:rsidTr="0050228A">
        <w:trPr>
          <w:trHeight w:val="319"/>
          <w:tblHeader/>
        </w:trPr>
        <w:tc>
          <w:tcPr>
            <w:tcW w:w="3134" w:type="dxa"/>
            <w:vMerge/>
            <w:tcBorders>
              <w:top w:val="nil"/>
              <w:left w:val="single" w:sz="8" w:space="0" w:color="FFFFFF"/>
              <w:bottom w:val="single" w:sz="8" w:space="0" w:color="FFFFFF"/>
              <w:right w:val="single" w:sz="8" w:space="0" w:color="FFFFFF"/>
            </w:tcBorders>
            <w:vAlign w:val="center"/>
            <w:hideMark/>
          </w:tcPr>
          <w:p w14:paraId="5E4E51DD" w14:textId="77777777" w:rsidR="000071CC" w:rsidRPr="000071CC" w:rsidRDefault="000071CC" w:rsidP="000071CC">
            <w:pPr>
              <w:spacing w:before="0"/>
              <w:jc w:val="left"/>
              <w:rPr>
                <w:rFonts w:cs="Arial"/>
                <w:b/>
                <w:bCs/>
                <w:color w:val="FFFFFF"/>
                <w:sz w:val="18"/>
                <w:szCs w:val="18"/>
              </w:rPr>
            </w:pPr>
          </w:p>
        </w:tc>
        <w:tc>
          <w:tcPr>
            <w:tcW w:w="3402" w:type="dxa"/>
            <w:gridSpan w:val="2"/>
            <w:tcBorders>
              <w:top w:val="single" w:sz="8" w:space="0" w:color="FFFFFF"/>
              <w:left w:val="nil"/>
              <w:bottom w:val="single" w:sz="8" w:space="0" w:color="FFFFFF"/>
              <w:right w:val="single" w:sz="8" w:space="0" w:color="FFFFFF"/>
            </w:tcBorders>
            <w:shd w:val="clear" w:color="000000" w:fill="AF1E2D"/>
            <w:vAlign w:val="center"/>
            <w:hideMark/>
          </w:tcPr>
          <w:p w14:paraId="7DA76FB0"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Insured sector</w:t>
            </w:r>
          </w:p>
        </w:tc>
        <w:tc>
          <w:tcPr>
            <w:tcW w:w="1701" w:type="dxa"/>
            <w:tcBorders>
              <w:top w:val="nil"/>
              <w:left w:val="nil"/>
              <w:bottom w:val="single" w:sz="8" w:space="0" w:color="FFFFFF"/>
              <w:right w:val="single" w:sz="8" w:space="0" w:color="FFFFFF"/>
            </w:tcBorders>
            <w:shd w:val="clear" w:color="000000" w:fill="AF1E2D"/>
            <w:vAlign w:val="center"/>
            <w:hideMark/>
          </w:tcPr>
          <w:p w14:paraId="1B749C11" w14:textId="77777777" w:rsidR="000071CC" w:rsidRPr="000071CC" w:rsidRDefault="00BF6788" w:rsidP="000071CC">
            <w:pPr>
              <w:spacing w:before="0"/>
              <w:jc w:val="center"/>
              <w:rPr>
                <w:rFonts w:cs="Arial"/>
                <w:b/>
                <w:bCs/>
                <w:color w:val="FFFFFF"/>
                <w:sz w:val="18"/>
                <w:szCs w:val="18"/>
              </w:rPr>
            </w:pPr>
            <w:r>
              <w:rPr>
                <w:rFonts w:cs="Arial"/>
                <w:b/>
                <w:bCs/>
                <w:color w:val="FFFFFF"/>
                <w:sz w:val="18"/>
                <w:szCs w:val="18"/>
              </w:rPr>
              <w:t>Self-</w:t>
            </w:r>
            <w:r w:rsidR="000071CC" w:rsidRPr="000071CC">
              <w:rPr>
                <w:rFonts w:cs="Arial"/>
                <w:b/>
                <w:bCs/>
                <w:color w:val="FFFFFF"/>
                <w:sz w:val="18"/>
                <w:szCs w:val="18"/>
              </w:rPr>
              <w:t>insured</w:t>
            </w:r>
          </w:p>
        </w:tc>
        <w:tc>
          <w:tcPr>
            <w:tcW w:w="1134" w:type="dxa"/>
            <w:vMerge/>
            <w:tcBorders>
              <w:top w:val="nil"/>
              <w:left w:val="single" w:sz="8" w:space="0" w:color="FFFFFF"/>
              <w:bottom w:val="single" w:sz="8" w:space="0" w:color="FFFFFF"/>
              <w:right w:val="single" w:sz="8" w:space="0" w:color="FFFFFF"/>
            </w:tcBorders>
            <w:vAlign w:val="center"/>
            <w:hideMark/>
          </w:tcPr>
          <w:p w14:paraId="6393E5A8" w14:textId="77777777" w:rsidR="000071CC" w:rsidRPr="000071CC" w:rsidRDefault="000071CC" w:rsidP="000071CC">
            <w:pPr>
              <w:spacing w:before="0"/>
              <w:jc w:val="left"/>
              <w:rPr>
                <w:rFonts w:cs="Arial"/>
                <w:b/>
                <w:bCs/>
                <w:color w:val="FFFFFF"/>
                <w:sz w:val="18"/>
                <w:szCs w:val="18"/>
              </w:rPr>
            </w:pPr>
          </w:p>
        </w:tc>
      </w:tr>
      <w:tr w:rsidR="000071CC" w:rsidRPr="000071CC" w14:paraId="48650142" w14:textId="77777777" w:rsidTr="0050228A">
        <w:trPr>
          <w:trHeight w:val="319"/>
          <w:tblHeader/>
        </w:trPr>
        <w:tc>
          <w:tcPr>
            <w:tcW w:w="3134" w:type="dxa"/>
            <w:vMerge/>
            <w:tcBorders>
              <w:top w:val="nil"/>
              <w:left w:val="single" w:sz="8" w:space="0" w:color="FFFFFF"/>
              <w:bottom w:val="single" w:sz="8" w:space="0" w:color="FFFFFF"/>
              <w:right w:val="single" w:sz="8" w:space="0" w:color="FFFFFF"/>
            </w:tcBorders>
            <w:vAlign w:val="center"/>
            <w:hideMark/>
          </w:tcPr>
          <w:p w14:paraId="588AC6BE" w14:textId="77777777" w:rsidR="000071CC" w:rsidRPr="000071CC" w:rsidRDefault="000071CC" w:rsidP="000071CC">
            <w:pPr>
              <w:spacing w:before="0"/>
              <w:jc w:val="left"/>
              <w:rPr>
                <w:rFonts w:cs="Arial"/>
                <w:b/>
                <w:bCs/>
                <w:color w:val="FFFFFF"/>
                <w:sz w:val="18"/>
                <w:szCs w:val="18"/>
              </w:rPr>
            </w:pPr>
          </w:p>
        </w:tc>
        <w:tc>
          <w:tcPr>
            <w:tcW w:w="1701" w:type="dxa"/>
            <w:tcBorders>
              <w:top w:val="nil"/>
              <w:left w:val="nil"/>
              <w:bottom w:val="single" w:sz="8" w:space="0" w:color="FFFFFF"/>
              <w:right w:val="single" w:sz="8" w:space="0" w:color="FFFFFF"/>
            </w:tcBorders>
            <w:shd w:val="clear" w:color="000000" w:fill="AF1E2D"/>
            <w:vAlign w:val="center"/>
            <w:hideMark/>
          </w:tcPr>
          <w:p w14:paraId="5EF73DA4"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Time lost excess</w:t>
            </w:r>
          </w:p>
        </w:tc>
        <w:tc>
          <w:tcPr>
            <w:tcW w:w="1701" w:type="dxa"/>
            <w:tcBorders>
              <w:top w:val="nil"/>
              <w:left w:val="nil"/>
              <w:bottom w:val="single" w:sz="8" w:space="0" w:color="FFFFFF"/>
              <w:right w:val="single" w:sz="8" w:space="0" w:color="FFFFFF"/>
            </w:tcBorders>
            <w:shd w:val="clear" w:color="000000" w:fill="AF1E2D"/>
            <w:vAlign w:val="center"/>
            <w:hideMark/>
          </w:tcPr>
          <w:p w14:paraId="4E049584"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Medical expenses</w:t>
            </w:r>
          </w:p>
        </w:tc>
        <w:tc>
          <w:tcPr>
            <w:tcW w:w="1701" w:type="dxa"/>
            <w:tcBorders>
              <w:top w:val="nil"/>
              <w:left w:val="nil"/>
              <w:bottom w:val="single" w:sz="8" w:space="0" w:color="FFFFFF"/>
              <w:right w:val="single" w:sz="8" w:space="0" w:color="FFFFFF"/>
            </w:tcBorders>
            <w:shd w:val="clear" w:color="000000" w:fill="AF1E2D"/>
            <w:vAlign w:val="center"/>
            <w:hideMark/>
          </w:tcPr>
          <w:p w14:paraId="20E8DA19"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Time lost excess</w:t>
            </w:r>
          </w:p>
        </w:tc>
        <w:tc>
          <w:tcPr>
            <w:tcW w:w="1134" w:type="dxa"/>
            <w:vMerge/>
            <w:tcBorders>
              <w:top w:val="nil"/>
              <w:left w:val="single" w:sz="8" w:space="0" w:color="FFFFFF"/>
              <w:bottom w:val="single" w:sz="8" w:space="0" w:color="FFFFFF"/>
              <w:right w:val="single" w:sz="8" w:space="0" w:color="FFFFFF"/>
            </w:tcBorders>
            <w:vAlign w:val="center"/>
            <w:hideMark/>
          </w:tcPr>
          <w:p w14:paraId="2003AF33" w14:textId="77777777" w:rsidR="000071CC" w:rsidRPr="000071CC" w:rsidRDefault="000071CC" w:rsidP="000071CC">
            <w:pPr>
              <w:spacing w:before="0"/>
              <w:jc w:val="left"/>
              <w:rPr>
                <w:rFonts w:cs="Arial"/>
                <w:b/>
                <w:bCs/>
                <w:color w:val="FFFFFF"/>
                <w:sz w:val="18"/>
                <w:szCs w:val="18"/>
              </w:rPr>
            </w:pPr>
          </w:p>
        </w:tc>
      </w:tr>
      <w:tr w:rsidR="000071CC" w:rsidRPr="000071CC" w14:paraId="597D231B"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65EE10A0"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New South Wales</w:t>
            </w:r>
          </w:p>
        </w:tc>
        <w:tc>
          <w:tcPr>
            <w:tcW w:w="1701" w:type="dxa"/>
            <w:tcBorders>
              <w:top w:val="nil"/>
              <w:left w:val="nil"/>
              <w:bottom w:val="single" w:sz="8" w:space="0" w:color="FFFFFF"/>
              <w:right w:val="single" w:sz="8" w:space="0" w:color="FFFFFF"/>
            </w:tcBorders>
            <w:shd w:val="clear" w:color="000000" w:fill="EFD3D2"/>
            <w:noWrap/>
            <w:vAlign w:val="center"/>
            <w:hideMark/>
          </w:tcPr>
          <w:p w14:paraId="7900A72F"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291AA6D8"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7E7F6E2D"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-1.5</w:t>
            </w:r>
          </w:p>
        </w:tc>
        <w:tc>
          <w:tcPr>
            <w:tcW w:w="1134" w:type="dxa"/>
            <w:tcBorders>
              <w:top w:val="nil"/>
              <w:left w:val="nil"/>
              <w:bottom w:val="single" w:sz="8" w:space="0" w:color="FFFFFF"/>
              <w:right w:val="single" w:sz="8" w:space="0" w:color="FFFFFF"/>
            </w:tcBorders>
            <w:shd w:val="clear" w:color="000000" w:fill="EFD3D2"/>
            <w:vAlign w:val="center"/>
            <w:hideMark/>
          </w:tcPr>
          <w:p w14:paraId="79B2C003"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7B951C1C"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30B8B1EE"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Victoria</w:t>
            </w:r>
          </w:p>
        </w:tc>
        <w:tc>
          <w:tcPr>
            <w:tcW w:w="1701" w:type="dxa"/>
            <w:tcBorders>
              <w:top w:val="nil"/>
              <w:left w:val="nil"/>
              <w:bottom w:val="single" w:sz="8" w:space="0" w:color="FFFFFF"/>
              <w:right w:val="single" w:sz="8" w:space="0" w:color="FFFFFF"/>
            </w:tcBorders>
            <w:shd w:val="clear" w:color="auto" w:fill="auto"/>
            <w:noWrap/>
            <w:vAlign w:val="center"/>
            <w:hideMark/>
          </w:tcPr>
          <w:p w14:paraId="388EB940"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2.0</w:t>
            </w:r>
          </w:p>
        </w:tc>
        <w:tc>
          <w:tcPr>
            <w:tcW w:w="1701" w:type="dxa"/>
            <w:tcBorders>
              <w:top w:val="nil"/>
              <w:left w:val="nil"/>
              <w:bottom w:val="single" w:sz="8" w:space="0" w:color="FFFFFF"/>
              <w:right w:val="single" w:sz="8" w:space="0" w:color="FFFFFF"/>
            </w:tcBorders>
            <w:shd w:val="clear" w:color="auto" w:fill="auto"/>
            <w:noWrap/>
            <w:vAlign w:val="center"/>
            <w:hideMark/>
          </w:tcPr>
          <w:p w14:paraId="56659228"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1.0</w:t>
            </w:r>
          </w:p>
        </w:tc>
        <w:tc>
          <w:tcPr>
            <w:tcW w:w="1701" w:type="dxa"/>
            <w:tcBorders>
              <w:top w:val="nil"/>
              <w:left w:val="nil"/>
              <w:bottom w:val="single" w:sz="8" w:space="0" w:color="FFFFFF"/>
              <w:right w:val="single" w:sz="8" w:space="0" w:color="FFFFFF"/>
            </w:tcBorders>
            <w:shd w:val="clear" w:color="auto" w:fill="auto"/>
            <w:noWrap/>
            <w:vAlign w:val="center"/>
            <w:hideMark/>
          </w:tcPr>
          <w:p w14:paraId="11A4F46E"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-3.0</w:t>
            </w:r>
          </w:p>
        </w:tc>
        <w:tc>
          <w:tcPr>
            <w:tcW w:w="1134" w:type="dxa"/>
            <w:tcBorders>
              <w:top w:val="nil"/>
              <w:left w:val="nil"/>
              <w:bottom w:val="single" w:sz="8" w:space="0" w:color="FFFFFF"/>
              <w:right w:val="single" w:sz="8" w:space="0" w:color="FFFFFF"/>
            </w:tcBorders>
            <w:shd w:val="clear" w:color="auto" w:fill="auto"/>
            <w:vAlign w:val="center"/>
            <w:hideMark/>
          </w:tcPr>
          <w:p w14:paraId="0041E905"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487DDD89"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22646053"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Queensland</w:t>
            </w:r>
          </w:p>
        </w:tc>
        <w:tc>
          <w:tcPr>
            <w:tcW w:w="1701" w:type="dxa"/>
            <w:tcBorders>
              <w:top w:val="nil"/>
              <w:left w:val="nil"/>
              <w:bottom w:val="single" w:sz="8" w:space="0" w:color="FFFFFF"/>
              <w:right w:val="single" w:sz="8" w:space="0" w:color="FFFFFF"/>
            </w:tcBorders>
            <w:shd w:val="clear" w:color="000000" w:fill="EFD3D2"/>
            <w:noWrap/>
            <w:vAlign w:val="center"/>
            <w:hideMark/>
          </w:tcPr>
          <w:p w14:paraId="7FD025A4"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6F410E72"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2DD40DA6"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14:paraId="3B1C51E0"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-6.5</w:t>
            </w:r>
          </w:p>
        </w:tc>
      </w:tr>
      <w:tr w:rsidR="000071CC" w:rsidRPr="000071CC" w14:paraId="4B1E2095"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1FA89E79"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Western Australia</w:t>
            </w:r>
          </w:p>
        </w:tc>
        <w:tc>
          <w:tcPr>
            <w:tcW w:w="1701" w:type="dxa"/>
            <w:tcBorders>
              <w:top w:val="nil"/>
              <w:left w:val="nil"/>
              <w:bottom w:val="single" w:sz="8" w:space="0" w:color="FFFFFF"/>
              <w:right w:val="single" w:sz="8" w:space="0" w:color="FFFFFF"/>
            </w:tcBorders>
            <w:shd w:val="clear" w:color="auto" w:fill="auto"/>
            <w:noWrap/>
            <w:vAlign w:val="center"/>
            <w:hideMark/>
          </w:tcPr>
          <w:p w14:paraId="22D4494C"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-1.9</w:t>
            </w:r>
          </w:p>
        </w:tc>
        <w:tc>
          <w:tcPr>
            <w:tcW w:w="1701" w:type="dxa"/>
            <w:tcBorders>
              <w:top w:val="nil"/>
              <w:left w:val="nil"/>
              <w:bottom w:val="single" w:sz="8" w:space="0" w:color="FFFFFF"/>
              <w:right w:val="single" w:sz="8" w:space="0" w:color="FFFFFF"/>
            </w:tcBorders>
            <w:shd w:val="clear" w:color="auto" w:fill="auto"/>
            <w:noWrap/>
            <w:vAlign w:val="center"/>
            <w:hideMark/>
          </w:tcPr>
          <w:p w14:paraId="450CAB12"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14:paraId="120BAFCD"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auto" w:fill="auto"/>
            <w:vAlign w:val="center"/>
            <w:hideMark/>
          </w:tcPr>
          <w:p w14:paraId="65641247"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111D5A81"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5DD4D875"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South Australia</w:t>
            </w:r>
          </w:p>
        </w:tc>
        <w:tc>
          <w:tcPr>
            <w:tcW w:w="1701" w:type="dxa"/>
            <w:tcBorders>
              <w:top w:val="nil"/>
              <w:left w:val="nil"/>
              <w:bottom w:val="single" w:sz="8" w:space="0" w:color="FFFFFF"/>
              <w:right w:val="single" w:sz="8" w:space="0" w:color="FFFFFF"/>
            </w:tcBorders>
            <w:shd w:val="clear" w:color="000000" w:fill="EFD3D2"/>
            <w:noWrap/>
            <w:vAlign w:val="center"/>
            <w:hideMark/>
          </w:tcPr>
          <w:p w14:paraId="4980E2A9"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2.0</w:t>
            </w:r>
          </w:p>
        </w:tc>
        <w:tc>
          <w:tcPr>
            <w:tcW w:w="1701" w:type="dxa"/>
            <w:tcBorders>
              <w:top w:val="nil"/>
              <w:left w:val="nil"/>
              <w:bottom w:val="single" w:sz="8" w:space="0" w:color="FFFFFF"/>
              <w:right w:val="single" w:sz="8" w:space="0" w:color="FFFFFF"/>
            </w:tcBorders>
            <w:shd w:val="clear" w:color="000000" w:fill="EFD3D2"/>
            <w:noWrap/>
            <w:vAlign w:val="center"/>
            <w:hideMark/>
          </w:tcPr>
          <w:p w14:paraId="70844548"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1D62DDD5"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-3.0</w:t>
            </w:r>
          </w:p>
        </w:tc>
        <w:tc>
          <w:tcPr>
            <w:tcW w:w="1134" w:type="dxa"/>
            <w:tcBorders>
              <w:top w:val="nil"/>
              <w:left w:val="nil"/>
              <w:bottom w:val="single" w:sz="8" w:space="0" w:color="FFFFFF"/>
              <w:right w:val="single" w:sz="8" w:space="0" w:color="FFFFFF"/>
            </w:tcBorders>
            <w:shd w:val="clear" w:color="000000" w:fill="EFD3D2"/>
            <w:vAlign w:val="center"/>
            <w:hideMark/>
          </w:tcPr>
          <w:p w14:paraId="74E505D3"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5C54E850"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2E25BB3D"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Tasmania</w:t>
            </w:r>
          </w:p>
        </w:tc>
        <w:tc>
          <w:tcPr>
            <w:tcW w:w="1701" w:type="dxa"/>
            <w:tcBorders>
              <w:top w:val="nil"/>
              <w:left w:val="nil"/>
              <w:bottom w:val="single" w:sz="8" w:space="0" w:color="FFFFFF"/>
              <w:right w:val="single" w:sz="8" w:space="0" w:color="FFFFFF"/>
            </w:tcBorders>
            <w:shd w:val="clear" w:color="auto" w:fill="auto"/>
            <w:noWrap/>
            <w:vAlign w:val="center"/>
            <w:hideMark/>
          </w:tcPr>
          <w:p w14:paraId="788CEBB9"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14:paraId="513C0CDF"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0.3</w:t>
            </w:r>
          </w:p>
        </w:tc>
        <w:tc>
          <w:tcPr>
            <w:tcW w:w="1701" w:type="dxa"/>
            <w:tcBorders>
              <w:top w:val="nil"/>
              <w:left w:val="nil"/>
              <w:bottom w:val="single" w:sz="8" w:space="0" w:color="FFFFFF"/>
              <w:right w:val="single" w:sz="8" w:space="0" w:color="FFFFFF"/>
            </w:tcBorders>
            <w:shd w:val="clear" w:color="auto" w:fill="auto"/>
            <w:noWrap/>
            <w:vAlign w:val="center"/>
            <w:hideMark/>
          </w:tcPr>
          <w:p w14:paraId="07C699D0"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-2.5</w:t>
            </w:r>
          </w:p>
        </w:tc>
        <w:tc>
          <w:tcPr>
            <w:tcW w:w="1134" w:type="dxa"/>
            <w:tcBorders>
              <w:top w:val="nil"/>
              <w:left w:val="nil"/>
              <w:bottom w:val="single" w:sz="8" w:space="0" w:color="FFFFFF"/>
              <w:right w:val="single" w:sz="8" w:space="0" w:color="FFFFFF"/>
            </w:tcBorders>
            <w:shd w:val="clear" w:color="auto" w:fill="auto"/>
            <w:vAlign w:val="center"/>
            <w:hideMark/>
          </w:tcPr>
          <w:p w14:paraId="69076906"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495B7C88"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40613CCC"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Northern Territory</w:t>
            </w:r>
          </w:p>
        </w:tc>
        <w:tc>
          <w:tcPr>
            <w:tcW w:w="1701" w:type="dxa"/>
            <w:tcBorders>
              <w:top w:val="nil"/>
              <w:left w:val="nil"/>
              <w:bottom w:val="single" w:sz="8" w:space="0" w:color="FFFFFF"/>
              <w:right w:val="single" w:sz="8" w:space="0" w:color="FFFFFF"/>
            </w:tcBorders>
            <w:shd w:val="clear" w:color="000000" w:fill="EFD3D2"/>
            <w:noWrap/>
            <w:vAlign w:val="center"/>
            <w:hideMark/>
          </w:tcPr>
          <w:p w14:paraId="6D6641FD"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-2.5</w:t>
            </w:r>
          </w:p>
        </w:tc>
        <w:tc>
          <w:tcPr>
            <w:tcW w:w="1701" w:type="dxa"/>
            <w:tcBorders>
              <w:top w:val="nil"/>
              <w:left w:val="nil"/>
              <w:bottom w:val="single" w:sz="8" w:space="0" w:color="FFFFFF"/>
              <w:right w:val="single" w:sz="8" w:space="0" w:color="FFFFFF"/>
            </w:tcBorders>
            <w:shd w:val="clear" w:color="000000" w:fill="EFD3D2"/>
            <w:noWrap/>
            <w:vAlign w:val="center"/>
            <w:hideMark/>
          </w:tcPr>
          <w:p w14:paraId="06FE65A0"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688D4F03"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14:paraId="101D2685"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-3.0</w:t>
            </w:r>
          </w:p>
        </w:tc>
      </w:tr>
      <w:tr w:rsidR="000071CC" w:rsidRPr="000071CC" w14:paraId="34D47D54"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55C53A6E"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Australian Capital Territory Private</w:t>
            </w:r>
          </w:p>
        </w:tc>
        <w:tc>
          <w:tcPr>
            <w:tcW w:w="1701" w:type="dxa"/>
            <w:tcBorders>
              <w:top w:val="nil"/>
              <w:left w:val="nil"/>
              <w:bottom w:val="single" w:sz="8" w:space="0" w:color="FFFFFF"/>
              <w:right w:val="single" w:sz="8" w:space="0" w:color="FFFFFF"/>
            </w:tcBorders>
            <w:shd w:val="clear" w:color="auto" w:fill="auto"/>
            <w:noWrap/>
            <w:vAlign w:val="center"/>
            <w:hideMark/>
          </w:tcPr>
          <w:p w14:paraId="0A5F83AD"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-1.8</w:t>
            </w:r>
          </w:p>
        </w:tc>
        <w:tc>
          <w:tcPr>
            <w:tcW w:w="1701" w:type="dxa"/>
            <w:tcBorders>
              <w:top w:val="nil"/>
              <w:left w:val="nil"/>
              <w:bottom w:val="single" w:sz="8" w:space="0" w:color="FFFFFF"/>
              <w:right w:val="single" w:sz="8" w:space="0" w:color="FFFFFF"/>
            </w:tcBorders>
            <w:shd w:val="clear" w:color="auto" w:fill="auto"/>
            <w:noWrap/>
            <w:vAlign w:val="center"/>
            <w:hideMark/>
          </w:tcPr>
          <w:p w14:paraId="0D4B450A"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14:paraId="1BA44529"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auto" w:fill="auto"/>
            <w:vAlign w:val="center"/>
            <w:hideMark/>
          </w:tcPr>
          <w:p w14:paraId="07FDF609"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-7.5</w:t>
            </w:r>
          </w:p>
        </w:tc>
      </w:tr>
      <w:tr w:rsidR="000071CC" w:rsidRPr="000071CC" w14:paraId="50A4AB13"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56D8D2FC" w14:textId="7FDE5FE1" w:rsidR="000071CC" w:rsidRPr="000071CC" w:rsidRDefault="00E21FCD" w:rsidP="000071CC">
            <w:pPr>
              <w:spacing w:before="0"/>
              <w:jc w:val="left"/>
              <w:rPr>
                <w:rFonts w:cs="Arial"/>
                <w:color w:val="000000"/>
                <w:sz w:val="18"/>
                <w:szCs w:val="18"/>
              </w:rPr>
            </w:pPr>
            <w:r>
              <w:rPr>
                <w:rFonts w:cs="Arial"/>
                <w:color w:val="000000"/>
                <w:sz w:val="18"/>
                <w:szCs w:val="16"/>
              </w:rPr>
              <w:t>Comcare</w:t>
            </w:r>
          </w:p>
        </w:tc>
        <w:tc>
          <w:tcPr>
            <w:tcW w:w="1701" w:type="dxa"/>
            <w:tcBorders>
              <w:top w:val="nil"/>
              <w:left w:val="nil"/>
              <w:bottom w:val="single" w:sz="8" w:space="0" w:color="FFFFFF"/>
              <w:right w:val="single" w:sz="8" w:space="0" w:color="FFFFFF"/>
            </w:tcBorders>
            <w:shd w:val="clear" w:color="000000" w:fill="EFD3D2"/>
            <w:noWrap/>
            <w:vAlign w:val="center"/>
            <w:hideMark/>
          </w:tcPr>
          <w:p w14:paraId="5722F4B9"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-1.8</w:t>
            </w:r>
          </w:p>
        </w:tc>
        <w:tc>
          <w:tcPr>
            <w:tcW w:w="1701" w:type="dxa"/>
            <w:tcBorders>
              <w:top w:val="nil"/>
              <w:left w:val="nil"/>
              <w:bottom w:val="single" w:sz="8" w:space="0" w:color="FFFFFF"/>
              <w:right w:val="single" w:sz="8" w:space="0" w:color="FFFFFF"/>
            </w:tcBorders>
            <w:shd w:val="clear" w:color="000000" w:fill="EFD3D2"/>
            <w:noWrap/>
            <w:vAlign w:val="center"/>
            <w:hideMark/>
          </w:tcPr>
          <w:p w14:paraId="73133B9D"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43E2F124"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-4.5</w:t>
            </w:r>
          </w:p>
        </w:tc>
        <w:tc>
          <w:tcPr>
            <w:tcW w:w="1134" w:type="dxa"/>
            <w:tcBorders>
              <w:top w:val="nil"/>
              <w:left w:val="nil"/>
              <w:bottom w:val="single" w:sz="8" w:space="0" w:color="FFFFFF"/>
              <w:right w:val="single" w:sz="8" w:space="0" w:color="FFFFFF"/>
            </w:tcBorders>
            <w:shd w:val="clear" w:color="000000" w:fill="EFD3D2"/>
            <w:vAlign w:val="center"/>
            <w:hideMark/>
          </w:tcPr>
          <w:p w14:paraId="7449DCB3"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5C3B7D03"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5843CF0B"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Seacare</w:t>
            </w:r>
          </w:p>
        </w:tc>
        <w:tc>
          <w:tcPr>
            <w:tcW w:w="5103" w:type="dxa"/>
            <w:gridSpan w:val="3"/>
            <w:tcBorders>
              <w:top w:val="single" w:sz="8" w:space="0" w:color="FFFFFF"/>
              <w:left w:val="nil"/>
              <w:bottom w:val="single" w:sz="8" w:space="0" w:color="FFFFFF"/>
              <w:right w:val="single" w:sz="8" w:space="0" w:color="FFFFFF"/>
            </w:tcBorders>
            <w:shd w:val="clear" w:color="auto" w:fill="auto"/>
            <w:noWrap/>
            <w:vAlign w:val="center"/>
            <w:hideMark/>
          </w:tcPr>
          <w:p w14:paraId="3C6ABC5A" w14:textId="77777777" w:rsidR="000071CC" w:rsidRPr="000071CC" w:rsidRDefault="000071CC" w:rsidP="000071CC">
            <w:pPr>
              <w:spacing w:before="0"/>
              <w:jc w:val="center"/>
              <w:rPr>
                <w:rFonts w:cs="Arial"/>
                <w:color w:val="000000"/>
                <w:sz w:val="18"/>
                <w:szCs w:val="18"/>
              </w:rPr>
            </w:pPr>
            <w:r w:rsidRPr="000071CC">
              <w:rPr>
                <w:rFonts w:cs="Arial"/>
                <w:color w:val="000000"/>
                <w:sz w:val="18"/>
                <w:szCs w:val="18"/>
              </w:rPr>
              <w:t>Excess adjustment factors reviewed annually</w:t>
            </w:r>
          </w:p>
        </w:tc>
        <w:tc>
          <w:tcPr>
            <w:tcW w:w="1134" w:type="dxa"/>
            <w:tcBorders>
              <w:top w:val="nil"/>
              <w:left w:val="nil"/>
              <w:bottom w:val="single" w:sz="8" w:space="0" w:color="FFFFFF"/>
              <w:right w:val="single" w:sz="8" w:space="0" w:color="FFFFFF"/>
            </w:tcBorders>
            <w:shd w:val="clear" w:color="auto" w:fill="auto"/>
            <w:vAlign w:val="center"/>
            <w:hideMark/>
          </w:tcPr>
          <w:p w14:paraId="65C89CFD"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-6.0</w:t>
            </w:r>
          </w:p>
        </w:tc>
      </w:tr>
      <w:tr w:rsidR="000071CC" w:rsidRPr="000071CC" w14:paraId="28D919D3"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7137B387"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New Zealand</w:t>
            </w:r>
          </w:p>
        </w:tc>
        <w:tc>
          <w:tcPr>
            <w:tcW w:w="1701" w:type="dxa"/>
            <w:tcBorders>
              <w:top w:val="nil"/>
              <w:left w:val="nil"/>
              <w:bottom w:val="single" w:sz="8" w:space="0" w:color="FFFFFF"/>
              <w:right w:val="single" w:sz="8" w:space="0" w:color="FFFFFF"/>
            </w:tcBorders>
            <w:shd w:val="clear" w:color="000000" w:fill="EFD3D2"/>
            <w:noWrap/>
            <w:vAlign w:val="center"/>
            <w:hideMark/>
          </w:tcPr>
          <w:p w14:paraId="00EF4147"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75A7DE63"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440B7281"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14:paraId="06348B85"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-7.5</w:t>
            </w:r>
          </w:p>
        </w:tc>
      </w:tr>
    </w:tbl>
    <w:p w14:paraId="2BC08972" w14:textId="77777777" w:rsidR="00CE00EC" w:rsidRDefault="00CE00EC" w:rsidP="000F6210">
      <w:pPr>
        <w:pStyle w:val="Heading2"/>
        <w:rPr>
          <w:color w:val="D27B08"/>
        </w:rPr>
      </w:pPr>
      <w:r>
        <w:t>Seacare scheme</w:t>
      </w:r>
    </w:p>
    <w:p w14:paraId="1465B36F" w14:textId="77777777" w:rsidR="00CE00EC" w:rsidRDefault="00CE00EC" w:rsidP="000E20AE">
      <w:pPr>
        <w:pStyle w:val="BodyJustified"/>
      </w:pPr>
      <w:r>
        <w:t>Seacare scheme policies often include large excesses, ranging from $5</w:t>
      </w:r>
      <w:r w:rsidR="00701028">
        <w:t>,000 to $100,</w:t>
      </w:r>
      <w:r>
        <w:t xml:space="preserve">000, representing approximately three weeks to more than 12 months </w:t>
      </w:r>
      <w:r w:rsidRPr="00F81FA0">
        <w:t>compensation</w:t>
      </w:r>
      <w:r>
        <w:t>, with the majority of policies containing excesses in the $5</w:t>
      </w:r>
      <w:r w:rsidR="00701028">
        <w:t>,000 to $25,</w:t>
      </w:r>
      <w:r>
        <w:t xml:space="preserve">000 range. An adjustment factor has been developed to take into account the large and variable deductible. </w:t>
      </w:r>
    </w:p>
    <w:p w14:paraId="1CA154B6" w14:textId="77777777" w:rsidR="00CE00EC" w:rsidRDefault="00CE00EC" w:rsidP="000F6210">
      <w:pPr>
        <w:pStyle w:val="Heading2"/>
      </w:pPr>
      <w:r>
        <w:t>Effect of adjustment factors on premium rates</w:t>
      </w:r>
    </w:p>
    <w:p w14:paraId="743B841C" w14:textId="77777777" w:rsidR="00CE00EC" w:rsidRDefault="00CE00EC" w:rsidP="000E20AE">
      <w:pPr>
        <w:pStyle w:val="BodyJustified"/>
      </w:pPr>
      <w:r>
        <w:t>Appendix 1 – Table 3 presents average premium rates with various adjustments to assist comparability. Each column in this table represents progressively adjusted premium rates as follows:</w:t>
      </w:r>
    </w:p>
    <w:p w14:paraId="2A4816A4" w14:textId="77777777" w:rsidR="00CE00EC" w:rsidRDefault="00CE00EC" w:rsidP="00CE00EC">
      <w:pPr>
        <w:pStyle w:val="BodyTextindented"/>
      </w:pPr>
      <w:r>
        <w:t xml:space="preserve">Column 1 – These data are average premium rates for insured employers only, calculated using the definition of remuneration as used by that jurisdiction, i.e. superannuation included where applicable. GST was excluded in all cases. Rates are applicable to the employer and medical excesses that apply in each jurisdiction and should not be compared. </w:t>
      </w:r>
    </w:p>
    <w:p w14:paraId="2A995DC8" w14:textId="77777777" w:rsidR="00CE00EC" w:rsidRDefault="00CE00EC" w:rsidP="00CE00EC">
      <w:pPr>
        <w:pStyle w:val="BodyTextindented"/>
      </w:pPr>
      <w:r>
        <w:t>Column 2 – These rates are average premium rates for the insured sector adjusted to include superannuation in the definition of remuneration. Estimates of superannuation were applied to Western Australia, Tasmania and the Northern Territory. All other jurisdictions were able to provide appropriate data. Data for New Zealand were also adjusted to include superannuation.</w:t>
      </w:r>
    </w:p>
    <w:p w14:paraId="58AF9114" w14:textId="77777777" w:rsidR="00CE00EC" w:rsidRDefault="00CE00EC" w:rsidP="00CE00EC">
      <w:pPr>
        <w:pStyle w:val="BodyTextindented"/>
      </w:pPr>
      <w:r>
        <w:t xml:space="preserve">Column 3 – These rates are the average premium rates for each jurisdiction including both the insured and self-insured sectors before any adjustment factors are applied. </w:t>
      </w:r>
    </w:p>
    <w:p w14:paraId="625D9AC8" w14:textId="77777777" w:rsidR="00CE00EC" w:rsidRDefault="00CE00EC" w:rsidP="00CE00EC">
      <w:pPr>
        <w:pStyle w:val="BodyTextindented"/>
      </w:pPr>
      <w:r>
        <w:t xml:space="preserve">Column 4 – These rates adjust the rates in column 3 to account for the different employer excesses that apply in each jurisdiction. The adjustment made to the data from the self-insured sector may be different to the adjustment applied to the premium paying sector due to the assumption that a nil employer excess applies to the self-insured sector. </w:t>
      </w:r>
    </w:p>
    <w:p w14:paraId="3C07E7C9" w14:textId="77777777" w:rsidR="00CE00EC" w:rsidRDefault="00CE00EC" w:rsidP="00CE00EC">
      <w:pPr>
        <w:pStyle w:val="BodyTextindented"/>
      </w:pPr>
      <w:r>
        <w:t>Column 5 – These rates further adjust the rates in column 4 to remove a component comparable to the cost of providing workers’ compensation coverage for journeys to and from work. These adjustments apply to all jurisdictions except Victoria, Western Australia, Tasmania and New Zealand where the coverage for these types of claims is outside the workers’ compensation system.</w:t>
      </w:r>
    </w:p>
    <w:p w14:paraId="1653F0E6" w14:textId="7D3B1AB6" w:rsidR="00CE00EC" w:rsidRDefault="00CE00EC" w:rsidP="00CB108E">
      <w:pPr>
        <w:pStyle w:val="SWATableheader"/>
        <w:rPr>
          <w:lang w:val="en-GB"/>
        </w:rPr>
      </w:pPr>
      <w:r w:rsidRPr="00EF0A14">
        <w:rPr>
          <w:lang w:val="en-GB"/>
        </w:rPr>
        <w:lastRenderedPageBreak/>
        <w:t>Appendix 1 – Table 3</w:t>
      </w:r>
      <w:r w:rsidRPr="00EF0A14">
        <w:rPr>
          <w:sz w:val="18"/>
          <w:szCs w:val="18"/>
          <w:lang w:val="en-GB"/>
        </w:rPr>
        <w:t xml:space="preserve">: </w:t>
      </w:r>
      <w:r w:rsidRPr="00EF0A14">
        <w:rPr>
          <w:lang w:val="en-GB"/>
        </w:rPr>
        <w:t>Effect of adjustment factors on premium rates in 201</w:t>
      </w:r>
      <w:r w:rsidR="0004361B">
        <w:rPr>
          <w:lang w:val="en-GB"/>
        </w:rPr>
        <w:t>6</w:t>
      </w:r>
      <w:r w:rsidRPr="00EF0A14">
        <w:rPr>
          <w:lang w:val="en-GB"/>
        </w:rPr>
        <w:t>–1</w:t>
      </w:r>
      <w:r w:rsidR="0004361B">
        <w:rPr>
          <w:lang w:val="en-GB"/>
        </w:rPr>
        <w:t>7</w:t>
      </w:r>
      <w:r w:rsidR="008258B8">
        <w:rPr>
          <w:lang w:val="en-GB"/>
        </w:rPr>
        <w:t xml:space="preserve"> </w:t>
      </w:r>
    </w:p>
    <w:tbl>
      <w:tblPr>
        <w:tblW w:w="9513" w:type="dxa"/>
        <w:tblInd w:w="93" w:type="dxa"/>
        <w:tblBorders>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575"/>
        <w:gridCol w:w="1630"/>
        <w:gridCol w:w="1630"/>
        <w:gridCol w:w="1559"/>
        <w:gridCol w:w="1559"/>
        <w:gridCol w:w="1560"/>
      </w:tblGrid>
      <w:tr w:rsidR="00FC3DB4" w:rsidRPr="007913A4" w14:paraId="5C8DA39B" w14:textId="77777777" w:rsidTr="0050228A">
        <w:trPr>
          <w:cantSplit/>
          <w:trHeight w:val="680"/>
          <w:tblHeader/>
        </w:trPr>
        <w:tc>
          <w:tcPr>
            <w:tcW w:w="1575" w:type="dxa"/>
            <w:tcBorders>
              <w:top w:val="nil"/>
              <w:bottom w:val="nil"/>
            </w:tcBorders>
            <w:shd w:val="clear" w:color="000000" w:fill="AF1E2D"/>
            <w:vAlign w:val="center"/>
            <w:hideMark/>
          </w:tcPr>
          <w:p w14:paraId="2D4D6A18"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Jurisdiction</w:t>
            </w:r>
          </w:p>
        </w:tc>
        <w:tc>
          <w:tcPr>
            <w:tcW w:w="3260" w:type="dxa"/>
            <w:gridSpan w:val="2"/>
            <w:shd w:val="clear" w:color="000000" w:fill="AF1E2D"/>
            <w:vAlign w:val="center"/>
            <w:hideMark/>
          </w:tcPr>
          <w:p w14:paraId="0DEBD996"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Average premium rates for premium paying sector</w:t>
            </w:r>
          </w:p>
        </w:tc>
        <w:tc>
          <w:tcPr>
            <w:tcW w:w="1559" w:type="dxa"/>
            <w:vMerge w:val="restart"/>
            <w:shd w:val="clear" w:color="000000" w:fill="AF1E2D"/>
            <w:vAlign w:val="center"/>
            <w:hideMark/>
          </w:tcPr>
          <w:p w14:paraId="2C07122E"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Total</w:t>
            </w:r>
            <w:r w:rsidR="00FC3DB4" w:rsidRPr="00FC3DB4">
              <w:rPr>
                <w:rFonts w:cs="Arial"/>
                <w:b/>
                <w:bCs/>
                <w:color w:val="FFFFFF"/>
                <w:sz w:val="18"/>
                <w:szCs w:val="18"/>
                <w:vertAlign w:val="superscript"/>
              </w:rPr>
              <w:t>(a)</w:t>
            </w:r>
            <w:r w:rsidRPr="007913A4">
              <w:rPr>
                <w:rFonts w:cs="Arial"/>
                <w:b/>
                <w:bCs/>
                <w:color w:val="FFFFFF"/>
                <w:sz w:val="18"/>
                <w:szCs w:val="18"/>
              </w:rPr>
              <w:t xml:space="preserve"> average premium rate</w:t>
            </w:r>
          </w:p>
        </w:tc>
        <w:tc>
          <w:tcPr>
            <w:tcW w:w="1559" w:type="dxa"/>
            <w:vMerge w:val="restart"/>
            <w:shd w:val="clear" w:color="000000" w:fill="AF1E2D"/>
            <w:vAlign w:val="center"/>
            <w:hideMark/>
          </w:tcPr>
          <w:p w14:paraId="26513B84"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Total</w:t>
            </w:r>
            <w:r w:rsidR="00FC3DB4">
              <w:rPr>
                <w:rFonts w:cs="Arial"/>
                <w:b/>
                <w:bCs/>
                <w:color w:val="FFFFFF"/>
                <w:sz w:val="18"/>
                <w:szCs w:val="18"/>
                <w:vertAlign w:val="superscript"/>
              </w:rPr>
              <w:t>(a)</w:t>
            </w:r>
            <w:r w:rsidRPr="007913A4">
              <w:rPr>
                <w:rFonts w:cs="Arial"/>
                <w:b/>
                <w:bCs/>
                <w:color w:val="FFFFFF"/>
                <w:sz w:val="18"/>
                <w:szCs w:val="18"/>
              </w:rPr>
              <w:t xml:space="preserve"> average premium rate adjusted for employer excess</w:t>
            </w:r>
          </w:p>
        </w:tc>
        <w:tc>
          <w:tcPr>
            <w:tcW w:w="1560" w:type="dxa"/>
            <w:vMerge w:val="restart"/>
            <w:shd w:val="clear" w:color="000000" w:fill="AF1E2D"/>
            <w:vAlign w:val="center"/>
            <w:hideMark/>
          </w:tcPr>
          <w:p w14:paraId="1564F166" w14:textId="77777777" w:rsidR="007913A4" w:rsidRPr="007913A4" w:rsidRDefault="00FC3DB4" w:rsidP="00FC3DB4">
            <w:pPr>
              <w:spacing w:before="0"/>
              <w:jc w:val="center"/>
              <w:rPr>
                <w:rFonts w:cs="Arial"/>
                <w:b/>
                <w:bCs/>
                <w:color w:val="FFFFFF"/>
                <w:sz w:val="18"/>
                <w:szCs w:val="18"/>
              </w:rPr>
            </w:pPr>
            <w:r>
              <w:rPr>
                <w:rFonts w:cs="Arial"/>
                <w:b/>
                <w:bCs/>
                <w:color w:val="FFFFFF"/>
                <w:sz w:val="18"/>
                <w:szCs w:val="18"/>
              </w:rPr>
              <w:t>T</w:t>
            </w:r>
            <w:r w:rsidR="007913A4" w:rsidRPr="007913A4">
              <w:rPr>
                <w:rFonts w:cs="Arial"/>
                <w:b/>
                <w:bCs/>
                <w:color w:val="FFFFFF"/>
                <w:sz w:val="18"/>
                <w:szCs w:val="18"/>
              </w:rPr>
              <w:t>otal</w:t>
            </w:r>
            <w:r>
              <w:rPr>
                <w:rFonts w:cs="Arial"/>
                <w:b/>
                <w:bCs/>
                <w:color w:val="FFFFFF"/>
                <w:sz w:val="18"/>
                <w:szCs w:val="18"/>
                <w:vertAlign w:val="superscript"/>
              </w:rPr>
              <w:t>(a)</w:t>
            </w:r>
            <w:r w:rsidR="007913A4" w:rsidRPr="007913A4">
              <w:rPr>
                <w:rFonts w:cs="Arial"/>
                <w:b/>
                <w:bCs/>
                <w:color w:val="FFFFFF"/>
                <w:sz w:val="18"/>
                <w:szCs w:val="18"/>
              </w:rPr>
              <w:t xml:space="preserve"> average premium rate adjusted for employer excess and journey claims</w:t>
            </w:r>
          </w:p>
        </w:tc>
      </w:tr>
      <w:tr w:rsidR="00FC3DB4" w:rsidRPr="007913A4" w14:paraId="2292E8D8" w14:textId="77777777" w:rsidTr="0050228A">
        <w:trPr>
          <w:trHeight w:val="737"/>
          <w:tblHeader/>
        </w:trPr>
        <w:tc>
          <w:tcPr>
            <w:tcW w:w="1575" w:type="dxa"/>
            <w:tcBorders>
              <w:top w:val="nil"/>
            </w:tcBorders>
            <w:shd w:val="clear" w:color="000000" w:fill="AF1E2D"/>
            <w:vAlign w:val="center"/>
            <w:hideMark/>
          </w:tcPr>
          <w:p w14:paraId="40CA4B13" w14:textId="77777777" w:rsidR="007913A4" w:rsidRPr="007913A4" w:rsidRDefault="007913A4" w:rsidP="00FC3DB4">
            <w:pPr>
              <w:spacing w:before="0"/>
              <w:jc w:val="center"/>
              <w:rPr>
                <w:rFonts w:cs="Arial"/>
                <w:b/>
                <w:bCs/>
                <w:color w:val="FFFFFF"/>
                <w:sz w:val="18"/>
                <w:szCs w:val="18"/>
              </w:rPr>
            </w:pPr>
          </w:p>
        </w:tc>
        <w:tc>
          <w:tcPr>
            <w:tcW w:w="1630" w:type="dxa"/>
            <w:shd w:val="clear" w:color="000000" w:fill="AF1E2D"/>
            <w:vAlign w:val="center"/>
            <w:hideMark/>
          </w:tcPr>
          <w:p w14:paraId="2BAEE29B"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Unadjusted</w:t>
            </w:r>
          </w:p>
        </w:tc>
        <w:tc>
          <w:tcPr>
            <w:tcW w:w="1630" w:type="dxa"/>
            <w:shd w:val="clear" w:color="000000" w:fill="AF1E2D"/>
            <w:vAlign w:val="center"/>
            <w:hideMark/>
          </w:tcPr>
          <w:p w14:paraId="6F3831D1"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Adjusted to include superannuation</w:t>
            </w:r>
          </w:p>
        </w:tc>
        <w:tc>
          <w:tcPr>
            <w:tcW w:w="1559" w:type="dxa"/>
            <w:vMerge/>
            <w:vAlign w:val="center"/>
            <w:hideMark/>
          </w:tcPr>
          <w:p w14:paraId="59DC1323" w14:textId="77777777" w:rsidR="007913A4" w:rsidRPr="007913A4" w:rsidRDefault="007913A4" w:rsidP="00FC3DB4">
            <w:pPr>
              <w:spacing w:before="0"/>
              <w:jc w:val="center"/>
              <w:rPr>
                <w:rFonts w:cs="Arial"/>
                <w:b/>
                <w:bCs/>
                <w:color w:val="FFFFFF"/>
                <w:sz w:val="18"/>
                <w:szCs w:val="18"/>
              </w:rPr>
            </w:pPr>
          </w:p>
        </w:tc>
        <w:tc>
          <w:tcPr>
            <w:tcW w:w="1559" w:type="dxa"/>
            <w:vMerge/>
            <w:vAlign w:val="center"/>
            <w:hideMark/>
          </w:tcPr>
          <w:p w14:paraId="6AD71B6D" w14:textId="77777777" w:rsidR="007913A4" w:rsidRPr="007913A4" w:rsidRDefault="007913A4" w:rsidP="00FC3DB4">
            <w:pPr>
              <w:spacing w:before="0"/>
              <w:jc w:val="center"/>
              <w:rPr>
                <w:rFonts w:cs="Arial"/>
                <w:b/>
                <w:bCs/>
                <w:color w:val="FFFFFF"/>
                <w:sz w:val="18"/>
                <w:szCs w:val="18"/>
              </w:rPr>
            </w:pPr>
          </w:p>
        </w:tc>
        <w:tc>
          <w:tcPr>
            <w:tcW w:w="1560" w:type="dxa"/>
            <w:vMerge/>
            <w:vAlign w:val="center"/>
            <w:hideMark/>
          </w:tcPr>
          <w:p w14:paraId="59440C26" w14:textId="77777777" w:rsidR="007913A4" w:rsidRPr="007913A4" w:rsidRDefault="007913A4" w:rsidP="00FC3DB4">
            <w:pPr>
              <w:spacing w:before="0"/>
              <w:jc w:val="center"/>
              <w:rPr>
                <w:rFonts w:cs="Arial"/>
                <w:b/>
                <w:bCs/>
                <w:color w:val="FFFFFF"/>
                <w:sz w:val="18"/>
                <w:szCs w:val="18"/>
              </w:rPr>
            </w:pPr>
          </w:p>
        </w:tc>
      </w:tr>
      <w:tr w:rsidR="00DF7579" w:rsidRPr="00DF7579" w14:paraId="7C94BF14" w14:textId="77777777" w:rsidTr="0050228A">
        <w:trPr>
          <w:trHeight w:val="439"/>
        </w:trPr>
        <w:tc>
          <w:tcPr>
            <w:tcW w:w="1575" w:type="dxa"/>
            <w:shd w:val="clear" w:color="auto" w:fill="808080" w:themeFill="background1" w:themeFillShade="80"/>
            <w:noWrap/>
            <w:vAlign w:val="center"/>
            <w:hideMark/>
          </w:tcPr>
          <w:p w14:paraId="78FB748A" w14:textId="77777777" w:rsidR="007913A4" w:rsidRPr="007913A4" w:rsidRDefault="007913A4" w:rsidP="00FC3DB4">
            <w:pPr>
              <w:spacing w:before="0"/>
              <w:jc w:val="center"/>
              <w:rPr>
                <w:rFonts w:cs="Arial"/>
                <w:b/>
                <w:color w:val="FFFFFF" w:themeColor="background1"/>
                <w:sz w:val="18"/>
                <w:szCs w:val="18"/>
              </w:rPr>
            </w:pPr>
          </w:p>
        </w:tc>
        <w:tc>
          <w:tcPr>
            <w:tcW w:w="1630" w:type="dxa"/>
            <w:shd w:val="clear" w:color="auto" w:fill="808080" w:themeFill="background1" w:themeFillShade="80"/>
            <w:noWrap/>
            <w:vAlign w:val="center"/>
            <w:hideMark/>
          </w:tcPr>
          <w:p w14:paraId="61B2DCAC" w14:textId="77777777"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1</w:t>
            </w:r>
          </w:p>
        </w:tc>
        <w:tc>
          <w:tcPr>
            <w:tcW w:w="1630" w:type="dxa"/>
            <w:shd w:val="clear" w:color="auto" w:fill="808080" w:themeFill="background1" w:themeFillShade="80"/>
            <w:noWrap/>
            <w:vAlign w:val="center"/>
            <w:hideMark/>
          </w:tcPr>
          <w:p w14:paraId="25C8AD25" w14:textId="77777777"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2</w:t>
            </w:r>
          </w:p>
        </w:tc>
        <w:tc>
          <w:tcPr>
            <w:tcW w:w="1559" w:type="dxa"/>
            <w:shd w:val="clear" w:color="auto" w:fill="808080" w:themeFill="background1" w:themeFillShade="80"/>
            <w:noWrap/>
            <w:vAlign w:val="center"/>
            <w:hideMark/>
          </w:tcPr>
          <w:p w14:paraId="1EA7252F" w14:textId="77777777"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3</w:t>
            </w:r>
          </w:p>
        </w:tc>
        <w:tc>
          <w:tcPr>
            <w:tcW w:w="1559" w:type="dxa"/>
            <w:shd w:val="clear" w:color="auto" w:fill="808080" w:themeFill="background1" w:themeFillShade="80"/>
            <w:noWrap/>
            <w:vAlign w:val="center"/>
            <w:hideMark/>
          </w:tcPr>
          <w:p w14:paraId="0D4A2D28" w14:textId="77777777"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4</w:t>
            </w:r>
          </w:p>
        </w:tc>
        <w:tc>
          <w:tcPr>
            <w:tcW w:w="1560" w:type="dxa"/>
            <w:shd w:val="clear" w:color="auto" w:fill="808080" w:themeFill="background1" w:themeFillShade="80"/>
            <w:noWrap/>
            <w:vAlign w:val="center"/>
            <w:hideMark/>
          </w:tcPr>
          <w:p w14:paraId="71B30A08" w14:textId="77777777"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5</w:t>
            </w:r>
          </w:p>
        </w:tc>
      </w:tr>
      <w:tr w:rsidR="00FC3DB4" w:rsidRPr="007913A4" w14:paraId="2350DFF2" w14:textId="77777777" w:rsidTr="0050228A">
        <w:trPr>
          <w:trHeight w:val="439"/>
        </w:trPr>
        <w:tc>
          <w:tcPr>
            <w:tcW w:w="1575" w:type="dxa"/>
            <w:shd w:val="clear" w:color="auto" w:fill="auto"/>
            <w:noWrap/>
            <w:vAlign w:val="center"/>
            <w:hideMark/>
          </w:tcPr>
          <w:p w14:paraId="71734AF0" w14:textId="77777777" w:rsidR="007913A4" w:rsidRPr="007913A4" w:rsidRDefault="007913A4" w:rsidP="007913A4">
            <w:pPr>
              <w:spacing w:before="0"/>
              <w:jc w:val="left"/>
              <w:rPr>
                <w:rFonts w:cs="Arial"/>
                <w:color w:val="000000"/>
                <w:sz w:val="18"/>
                <w:szCs w:val="18"/>
                <w:vertAlign w:val="superscript"/>
              </w:rPr>
            </w:pPr>
            <w:r w:rsidRPr="007913A4">
              <w:rPr>
                <w:rFonts w:cs="Arial"/>
                <w:color w:val="000000"/>
                <w:sz w:val="18"/>
                <w:szCs w:val="18"/>
              </w:rPr>
              <w:t>NSW</w:t>
            </w:r>
            <w:r w:rsidR="00FC3DB4">
              <w:rPr>
                <w:rFonts w:cs="Arial"/>
                <w:color w:val="000000"/>
                <w:sz w:val="18"/>
                <w:szCs w:val="18"/>
                <w:vertAlign w:val="superscript"/>
              </w:rPr>
              <w:t>(b)</w:t>
            </w:r>
          </w:p>
        </w:tc>
        <w:tc>
          <w:tcPr>
            <w:tcW w:w="1630" w:type="dxa"/>
            <w:shd w:val="clear" w:color="auto" w:fill="auto"/>
            <w:noWrap/>
            <w:vAlign w:val="center"/>
            <w:hideMark/>
          </w:tcPr>
          <w:p w14:paraId="6F0ECFF2" w14:textId="77EE9226"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2</w:t>
            </w:r>
            <w:r w:rsidR="0004361B">
              <w:rPr>
                <w:rFonts w:cs="Arial"/>
                <w:color w:val="000000"/>
                <w:sz w:val="18"/>
                <w:szCs w:val="18"/>
              </w:rPr>
              <w:t>7</w:t>
            </w:r>
          </w:p>
        </w:tc>
        <w:tc>
          <w:tcPr>
            <w:tcW w:w="1630" w:type="dxa"/>
            <w:shd w:val="clear" w:color="auto" w:fill="auto"/>
            <w:noWrap/>
            <w:vAlign w:val="center"/>
            <w:hideMark/>
          </w:tcPr>
          <w:p w14:paraId="264C735F" w14:textId="4C79AE5E"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2</w:t>
            </w:r>
            <w:r w:rsidR="0004361B">
              <w:rPr>
                <w:rFonts w:cs="Arial"/>
                <w:color w:val="000000"/>
                <w:sz w:val="18"/>
                <w:szCs w:val="18"/>
              </w:rPr>
              <w:t>7</w:t>
            </w:r>
          </w:p>
        </w:tc>
        <w:tc>
          <w:tcPr>
            <w:tcW w:w="1559" w:type="dxa"/>
            <w:shd w:val="clear" w:color="auto" w:fill="auto"/>
            <w:noWrap/>
            <w:vAlign w:val="center"/>
            <w:hideMark/>
          </w:tcPr>
          <w:p w14:paraId="5DF2D21C" w14:textId="2382AF4C"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40</w:t>
            </w:r>
          </w:p>
        </w:tc>
        <w:tc>
          <w:tcPr>
            <w:tcW w:w="1559" w:type="dxa"/>
            <w:shd w:val="clear" w:color="auto" w:fill="auto"/>
            <w:noWrap/>
            <w:vAlign w:val="center"/>
            <w:hideMark/>
          </w:tcPr>
          <w:p w14:paraId="47736AC4" w14:textId="4DC45F6E"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40</w:t>
            </w:r>
          </w:p>
        </w:tc>
        <w:tc>
          <w:tcPr>
            <w:tcW w:w="1560" w:type="dxa"/>
            <w:shd w:val="clear" w:color="auto" w:fill="auto"/>
            <w:noWrap/>
            <w:vAlign w:val="center"/>
            <w:hideMark/>
          </w:tcPr>
          <w:p w14:paraId="31D3BEF1" w14:textId="5615A1E2"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40</w:t>
            </w:r>
          </w:p>
        </w:tc>
      </w:tr>
      <w:tr w:rsidR="00FC3DB4" w:rsidRPr="007913A4" w14:paraId="38B65BD5" w14:textId="77777777" w:rsidTr="0050228A">
        <w:trPr>
          <w:trHeight w:val="439"/>
        </w:trPr>
        <w:tc>
          <w:tcPr>
            <w:tcW w:w="1575" w:type="dxa"/>
            <w:shd w:val="clear" w:color="000000" w:fill="EFD3D2"/>
            <w:noWrap/>
            <w:vAlign w:val="center"/>
            <w:hideMark/>
          </w:tcPr>
          <w:p w14:paraId="70AC09D3" w14:textId="77777777" w:rsidR="007913A4" w:rsidRPr="007913A4" w:rsidRDefault="00FC3DB4" w:rsidP="007913A4">
            <w:pPr>
              <w:spacing w:before="0"/>
              <w:jc w:val="left"/>
              <w:rPr>
                <w:rFonts w:cs="Arial"/>
                <w:color w:val="000000"/>
                <w:sz w:val="18"/>
                <w:szCs w:val="18"/>
              </w:rPr>
            </w:pPr>
            <w:r>
              <w:rPr>
                <w:rFonts w:cs="Arial"/>
                <w:color w:val="000000"/>
                <w:sz w:val="18"/>
                <w:szCs w:val="18"/>
              </w:rPr>
              <w:t>Vic</w:t>
            </w:r>
          </w:p>
        </w:tc>
        <w:tc>
          <w:tcPr>
            <w:tcW w:w="1630" w:type="dxa"/>
            <w:shd w:val="clear" w:color="000000" w:fill="EFD3D2"/>
            <w:noWrap/>
            <w:vAlign w:val="center"/>
            <w:hideMark/>
          </w:tcPr>
          <w:p w14:paraId="1301C55D" w14:textId="51D28F73" w:rsidR="007913A4" w:rsidRPr="007913A4" w:rsidRDefault="007913A4" w:rsidP="0004361B">
            <w:pPr>
              <w:spacing w:before="0"/>
              <w:jc w:val="right"/>
              <w:rPr>
                <w:rFonts w:cs="Arial"/>
                <w:color w:val="000000"/>
                <w:sz w:val="18"/>
                <w:szCs w:val="18"/>
              </w:rPr>
            </w:pPr>
            <w:r w:rsidRPr="007913A4">
              <w:rPr>
                <w:rFonts w:cs="Arial"/>
                <w:color w:val="000000"/>
                <w:sz w:val="18"/>
                <w:szCs w:val="18"/>
              </w:rPr>
              <w:t>1.3</w:t>
            </w:r>
            <w:r w:rsidR="0004361B">
              <w:rPr>
                <w:rFonts w:cs="Arial"/>
                <w:color w:val="000000"/>
                <w:sz w:val="18"/>
                <w:szCs w:val="18"/>
              </w:rPr>
              <w:t>3</w:t>
            </w:r>
          </w:p>
        </w:tc>
        <w:tc>
          <w:tcPr>
            <w:tcW w:w="1630" w:type="dxa"/>
            <w:shd w:val="clear" w:color="000000" w:fill="EFD3D2"/>
            <w:noWrap/>
            <w:vAlign w:val="center"/>
            <w:hideMark/>
          </w:tcPr>
          <w:p w14:paraId="45FD2EDE" w14:textId="7DC48D50" w:rsidR="007913A4" w:rsidRPr="007913A4" w:rsidRDefault="007913A4" w:rsidP="0004361B">
            <w:pPr>
              <w:spacing w:before="0"/>
              <w:jc w:val="right"/>
              <w:rPr>
                <w:rFonts w:cs="Arial"/>
                <w:color w:val="000000"/>
                <w:sz w:val="18"/>
                <w:szCs w:val="18"/>
              </w:rPr>
            </w:pPr>
            <w:r w:rsidRPr="007913A4">
              <w:rPr>
                <w:rFonts w:cs="Arial"/>
                <w:color w:val="000000"/>
                <w:sz w:val="18"/>
                <w:szCs w:val="18"/>
              </w:rPr>
              <w:t>1.3</w:t>
            </w:r>
            <w:r w:rsidR="0004361B">
              <w:rPr>
                <w:rFonts w:cs="Arial"/>
                <w:color w:val="000000"/>
                <w:sz w:val="18"/>
                <w:szCs w:val="18"/>
              </w:rPr>
              <w:t>3</w:t>
            </w:r>
          </w:p>
        </w:tc>
        <w:tc>
          <w:tcPr>
            <w:tcW w:w="1559" w:type="dxa"/>
            <w:shd w:val="clear" w:color="000000" w:fill="EFD3D2"/>
            <w:noWrap/>
            <w:vAlign w:val="center"/>
            <w:hideMark/>
          </w:tcPr>
          <w:p w14:paraId="1CFBC953" w14:textId="77777777" w:rsidR="007913A4" w:rsidRPr="007913A4" w:rsidRDefault="007913A4" w:rsidP="002D4A73">
            <w:pPr>
              <w:spacing w:before="0"/>
              <w:jc w:val="right"/>
              <w:rPr>
                <w:rFonts w:cs="Arial"/>
                <w:color w:val="000000"/>
                <w:sz w:val="18"/>
                <w:szCs w:val="18"/>
              </w:rPr>
            </w:pPr>
            <w:r w:rsidRPr="007913A4">
              <w:rPr>
                <w:rFonts w:cs="Arial"/>
                <w:color w:val="000000"/>
                <w:sz w:val="18"/>
                <w:szCs w:val="18"/>
              </w:rPr>
              <w:t>1.2</w:t>
            </w:r>
            <w:r w:rsidR="002D4A73">
              <w:rPr>
                <w:rFonts w:cs="Arial"/>
                <w:color w:val="000000"/>
                <w:sz w:val="18"/>
                <w:szCs w:val="18"/>
              </w:rPr>
              <w:t>8</w:t>
            </w:r>
          </w:p>
        </w:tc>
        <w:tc>
          <w:tcPr>
            <w:tcW w:w="1559" w:type="dxa"/>
            <w:shd w:val="clear" w:color="000000" w:fill="EFD3D2"/>
            <w:noWrap/>
            <w:vAlign w:val="center"/>
            <w:hideMark/>
          </w:tcPr>
          <w:p w14:paraId="0267445B"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1.31</w:t>
            </w:r>
          </w:p>
        </w:tc>
        <w:tc>
          <w:tcPr>
            <w:tcW w:w="1560" w:type="dxa"/>
            <w:shd w:val="clear" w:color="000000" w:fill="EFD3D2"/>
            <w:noWrap/>
            <w:vAlign w:val="center"/>
            <w:hideMark/>
          </w:tcPr>
          <w:p w14:paraId="4EB60A4F"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1.31</w:t>
            </w:r>
          </w:p>
        </w:tc>
      </w:tr>
      <w:tr w:rsidR="00FC3DB4" w:rsidRPr="007913A4" w14:paraId="18DA9A8F" w14:textId="77777777" w:rsidTr="0050228A">
        <w:trPr>
          <w:trHeight w:val="439"/>
        </w:trPr>
        <w:tc>
          <w:tcPr>
            <w:tcW w:w="1575" w:type="dxa"/>
            <w:shd w:val="clear" w:color="auto" w:fill="auto"/>
            <w:noWrap/>
            <w:vAlign w:val="center"/>
            <w:hideMark/>
          </w:tcPr>
          <w:p w14:paraId="46EDD0C5" w14:textId="77777777" w:rsidR="007913A4" w:rsidRPr="007913A4" w:rsidRDefault="007913A4" w:rsidP="00FC3DB4">
            <w:pPr>
              <w:spacing w:before="0"/>
              <w:jc w:val="left"/>
              <w:rPr>
                <w:rFonts w:cs="Arial"/>
                <w:color w:val="000000"/>
                <w:sz w:val="18"/>
                <w:szCs w:val="18"/>
                <w:vertAlign w:val="superscript"/>
              </w:rPr>
            </w:pPr>
            <w:r w:rsidRPr="007913A4">
              <w:rPr>
                <w:rFonts w:cs="Arial"/>
                <w:color w:val="000000"/>
                <w:sz w:val="18"/>
                <w:szCs w:val="18"/>
              </w:rPr>
              <w:t>Q</w:t>
            </w:r>
            <w:r w:rsidR="00FC3DB4">
              <w:rPr>
                <w:rFonts w:cs="Arial"/>
                <w:color w:val="000000"/>
                <w:sz w:val="18"/>
                <w:szCs w:val="18"/>
              </w:rPr>
              <w:t>ld</w:t>
            </w:r>
            <w:r w:rsidR="00FC3DB4">
              <w:rPr>
                <w:rFonts w:cs="Arial"/>
                <w:color w:val="000000"/>
                <w:sz w:val="18"/>
                <w:szCs w:val="18"/>
                <w:vertAlign w:val="superscript"/>
              </w:rPr>
              <w:t xml:space="preserve">(c) </w:t>
            </w:r>
          </w:p>
        </w:tc>
        <w:tc>
          <w:tcPr>
            <w:tcW w:w="1630" w:type="dxa"/>
            <w:shd w:val="clear" w:color="auto" w:fill="auto"/>
            <w:noWrap/>
            <w:vAlign w:val="center"/>
            <w:hideMark/>
          </w:tcPr>
          <w:p w14:paraId="2C6EFFF7"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1.20</w:t>
            </w:r>
          </w:p>
        </w:tc>
        <w:tc>
          <w:tcPr>
            <w:tcW w:w="1630" w:type="dxa"/>
            <w:shd w:val="clear" w:color="auto" w:fill="auto"/>
            <w:noWrap/>
            <w:vAlign w:val="center"/>
            <w:hideMark/>
          </w:tcPr>
          <w:p w14:paraId="395E7DDF"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1.20</w:t>
            </w:r>
          </w:p>
        </w:tc>
        <w:tc>
          <w:tcPr>
            <w:tcW w:w="1559" w:type="dxa"/>
            <w:shd w:val="clear" w:color="auto" w:fill="auto"/>
            <w:noWrap/>
            <w:vAlign w:val="center"/>
            <w:hideMark/>
          </w:tcPr>
          <w:p w14:paraId="790FB75D" w14:textId="266E5734" w:rsidR="007913A4" w:rsidRPr="007913A4" w:rsidRDefault="007913A4" w:rsidP="0004361B">
            <w:pPr>
              <w:spacing w:before="0"/>
              <w:jc w:val="right"/>
              <w:rPr>
                <w:rFonts w:cs="Arial"/>
                <w:color w:val="000000"/>
                <w:sz w:val="18"/>
                <w:szCs w:val="18"/>
              </w:rPr>
            </w:pPr>
            <w:r w:rsidRPr="007913A4">
              <w:rPr>
                <w:rFonts w:cs="Arial"/>
                <w:color w:val="000000"/>
                <w:sz w:val="18"/>
                <w:szCs w:val="18"/>
              </w:rPr>
              <w:t>1.2</w:t>
            </w:r>
            <w:r w:rsidR="0004361B">
              <w:rPr>
                <w:rFonts w:cs="Arial"/>
                <w:color w:val="000000"/>
                <w:sz w:val="18"/>
                <w:szCs w:val="18"/>
              </w:rPr>
              <w:t>8</w:t>
            </w:r>
          </w:p>
        </w:tc>
        <w:tc>
          <w:tcPr>
            <w:tcW w:w="1559" w:type="dxa"/>
            <w:shd w:val="clear" w:color="auto" w:fill="auto"/>
            <w:noWrap/>
            <w:vAlign w:val="center"/>
            <w:hideMark/>
          </w:tcPr>
          <w:p w14:paraId="6AFA6571" w14:textId="06721D6B" w:rsidR="007913A4" w:rsidRPr="007913A4" w:rsidRDefault="007913A4" w:rsidP="0004361B">
            <w:pPr>
              <w:spacing w:before="0"/>
              <w:jc w:val="right"/>
              <w:rPr>
                <w:rFonts w:cs="Arial"/>
                <w:color w:val="000000"/>
                <w:sz w:val="18"/>
                <w:szCs w:val="18"/>
              </w:rPr>
            </w:pPr>
            <w:r w:rsidRPr="007913A4">
              <w:rPr>
                <w:rFonts w:cs="Arial"/>
                <w:color w:val="000000"/>
                <w:sz w:val="18"/>
                <w:szCs w:val="18"/>
              </w:rPr>
              <w:t>1.2</w:t>
            </w:r>
            <w:r w:rsidR="0004361B">
              <w:rPr>
                <w:rFonts w:cs="Arial"/>
                <w:color w:val="000000"/>
                <w:sz w:val="18"/>
                <w:szCs w:val="18"/>
              </w:rPr>
              <w:t>8</w:t>
            </w:r>
          </w:p>
        </w:tc>
        <w:tc>
          <w:tcPr>
            <w:tcW w:w="1560" w:type="dxa"/>
            <w:shd w:val="clear" w:color="auto" w:fill="auto"/>
            <w:noWrap/>
            <w:vAlign w:val="center"/>
            <w:hideMark/>
          </w:tcPr>
          <w:p w14:paraId="2312873B" w14:textId="28200FA2"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20</w:t>
            </w:r>
          </w:p>
        </w:tc>
      </w:tr>
      <w:tr w:rsidR="00FC3DB4" w:rsidRPr="007913A4" w14:paraId="4B6D58C1" w14:textId="77777777" w:rsidTr="0050228A">
        <w:trPr>
          <w:trHeight w:val="439"/>
        </w:trPr>
        <w:tc>
          <w:tcPr>
            <w:tcW w:w="1575" w:type="dxa"/>
            <w:shd w:val="clear" w:color="000000" w:fill="EFD3D2"/>
            <w:noWrap/>
            <w:vAlign w:val="center"/>
            <w:hideMark/>
          </w:tcPr>
          <w:p w14:paraId="1568154D" w14:textId="77777777" w:rsidR="007913A4" w:rsidRPr="007913A4" w:rsidRDefault="00FC3DB4" w:rsidP="007913A4">
            <w:pPr>
              <w:spacing w:before="0"/>
              <w:jc w:val="left"/>
              <w:rPr>
                <w:rFonts w:cs="Arial"/>
                <w:color w:val="000000"/>
                <w:sz w:val="18"/>
                <w:szCs w:val="18"/>
              </w:rPr>
            </w:pPr>
            <w:r>
              <w:rPr>
                <w:rFonts w:cs="Arial"/>
                <w:color w:val="000000"/>
                <w:sz w:val="18"/>
                <w:szCs w:val="18"/>
              </w:rPr>
              <w:t>WA</w:t>
            </w:r>
          </w:p>
        </w:tc>
        <w:tc>
          <w:tcPr>
            <w:tcW w:w="1630" w:type="dxa"/>
            <w:shd w:val="clear" w:color="000000" w:fill="EFD3D2"/>
            <w:noWrap/>
            <w:vAlign w:val="center"/>
            <w:hideMark/>
          </w:tcPr>
          <w:p w14:paraId="5505EB09" w14:textId="2B2FFF5F"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27</w:t>
            </w:r>
          </w:p>
        </w:tc>
        <w:tc>
          <w:tcPr>
            <w:tcW w:w="1630" w:type="dxa"/>
            <w:shd w:val="clear" w:color="000000" w:fill="EFD3D2"/>
            <w:noWrap/>
            <w:vAlign w:val="center"/>
            <w:hideMark/>
          </w:tcPr>
          <w:p w14:paraId="5F169DB9" w14:textId="5727D220"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w:t>
            </w:r>
            <w:r w:rsidR="0004361B">
              <w:rPr>
                <w:rFonts w:cs="Arial"/>
                <w:color w:val="000000"/>
                <w:sz w:val="18"/>
                <w:szCs w:val="18"/>
              </w:rPr>
              <w:t>6</w:t>
            </w:r>
          </w:p>
        </w:tc>
        <w:tc>
          <w:tcPr>
            <w:tcW w:w="1559" w:type="dxa"/>
            <w:shd w:val="clear" w:color="000000" w:fill="EFD3D2"/>
            <w:noWrap/>
            <w:vAlign w:val="center"/>
            <w:hideMark/>
          </w:tcPr>
          <w:p w14:paraId="01AD99CD" w14:textId="10751AA2"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w:t>
            </w:r>
            <w:r w:rsidR="0004361B">
              <w:rPr>
                <w:rFonts w:cs="Arial"/>
                <w:color w:val="000000"/>
                <w:sz w:val="18"/>
                <w:szCs w:val="18"/>
              </w:rPr>
              <w:t>7</w:t>
            </w:r>
          </w:p>
        </w:tc>
        <w:tc>
          <w:tcPr>
            <w:tcW w:w="1559" w:type="dxa"/>
            <w:shd w:val="clear" w:color="000000" w:fill="EFD3D2"/>
            <w:noWrap/>
            <w:vAlign w:val="center"/>
            <w:hideMark/>
          </w:tcPr>
          <w:p w14:paraId="7BF20DE8" w14:textId="2DA72C58"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w:t>
            </w:r>
            <w:r w:rsidR="0004361B">
              <w:rPr>
                <w:rFonts w:cs="Arial"/>
                <w:color w:val="000000"/>
                <w:sz w:val="18"/>
                <w:szCs w:val="18"/>
              </w:rPr>
              <w:t>4</w:t>
            </w:r>
          </w:p>
        </w:tc>
        <w:tc>
          <w:tcPr>
            <w:tcW w:w="1560" w:type="dxa"/>
            <w:shd w:val="clear" w:color="000000" w:fill="EFD3D2"/>
            <w:noWrap/>
            <w:vAlign w:val="center"/>
            <w:hideMark/>
          </w:tcPr>
          <w:p w14:paraId="100C8595" w14:textId="72E5FDBA"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w:t>
            </w:r>
            <w:r w:rsidR="0004361B">
              <w:rPr>
                <w:rFonts w:cs="Arial"/>
                <w:color w:val="000000"/>
                <w:sz w:val="18"/>
                <w:szCs w:val="18"/>
              </w:rPr>
              <w:t>4</w:t>
            </w:r>
          </w:p>
        </w:tc>
      </w:tr>
      <w:tr w:rsidR="00FC3DB4" w:rsidRPr="007913A4" w14:paraId="7EDFA0F7" w14:textId="77777777" w:rsidTr="0050228A">
        <w:trPr>
          <w:trHeight w:val="439"/>
        </w:trPr>
        <w:tc>
          <w:tcPr>
            <w:tcW w:w="1575" w:type="dxa"/>
            <w:shd w:val="clear" w:color="auto" w:fill="auto"/>
            <w:noWrap/>
            <w:vAlign w:val="center"/>
            <w:hideMark/>
          </w:tcPr>
          <w:p w14:paraId="3CF2C3B9" w14:textId="77777777" w:rsidR="007913A4" w:rsidRPr="007913A4" w:rsidRDefault="00FC3DB4" w:rsidP="007913A4">
            <w:pPr>
              <w:spacing w:before="0"/>
              <w:jc w:val="left"/>
              <w:rPr>
                <w:rFonts w:cs="Arial"/>
                <w:color w:val="000000"/>
                <w:sz w:val="18"/>
                <w:szCs w:val="18"/>
              </w:rPr>
            </w:pPr>
            <w:r>
              <w:rPr>
                <w:rFonts w:cs="Arial"/>
                <w:color w:val="000000"/>
                <w:sz w:val="18"/>
                <w:szCs w:val="18"/>
              </w:rPr>
              <w:t>SA</w:t>
            </w:r>
          </w:p>
        </w:tc>
        <w:tc>
          <w:tcPr>
            <w:tcW w:w="1630" w:type="dxa"/>
            <w:shd w:val="clear" w:color="auto" w:fill="auto"/>
            <w:noWrap/>
            <w:vAlign w:val="center"/>
            <w:hideMark/>
          </w:tcPr>
          <w:p w14:paraId="484B615B" w14:textId="418D6917" w:rsidR="007913A4" w:rsidRPr="007913A4" w:rsidRDefault="007913A4" w:rsidP="0004361B">
            <w:pPr>
              <w:spacing w:before="0"/>
              <w:jc w:val="right"/>
              <w:rPr>
                <w:rFonts w:cs="Arial"/>
                <w:color w:val="000000"/>
                <w:sz w:val="18"/>
                <w:szCs w:val="18"/>
              </w:rPr>
            </w:pPr>
            <w:r w:rsidRPr="007913A4">
              <w:rPr>
                <w:rFonts w:cs="Arial"/>
                <w:color w:val="000000"/>
                <w:sz w:val="18"/>
                <w:szCs w:val="18"/>
              </w:rPr>
              <w:t>2.</w:t>
            </w:r>
            <w:r w:rsidR="0004361B">
              <w:rPr>
                <w:rFonts w:cs="Arial"/>
                <w:color w:val="000000"/>
                <w:sz w:val="18"/>
                <w:szCs w:val="18"/>
              </w:rPr>
              <w:t>18</w:t>
            </w:r>
          </w:p>
        </w:tc>
        <w:tc>
          <w:tcPr>
            <w:tcW w:w="1630" w:type="dxa"/>
            <w:shd w:val="clear" w:color="auto" w:fill="auto"/>
            <w:noWrap/>
            <w:vAlign w:val="center"/>
            <w:hideMark/>
          </w:tcPr>
          <w:p w14:paraId="0EE2AF09" w14:textId="07388C2D" w:rsidR="007913A4" w:rsidRPr="007913A4" w:rsidRDefault="007913A4" w:rsidP="0004361B">
            <w:pPr>
              <w:spacing w:before="0"/>
              <w:jc w:val="right"/>
              <w:rPr>
                <w:rFonts w:cs="Arial"/>
                <w:color w:val="000000"/>
                <w:sz w:val="18"/>
                <w:szCs w:val="18"/>
              </w:rPr>
            </w:pPr>
            <w:r w:rsidRPr="007913A4">
              <w:rPr>
                <w:rFonts w:cs="Arial"/>
                <w:color w:val="000000"/>
                <w:sz w:val="18"/>
                <w:szCs w:val="18"/>
              </w:rPr>
              <w:t>2</w:t>
            </w:r>
            <w:r w:rsidR="0004361B">
              <w:rPr>
                <w:rFonts w:cs="Arial"/>
                <w:color w:val="000000"/>
                <w:sz w:val="18"/>
                <w:szCs w:val="18"/>
              </w:rPr>
              <w:t>.18</w:t>
            </w:r>
          </w:p>
        </w:tc>
        <w:tc>
          <w:tcPr>
            <w:tcW w:w="1559" w:type="dxa"/>
            <w:shd w:val="clear" w:color="auto" w:fill="auto"/>
            <w:noWrap/>
            <w:vAlign w:val="center"/>
            <w:hideMark/>
          </w:tcPr>
          <w:p w14:paraId="2961B0FB" w14:textId="7DA7A36A" w:rsidR="007913A4" w:rsidRPr="007913A4" w:rsidRDefault="002D4A73" w:rsidP="0004361B">
            <w:pPr>
              <w:spacing w:before="0"/>
              <w:jc w:val="right"/>
              <w:rPr>
                <w:rFonts w:cs="Arial"/>
                <w:color w:val="000000"/>
                <w:sz w:val="18"/>
                <w:szCs w:val="18"/>
              </w:rPr>
            </w:pPr>
            <w:r>
              <w:rPr>
                <w:rFonts w:cs="Arial"/>
                <w:color w:val="000000"/>
                <w:sz w:val="18"/>
                <w:szCs w:val="18"/>
              </w:rPr>
              <w:t>1.</w:t>
            </w:r>
            <w:r w:rsidR="0004361B">
              <w:rPr>
                <w:rFonts w:cs="Arial"/>
                <w:color w:val="000000"/>
                <w:sz w:val="18"/>
                <w:szCs w:val="18"/>
              </w:rPr>
              <w:t>90</w:t>
            </w:r>
          </w:p>
        </w:tc>
        <w:tc>
          <w:tcPr>
            <w:tcW w:w="1559" w:type="dxa"/>
            <w:shd w:val="clear" w:color="auto" w:fill="auto"/>
            <w:noWrap/>
            <w:vAlign w:val="center"/>
            <w:hideMark/>
          </w:tcPr>
          <w:p w14:paraId="23CF5651" w14:textId="74C52AFE" w:rsidR="007913A4" w:rsidRPr="007913A4" w:rsidRDefault="002D4A73" w:rsidP="0004361B">
            <w:pPr>
              <w:spacing w:before="0"/>
              <w:jc w:val="right"/>
              <w:rPr>
                <w:rFonts w:cs="Arial"/>
                <w:color w:val="000000"/>
                <w:sz w:val="18"/>
                <w:szCs w:val="18"/>
              </w:rPr>
            </w:pPr>
            <w:r>
              <w:rPr>
                <w:rFonts w:cs="Arial"/>
                <w:color w:val="000000"/>
                <w:sz w:val="18"/>
                <w:szCs w:val="18"/>
              </w:rPr>
              <w:t>1.</w:t>
            </w:r>
            <w:r w:rsidR="0004361B">
              <w:rPr>
                <w:rFonts w:cs="Arial"/>
                <w:color w:val="000000"/>
                <w:sz w:val="18"/>
                <w:szCs w:val="18"/>
              </w:rPr>
              <w:t>93</w:t>
            </w:r>
          </w:p>
        </w:tc>
        <w:tc>
          <w:tcPr>
            <w:tcW w:w="1560" w:type="dxa"/>
            <w:shd w:val="clear" w:color="auto" w:fill="auto"/>
            <w:noWrap/>
            <w:vAlign w:val="center"/>
            <w:hideMark/>
          </w:tcPr>
          <w:p w14:paraId="642F1FB0" w14:textId="1591D26D" w:rsidR="007913A4" w:rsidRPr="007913A4" w:rsidRDefault="002D4A73" w:rsidP="0004361B">
            <w:pPr>
              <w:spacing w:before="0"/>
              <w:jc w:val="right"/>
              <w:rPr>
                <w:rFonts w:cs="Arial"/>
                <w:color w:val="000000"/>
                <w:sz w:val="18"/>
                <w:szCs w:val="18"/>
              </w:rPr>
            </w:pPr>
            <w:r>
              <w:rPr>
                <w:rFonts w:cs="Arial"/>
                <w:color w:val="000000"/>
                <w:sz w:val="18"/>
                <w:szCs w:val="18"/>
              </w:rPr>
              <w:t>1.</w:t>
            </w:r>
            <w:r w:rsidR="0004361B">
              <w:rPr>
                <w:rFonts w:cs="Arial"/>
                <w:color w:val="000000"/>
                <w:sz w:val="18"/>
                <w:szCs w:val="18"/>
              </w:rPr>
              <w:t>93</w:t>
            </w:r>
          </w:p>
        </w:tc>
      </w:tr>
      <w:tr w:rsidR="00FC3DB4" w:rsidRPr="007913A4" w14:paraId="6340577E" w14:textId="77777777" w:rsidTr="0050228A">
        <w:trPr>
          <w:trHeight w:val="439"/>
        </w:trPr>
        <w:tc>
          <w:tcPr>
            <w:tcW w:w="1575" w:type="dxa"/>
            <w:shd w:val="clear" w:color="000000" w:fill="EFD3D2"/>
            <w:noWrap/>
            <w:vAlign w:val="center"/>
            <w:hideMark/>
          </w:tcPr>
          <w:p w14:paraId="642F1180" w14:textId="77777777" w:rsidR="007913A4" w:rsidRPr="007913A4" w:rsidRDefault="007913A4" w:rsidP="00FC3DB4">
            <w:pPr>
              <w:spacing w:before="0"/>
              <w:jc w:val="left"/>
              <w:rPr>
                <w:rFonts w:cs="Arial"/>
                <w:color w:val="000000"/>
                <w:sz w:val="18"/>
                <w:szCs w:val="18"/>
              </w:rPr>
            </w:pPr>
            <w:r w:rsidRPr="007913A4">
              <w:rPr>
                <w:rFonts w:cs="Arial"/>
                <w:color w:val="000000"/>
                <w:sz w:val="18"/>
                <w:szCs w:val="18"/>
              </w:rPr>
              <w:t>Ta</w:t>
            </w:r>
            <w:r w:rsidR="00FC3DB4">
              <w:rPr>
                <w:rFonts w:cs="Arial"/>
                <w:color w:val="000000"/>
                <w:sz w:val="18"/>
                <w:szCs w:val="18"/>
              </w:rPr>
              <w:t>s</w:t>
            </w:r>
          </w:p>
        </w:tc>
        <w:tc>
          <w:tcPr>
            <w:tcW w:w="1630" w:type="dxa"/>
            <w:shd w:val="clear" w:color="000000" w:fill="EFD3D2"/>
            <w:noWrap/>
            <w:vAlign w:val="center"/>
            <w:hideMark/>
          </w:tcPr>
          <w:p w14:paraId="7CBF3962" w14:textId="7CC7262E"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71</w:t>
            </w:r>
          </w:p>
        </w:tc>
        <w:tc>
          <w:tcPr>
            <w:tcW w:w="1630" w:type="dxa"/>
            <w:shd w:val="clear" w:color="000000" w:fill="EFD3D2"/>
            <w:noWrap/>
            <w:vAlign w:val="center"/>
            <w:hideMark/>
          </w:tcPr>
          <w:p w14:paraId="4F09554B" w14:textId="4E803DD4"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56</w:t>
            </w:r>
          </w:p>
        </w:tc>
        <w:tc>
          <w:tcPr>
            <w:tcW w:w="1559" w:type="dxa"/>
            <w:shd w:val="clear" w:color="000000" w:fill="EFD3D2"/>
            <w:noWrap/>
            <w:vAlign w:val="center"/>
            <w:hideMark/>
          </w:tcPr>
          <w:p w14:paraId="3419FF47" w14:textId="28A995F2"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50</w:t>
            </w:r>
          </w:p>
        </w:tc>
        <w:tc>
          <w:tcPr>
            <w:tcW w:w="1559" w:type="dxa"/>
            <w:shd w:val="clear" w:color="000000" w:fill="EFD3D2"/>
            <w:noWrap/>
            <w:vAlign w:val="center"/>
            <w:hideMark/>
          </w:tcPr>
          <w:p w14:paraId="6463293F" w14:textId="55EB70BF"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50</w:t>
            </w:r>
          </w:p>
        </w:tc>
        <w:tc>
          <w:tcPr>
            <w:tcW w:w="1560" w:type="dxa"/>
            <w:shd w:val="clear" w:color="000000" w:fill="EFD3D2"/>
            <w:noWrap/>
            <w:vAlign w:val="center"/>
            <w:hideMark/>
          </w:tcPr>
          <w:p w14:paraId="4B3249A7" w14:textId="5BED3545"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50</w:t>
            </w:r>
          </w:p>
        </w:tc>
      </w:tr>
      <w:tr w:rsidR="00FC3DB4" w:rsidRPr="007913A4" w14:paraId="1C184E74" w14:textId="77777777" w:rsidTr="0050228A">
        <w:trPr>
          <w:trHeight w:val="439"/>
        </w:trPr>
        <w:tc>
          <w:tcPr>
            <w:tcW w:w="1575" w:type="dxa"/>
            <w:shd w:val="clear" w:color="auto" w:fill="auto"/>
            <w:noWrap/>
            <w:vAlign w:val="center"/>
            <w:hideMark/>
          </w:tcPr>
          <w:p w14:paraId="36697615" w14:textId="77777777" w:rsidR="007913A4" w:rsidRPr="007913A4" w:rsidRDefault="00FC3DB4" w:rsidP="007913A4">
            <w:pPr>
              <w:spacing w:before="0"/>
              <w:jc w:val="left"/>
              <w:rPr>
                <w:rFonts w:cs="Arial"/>
                <w:color w:val="000000"/>
                <w:sz w:val="18"/>
                <w:szCs w:val="18"/>
              </w:rPr>
            </w:pPr>
            <w:r>
              <w:rPr>
                <w:rFonts w:cs="Arial"/>
                <w:color w:val="000000"/>
                <w:sz w:val="18"/>
                <w:szCs w:val="18"/>
              </w:rPr>
              <w:t>NT</w:t>
            </w:r>
          </w:p>
        </w:tc>
        <w:tc>
          <w:tcPr>
            <w:tcW w:w="1630" w:type="dxa"/>
            <w:shd w:val="clear" w:color="auto" w:fill="auto"/>
            <w:noWrap/>
            <w:vAlign w:val="center"/>
            <w:hideMark/>
          </w:tcPr>
          <w:p w14:paraId="06E3E065" w14:textId="10D356EC"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69</w:t>
            </w:r>
          </w:p>
        </w:tc>
        <w:tc>
          <w:tcPr>
            <w:tcW w:w="1630" w:type="dxa"/>
            <w:shd w:val="clear" w:color="auto" w:fill="auto"/>
            <w:noWrap/>
            <w:vAlign w:val="center"/>
            <w:hideMark/>
          </w:tcPr>
          <w:p w14:paraId="6F243138" w14:textId="522228E3"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54</w:t>
            </w:r>
          </w:p>
        </w:tc>
        <w:tc>
          <w:tcPr>
            <w:tcW w:w="1559" w:type="dxa"/>
            <w:shd w:val="clear" w:color="auto" w:fill="auto"/>
            <w:noWrap/>
            <w:vAlign w:val="center"/>
            <w:hideMark/>
          </w:tcPr>
          <w:p w14:paraId="5A8129D4" w14:textId="7CAA82D7"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53</w:t>
            </w:r>
          </w:p>
        </w:tc>
        <w:tc>
          <w:tcPr>
            <w:tcW w:w="1559" w:type="dxa"/>
            <w:shd w:val="clear" w:color="auto" w:fill="auto"/>
            <w:noWrap/>
            <w:vAlign w:val="center"/>
            <w:hideMark/>
          </w:tcPr>
          <w:p w14:paraId="282E86DB" w14:textId="2C820A75"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49</w:t>
            </w:r>
          </w:p>
        </w:tc>
        <w:tc>
          <w:tcPr>
            <w:tcW w:w="1560" w:type="dxa"/>
            <w:shd w:val="clear" w:color="auto" w:fill="auto"/>
            <w:noWrap/>
            <w:vAlign w:val="center"/>
            <w:hideMark/>
          </w:tcPr>
          <w:p w14:paraId="1BF8350F" w14:textId="23FCF26E"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44</w:t>
            </w:r>
          </w:p>
        </w:tc>
      </w:tr>
      <w:tr w:rsidR="00FC3DB4" w:rsidRPr="007913A4" w14:paraId="5DC088FE" w14:textId="77777777" w:rsidTr="0050228A">
        <w:trPr>
          <w:trHeight w:val="439"/>
        </w:trPr>
        <w:tc>
          <w:tcPr>
            <w:tcW w:w="1575" w:type="dxa"/>
            <w:shd w:val="clear" w:color="000000" w:fill="EFD3D2"/>
            <w:noWrap/>
            <w:vAlign w:val="center"/>
            <w:hideMark/>
          </w:tcPr>
          <w:p w14:paraId="6B866EFC" w14:textId="77777777" w:rsidR="007913A4" w:rsidRPr="007913A4" w:rsidRDefault="00FC3DB4" w:rsidP="007913A4">
            <w:pPr>
              <w:spacing w:before="0"/>
              <w:jc w:val="left"/>
              <w:rPr>
                <w:rFonts w:cs="Arial"/>
                <w:color w:val="000000"/>
                <w:sz w:val="18"/>
                <w:szCs w:val="18"/>
              </w:rPr>
            </w:pPr>
            <w:r>
              <w:rPr>
                <w:rFonts w:cs="Arial"/>
                <w:color w:val="000000"/>
                <w:sz w:val="18"/>
                <w:szCs w:val="18"/>
              </w:rPr>
              <w:t>ACT</w:t>
            </w:r>
            <w:r w:rsidR="007913A4" w:rsidRPr="007913A4">
              <w:rPr>
                <w:rFonts w:cs="Arial"/>
                <w:color w:val="000000"/>
                <w:sz w:val="18"/>
                <w:szCs w:val="18"/>
              </w:rPr>
              <w:t xml:space="preserve"> Private</w:t>
            </w:r>
          </w:p>
        </w:tc>
        <w:tc>
          <w:tcPr>
            <w:tcW w:w="1630" w:type="dxa"/>
            <w:shd w:val="clear" w:color="000000" w:fill="EFD3D2"/>
            <w:noWrap/>
            <w:vAlign w:val="center"/>
            <w:hideMark/>
          </w:tcPr>
          <w:p w14:paraId="1F5CB841" w14:textId="4849DAC5"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w:t>
            </w:r>
            <w:r w:rsidR="0004361B">
              <w:rPr>
                <w:rFonts w:cs="Arial"/>
                <w:color w:val="000000"/>
                <w:sz w:val="18"/>
                <w:szCs w:val="18"/>
              </w:rPr>
              <w:t>7</w:t>
            </w:r>
          </w:p>
        </w:tc>
        <w:tc>
          <w:tcPr>
            <w:tcW w:w="1630" w:type="dxa"/>
            <w:shd w:val="clear" w:color="000000" w:fill="EFD3D2"/>
            <w:noWrap/>
            <w:vAlign w:val="center"/>
            <w:hideMark/>
          </w:tcPr>
          <w:p w14:paraId="43154F15" w14:textId="5077B60A"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w:t>
            </w:r>
            <w:r w:rsidR="0004361B">
              <w:rPr>
                <w:rFonts w:cs="Arial"/>
                <w:color w:val="000000"/>
                <w:sz w:val="18"/>
                <w:szCs w:val="18"/>
              </w:rPr>
              <w:t>7</w:t>
            </w:r>
          </w:p>
        </w:tc>
        <w:tc>
          <w:tcPr>
            <w:tcW w:w="1559" w:type="dxa"/>
            <w:shd w:val="clear" w:color="000000" w:fill="EFD3D2"/>
            <w:noWrap/>
            <w:vAlign w:val="center"/>
            <w:hideMark/>
          </w:tcPr>
          <w:p w14:paraId="2387BEAF" w14:textId="2EBCB7CE" w:rsidR="007913A4" w:rsidRPr="007913A4" w:rsidRDefault="002D4A73" w:rsidP="0004361B">
            <w:pPr>
              <w:spacing w:before="0"/>
              <w:jc w:val="right"/>
              <w:rPr>
                <w:rFonts w:cs="Arial"/>
                <w:color w:val="000000"/>
                <w:sz w:val="18"/>
                <w:szCs w:val="18"/>
              </w:rPr>
            </w:pPr>
            <w:r>
              <w:rPr>
                <w:rFonts w:cs="Arial"/>
                <w:color w:val="000000"/>
                <w:sz w:val="18"/>
                <w:szCs w:val="18"/>
              </w:rPr>
              <w:t>1.</w:t>
            </w:r>
            <w:r w:rsidR="0004361B">
              <w:rPr>
                <w:rFonts w:cs="Arial"/>
                <w:color w:val="000000"/>
                <w:sz w:val="18"/>
                <w:szCs w:val="18"/>
              </w:rPr>
              <w:t>89</w:t>
            </w:r>
          </w:p>
        </w:tc>
        <w:tc>
          <w:tcPr>
            <w:tcW w:w="1559" w:type="dxa"/>
            <w:shd w:val="clear" w:color="000000" w:fill="EFD3D2"/>
            <w:noWrap/>
            <w:vAlign w:val="center"/>
            <w:hideMark/>
          </w:tcPr>
          <w:p w14:paraId="29AB0230" w14:textId="2F56852A"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w:t>
            </w:r>
            <w:r w:rsidR="0004361B">
              <w:rPr>
                <w:rFonts w:cs="Arial"/>
                <w:color w:val="000000"/>
                <w:sz w:val="18"/>
                <w:szCs w:val="18"/>
              </w:rPr>
              <w:t>5</w:t>
            </w:r>
          </w:p>
        </w:tc>
        <w:tc>
          <w:tcPr>
            <w:tcW w:w="1560" w:type="dxa"/>
            <w:shd w:val="clear" w:color="000000" w:fill="EFD3D2"/>
            <w:noWrap/>
            <w:vAlign w:val="center"/>
            <w:hideMark/>
          </w:tcPr>
          <w:p w14:paraId="207FB146" w14:textId="538EF7C9"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7</w:t>
            </w:r>
            <w:r w:rsidR="0004361B">
              <w:rPr>
                <w:rFonts w:cs="Arial"/>
                <w:color w:val="000000"/>
                <w:sz w:val="18"/>
                <w:szCs w:val="18"/>
              </w:rPr>
              <w:t>2</w:t>
            </w:r>
          </w:p>
        </w:tc>
      </w:tr>
      <w:tr w:rsidR="00FC3DB4" w:rsidRPr="007913A4" w14:paraId="72A5120E" w14:textId="77777777" w:rsidTr="0050228A">
        <w:trPr>
          <w:trHeight w:val="439"/>
        </w:trPr>
        <w:tc>
          <w:tcPr>
            <w:tcW w:w="1575" w:type="dxa"/>
            <w:shd w:val="clear" w:color="auto" w:fill="auto"/>
            <w:noWrap/>
            <w:vAlign w:val="center"/>
            <w:hideMark/>
          </w:tcPr>
          <w:p w14:paraId="3E546BD0" w14:textId="2A10236B" w:rsidR="007913A4" w:rsidRPr="007913A4" w:rsidRDefault="00E21FCD" w:rsidP="007913A4">
            <w:pPr>
              <w:spacing w:before="0"/>
              <w:jc w:val="left"/>
              <w:rPr>
                <w:rFonts w:cs="Arial"/>
                <w:color w:val="000000"/>
                <w:sz w:val="18"/>
                <w:szCs w:val="18"/>
              </w:rPr>
            </w:pPr>
            <w:r>
              <w:rPr>
                <w:rFonts w:cs="Arial"/>
                <w:color w:val="000000"/>
                <w:sz w:val="18"/>
                <w:szCs w:val="18"/>
              </w:rPr>
              <w:t>Comcare</w:t>
            </w:r>
          </w:p>
        </w:tc>
        <w:tc>
          <w:tcPr>
            <w:tcW w:w="1630" w:type="dxa"/>
            <w:shd w:val="clear" w:color="auto" w:fill="auto"/>
            <w:noWrap/>
            <w:vAlign w:val="center"/>
            <w:hideMark/>
          </w:tcPr>
          <w:p w14:paraId="47B8E7D9" w14:textId="18DB93CD"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48</w:t>
            </w:r>
          </w:p>
        </w:tc>
        <w:tc>
          <w:tcPr>
            <w:tcW w:w="1630" w:type="dxa"/>
            <w:shd w:val="clear" w:color="auto" w:fill="auto"/>
            <w:noWrap/>
            <w:vAlign w:val="center"/>
            <w:hideMark/>
          </w:tcPr>
          <w:p w14:paraId="1BA34F25" w14:textId="60E1A5AF"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48</w:t>
            </w:r>
          </w:p>
        </w:tc>
        <w:tc>
          <w:tcPr>
            <w:tcW w:w="1559" w:type="dxa"/>
            <w:shd w:val="clear" w:color="auto" w:fill="auto"/>
            <w:noWrap/>
            <w:vAlign w:val="center"/>
            <w:hideMark/>
          </w:tcPr>
          <w:p w14:paraId="631FF3B7" w14:textId="2CB81876"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06</w:t>
            </w:r>
          </w:p>
        </w:tc>
        <w:tc>
          <w:tcPr>
            <w:tcW w:w="1559" w:type="dxa"/>
            <w:shd w:val="clear" w:color="auto" w:fill="auto"/>
            <w:noWrap/>
            <w:vAlign w:val="center"/>
            <w:hideMark/>
          </w:tcPr>
          <w:p w14:paraId="5BD592F0" w14:textId="005699D2"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03</w:t>
            </w:r>
          </w:p>
        </w:tc>
        <w:tc>
          <w:tcPr>
            <w:tcW w:w="1560" w:type="dxa"/>
            <w:shd w:val="clear" w:color="auto" w:fill="auto"/>
            <w:noWrap/>
            <w:vAlign w:val="center"/>
            <w:hideMark/>
          </w:tcPr>
          <w:p w14:paraId="2B72EAC3" w14:textId="65839F2D"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03</w:t>
            </w:r>
          </w:p>
        </w:tc>
      </w:tr>
      <w:tr w:rsidR="00FC3DB4" w:rsidRPr="007913A4" w14:paraId="73B6D0AE" w14:textId="77777777" w:rsidTr="0050228A">
        <w:trPr>
          <w:trHeight w:val="439"/>
        </w:trPr>
        <w:tc>
          <w:tcPr>
            <w:tcW w:w="1575" w:type="dxa"/>
            <w:shd w:val="clear" w:color="000000" w:fill="EFD3D2"/>
            <w:noWrap/>
            <w:vAlign w:val="center"/>
            <w:hideMark/>
          </w:tcPr>
          <w:p w14:paraId="41B28D69" w14:textId="77777777" w:rsidR="007913A4" w:rsidRPr="007913A4" w:rsidRDefault="007913A4" w:rsidP="007913A4">
            <w:pPr>
              <w:spacing w:before="0"/>
              <w:jc w:val="left"/>
              <w:rPr>
                <w:rFonts w:cs="Arial"/>
                <w:color w:val="000000"/>
                <w:sz w:val="18"/>
                <w:szCs w:val="18"/>
              </w:rPr>
            </w:pPr>
            <w:r w:rsidRPr="007913A4">
              <w:rPr>
                <w:rFonts w:cs="Arial"/>
                <w:color w:val="000000"/>
                <w:sz w:val="18"/>
                <w:szCs w:val="18"/>
              </w:rPr>
              <w:t>Seacare</w:t>
            </w:r>
            <w:r w:rsidR="00FC3DB4" w:rsidRPr="00FC3DB4">
              <w:rPr>
                <w:rFonts w:cs="Arial"/>
                <w:color w:val="000000"/>
                <w:sz w:val="18"/>
                <w:szCs w:val="18"/>
                <w:vertAlign w:val="superscript"/>
              </w:rPr>
              <w:t>(d)</w:t>
            </w:r>
          </w:p>
        </w:tc>
        <w:tc>
          <w:tcPr>
            <w:tcW w:w="1630" w:type="dxa"/>
            <w:shd w:val="clear" w:color="000000" w:fill="EFD3D2"/>
            <w:noWrap/>
            <w:vAlign w:val="center"/>
            <w:hideMark/>
          </w:tcPr>
          <w:p w14:paraId="79E7C564"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630" w:type="dxa"/>
            <w:shd w:val="clear" w:color="000000" w:fill="EFD3D2"/>
            <w:noWrap/>
            <w:vAlign w:val="center"/>
            <w:hideMark/>
          </w:tcPr>
          <w:p w14:paraId="4B8C7BC6"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59" w:type="dxa"/>
            <w:shd w:val="clear" w:color="000000" w:fill="EFD3D2"/>
            <w:noWrap/>
            <w:vAlign w:val="center"/>
            <w:hideMark/>
          </w:tcPr>
          <w:p w14:paraId="67752AE0"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59" w:type="dxa"/>
            <w:shd w:val="clear" w:color="000000" w:fill="EFD3D2"/>
            <w:noWrap/>
            <w:vAlign w:val="center"/>
            <w:hideMark/>
          </w:tcPr>
          <w:p w14:paraId="14FACC50"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60" w:type="dxa"/>
            <w:shd w:val="clear" w:color="000000" w:fill="EFD3D2"/>
            <w:noWrap/>
            <w:vAlign w:val="center"/>
            <w:hideMark/>
          </w:tcPr>
          <w:p w14:paraId="747CD2FB"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r>
      <w:tr w:rsidR="00FC3DB4" w:rsidRPr="00FC3DB4" w14:paraId="34F7B6A0" w14:textId="77777777" w:rsidTr="0050228A">
        <w:trPr>
          <w:trHeight w:val="439"/>
        </w:trPr>
        <w:tc>
          <w:tcPr>
            <w:tcW w:w="1575" w:type="dxa"/>
            <w:shd w:val="clear" w:color="auto" w:fill="auto"/>
            <w:noWrap/>
            <w:vAlign w:val="center"/>
            <w:hideMark/>
          </w:tcPr>
          <w:p w14:paraId="477099D3" w14:textId="77777777" w:rsidR="007913A4" w:rsidRPr="007913A4" w:rsidRDefault="007913A4" w:rsidP="007913A4">
            <w:pPr>
              <w:spacing w:before="0"/>
              <w:jc w:val="left"/>
              <w:rPr>
                <w:rFonts w:cs="Arial"/>
                <w:b/>
                <w:color w:val="000000"/>
                <w:sz w:val="18"/>
                <w:szCs w:val="18"/>
              </w:rPr>
            </w:pPr>
            <w:r w:rsidRPr="007913A4">
              <w:rPr>
                <w:rFonts w:cs="Arial"/>
                <w:b/>
                <w:color w:val="000000"/>
                <w:sz w:val="18"/>
                <w:szCs w:val="18"/>
              </w:rPr>
              <w:t>Australia</w:t>
            </w:r>
          </w:p>
        </w:tc>
        <w:tc>
          <w:tcPr>
            <w:tcW w:w="1630" w:type="dxa"/>
            <w:shd w:val="clear" w:color="auto" w:fill="auto"/>
            <w:noWrap/>
            <w:vAlign w:val="center"/>
            <w:hideMark/>
          </w:tcPr>
          <w:p w14:paraId="45C9FBCF" w14:textId="77777777" w:rsidR="007913A4" w:rsidRPr="007913A4" w:rsidRDefault="007913A4" w:rsidP="008066E3">
            <w:pPr>
              <w:spacing w:before="0"/>
              <w:jc w:val="right"/>
              <w:rPr>
                <w:rFonts w:cs="Arial"/>
                <w:b/>
                <w:color w:val="000000"/>
                <w:sz w:val="18"/>
                <w:szCs w:val="18"/>
              </w:rPr>
            </w:pPr>
            <w:r w:rsidRPr="007913A4">
              <w:rPr>
                <w:rFonts w:cs="Arial"/>
                <w:b/>
                <w:color w:val="000000"/>
                <w:sz w:val="18"/>
                <w:szCs w:val="18"/>
              </w:rPr>
              <w:t>1.3</w:t>
            </w:r>
            <w:r w:rsidR="008066E3">
              <w:rPr>
                <w:rFonts w:cs="Arial"/>
                <w:b/>
                <w:color w:val="000000"/>
                <w:sz w:val="18"/>
                <w:szCs w:val="18"/>
              </w:rPr>
              <w:t>2</w:t>
            </w:r>
          </w:p>
        </w:tc>
        <w:tc>
          <w:tcPr>
            <w:tcW w:w="1630" w:type="dxa"/>
            <w:shd w:val="clear" w:color="auto" w:fill="auto"/>
            <w:noWrap/>
            <w:vAlign w:val="center"/>
            <w:hideMark/>
          </w:tcPr>
          <w:p w14:paraId="70CE0AF7" w14:textId="77777777" w:rsidR="007913A4" w:rsidRPr="007913A4" w:rsidRDefault="007913A4" w:rsidP="008066E3">
            <w:pPr>
              <w:spacing w:before="0"/>
              <w:jc w:val="right"/>
              <w:rPr>
                <w:rFonts w:cs="Arial"/>
                <w:b/>
                <w:color w:val="000000"/>
                <w:sz w:val="18"/>
                <w:szCs w:val="18"/>
              </w:rPr>
            </w:pPr>
            <w:r w:rsidRPr="007913A4">
              <w:rPr>
                <w:rFonts w:cs="Arial"/>
                <w:b/>
                <w:color w:val="000000"/>
                <w:sz w:val="18"/>
                <w:szCs w:val="18"/>
              </w:rPr>
              <w:t>1.3</w:t>
            </w:r>
            <w:r w:rsidR="008066E3">
              <w:rPr>
                <w:rFonts w:cs="Arial"/>
                <w:b/>
                <w:color w:val="000000"/>
                <w:sz w:val="18"/>
                <w:szCs w:val="18"/>
              </w:rPr>
              <w:t>2</w:t>
            </w:r>
          </w:p>
        </w:tc>
        <w:tc>
          <w:tcPr>
            <w:tcW w:w="1559" w:type="dxa"/>
            <w:shd w:val="clear" w:color="auto" w:fill="auto"/>
            <w:noWrap/>
            <w:vAlign w:val="center"/>
            <w:hideMark/>
          </w:tcPr>
          <w:p w14:paraId="2B878C9C" w14:textId="7C8BAD06" w:rsidR="007913A4" w:rsidRPr="007913A4" w:rsidRDefault="007913A4" w:rsidP="0004361B">
            <w:pPr>
              <w:spacing w:before="0"/>
              <w:jc w:val="right"/>
              <w:rPr>
                <w:rFonts w:cs="Arial"/>
                <w:b/>
                <w:color w:val="000000"/>
                <w:sz w:val="18"/>
                <w:szCs w:val="18"/>
              </w:rPr>
            </w:pPr>
            <w:r w:rsidRPr="007913A4">
              <w:rPr>
                <w:rFonts w:cs="Arial"/>
                <w:b/>
                <w:color w:val="000000"/>
                <w:sz w:val="18"/>
                <w:szCs w:val="18"/>
              </w:rPr>
              <w:t>1.</w:t>
            </w:r>
            <w:r w:rsidR="008066E3">
              <w:rPr>
                <w:rFonts w:cs="Arial"/>
                <w:b/>
                <w:color w:val="000000"/>
                <w:sz w:val="18"/>
                <w:szCs w:val="18"/>
              </w:rPr>
              <w:t>3</w:t>
            </w:r>
            <w:r w:rsidR="0004361B">
              <w:rPr>
                <w:rFonts w:cs="Arial"/>
                <w:b/>
                <w:color w:val="000000"/>
                <w:sz w:val="18"/>
                <w:szCs w:val="18"/>
              </w:rPr>
              <w:t>4</w:t>
            </w:r>
          </w:p>
        </w:tc>
        <w:tc>
          <w:tcPr>
            <w:tcW w:w="1559" w:type="dxa"/>
            <w:shd w:val="clear" w:color="auto" w:fill="auto"/>
            <w:noWrap/>
            <w:vAlign w:val="center"/>
            <w:hideMark/>
          </w:tcPr>
          <w:p w14:paraId="0A29FF49" w14:textId="34836AE4" w:rsidR="007913A4" w:rsidRPr="007913A4" w:rsidRDefault="007913A4" w:rsidP="0004361B">
            <w:pPr>
              <w:spacing w:before="0"/>
              <w:jc w:val="right"/>
              <w:rPr>
                <w:rFonts w:cs="Arial"/>
                <w:b/>
                <w:color w:val="000000"/>
                <w:sz w:val="18"/>
                <w:szCs w:val="18"/>
              </w:rPr>
            </w:pPr>
            <w:r w:rsidRPr="007913A4">
              <w:rPr>
                <w:rFonts w:cs="Arial"/>
                <w:b/>
                <w:color w:val="000000"/>
                <w:sz w:val="18"/>
                <w:szCs w:val="18"/>
              </w:rPr>
              <w:t>1.</w:t>
            </w:r>
            <w:r w:rsidR="008066E3">
              <w:rPr>
                <w:rFonts w:cs="Arial"/>
                <w:b/>
                <w:color w:val="000000"/>
                <w:sz w:val="18"/>
                <w:szCs w:val="18"/>
              </w:rPr>
              <w:t>3</w:t>
            </w:r>
            <w:r w:rsidR="0004361B">
              <w:rPr>
                <w:rFonts w:cs="Arial"/>
                <w:b/>
                <w:color w:val="000000"/>
                <w:sz w:val="18"/>
                <w:szCs w:val="18"/>
              </w:rPr>
              <w:t>5</w:t>
            </w:r>
          </w:p>
        </w:tc>
        <w:tc>
          <w:tcPr>
            <w:tcW w:w="1560" w:type="dxa"/>
            <w:shd w:val="clear" w:color="auto" w:fill="auto"/>
            <w:noWrap/>
            <w:vAlign w:val="center"/>
            <w:hideMark/>
          </w:tcPr>
          <w:p w14:paraId="0833595B" w14:textId="14B63D06" w:rsidR="007913A4" w:rsidRPr="007913A4" w:rsidRDefault="007913A4" w:rsidP="0004361B">
            <w:pPr>
              <w:spacing w:before="0"/>
              <w:jc w:val="right"/>
              <w:rPr>
                <w:rFonts w:cs="Arial"/>
                <w:b/>
                <w:color w:val="000000"/>
                <w:sz w:val="18"/>
                <w:szCs w:val="18"/>
              </w:rPr>
            </w:pPr>
            <w:r w:rsidRPr="007913A4">
              <w:rPr>
                <w:rFonts w:cs="Arial"/>
                <w:b/>
                <w:color w:val="000000"/>
                <w:sz w:val="18"/>
                <w:szCs w:val="18"/>
              </w:rPr>
              <w:t>1.3</w:t>
            </w:r>
            <w:r w:rsidR="0004361B">
              <w:rPr>
                <w:rFonts w:cs="Arial"/>
                <w:b/>
                <w:color w:val="000000"/>
                <w:sz w:val="18"/>
                <w:szCs w:val="18"/>
              </w:rPr>
              <w:t>3</w:t>
            </w:r>
          </w:p>
        </w:tc>
      </w:tr>
      <w:tr w:rsidR="00FC3DB4" w:rsidRPr="007913A4" w14:paraId="3AC07F44" w14:textId="77777777" w:rsidTr="0050228A">
        <w:trPr>
          <w:trHeight w:val="315"/>
        </w:trPr>
        <w:tc>
          <w:tcPr>
            <w:tcW w:w="1575" w:type="dxa"/>
            <w:shd w:val="clear" w:color="000000" w:fill="EFD3D2"/>
            <w:noWrap/>
            <w:vAlign w:val="center"/>
            <w:hideMark/>
          </w:tcPr>
          <w:p w14:paraId="1E25E54E" w14:textId="77777777" w:rsidR="007913A4" w:rsidRPr="007913A4" w:rsidRDefault="00FC3DB4" w:rsidP="007913A4">
            <w:pPr>
              <w:spacing w:before="0"/>
              <w:jc w:val="left"/>
              <w:rPr>
                <w:rFonts w:cs="Arial"/>
                <w:color w:val="000000"/>
                <w:sz w:val="18"/>
                <w:szCs w:val="18"/>
              </w:rPr>
            </w:pPr>
            <w:r>
              <w:rPr>
                <w:rFonts w:cs="Arial"/>
                <w:color w:val="000000"/>
                <w:sz w:val="18"/>
                <w:szCs w:val="18"/>
              </w:rPr>
              <w:t>NZ</w:t>
            </w:r>
          </w:p>
        </w:tc>
        <w:tc>
          <w:tcPr>
            <w:tcW w:w="1630" w:type="dxa"/>
            <w:shd w:val="clear" w:color="000000" w:fill="EFD3D2"/>
            <w:noWrap/>
            <w:vAlign w:val="center"/>
            <w:hideMark/>
          </w:tcPr>
          <w:p w14:paraId="2EDA9842" w14:textId="1DA93123" w:rsidR="007913A4" w:rsidRPr="007913A4" w:rsidRDefault="007913A4" w:rsidP="0004361B">
            <w:pPr>
              <w:spacing w:before="0"/>
              <w:jc w:val="right"/>
              <w:rPr>
                <w:rFonts w:cs="Arial"/>
                <w:color w:val="000000"/>
                <w:sz w:val="18"/>
                <w:szCs w:val="18"/>
              </w:rPr>
            </w:pPr>
            <w:r w:rsidRPr="007913A4">
              <w:rPr>
                <w:rFonts w:cs="Arial"/>
                <w:color w:val="000000"/>
                <w:sz w:val="18"/>
                <w:szCs w:val="18"/>
              </w:rPr>
              <w:t>0.</w:t>
            </w:r>
            <w:r w:rsidR="0004361B">
              <w:rPr>
                <w:rFonts w:cs="Arial"/>
                <w:color w:val="000000"/>
                <w:sz w:val="18"/>
                <w:szCs w:val="18"/>
              </w:rPr>
              <w:t>82</w:t>
            </w:r>
          </w:p>
        </w:tc>
        <w:tc>
          <w:tcPr>
            <w:tcW w:w="1630" w:type="dxa"/>
            <w:shd w:val="clear" w:color="000000" w:fill="EFD3D2"/>
            <w:noWrap/>
            <w:vAlign w:val="center"/>
            <w:hideMark/>
          </w:tcPr>
          <w:p w14:paraId="130FFB4A" w14:textId="3CCD46B6" w:rsidR="007913A4" w:rsidRPr="007913A4" w:rsidRDefault="007913A4" w:rsidP="0004361B">
            <w:pPr>
              <w:spacing w:before="0"/>
              <w:jc w:val="right"/>
              <w:rPr>
                <w:rFonts w:cs="Arial"/>
                <w:color w:val="000000"/>
                <w:sz w:val="18"/>
                <w:szCs w:val="18"/>
              </w:rPr>
            </w:pPr>
            <w:r w:rsidRPr="007913A4">
              <w:rPr>
                <w:rFonts w:cs="Arial"/>
                <w:color w:val="000000"/>
                <w:sz w:val="18"/>
                <w:szCs w:val="18"/>
              </w:rPr>
              <w:t>0.</w:t>
            </w:r>
            <w:r w:rsidR="0004361B">
              <w:rPr>
                <w:rFonts w:cs="Arial"/>
                <w:color w:val="000000"/>
                <w:sz w:val="18"/>
                <w:szCs w:val="18"/>
              </w:rPr>
              <w:t>75</w:t>
            </w:r>
          </w:p>
        </w:tc>
        <w:tc>
          <w:tcPr>
            <w:tcW w:w="1559" w:type="dxa"/>
            <w:shd w:val="clear" w:color="000000" w:fill="EFD3D2"/>
            <w:noWrap/>
            <w:vAlign w:val="center"/>
            <w:hideMark/>
          </w:tcPr>
          <w:p w14:paraId="6727FB28" w14:textId="539210B1" w:rsidR="007913A4" w:rsidRPr="007913A4" w:rsidRDefault="007913A4" w:rsidP="008258B8">
            <w:pPr>
              <w:spacing w:before="0"/>
              <w:jc w:val="right"/>
              <w:rPr>
                <w:rFonts w:cs="Arial"/>
                <w:color w:val="000000"/>
                <w:sz w:val="18"/>
                <w:szCs w:val="18"/>
              </w:rPr>
            </w:pPr>
            <w:r w:rsidRPr="007913A4">
              <w:rPr>
                <w:rFonts w:cs="Arial"/>
                <w:color w:val="000000"/>
                <w:sz w:val="18"/>
                <w:szCs w:val="18"/>
              </w:rPr>
              <w:t>0.</w:t>
            </w:r>
            <w:r w:rsidR="008258B8">
              <w:rPr>
                <w:rFonts w:cs="Arial"/>
                <w:color w:val="000000"/>
                <w:sz w:val="18"/>
                <w:szCs w:val="18"/>
              </w:rPr>
              <w:t>64</w:t>
            </w:r>
          </w:p>
        </w:tc>
        <w:tc>
          <w:tcPr>
            <w:tcW w:w="1559" w:type="dxa"/>
            <w:shd w:val="clear" w:color="000000" w:fill="EFD3D2"/>
            <w:noWrap/>
            <w:vAlign w:val="center"/>
            <w:hideMark/>
          </w:tcPr>
          <w:p w14:paraId="03DB0CFE" w14:textId="4202A71D" w:rsidR="007913A4" w:rsidRPr="007913A4" w:rsidRDefault="007913A4" w:rsidP="008258B8">
            <w:pPr>
              <w:spacing w:before="0"/>
              <w:jc w:val="right"/>
              <w:rPr>
                <w:rFonts w:cs="Arial"/>
                <w:color w:val="000000"/>
                <w:sz w:val="18"/>
                <w:szCs w:val="18"/>
              </w:rPr>
            </w:pPr>
            <w:r w:rsidRPr="007913A4">
              <w:rPr>
                <w:rFonts w:cs="Arial"/>
                <w:color w:val="000000"/>
                <w:sz w:val="18"/>
                <w:szCs w:val="18"/>
              </w:rPr>
              <w:t>0.</w:t>
            </w:r>
            <w:r w:rsidR="008258B8">
              <w:rPr>
                <w:rFonts w:cs="Arial"/>
                <w:color w:val="000000"/>
                <w:sz w:val="18"/>
                <w:szCs w:val="18"/>
              </w:rPr>
              <w:t>64</w:t>
            </w:r>
          </w:p>
        </w:tc>
        <w:tc>
          <w:tcPr>
            <w:tcW w:w="1560" w:type="dxa"/>
            <w:shd w:val="clear" w:color="000000" w:fill="EFD3D2"/>
            <w:noWrap/>
            <w:vAlign w:val="center"/>
            <w:hideMark/>
          </w:tcPr>
          <w:p w14:paraId="058E2F7D" w14:textId="3ADABD8D" w:rsidR="007913A4" w:rsidRPr="007913A4" w:rsidRDefault="007913A4" w:rsidP="008258B8">
            <w:pPr>
              <w:spacing w:before="0"/>
              <w:jc w:val="right"/>
              <w:rPr>
                <w:rFonts w:cs="Arial"/>
                <w:color w:val="000000"/>
                <w:sz w:val="18"/>
                <w:szCs w:val="18"/>
              </w:rPr>
            </w:pPr>
            <w:r w:rsidRPr="007913A4">
              <w:rPr>
                <w:rFonts w:cs="Arial"/>
                <w:color w:val="000000"/>
                <w:sz w:val="18"/>
                <w:szCs w:val="18"/>
              </w:rPr>
              <w:t>0.</w:t>
            </w:r>
            <w:r w:rsidR="008258B8">
              <w:rPr>
                <w:rFonts w:cs="Arial"/>
                <w:color w:val="000000"/>
                <w:sz w:val="18"/>
                <w:szCs w:val="18"/>
              </w:rPr>
              <w:t>59</w:t>
            </w:r>
          </w:p>
        </w:tc>
      </w:tr>
    </w:tbl>
    <w:p w14:paraId="05DF17AB" w14:textId="77777777" w:rsidR="00FC3DB4" w:rsidRDefault="00FC3DB4" w:rsidP="00B734CC">
      <w:pPr>
        <w:suppressAutoHyphens/>
        <w:autoSpaceDE w:val="0"/>
        <w:autoSpaceDN w:val="0"/>
        <w:adjustRightInd w:val="0"/>
        <w:spacing w:before="0"/>
        <w:textAlignment w:val="center"/>
        <w:rPr>
          <w:rFonts w:eastAsiaTheme="minorHAnsi" w:cs="Arial"/>
          <w:color w:val="000000"/>
          <w:sz w:val="16"/>
          <w:szCs w:val="16"/>
          <w:lang w:val="en-US" w:eastAsia="en-US"/>
        </w:rPr>
      </w:pPr>
    </w:p>
    <w:p w14:paraId="5A9BA4EE" w14:textId="77777777" w:rsidR="00B734CC" w:rsidRPr="00B734CC" w:rsidRDefault="00B734CC" w:rsidP="00B734CC">
      <w:pPr>
        <w:suppressAutoHyphens/>
        <w:autoSpaceDE w:val="0"/>
        <w:autoSpaceDN w:val="0"/>
        <w:adjustRightInd w:val="0"/>
        <w:spacing w:before="0"/>
        <w:textAlignment w:val="center"/>
        <w:rPr>
          <w:rFonts w:eastAsiaTheme="minorHAnsi" w:cs="Arial"/>
          <w:color w:val="000000"/>
          <w:sz w:val="16"/>
          <w:szCs w:val="16"/>
          <w:lang w:val="en-US" w:eastAsia="en-US"/>
        </w:rPr>
      </w:pPr>
      <w:r w:rsidRPr="00B734CC">
        <w:rPr>
          <w:rFonts w:eastAsiaTheme="minorHAnsi" w:cs="Arial"/>
          <w:color w:val="000000"/>
          <w:sz w:val="16"/>
          <w:szCs w:val="16"/>
          <w:lang w:val="en-US" w:eastAsia="en-US"/>
        </w:rPr>
        <w:t>(a) Total of adjusted premium for insured sector plus calculated premium for self-insured sector. (b) The NSW average premium rates also include the dust diseases levy which is not part of the New South Wales scheme but is payable by employers in that State. (c) Queensland includes stamp duty levied at a rate of 5</w:t>
      </w:r>
      <w:r w:rsidR="00FB0257">
        <w:rPr>
          <w:rFonts w:eastAsiaTheme="minorHAnsi" w:cs="Arial"/>
          <w:color w:val="000000"/>
          <w:sz w:val="16"/>
          <w:szCs w:val="16"/>
          <w:lang w:val="en-US" w:eastAsia="en-US"/>
        </w:rPr>
        <w:t> per cent</w:t>
      </w:r>
      <w:r w:rsidRPr="00B734CC">
        <w:rPr>
          <w:rFonts w:eastAsiaTheme="minorHAnsi" w:cs="Arial"/>
          <w:color w:val="000000"/>
          <w:sz w:val="16"/>
          <w:szCs w:val="16"/>
          <w:lang w:val="en-US" w:eastAsia="en-US"/>
        </w:rPr>
        <w:t xml:space="preserve"> of the premium including GST. (d) Note that there are no self-insurers in the Seacare scheme.</w:t>
      </w:r>
    </w:p>
    <w:p w14:paraId="201325F0" w14:textId="77777777" w:rsidR="00CE00EC" w:rsidRDefault="00CE00EC" w:rsidP="000F6210">
      <w:pPr>
        <w:pStyle w:val="Heading2"/>
      </w:pPr>
      <w:r>
        <w:t>Legislative changes to the NSW workers’ compensation system</w:t>
      </w:r>
      <w:r>
        <w:rPr>
          <w:color w:val="1A001F"/>
        </w:rPr>
        <w:t xml:space="preserve"> </w:t>
      </w:r>
    </w:p>
    <w:p w14:paraId="19A33C1C" w14:textId="4D5E41D0" w:rsidR="00CE00EC" w:rsidRDefault="00CE00EC" w:rsidP="000E20AE">
      <w:pPr>
        <w:pStyle w:val="BodyJustified"/>
      </w:pPr>
      <w:r>
        <w:t xml:space="preserve">The Workers Compensation System </w:t>
      </w:r>
      <w:r w:rsidR="00BB434F">
        <w:t xml:space="preserve">legislative amendments in 2012 </w:t>
      </w:r>
      <w:r>
        <w:t>not only introduced a new benefit structure but created a major cultural shift with the introduction of determining the ‘work capacity’ of the injured worker to return to work in suitable employment.</w:t>
      </w:r>
    </w:p>
    <w:p w14:paraId="4199F412" w14:textId="153C0AD2" w:rsidR="00643564" w:rsidRDefault="00CE00EC" w:rsidP="000E20AE">
      <w:pPr>
        <w:pStyle w:val="BodyJustified"/>
      </w:pPr>
      <w:r>
        <w:t>Changes to benefits and how they were calculated were introduced so those who had capacity to work were encouraged to return to work with benefits decreasing in percentages over the life of the claim (from 95</w:t>
      </w:r>
      <w:r w:rsidR="00FB0257">
        <w:t> per cent</w:t>
      </w:r>
      <w:r>
        <w:t xml:space="preserve"> of Pre-injury Average Weekly Earnings (PIAWE) initially t</w:t>
      </w:r>
      <w:r w:rsidR="00B47A83">
        <w:t xml:space="preserve">o 80 per cent of PIAWE </w:t>
      </w:r>
      <w:r>
        <w:t xml:space="preserve">for a maximum of five years. </w:t>
      </w:r>
      <w:r w:rsidR="00BB434F">
        <w:t xml:space="preserve">For workers with a permanent impairment (PI) greater than 20 per cent, the five year cap on weekly payments does not apply. </w:t>
      </w:r>
      <w:r>
        <w:t>Medical expenses were limited to a 12</w:t>
      </w:r>
      <w:r w:rsidR="00BB434F">
        <w:t>-</w:t>
      </w:r>
      <w:r>
        <w:t xml:space="preserve">month period from when the worker ceased to be entitled to weekly benefits or </w:t>
      </w:r>
      <w:r w:rsidR="00BB434F">
        <w:t>from</w:t>
      </w:r>
      <w:r>
        <w:t xml:space="preserve"> the </w:t>
      </w:r>
      <w:r w:rsidR="00BB434F">
        <w:t xml:space="preserve">date the </w:t>
      </w:r>
      <w:r>
        <w:t xml:space="preserve">claim was made (if the worker had not received any weekly benefits). </w:t>
      </w:r>
      <w:r w:rsidR="00BB434F">
        <w:t>For workers with a PI greater than 30 per cent, the entitlement to medical cover continues for life</w:t>
      </w:r>
      <w:r w:rsidR="009B5A4D">
        <w:t>.</w:t>
      </w:r>
      <w:r w:rsidR="001C38FD">
        <w:t xml:space="preserve"> </w:t>
      </w:r>
      <w:r>
        <w:t>There were also restrictions</w:t>
      </w:r>
      <w:r w:rsidR="00BB434F">
        <w:t xml:space="preserve"> introduced for journey claims, </w:t>
      </w:r>
      <w:r>
        <w:t xml:space="preserve">heart attack/stroke claims, nervous shock and disease claims to better connect employment as a contributing factor to the injury. </w:t>
      </w:r>
    </w:p>
    <w:p w14:paraId="39CA3B33" w14:textId="4843D576" w:rsidR="00643564" w:rsidRDefault="00643564" w:rsidP="000E20AE">
      <w:pPr>
        <w:pStyle w:val="BodyJustified"/>
      </w:pPr>
      <w:r>
        <w:t>Changes were also made to permanent impairment benefits, introducing a single ‘once-and-for-all’ assessment of PI, whereas previously top up payments were made as required if subsequent PI assessments deemed it necessary. Benefits for pain and suffering were removed from the scheme.</w:t>
      </w:r>
    </w:p>
    <w:p w14:paraId="52E813F9" w14:textId="77777777" w:rsidR="00643564" w:rsidRDefault="00643564" w:rsidP="000E20AE">
      <w:pPr>
        <w:pStyle w:val="BodyJustified"/>
      </w:pPr>
      <w:r>
        <w:t>Further legislative amendments in 2015 extended medical expenses entitlements to:</w:t>
      </w:r>
    </w:p>
    <w:p w14:paraId="2108D7ED" w14:textId="1B62D487" w:rsidR="00643564" w:rsidRDefault="00405BF7" w:rsidP="00643564">
      <w:pPr>
        <w:pStyle w:val="BodyJustified"/>
        <w:numPr>
          <w:ilvl w:val="0"/>
          <w:numId w:val="16"/>
        </w:numPr>
      </w:pPr>
      <w:r>
        <w:lastRenderedPageBreak/>
        <w:t>for workers assessed with 0–</w:t>
      </w:r>
      <w:r w:rsidR="00643564">
        <w:t>10 per cent PI, 2 years from when the worker ceased to be entitled to weekly benefits or from the date the claim was made (if the worker had not received any weekly benefits)</w:t>
      </w:r>
    </w:p>
    <w:p w14:paraId="3A8FEAFA" w14:textId="2F264852" w:rsidR="00643564" w:rsidRDefault="00405BF7" w:rsidP="00643564">
      <w:pPr>
        <w:pStyle w:val="BodyJustified"/>
        <w:numPr>
          <w:ilvl w:val="0"/>
          <w:numId w:val="16"/>
        </w:numPr>
      </w:pPr>
      <w:r>
        <w:t>for workers assessed with an 11–</w:t>
      </w:r>
      <w:r w:rsidR="00643564">
        <w:t>20 per cent PI, 5 years from when the worker ceased to be entitled to weekly benefits or from the date the claim was made (if the worker had not received any weekly benefits)</w:t>
      </w:r>
    </w:p>
    <w:p w14:paraId="2645C26F" w14:textId="5EB32985" w:rsidR="00CE00EC" w:rsidRDefault="00643564" w:rsidP="00643564">
      <w:pPr>
        <w:pStyle w:val="BodyJustified"/>
        <w:numPr>
          <w:ilvl w:val="0"/>
          <w:numId w:val="16"/>
        </w:numPr>
      </w:pPr>
      <w:r>
        <w:t>for workers wit</w:t>
      </w:r>
      <w:r w:rsidR="00B755AA">
        <w:t>h a PI greater than 20 per cent</w:t>
      </w:r>
      <w:r>
        <w:t>, the entitlement to medical cover continues</w:t>
      </w:r>
      <w:r w:rsidR="00A50EE4">
        <w:t xml:space="preserve"> for life. In addition, the legislative amendments in 2015 provided that for those workers with highest needs (being those with PI over 30 per cent), weekly benefits were improved to better support those injured workers. The legislative amendments in 2015 also enabled injured workers to continue on weekly payments until the disputed work capacity assessment and/or decision had been resolved. </w:t>
      </w:r>
    </w:p>
    <w:p w14:paraId="1D2B3DB9" w14:textId="47A4FEBA" w:rsidR="00CE00EC" w:rsidRPr="007E7EB0" w:rsidRDefault="00CE00EC" w:rsidP="00EB7886">
      <w:pPr>
        <w:pStyle w:val="SWASectionnum2"/>
        <w:rPr>
          <w:i/>
          <w:color w:val="00B050"/>
          <w:sz w:val="22"/>
        </w:rPr>
      </w:pPr>
      <w:bookmarkStart w:id="38" w:name="_Toc476564199"/>
      <w:bookmarkStart w:id="39" w:name="_Toc4508780"/>
      <w:r w:rsidRPr="00EB7886">
        <w:t>Return to work data</w:t>
      </w:r>
      <w:bookmarkEnd w:id="38"/>
      <w:bookmarkEnd w:id="39"/>
      <w:r w:rsidRPr="00EB7886">
        <w:t xml:space="preserve"> </w:t>
      </w:r>
    </w:p>
    <w:p w14:paraId="1EEB9144" w14:textId="77777777" w:rsidR="00CE00EC" w:rsidRDefault="00CE00EC" w:rsidP="000E20AE">
      <w:pPr>
        <w:pStyle w:val="BodyJustified"/>
      </w:pPr>
      <w:r>
        <w:t>In 2012, a working group consisting of representatives of Australian and New Zealand workers’ compensation authorities, unions and employer groups developed a survey instrument and sampling methodology to measure return to work outcomes of injured workers receiving workers’ compensation. In June 2012, Safe Work Australia’s Strategic Issues Group for Workers’ Compensation (SIG-WC) agreed to the survey instrument and methodology and the Social Research Centre was contracted to undertake the survey.</w:t>
      </w:r>
    </w:p>
    <w:p w14:paraId="4E3093E0" w14:textId="6D904FA2" w:rsidR="00CE00EC" w:rsidRDefault="00CE00EC" w:rsidP="000E20AE">
      <w:pPr>
        <w:pStyle w:val="BodyJustified"/>
      </w:pPr>
      <w:r>
        <w:t>Data for the 201</w:t>
      </w:r>
      <w:r w:rsidR="003A2DEB">
        <w:t>8</w:t>
      </w:r>
      <w:r>
        <w:t xml:space="preserve"> Return to Work (RTW) indicator are drawn from the RTW – Full Summary Report. This measure is based on Question C1, ‘Are you currently working in a paid job?’ and Question C7, ‘Can I just confirm, have you returned to work at any time since your workplace injury or illness?’ It reports the proportion of injured workers who state ‘yes’ to both questions. The 201</w:t>
      </w:r>
      <w:r w:rsidR="003A2DEB">
        <w:t>8</w:t>
      </w:r>
      <w:r>
        <w:t xml:space="preserve"> sample consisted of </w:t>
      </w:r>
      <w:r w:rsidR="003A2DEB">
        <w:t>4</w:t>
      </w:r>
      <w:r w:rsidR="00B47A83">
        <w:t>,</w:t>
      </w:r>
      <w:r w:rsidR="003A2DEB">
        <w:t>602</w:t>
      </w:r>
      <w:r>
        <w:t xml:space="preserve"> injured workers who had made a workers’ compensation claim (Appendix 1 – Table 4). The Australian average for each year is calculated using the jurisdictions that participated in the survey for that year. </w:t>
      </w:r>
    </w:p>
    <w:p w14:paraId="544BE55F" w14:textId="5F531673" w:rsidR="006C77CF" w:rsidRPr="006C77CF" w:rsidRDefault="006C77CF" w:rsidP="006C77CF">
      <w:pPr>
        <w:spacing w:line="276" w:lineRule="auto"/>
        <w:rPr>
          <w:lang w:val="en-US" w:eastAsia="en-US"/>
        </w:rPr>
      </w:pPr>
      <w:r>
        <w:t>All Australia jurisdictions participated in the 2018 National Return to Work Survey except South Australia. New Zealand undertook a separate, but comparable, survey in 2018 and the findings of this will be reported separately by New Zealand.</w:t>
      </w:r>
    </w:p>
    <w:p w14:paraId="38A5DEBA" w14:textId="036F2385" w:rsidR="00CE00EC" w:rsidRDefault="00CE00EC" w:rsidP="000E20AE">
      <w:pPr>
        <w:pStyle w:val="BodyJustified"/>
      </w:pPr>
      <w:r w:rsidRPr="00683AAD">
        <w:t>For Australian jurisdictions, the sample was selected in two cohorts: Historic Return to Work (Historic) and Balance. The Historic Cohort refers to injured workers of premium paying organisations who had 10 or more days compensated, with claims ranging from 7 to 8 months of age in large jurisdictions and 7 to 9 months of age in smaller jurisdictions</w:t>
      </w:r>
      <w:r>
        <w:t xml:space="preserve">. Large </w:t>
      </w:r>
      <w:r w:rsidR="0041511B">
        <w:t xml:space="preserve">jurisdictions were Queensland, </w:t>
      </w:r>
      <w:r>
        <w:t>New South Wales, Victoria, and Western Australia. Small jurisdictions were Comcare, Seacare, Tasmania, and the Northern Territory.</w:t>
      </w:r>
    </w:p>
    <w:p w14:paraId="3FD2D53F" w14:textId="37688295" w:rsidR="000E20AE" w:rsidRPr="000E20AE" w:rsidRDefault="00CE00EC" w:rsidP="000E20AE">
      <w:pPr>
        <w:pStyle w:val="BodyJustified"/>
      </w:pPr>
      <w:r>
        <w:t>The Balance Cohort refers to injured workers of premium payers or self</w:t>
      </w:r>
      <w:r w:rsidR="00B47A83">
        <w:t>-insured organisations from a 2 </w:t>
      </w:r>
      <w:r>
        <w:t>year period (1 March 201</w:t>
      </w:r>
      <w:r w:rsidR="003A2DEB">
        <w:t>6</w:t>
      </w:r>
      <w:r>
        <w:t xml:space="preserve"> to 31 January 201</w:t>
      </w:r>
      <w:r w:rsidR="003A2DEB">
        <w:t>8</w:t>
      </w:r>
      <w:r>
        <w:t>) with at least one day compensated.</w:t>
      </w:r>
      <w:r w:rsidR="000E20AE">
        <w:t xml:space="preserve"> The whole sample (Historic and Balance cohorts) was used in the CPM 20 – part 3 report for the Current Return to work rate by jurisdiction (Indicator 21).</w:t>
      </w:r>
    </w:p>
    <w:p w14:paraId="7BC2A088" w14:textId="72E5F491" w:rsidR="00A50EE4" w:rsidRDefault="00CE00EC" w:rsidP="000E20AE">
      <w:pPr>
        <w:pStyle w:val="BodyJustified"/>
      </w:pPr>
      <w:r>
        <w:t xml:space="preserve">The Full </w:t>
      </w:r>
      <w:r w:rsidRPr="00064465">
        <w:t xml:space="preserve">RTW </w:t>
      </w:r>
      <w:r>
        <w:t xml:space="preserve">Summary Reports since 2012 are available at the </w:t>
      </w:r>
      <w:hyperlink r:id="rId76" w:history="1">
        <w:r w:rsidRPr="008C0BE0">
          <w:rPr>
            <w:rStyle w:val="Hyperlink"/>
          </w:rPr>
          <w:t>Safe Work Australia</w:t>
        </w:r>
      </w:hyperlink>
      <w:r>
        <w:t xml:space="preserve"> website.</w:t>
      </w:r>
    </w:p>
    <w:p w14:paraId="7AE45FC6" w14:textId="77777777" w:rsidR="00A50EE4" w:rsidRDefault="00A50EE4">
      <w:pPr>
        <w:spacing w:before="0" w:after="200" w:line="276" w:lineRule="auto"/>
        <w:jc w:val="left"/>
        <w:rPr>
          <w:rFonts w:eastAsiaTheme="minorHAnsi" w:cs="Arial"/>
          <w:szCs w:val="22"/>
          <w:lang w:val="en-US" w:eastAsia="en-US"/>
        </w:rPr>
      </w:pPr>
      <w:r>
        <w:br w:type="page"/>
      </w:r>
    </w:p>
    <w:p w14:paraId="28579B73" w14:textId="6A1E3F78" w:rsidR="00CE00EC" w:rsidRPr="007A4C32" w:rsidRDefault="00CE00EC" w:rsidP="00CB108E">
      <w:pPr>
        <w:pStyle w:val="SWATableheader"/>
      </w:pPr>
      <w:r w:rsidRPr="007A4C32">
        <w:lastRenderedPageBreak/>
        <w:t xml:space="preserve">Appendix 1 – Table 4: Return to Work Survey: </w:t>
      </w:r>
      <w:r>
        <w:t xml:space="preserve">Interviews </w:t>
      </w:r>
      <w:r w:rsidRPr="007A4C32">
        <w:t xml:space="preserve">by </w:t>
      </w:r>
      <w:r>
        <w:t>jurisdiction</w:t>
      </w:r>
      <w:r w:rsidR="00405BF7">
        <w:t>,</w:t>
      </w:r>
      <w:r>
        <w:t xml:space="preserve"> </w:t>
      </w:r>
      <w:r w:rsidR="00C87C32">
        <w:t>201</w:t>
      </w:r>
      <w:r w:rsidR="003A2DEB">
        <w:t xml:space="preserve">8 </w:t>
      </w:r>
    </w:p>
    <w:tbl>
      <w:tblPr>
        <w:tblW w:w="9371" w:type="dxa"/>
        <w:tblInd w:w="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3417"/>
        <w:gridCol w:w="1276"/>
        <w:gridCol w:w="1134"/>
        <w:gridCol w:w="1134"/>
        <w:gridCol w:w="1134"/>
        <w:gridCol w:w="1276"/>
      </w:tblGrid>
      <w:tr w:rsidR="00AE231D" w:rsidRPr="00AE231D" w14:paraId="4AC5259A" w14:textId="77777777" w:rsidTr="0050228A">
        <w:trPr>
          <w:trHeight w:val="567"/>
          <w:tblHeader/>
        </w:trPr>
        <w:tc>
          <w:tcPr>
            <w:tcW w:w="3417" w:type="dxa"/>
            <w:vMerge w:val="restart"/>
            <w:shd w:val="clear" w:color="000000" w:fill="AF1E2D"/>
            <w:vAlign w:val="center"/>
            <w:hideMark/>
          </w:tcPr>
          <w:p w14:paraId="43F3593A"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Jurisdiction</w:t>
            </w:r>
          </w:p>
        </w:tc>
        <w:tc>
          <w:tcPr>
            <w:tcW w:w="1276" w:type="dxa"/>
            <w:shd w:val="clear" w:color="000000" w:fill="AF1E2D"/>
            <w:vAlign w:val="center"/>
            <w:hideMark/>
          </w:tcPr>
          <w:p w14:paraId="69B2E6BA"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Historic Cohort</w:t>
            </w:r>
          </w:p>
        </w:tc>
        <w:tc>
          <w:tcPr>
            <w:tcW w:w="3402" w:type="dxa"/>
            <w:gridSpan w:val="3"/>
            <w:shd w:val="clear" w:color="000000" w:fill="AF1E2D"/>
            <w:vAlign w:val="center"/>
            <w:hideMark/>
          </w:tcPr>
          <w:p w14:paraId="0F4A538D"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Balance cohort</w:t>
            </w:r>
          </w:p>
        </w:tc>
        <w:tc>
          <w:tcPr>
            <w:tcW w:w="1276" w:type="dxa"/>
            <w:vMerge w:val="restart"/>
            <w:shd w:val="clear" w:color="000000" w:fill="AF1E2D"/>
            <w:vAlign w:val="center"/>
            <w:hideMark/>
          </w:tcPr>
          <w:p w14:paraId="317403DE"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Total</w:t>
            </w:r>
          </w:p>
        </w:tc>
      </w:tr>
      <w:tr w:rsidR="00AE231D" w:rsidRPr="00AE231D" w14:paraId="7223EFF6" w14:textId="77777777" w:rsidTr="0050228A">
        <w:trPr>
          <w:trHeight w:val="735"/>
          <w:tblHeader/>
        </w:trPr>
        <w:tc>
          <w:tcPr>
            <w:tcW w:w="3417" w:type="dxa"/>
            <w:vMerge/>
            <w:vAlign w:val="center"/>
            <w:hideMark/>
          </w:tcPr>
          <w:p w14:paraId="08406981" w14:textId="77777777" w:rsidR="00AE231D" w:rsidRPr="00AE231D" w:rsidRDefault="00AE231D" w:rsidP="00AE231D">
            <w:pPr>
              <w:spacing w:before="0"/>
              <w:jc w:val="left"/>
              <w:rPr>
                <w:rFonts w:cs="Arial"/>
                <w:b/>
                <w:bCs/>
                <w:color w:val="FFFFFF"/>
                <w:sz w:val="18"/>
                <w:szCs w:val="18"/>
              </w:rPr>
            </w:pPr>
          </w:p>
        </w:tc>
        <w:tc>
          <w:tcPr>
            <w:tcW w:w="1276" w:type="dxa"/>
            <w:shd w:val="clear" w:color="000000" w:fill="AF1E2D"/>
            <w:vAlign w:val="center"/>
            <w:hideMark/>
          </w:tcPr>
          <w:p w14:paraId="2A1C2433"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(Premium payers only)</w:t>
            </w:r>
          </w:p>
        </w:tc>
        <w:tc>
          <w:tcPr>
            <w:tcW w:w="1134" w:type="dxa"/>
            <w:shd w:val="clear" w:color="000000" w:fill="AF1E2D"/>
            <w:vAlign w:val="center"/>
            <w:hideMark/>
          </w:tcPr>
          <w:p w14:paraId="14A5840F"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Premium payer</w:t>
            </w:r>
          </w:p>
        </w:tc>
        <w:tc>
          <w:tcPr>
            <w:tcW w:w="1134" w:type="dxa"/>
            <w:shd w:val="clear" w:color="000000" w:fill="AF1E2D"/>
            <w:vAlign w:val="center"/>
            <w:hideMark/>
          </w:tcPr>
          <w:p w14:paraId="2CC7EA86"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Self-insurer</w:t>
            </w:r>
          </w:p>
        </w:tc>
        <w:tc>
          <w:tcPr>
            <w:tcW w:w="1134" w:type="dxa"/>
            <w:shd w:val="clear" w:color="000000" w:fill="AF1E2D"/>
            <w:vAlign w:val="center"/>
            <w:hideMark/>
          </w:tcPr>
          <w:p w14:paraId="0C7CDD91"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Sub-total</w:t>
            </w:r>
          </w:p>
        </w:tc>
        <w:tc>
          <w:tcPr>
            <w:tcW w:w="1276" w:type="dxa"/>
            <w:vMerge/>
            <w:vAlign w:val="center"/>
            <w:hideMark/>
          </w:tcPr>
          <w:p w14:paraId="2D4CB0B6" w14:textId="77777777" w:rsidR="00AE231D" w:rsidRPr="00AE231D" w:rsidRDefault="00AE231D" w:rsidP="00AE231D">
            <w:pPr>
              <w:spacing w:before="0"/>
              <w:jc w:val="left"/>
              <w:rPr>
                <w:rFonts w:cs="Arial"/>
                <w:b/>
                <w:bCs/>
                <w:color w:val="FFFFFF"/>
                <w:sz w:val="18"/>
                <w:szCs w:val="18"/>
              </w:rPr>
            </w:pPr>
          </w:p>
        </w:tc>
      </w:tr>
      <w:tr w:rsidR="00AE231D" w:rsidRPr="00AE231D" w14:paraId="2492EC3F" w14:textId="77777777" w:rsidTr="001A1261">
        <w:trPr>
          <w:trHeight w:val="312"/>
        </w:trPr>
        <w:tc>
          <w:tcPr>
            <w:tcW w:w="3417" w:type="dxa"/>
            <w:shd w:val="clear" w:color="000000" w:fill="EFD3D2"/>
            <w:noWrap/>
            <w:vAlign w:val="center"/>
            <w:hideMark/>
          </w:tcPr>
          <w:p w14:paraId="67B992E5" w14:textId="77777777" w:rsidR="00AE231D" w:rsidRPr="00AE231D" w:rsidRDefault="00AE231D" w:rsidP="00AE231D">
            <w:pPr>
              <w:spacing w:before="0"/>
              <w:jc w:val="left"/>
              <w:rPr>
                <w:rFonts w:cs="Arial"/>
                <w:color w:val="000000"/>
                <w:sz w:val="18"/>
                <w:szCs w:val="18"/>
              </w:rPr>
            </w:pPr>
            <w:r w:rsidRPr="00AE231D">
              <w:rPr>
                <w:rFonts w:cs="Arial"/>
                <w:color w:val="000000"/>
                <w:sz w:val="18"/>
                <w:szCs w:val="18"/>
              </w:rPr>
              <w:t>New South Wales</w:t>
            </w:r>
          </w:p>
        </w:tc>
        <w:tc>
          <w:tcPr>
            <w:tcW w:w="1276" w:type="dxa"/>
            <w:shd w:val="clear" w:color="000000" w:fill="EFD3D2"/>
            <w:noWrap/>
            <w:vAlign w:val="center"/>
            <w:hideMark/>
          </w:tcPr>
          <w:p w14:paraId="554555FF" w14:textId="1D9415E4" w:rsidR="00AE231D" w:rsidRPr="00AE231D" w:rsidRDefault="00DA3153" w:rsidP="00AE231D">
            <w:pPr>
              <w:spacing w:before="0"/>
              <w:jc w:val="right"/>
              <w:rPr>
                <w:rFonts w:cs="Arial"/>
                <w:color w:val="000000"/>
                <w:sz w:val="18"/>
                <w:szCs w:val="18"/>
              </w:rPr>
            </w:pPr>
            <w:r>
              <w:rPr>
                <w:rFonts w:cs="Arial"/>
                <w:color w:val="000000"/>
                <w:sz w:val="18"/>
                <w:szCs w:val="18"/>
              </w:rPr>
              <w:t>419</w:t>
            </w:r>
          </w:p>
        </w:tc>
        <w:tc>
          <w:tcPr>
            <w:tcW w:w="1134" w:type="dxa"/>
            <w:shd w:val="clear" w:color="000000" w:fill="EFD3D2"/>
            <w:noWrap/>
            <w:vAlign w:val="center"/>
            <w:hideMark/>
          </w:tcPr>
          <w:p w14:paraId="60010CAC" w14:textId="6F27D6BE" w:rsidR="00AE231D" w:rsidRPr="00AE231D" w:rsidRDefault="00DA3153" w:rsidP="00AE231D">
            <w:pPr>
              <w:spacing w:before="0"/>
              <w:jc w:val="right"/>
              <w:rPr>
                <w:rFonts w:cs="Arial"/>
                <w:color w:val="000000"/>
                <w:sz w:val="18"/>
                <w:szCs w:val="18"/>
              </w:rPr>
            </w:pPr>
            <w:r>
              <w:rPr>
                <w:rFonts w:cs="Arial"/>
                <w:color w:val="000000"/>
                <w:sz w:val="18"/>
                <w:szCs w:val="18"/>
              </w:rPr>
              <w:t>255</w:t>
            </w:r>
          </w:p>
        </w:tc>
        <w:tc>
          <w:tcPr>
            <w:tcW w:w="1134" w:type="dxa"/>
            <w:shd w:val="clear" w:color="000000" w:fill="EFD3D2"/>
            <w:noWrap/>
            <w:vAlign w:val="center"/>
            <w:hideMark/>
          </w:tcPr>
          <w:p w14:paraId="2350180D" w14:textId="09CD9664" w:rsidR="00AE231D" w:rsidRPr="00AE231D" w:rsidRDefault="00DA3153" w:rsidP="00AE231D">
            <w:pPr>
              <w:spacing w:before="0"/>
              <w:jc w:val="right"/>
              <w:rPr>
                <w:rFonts w:cs="Arial"/>
                <w:color w:val="000000"/>
                <w:sz w:val="18"/>
                <w:szCs w:val="18"/>
              </w:rPr>
            </w:pPr>
            <w:r>
              <w:rPr>
                <w:rFonts w:cs="Arial"/>
                <w:color w:val="000000"/>
                <w:sz w:val="18"/>
                <w:szCs w:val="18"/>
              </w:rPr>
              <w:t>191</w:t>
            </w:r>
          </w:p>
        </w:tc>
        <w:tc>
          <w:tcPr>
            <w:tcW w:w="1134" w:type="dxa"/>
            <w:shd w:val="clear" w:color="000000" w:fill="EFD3D2"/>
            <w:noWrap/>
            <w:vAlign w:val="center"/>
            <w:hideMark/>
          </w:tcPr>
          <w:p w14:paraId="52B75DF9" w14:textId="2C631622" w:rsidR="00AE231D" w:rsidRPr="00AE231D" w:rsidRDefault="003A2DEB" w:rsidP="00AE231D">
            <w:pPr>
              <w:spacing w:before="0"/>
              <w:jc w:val="right"/>
              <w:rPr>
                <w:rFonts w:cs="Arial"/>
                <w:color w:val="000000"/>
                <w:sz w:val="18"/>
                <w:szCs w:val="18"/>
              </w:rPr>
            </w:pPr>
            <w:r>
              <w:rPr>
                <w:rFonts w:cs="Arial"/>
                <w:color w:val="000000"/>
                <w:sz w:val="18"/>
                <w:szCs w:val="18"/>
              </w:rPr>
              <w:t>446</w:t>
            </w:r>
          </w:p>
        </w:tc>
        <w:tc>
          <w:tcPr>
            <w:tcW w:w="1276" w:type="dxa"/>
            <w:shd w:val="clear" w:color="000000" w:fill="EFD3D2"/>
            <w:noWrap/>
            <w:vAlign w:val="center"/>
            <w:hideMark/>
          </w:tcPr>
          <w:p w14:paraId="5F9CFC96" w14:textId="657039CC" w:rsidR="00AE231D" w:rsidRPr="00AE231D" w:rsidRDefault="003A2DEB" w:rsidP="00AE231D">
            <w:pPr>
              <w:spacing w:before="0"/>
              <w:jc w:val="right"/>
              <w:rPr>
                <w:rFonts w:cs="Arial"/>
                <w:color w:val="000000"/>
                <w:sz w:val="18"/>
                <w:szCs w:val="18"/>
              </w:rPr>
            </w:pPr>
            <w:r>
              <w:rPr>
                <w:rFonts w:cs="Arial"/>
                <w:color w:val="000000"/>
                <w:sz w:val="18"/>
                <w:szCs w:val="18"/>
              </w:rPr>
              <w:t>865</w:t>
            </w:r>
          </w:p>
        </w:tc>
      </w:tr>
      <w:tr w:rsidR="00AE231D" w:rsidRPr="00AE231D" w14:paraId="51E43296" w14:textId="77777777" w:rsidTr="001A1261">
        <w:trPr>
          <w:trHeight w:val="312"/>
        </w:trPr>
        <w:tc>
          <w:tcPr>
            <w:tcW w:w="3417" w:type="dxa"/>
            <w:shd w:val="clear" w:color="auto" w:fill="auto"/>
            <w:noWrap/>
            <w:vAlign w:val="center"/>
            <w:hideMark/>
          </w:tcPr>
          <w:p w14:paraId="337DF9FD" w14:textId="77777777" w:rsidR="00AE231D" w:rsidRPr="00AE231D" w:rsidRDefault="00AE231D" w:rsidP="00AE231D">
            <w:pPr>
              <w:spacing w:before="0"/>
              <w:jc w:val="left"/>
              <w:rPr>
                <w:rFonts w:cs="Arial"/>
                <w:color w:val="000000"/>
                <w:sz w:val="18"/>
                <w:szCs w:val="18"/>
              </w:rPr>
            </w:pPr>
            <w:r w:rsidRPr="00AE231D">
              <w:rPr>
                <w:rFonts w:cs="Arial"/>
                <w:color w:val="000000"/>
                <w:sz w:val="18"/>
                <w:szCs w:val="18"/>
              </w:rPr>
              <w:t>Victoria</w:t>
            </w:r>
          </w:p>
        </w:tc>
        <w:tc>
          <w:tcPr>
            <w:tcW w:w="1276" w:type="dxa"/>
            <w:shd w:val="clear" w:color="auto" w:fill="auto"/>
            <w:noWrap/>
            <w:vAlign w:val="center"/>
            <w:hideMark/>
          </w:tcPr>
          <w:p w14:paraId="02EC353B" w14:textId="475C76E5" w:rsidR="00AE231D" w:rsidRPr="00AE231D" w:rsidRDefault="00DA3153" w:rsidP="00AE231D">
            <w:pPr>
              <w:spacing w:before="0"/>
              <w:jc w:val="right"/>
              <w:rPr>
                <w:rFonts w:cs="Arial"/>
                <w:color w:val="000000"/>
                <w:sz w:val="18"/>
                <w:szCs w:val="18"/>
              </w:rPr>
            </w:pPr>
            <w:r>
              <w:rPr>
                <w:rFonts w:cs="Arial"/>
                <w:color w:val="000000"/>
                <w:sz w:val="18"/>
                <w:szCs w:val="18"/>
              </w:rPr>
              <w:t>399</w:t>
            </w:r>
          </w:p>
        </w:tc>
        <w:tc>
          <w:tcPr>
            <w:tcW w:w="1134" w:type="dxa"/>
            <w:shd w:val="clear" w:color="auto" w:fill="auto"/>
            <w:noWrap/>
            <w:vAlign w:val="center"/>
            <w:hideMark/>
          </w:tcPr>
          <w:p w14:paraId="3AC2D580" w14:textId="01EC307D" w:rsidR="00AE231D" w:rsidRPr="00AE231D" w:rsidRDefault="00DA3153" w:rsidP="00AE231D">
            <w:pPr>
              <w:spacing w:before="0"/>
              <w:jc w:val="right"/>
              <w:rPr>
                <w:rFonts w:cs="Arial"/>
                <w:color w:val="000000"/>
                <w:sz w:val="18"/>
                <w:szCs w:val="18"/>
              </w:rPr>
            </w:pPr>
            <w:r>
              <w:rPr>
                <w:rFonts w:cs="Arial"/>
                <w:color w:val="000000"/>
                <w:sz w:val="18"/>
                <w:szCs w:val="18"/>
              </w:rPr>
              <w:t>369</w:t>
            </w:r>
          </w:p>
        </w:tc>
        <w:tc>
          <w:tcPr>
            <w:tcW w:w="1134" w:type="dxa"/>
            <w:shd w:val="clear" w:color="auto" w:fill="auto"/>
            <w:noWrap/>
            <w:vAlign w:val="center"/>
            <w:hideMark/>
          </w:tcPr>
          <w:p w14:paraId="5F856AC3" w14:textId="5D79C981" w:rsidR="00AE231D" w:rsidRPr="00AE231D" w:rsidRDefault="00DA3153" w:rsidP="00AE231D">
            <w:pPr>
              <w:spacing w:before="0"/>
              <w:jc w:val="right"/>
              <w:rPr>
                <w:rFonts w:cs="Arial"/>
                <w:color w:val="000000"/>
                <w:sz w:val="18"/>
                <w:szCs w:val="18"/>
              </w:rPr>
            </w:pPr>
            <w:r>
              <w:rPr>
                <w:rFonts w:cs="Arial"/>
                <w:color w:val="000000"/>
                <w:sz w:val="18"/>
                <w:szCs w:val="18"/>
              </w:rPr>
              <w:t>37</w:t>
            </w:r>
          </w:p>
        </w:tc>
        <w:tc>
          <w:tcPr>
            <w:tcW w:w="1134" w:type="dxa"/>
            <w:shd w:val="clear" w:color="auto" w:fill="auto"/>
            <w:noWrap/>
            <w:vAlign w:val="center"/>
            <w:hideMark/>
          </w:tcPr>
          <w:p w14:paraId="1C5DB4D3" w14:textId="219582DA" w:rsidR="00AE231D" w:rsidRPr="00AE231D" w:rsidRDefault="003A2DEB" w:rsidP="00AE231D">
            <w:pPr>
              <w:spacing w:before="0"/>
              <w:jc w:val="right"/>
              <w:rPr>
                <w:rFonts w:cs="Arial"/>
                <w:color w:val="000000"/>
                <w:sz w:val="18"/>
                <w:szCs w:val="18"/>
              </w:rPr>
            </w:pPr>
            <w:r>
              <w:rPr>
                <w:rFonts w:cs="Arial"/>
                <w:color w:val="000000"/>
                <w:sz w:val="18"/>
                <w:szCs w:val="18"/>
              </w:rPr>
              <w:t>406</w:t>
            </w:r>
          </w:p>
        </w:tc>
        <w:tc>
          <w:tcPr>
            <w:tcW w:w="1276" w:type="dxa"/>
            <w:shd w:val="clear" w:color="auto" w:fill="auto"/>
            <w:noWrap/>
            <w:vAlign w:val="center"/>
            <w:hideMark/>
          </w:tcPr>
          <w:p w14:paraId="51EED167" w14:textId="677FA739" w:rsidR="00AE231D" w:rsidRPr="00AE231D" w:rsidRDefault="003A2DEB" w:rsidP="00AE231D">
            <w:pPr>
              <w:spacing w:before="0"/>
              <w:jc w:val="right"/>
              <w:rPr>
                <w:rFonts w:cs="Arial"/>
                <w:color w:val="000000"/>
                <w:sz w:val="18"/>
                <w:szCs w:val="18"/>
              </w:rPr>
            </w:pPr>
            <w:r>
              <w:rPr>
                <w:rFonts w:cs="Arial"/>
                <w:color w:val="000000"/>
                <w:sz w:val="18"/>
                <w:szCs w:val="18"/>
              </w:rPr>
              <w:t>805</w:t>
            </w:r>
          </w:p>
        </w:tc>
      </w:tr>
      <w:tr w:rsidR="00AE231D" w:rsidRPr="00AE231D" w14:paraId="5366E596" w14:textId="77777777" w:rsidTr="001A1261">
        <w:trPr>
          <w:trHeight w:val="312"/>
        </w:trPr>
        <w:tc>
          <w:tcPr>
            <w:tcW w:w="3417" w:type="dxa"/>
            <w:shd w:val="clear" w:color="000000" w:fill="EFD3D2"/>
            <w:noWrap/>
            <w:vAlign w:val="center"/>
            <w:hideMark/>
          </w:tcPr>
          <w:p w14:paraId="3A7579FC" w14:textId="77777777" w:rsidR="00AE231D" w:rsidRPr="00AE231D" w:rsidRDefault="00AE231D" w:rsidP="00AE231D">
            <w:pPr>
              <w:spacing w:before="0"/>
              <w:jc w:val="left"/>
              <w:rPr>
                <w:rFonts w:cs="Arial"/>
                <w:color w:val="000000"/>
                <w:sz w:val="18"/>
                <w:szCs w:val="18"/>
              </w:rPr>
            </w:pPr>
            <w:r w:rsidRPr="00AE231D">
              <w:rPr>
                <w:rFonts w:cs="Arial"/>
                <w:color w:val="000000"/>
                <w:sz w:val="18"/>
                <w:szCs w:val="18"/>
              </w:rPr>
              <w:t>Queensland</w:t>
            </w:r>
          </w:p>
        </w:tc>
        <w:tc>
          <w:tcPr>
            <w:tcW w:w="1276" w:type="dxa"/>
            <w:shd w:val="clear" w:color="000000" w:fill="EFD3D2"/>
            <w:noWrap/>
            <w:vAlign w:val="center"/>
            <w:hideMark/>
          </w:tcPr>
          <w:p w14:paraId="47D59C0D" w14:textId="54F39759" w:rsidR="00AE231D" w:rsidRPr="00AE231D" w:rsidRDefault="00DA3153" w:rsidP="00DA3153">
            <w:pPr>
              <w:spacing w:before="0"/>
              <w:jc w:val="right"/>
              <w:rPr>
                <w:rFonts w:cs="Arial"/>
                <w:color w:val="000000"/>
                <w:sz w:val="18"/>
                <w:szCs w:val="18"/>
              </w:rPr>
            </w:pPr>
            <w:r>
              <w:rPr>
                <w:rFonts w:cs="Arial"/>
                <w:color w:val="000000"/>
                <w:sz w:val="18"/>
                <w:szCs w:val="18"/>
              </w:rPr>
              <w:t>439</w:t>
            </w:r>
          </w:p>
        </w:tc>
        <w:tc>
          <w:tcPr>
            <w:tcW w:w="1134" w:type="dxa"/>
            <w:shd w:val="clear" w:color="000000" w:fill="EFD3D2"/>
            <w:noWrap/>
            <w:vAlign w:val="center"/>
            <w:hideMark/>
          </w:tcPr>
          <w:p w14:paraId="68D080F4" w14:textId="01C71E8B" w:rsidR="00AE231D" w:rsidRPr="00AE231D" w:rsidRDefault="00DA3153" w:rsidP="00AE231D">
            <w:pPr>
              <w:spacing w:before="0"/>
              <w:jc w:val="right"/>
              <w:rPr>
                <w:rFonts w:cs="Arial"/>
                <w:color w:val="000000"/>
                <w:sz w:val="18"/>
                <w:szCs w:val="18"/>
              </w:rPr>
            </w:pPr>
            <w:r>
              <w:rPr>
                <w:rFonts w:cs="Arial"/>
                <w:color w:val="000000"/>
                <w:sz w:val="18"/>
                <w:szCs w:val="18"/>
              </w:rPr>
              <w:t>339</w:t>
            </w:r>
          </w:p>
        </w:tc>
        <w:tc>
          <w:tcPr>
            <w:tcW w:w="1134" w:type="dxa"/>
            <w:shd w:val="clear" w:color="000000" w:fill="EFD3D2"/>
            <w:noWrap/>
            <w:vAlign w:val="center"/>
            <w:hideMark/>
          </w:tcPr>
          <w:p w14:paraId="21EFEF81" w14:textId="24608FF9" w:rsidR="00AE231D" w:rsidRPr="00AE231D" w:rsidRDefault="00DA3153" w:rsidP="00AE231D">
            <w:pPr>
              <w:spacing w:before="0"/>
              <w:jc w:val="right"/>
              <w:rPr>
                <w:rFonts w:cs="Arial"/>
                <w:color w:val="000000"/>
                <w:sz w:val="18"/>
                <w:szCs w:val="18"/>
              </w:rPr>
            </w:pPr>
            <w:r>
              <w:rPr>
                <w:rFonts w:cs="Arial"/>
                <w:color w:val="000000"/>
                <w:sz w:val="18"/>
                <w:szCs w:val="18"/>
              </w:rPr>
              <w:t>31</w:t>
            </w:r>
          </w:p>
        </w:tc>
        <w:tc>
          <w:tcPr>
            <w:tcW w:w="1134" w:type="dxa"/>
            <w:shd w:val="clear" w:color="000000" w:fill="EFD3D2"/>
            <w:noWrap/>
            <w:vAlign w:val="center"/>
            <w:hideMark/>
          </w:tcPr>
          <w:p w14:paraId="0CC3D9B2" w14:textId="28CC7D20" w:rsidR="00AE231D" w:rsidRPr="00AE231D" w:rsidRDefault="003A2DEB" w:rsidP="00AE231D">
            <w:pPr>
              <w:spacing w:before="0"/>
              <w:jc w:val="right"/>
              <w:rPr>
                <w:rFonts w:cs="Arial"/>
                <w:color w:val="000000"/>
                <w:sz w:val="18"/>
                <w:szCs w:val="18"/>
              </w:rPr>
            </w:pPr>
            <w:r>
              <w:rPr>
                <w:rFonts w:cs="Arial"/>
                <w:color w:val="000000"/>
                <w:sz w:val="18"/>
                <w:szCs w:val="18"/>
              </w:rPr>
              <w:t>370</w:t>
            </w:r>
          </w:p>
        </w:tc>
        <w:tc>
          <w:tcPr>
            <w:tcW w:w="1276" w:type="dxa"/>
            <w:shd w:val="clear" w:color="000000" w:fill="EFD3D2"/>
            <w:noWrap/>
            <w:vAlign w:val="center"/>
            <w:hideMark/>
          </w:tcPr>
          <w:p w14:paraId="50832D1F" w14:textId="16C19E66" w:rsidR="00AE231D" w:rsidRPr="00AE231D" w:rsidRDefault="003A2DEB" w:rsidP="00AE231D">
            <w:pPr>
              <w:spacing w:before="0"/>
              <w:jc w:val="right"/>
              <w:rPr>
                <w:rFonts w:cs="Arial"/>
                <w:color w:val="000000"/>
                <w:sz w:val="18"/>
                <w:szCs w:val="18"/>
              </w:rPr>
            </w:pPr>
            <w:r>
              <w:rPr>
                <w:rFonts w:cs="Arial"/>
                <w:color w:val="000000"/>
                <w:sz w:val="18"/>
                <w:szCs w:val="18"/>
              </w:rPr>
              <w:t>809</w:t>
            </w:r>
          </w:p>
        </w:tc>
      </w:tr>
      <w:tr w:rsidR="00AE231D" w:rsidRPr="00AE231D" w14:paraId="5A5BEDBD" w14:textId="77777777" w:rsidTr="001A1261">
        <w:trPr>
          <w:trHeight w:val="312"/>
        </w:trPr>
        <w:tc>
          <w:tcPr>
            <w:tcW w:w="3417" w:type="dxa"/>
            <w:shd w:val="clear" w:color="auto" w:fill="auto"/>
            <w:noWrap/>
            <w:vAlign w:val="center"/>
            <w:hideMark/>
          </w:tcPr>
          <w:p w14:paraId="2D8297D7" w14:textId="0BB16948" w:rsidR="00AE231D" w:rsidRPr="00AE231D" w:rsidRDefault="00DA3153" w:rsidP="00DA3153">
            <w:pPr>
              <w:spacing w:before="0"/>
              <w:jc w:val="left"/>
              <w:rPr>
                <w:rFonts w:cs="Arial"/>
                <w:color w:val="000000"/>
                <w:sz w:val="18"/>
                <w:szCs w:val="18"/>
              </w:rPr>
            </w:pPr>
            <w:r>
              <w:rPr>
                <w:rFonts w:cs="Arial"/>
                <w:color w:val="000000"/>
                <w:sz w:val="18"/>
                <w:szCs w:val="18"/>
              </w:rPr>
              <w:t>Australian Capital Territory</w:t>
            </w:r>
          </w:p>
        </w:tc>
        <w:tc>
          <w:tcPr>
            <w:tcW w:w="1276" w:type="dxa"/>
            <w:shd w:val="clear" w:color="auto" w:fill="auto"/>
            <w:noWrap/>
            <w:vAlign w:val="center"/>
            <w:hideMark/>
          </w:tcPr>
          <w:p w14:paraId="0607DF9C" w14:textId="4A623422" w:rsidR="00AE231D" w:rsidRPr="00AE231D" w:rsidRDefault="00DA3153" w:rsidP="00AE231D">
            <w:pPr>
              <w:spacing w:before="0"/>
              <w:jc w:val="right"/>
              <w:rPr>
                <w:rFonts w:cs="Arial"/>
                <w:color w:val="000000"/>
                <w:sz w:val="18"/>
                <w:szCs w:val="18"/>
              </w:rPr>
            </w:pPr>
            <w:r>
              <w:rPr>
                <w:rFonts w:cs="Arial"/>
                <w:color w:val="000000"/>
                <w:sz w:val="18"/>
                <w:szCs w:val="18"/>
              </w:rPr>
              <w:t>39</w:t>
            </w:r>
          </w:p>
        </w:tc>
        <w:tc>
          <w:tcPr>
            <w:tcW w:w="1134" w:type="dxa"/>
            <w:shd w:val="clear" w:color="auto" w:fill="auto"/>
            <w:noWrap/>
            <w:vAlign w:val="center"/>
            <w:hideMark/>
          </w:tcPr>
          <w:p w14:paraId="771A289A" w14:textId="5D000E6C" w:rsidR="00AE231D" w:rsidRPr="00AE231D" w:rsidRDefault="00DA3153" w:rsidP="00AE231D">
            <w:pPr>
              <w:spacing w:before="0"/>
              <w:jc w:val="right"/>
              <w:rPr>
                <w:rFonts w:cs="Arial"/>
                <w:color w:val="000000"/>
                <w:sz w:val="18"/>
                <w:szCs w:val="18"/>
              </w:rPr>
            </w:pPr>
            <w:r>
              <w:rPr>
                <w:rFonts w:cs="Arial"/>
                <w:color w:val="000000"/>
                <w:sz w:val="18"/>
                <w:szCs w:val="18"/>
              </w:rPr>
              <w:t>96</w:t>
            </w:r>
          </w:p>
        </w:tc>
        <w:tc>
          <w:tcPr>
            <w:tcW w:w="1134" w:type="dxa"/>
            <w:shd w:val="clear" w:color="auto" w:fill="auto"/>
            <w:noWrap/>
            <w:vAlign w:val="center"/>
            <w:hideMark/>
          </w:tcPr>
          <w:p w14:paraId="4194A058" w14:textId="69725B14" w:rsidR="00AE231D" w:rsidRPr="00AE231D" w:rsidRDefault="00DA3153" w:rsidP="00AE231D">
            <w:pPr>
              <w:spacing w:before="0"/>
              <w:jc w:val="right"/>
              <w:rPr>
                <w:rFonts w:cs="Arial"/>
                <w:color w:val="000000"/>
                <w:sz w:val="18"/>
                <w:szCs w:val="18"/>
              </w:rPr>
            </w:pPr>
            <w:r>
              <w:rPr>
                <w:rFonts w:cs="Arial"/>
                <w:color w:val="000000"/>
                <w:sz w:val="18"/>
                <w:szCs w:val="18"/>
              </w:rPr>
              <w:t>15</w:t>
            </w:r>
          </w:p>
        </w:tc>
        <w:tc>
          <w:tcPr>
            <w:tcW w:w="1134" w:type="dxa"/>
            <w:shd w:val="clear" w:color="auto" w:fill="auto"/>
            <w:noWrap/>
            <w:vAlign w:val="center"/>
            <w:hideMark/>
          </w:tcPr>
          <w:p w14:paraId="7DD8284E" w14:textId="16475266" w:rsidR="00AE231D" w:rsidRPr="00AE231D" w:rsidRDefault="003A2DEB" w:rsidP="00AE231D">
            <w:pPr>
              <w:spacing w:before="0"/>
              <w:jc w:val="right"/>
              <w:rPr>
                <w:rFonts w:cs="Arial"/>
                <w:color w:val="000000"/>
                <w:sz w:val="18"/>
                <w:szCs w:val="18"/>
              </w:rPr>
            </w:pPr>
            <w:r>
              <w:rPr>
                <w:rFonts w:cs="Arial"/>
                <w:color w:val="000000"/>
                <w:sz w:val="18"/>
                <w:szCs w:val="18"/>
              </w:rPr>
              <w:t>111</w:t>
            </w:r>
          </w:p>
        </w:tc>
        <w:tc>
          <w:tcPr>
            <w:tcW w:w="1276" w:type="dxa"/>
            <w:shd w:val="clear" w:color="auto" w:fill="auto"/>
            <w:noWrap/>
            <w:vAlign w:val="center"/>
            <w:hideMark/>
          </w:tcPr>
          <w:p w14:paraId="688F3E75" w14:textId="30C6E96D" w:rsidR="00AE231D" w:rsidRPr="00AE231D" w:rsidRDefault="003A2DEB" w:rsidP="00AE231D">
            <w:pPr>
              <w:spacing w:before="0"/>
              <w:jc w:val="right"/>
              <w:rPr>
                <w:rFonts w:cs="Arial"/>
                <w:color w:val="000000"/>
                <w:sz w:val="18"/>
                <w:szCs w:val="18"/>
              </w:rPr>
            </w:pPr>
            <w:r>
              <w:rPr>
                <w:rFonts w:cs="Arial"/>
                <w:color w:val="000000"/>
                <w:sz w:val="18"/>
                <w:szCs w:val="18"/>
              </w:rPr>
              <w:t>150</w:t>
            </w:r>
          </w:p>
        </w:tc>
      </w:tr>
      <w:tr w:rsidR="00AE231D" w:rsidRPr="00AE231D" w14:paraId="6EDC70FA" w14:textId="77777777" w:rsidTr="001A1261">
        <w:trPr>
          <w:trHeight w:val="312"/>
        </w:trPr>
        <w:tc>
          <w:tcPr>
            <w:tcW w:w="3417" w:type="dxa"/>
            <w:shd w:val="clear" w:color="000000" w:fill="EFD3D2"/>
            <w:noWrap/>
            <w:vAlign w:val="center"/>
            <w:hideMark/>
          </w:tcPr>
          <w:p w14:paraId="13BC4055" w14:textId="42E553B1" w:rsidR="00AE231D" w:rsidRPr="00AE231D" w:rsidRDefault="00DA3153" w:rsidP="00AE231D">
            <w:pPr>
              <w:spacing w:before="0"/>
              <w:jc w:val="left"/>
              <w:rPr>
                <w:rFonts w:cs="Arial"/>
                <w:color w:val="000000"/>
                <w:sz w:val="18"/>
                <w:szCs w:val="18"/>
              </w:rPr>
            </w:pPr>
            <w:r>
              <w:rPr>
                <w:rFonts w:cs="Arial"/>
                <w:color w:val="000000"/>
                <w:sz w:val="18"/>
                <w:szCs w:val="18"/>
              </w:rPr>
              <w:t>Western Australia</w:t>
            </w:r>
          </w:p>
        </w:tc>
        <w:tc>
          <w:tcPr>
            <w:tcW w:w="1276" w:type="dxa"/>
            <w:shd w:val="clear" w:color="000000" w:fill="EFD3D2"/>
            <w:noWrap/>
            <w:vAlign w:val="center"/>
            <w:hideMark/>
          </w:tcPr>
          <w:p w14:paraId="37FCBA19" w14:textId="3210BF66" w:rsidR="00AE231D" w:rsidRPr="00AE231D" w:rsidRDefault="00DA3153" w:rsidP="00AE231D">
            <w:pPr>
              <w:spacing w:before="0"/>
              <w:jc w:val="right"/>
              <w:rPr>
                <w:rFonts w:cs="Arial"/>
                <w:color w:val="000000"/>
                <w:sz w:val="18"/>
                <w:szCs w:val="18"/>
              </w:rPr>
            </w:pPr>
            <w:r>
              <w:rPr>
                <w:rFonts w:cs="Arial"/>
                <w:color w:val="000000"/>
                <w:sz w:val="18"/>
                <w:szCs w:val="18"/>
              </w:rPr>
              <w:t>373</w:t>
            </w:r>
          </w:p>
        </w:tc>
        <w:tc>
          <w:tcPr>
            <w:tcW w:w="1134" w:type="dxa"/>
            <w:shd w:val="clear" w:color="000000" w:fill="EFD3D2"/>
            <w:noWrap/>
            <w:vAlign w:val="center"/>
            <w:hideMark/>
          </w:tcPr>
          <w:p w14:paraId="757C13EA" w14:textId="1ADC3DBE" w:rsidR="00AE231D" w:rsidRPr="00AE231D" w:rsidRDefault="00DA3153" w:rsidP="00AE231D">
            <w:pPr>
              <w:spacing w:before="0"/>
              <w:jc w:val="right"/>
              <w:rPr>
                <w:rFonts w:cs="Arial"/>
                <w:color w:val="000000"/>
                <w:sz w:val="18"/>
                <w:szCs w:val="18"/>
              </w:rPr>
            </w:pPr>
            <w:r>
              <w:rPr>
                <w:rFonts w:cs="Arial"/>
                <w:color w:val="000000"/>
                <w:sz w:val="18"/>
                <w:szCs w:val="18"/>
              </w:rPr>
              <w:t>125</w:t>
            </w:r>
          </w:p>
        </w:tc>
        <w:tc>
          <w:tcPr>
            <w:tcW w:w="1134" w:type="dxa"/>
            <w:shd w:val="clear" w:color="000000" w:fill="EFD3D2"/>
            <w:noWrap/>
            <w:vAlign w:val="center"/>
            <w:hideMark/>
          </w:tcPr>
          <w:p w14:paraId="3414F91C" w14:textId="2C03EE37" w:rsidR="00AE231D" w:rsidRPr="00AE231D" w:rsidRDefault="00DA3153" w:rsidP="00AE231D">
            <w:pPr>
              <w:spacing w:before="0"/>
              <w:jc w:val="right"/>
              <w:rPr>
                <w:rFonts w:cs="Arial"/>
                <w:color w:val="000000"/>
                <w:sz w:val="18"/>
                <w:szCs w:val="18"/>
              </w:rPr>
            </w:pPr>
            <w:r>
              <w:rPr>
                <w:rFonts w:cs="Arial"/>
                <w:color w:val="000000"/>
                <w:sz w:val="18"/>
                <w:szCs w:val="18"/>
              </w:rPr>
              <w:t>15</w:t>
            </w:r>
          </w:p>
        </w:tc>
        <w:tc>
          <w:tcPr>
            <w:tcW w:w="1134" w:type="dxa"/>
            <w:shd w:val="clear" w:color="000000" w:fill="EFD3D2"/>
            <w:noWrap/>
            <w:vAlign w:val="center"/>
            <w:hideMark/>
          </w:tcPr>
          <w:p w14:paraId="23A57FD0" w14:textId="2D88601A" w:rsidR="00AE231D" w:rsidRPr="00AE231D" w:rsidRDefault="003A2DEB" w:rsidP="00AE231D">
            <w:pPr>
              <w:spacing w:before="0"/>
              <w:jc w:val="right"/>
              <w:rPr>
                <w:rFonts w:cs="Arial"/>
                <w:color w:val="000000"/>
                <w:sz w:val="18"/>
                <w:szCs w:val="18"/>
              </w:rPr>
            </w:pPr>
            <w:r>
              <w:rPr>
                <w:rFonts w:cs="Arial"/>
                <w:color w:val="000000"/>
                <w:sz w:val="18"/>
                <w:szCs w:val="18"/>
              </w:rPr>
              <w:t>140</w:t>
            </w:r>
          </w:p>
        </w:tc>
        <w:tc>
          <w:tcPr>
            <w:tcW w:w="1276" w:type="dxa"/>
            <w:shd w:val="clear" w:color="000000" w:fill="EFD3D2"/>
            <w:noWrap/>
            <w:vAlign w:val="center"/>
            <w:hideMark/>
          </w:tcPr>
          <w:p w14:paraId="1F2523D5" w14:textId="681EC4B2" w:rsidR="00AE231D" w:rsidRPr="00AE231D" w:rsidRDefault="003A2DEB" w:rsidP="00AE231D">
            <w:pPr>
              <w:spacing w:before="0"/>
              <w:jc w:val="right"/>
              <w:rPr>
                <w:rFonts w:cs="Arial"/>
                <w:color w:val="000000"/>
                <w:sz w:val="18"/>
                <w:szCs w:val="18"/>
              </w:rPr>
            </w:pPr>
            <w:r>
              <w:rPr>
                <w:rFonts w:cs="Arial"/>
                <w:color w:val="000000"/>
                <w:sz w:val="18"/>
                <w:szCs w:val="18"/>
              </w:rPr>
              <w:t>513</w:t>
            </w:r>
          </w:p>
        </w:tc>
      </w:tr>
      <w:tr w:rsidR="00AE231D" w:rsidRPr="00AE231D" w14:paraId="152C5389" w14:textId="77777777" w:rsidTr="001A1261">
        <w:trPr>
          <w:trHeight w:val="312"/>
        </w:trPr>
        <w:tc>
          <w:tcPr>
            <w:tcW w:w="3417" w:type="dxa"/>
            <w:shd w:val="clear" w:color="auto" w:fill="auto"/>
            <w:noWrap/>
            <w:vAlign w:val="center"/>
            <w:hideMark/>
          </w:tcPr>
          <w:p w14:paraId="19E7156B" w14:textId="77777777" w:rsidR="00AE231D" w:rsidRPr="00AE231D" w:rsidRDefault="00AE231D" w:rsidP="00AE231D">
            <w:pPr>
              <w:spacing w:before="0"/>
              <w:jc w:val="left"/>
              <w:rPr>
                <w:rFonts w:cs="Arial"/>
                <w:color w:val="000000"/>
                <w:sz w:val="18"/>
                <w:szCs w:val="18"/>
              </w:rPr>
            </w:pPr>
            <w:r w:rsidRPr="00AE231D">
              <w:rPr>
                <w:rFonts w:cs="Arial"/>
                <w:color w:val="000000"/>
                <w:sz w:val="18"/>
                <w:szCs w:val="18"/>
              </w:rPr>
              <w:t>Tasmania</w:t>
            </w:r>
          </w:p>
        </w:tc>
        <w:tc>
          <w:tcPr>
            <w:tcW w:w="1276" w:type="dxa"/>
            <w:shd w:val="clear" w:color="auto" w:fill="auto"/>
            <w:noWrap/>
            <w:vAlign w:val="center"/>
            <w:hideMark/>
          </w:tcPr>
          <w:p w14:paraId="512D613E" w14:textId="2C1A7ACE" w:rsidR="00AE231D" w:rsidRPr="00AE231D" w:rsidRDefault="00DA3153" w:rsidP="00AE231D">
            <w:pPr>
              <w:spacing w:before="0"/>
              <w:jc w:val="right"/>
              <w:rPr>
                <w:rFonts w:cs="Arial"/>
                <w:color w:val="000000"/>
                <w:sz w:val="18"/>
                <w:szCs w:val="18"/>
              </w:rPr>
            </w:pPr>
            <w:r>
              <w:rPr>
                <w:rFonts w:cs="Arial"/>
                <w:color w:val="000000"/>
                <w:sz w:val="18"/>
                <w:szCs w:val="18"/>
              </w:rPr>
              <w:t>123</w:t>
            </w:r>
          </w:p>
        </w:tc>
        <w:tc>
          <w:tcPr>
            <w:tcW w:w="1134" w:type="dxa"/>
            <w:shd w:val="clear" w:color="auto" w:fill="auto"/>
            <w:noWrap/>
            <w:vAlign w:val="center"/>
            <w:hideMark/>
          </w:tcPr>
          <w:p w14:paraId="54F86A47" w14:textId="49833B0A" w:rsidR="00AE231D" w:rsidRPr="00AE231D" w:rsidRDefault="00DA3153" w:rsidP="00AE231D">
            <w:pPr>
              <w:spacing w:before="0"/>
              <w:jc w:val="right"/>
              <w:rPr>
                <w:rFonts w:cs="Arial"/>
                <w:color w:val="000000"/>
                <w:sz w:val="18"/>
                <w:szCs w:val="18"/>
              </w:rPr>
            </w:pPr>
            <w:r>
              <w:rPr>
                <w:rFonts w:cs="Arial"/>
                <w:color w:val="000000"/>
                <w:sz w:val="18"/>
                <w:szCs w:val="18"/>
              </w:rPr>
              <w:t>332</w:t>
            </w:r>
          </w:p>
        </w:tc>
        <w:tc>
          <w:tcPr>
            <w:tcW w:w="1134" w:type="dxa"/>
            <w:shd w:val="clear" w:color="auto" w:fill="auto"/>
            <w:noWrap/>
            <w:vAlign w:val="center"/>
            <w:hideMark/>
          </w:tcPr>
          <w:p w14:paraId="59120F11" w14:textId="0E7B0A5C" w:rsidR="00AE231D" w:rsidRPr="00AE231D" w:rsidRDefault="00DA3153" w:rsidP="00AE231D">
            <w:pPr>
              <w:spacing w:before="0"/>
              <w:jc w:val="right"/>
              <w:rPr>
                <w:rFonts w:cs="Arial"/>
                <w:color w:val="000000"/>
                <w:sz w:val="18"/>
                <w:szCs w:val="18"/>
              </w:rPr>
            </w:pPr>
            <w:r>
              <w:rPr>
                <w:rFonts w:cs="Arial"/>
                <w:color w:val="000000"/>
                <w:sz w:val="18"/>
                <w:szCs w:val="18"/>
              </w:rPr>
              <w:t>27</w:t>
            </w:r>
          </w:p>
        </w:tc>
        <w:tc>
          <w:tcPr>
            <w:tcW w:w="1134" w:type="dxa"/>
            <w:shd w:val="clear" w:color="auto" w:fill="auto"/>
            <w:noWrap/>
            <w:vAlign w:val="center"/>
            <w:hideMark/>
          </w:tcPr>
          <w:p w14:paraId="24D8E0E2" w14:textId="085C7B2E" w:rsidR="00AE231D" w:rsidRPr="00AE231D" w:rsidRDefault="003A2DEB" w:rsidP="00AE231D">
            <w:pPr>
              <w:spacing w:before="0"/>
              <w:jc w:val="right"/>
              <w:rPr>
                <w:rFonts w:cs="Arial"/>
                <w:color w:val="000000"/>
                <w:sz w:val="18"/>
                <w:szCs w:val="18"/>
              </w:rPr>
            </w:pPr>
            <w:r>
              <w:rPr>
                <w:rFonts w:cs="Arial"/>
                <w:color w:val="000000"/>
                <w:sz w:val="18"/>
                <w:szCs w:val="18"/>
              </w:rPr>
              <w:t>359</w:t>
            </w:r>
          </w:p>
        </w:tc>
        <w:tc>
          <w:tcPr>
            <w:tcW w:w="1276" w:type="dxa"/>
            <w:shd w:val="clear" w:color="auto" w:fill="auto"/>
            <w:noWrap/>
            <w:vAlign w:val="center"/>
            <w:hideMark/>
          </w:tcPr>
          <w:p w14:paraId="2F38128C" w14:textId="0D2515C5" w:rsidR="00AE231D" w:rsidRPr="00AE231D" w:rsidRDefault="003A2DEB" w:rsidP="00AE231D">
            <w:pPr>
              <w:spacing w:before="0"/>
              <w:jc w:val="right"/>
              <w:rPr>
                <w:rFonts w:cs="Arial"/>
                <w:color w:val="000000"/>
                <w:sz w:val="18"/>
                <w:szCs w:val="18"/>
              </w:rPr>
            </w:pPr>
            <w:r>
              <w:rPr>
                <w:rFonts w:cs="Arial"/>
                <w:color w:val="000000"/>
                <w:sz w:val="18"/>
                <w:szCs w:val="18"/>
              </w:rPr>
              <w:t>482</w:t>
            </w:r>
          </w:p>
        </w:tc>
      </w:tr>
      <w:tr w:rsidR="00AE231D" w:rsidRPr="00AE231D" w14:paraId="78BA5D53" w14:textId="77777777" w:rsidTr="001A1261">
        <w:trPr>
          <w:trHeight w:val="312"/>
        </w:trPr>
        <w:tc>
          <w:tcPr>
            <w:tcW w:w="3417" w:type="dxa"/>
            <w:shd w:val="clear" w:color="000000" w:fill="EFD3D2"/>
            <w:noWrap/>
            <w:vAlign w:val="center"/>
            <w:hideMark/>
          </w:tcPr>
          <w:p w14:paraId="608D7DF8" w14:textId="4A4E3A6C" w:rsidR="00AE231D" w:rsidRPr="00AE231D" w:rsidRDefault="00E21FCD" w:rsidP="00AE231D">
            <w:pPr>
              <w:spacing w:before="0"/>
              <w:jc w:val="left"/>
              <w:rPr>
                <w:rFonts w:cs="Arial"/>
                <w:color w:val="000000"/>
                <w:sz w:val="18"/>
                <w:szCs w:val="18"/>
              </w:rPr>
            </w:pPr>
            <w:r>
              <w:rPr>
                <w:rFonts w:cs="Arial"/>
                <w:color w:val="000000"/>
                <w:sz w:val="18"/>
                <w:szCs w:val="18"/>
              </w:rPr>
              <w:t>Comcare</w:t>
            </w:r>
          </w:p>
        </w:tc>
        <w:tc>
          <w:tcPr>
            <w:tcW w:w="1276" w:type="dxa"/>
            <w:shd w:val="clear" w:color="000000" w:fill="EFD3D2"/>
            <w:noWrap/>
            <w:vAlign w:val="center"/>
            <w:hideMark/>
          </w:tcPr>
          <w:p w14:paraId="2F266CB6" w14:textId="63F1A672" w:rsidR="00AE231D" w:rsidRPr="00AE231D" w:rsidRDefault="00DA3153" w:rsidP="00AE231D">
            <w:pPr>
              <w:spacing w:before="0"/>
              <w:jc w:val="right"/>
              <w:rPr>
                <w:rFonts w:cs="Arial"/>
                <w:color w:val="000000"/>
                <w:sz w:val="18"/>
                <w:szCs w:val="18"/>
              </w:rPr>
            </w:pPr>
            <w:r>
              <w:rPr>
                <w:rFonts w:cs="Arial"/>
                <w:color w:val="000000"/>
                <w:sz w:val="18"/>
                <w:szCs w:val="18"/>
              </w:rPr>
              <w:t>51</w:t>
            </w:r>
          </w:p>
        </w:tc>
        <w:tc>
          <w:tcPr>
            <w:tcW w:w="1134" w:type="dxa"/>
            <w:shd w:val="clear" w:color="000000" w:fill="EFD3D2"/>
            <w:noWrap/>
            <w:vAlign w:val="center"/>
            <w:hideMark/>
          </w:tcPr>
          <w:p w14:paraId="70253EE2" w14:textId="2A7CB45B" w:rsidR="00AE231D" w:rsidRPr="00AE231D" w:rsidRDefault="00DA3153" w:rsidP="00AE231D">
            <w:pPr>
              <w:spacing w:before="0"/>
              <w:jc w:val="right"/>
              <w:rPr>
                <w:rFonts w:cs="Arial"/>
                <w:color w:val="000000"/>
                <w:sz w:val="18"/>
                <w:szCs w:val="18"/>
              </w:rPr>
            </w:pPr>
            <w:r>
              <w:rPr>
                <w:rFonts w:cs="Arial"/>
                <w:color w:val="000000"/>
                <w:sz w:val="18"/>
                <w:szCs w:val="18"/>
              </w:rPr>
              <w:t>326</w:t>
            </w:r>
          </w:p>
        </w:tc>
        <w:tc>
          <w:tcPr>
            <w:tcW w:w="1134" w:type="dxa"/>
            <w:shd w:val="clear" w:color="000000" w:fill="EFD3D2"/>
            <w:noWrap/>
            <w:vAlign w:val="center"/>
            <w:hideMark/>
          </w:tcPr>
          <w:p w14:paraId="5FEA49DA" w14:textId="725E744C" w:rsidR="00AE231D" w:rsidRPr="00AE231D" w:rsidRDefault="00DA3153" w:rsidP="00AE231D">
            <w:pPr>
              <w:spacing w:before="0"/>
              <w:jc w:val="right"/>
              <w:rPr>
                <w:rFonts w:cs="Arial"/>
                <w:color w:val="000000"/>
                <w:sz w:val="18"/>
                <w:szCs w:val="18"/>
              </w:rPr>
            </w:pPr>
            <w:r>
              <w:rPr>
                <w:rFonts w:cs="Arial"/>
                <w:color w:val="000000"/>
                <w:sz w:val="18"/>
                <w:szCs w:val="18"/>
              </w:rPr>
              <w:t>393</w:t>
            </w:r>
          </w:p>
        </w:tc>
        <w:tc>
          <w:tcPr>
            <w:tcW w:w="1134" w:type="dxa"/>
            <w:shd w:val="clear" w:color="000000" w:fill="EFD3D2"/>
            <w:noWrap/>
            <w:vAlign w:val="center"/>
            <w:hideMark/>
          </w:tcPr>
          <w:p w14:paraId="3A2023CF" w14:textId="6EDEE89B" w:rsidR="00AE231D" w:rsidRPr="00AE231D" w:rsidRDefault="003A2DEB" w:rsidP="00AE231D">
            <w:pPr>
              <w:spacing w:before="0"/>
              <w:jc w:val="right"/>
              <w:rPr>
                <w:rFonts w:cs="Arial"/>
                <w:color w:val="000000"/>
                <w:sz w:val="18"/>
                <w:szCs w:val="18"/>
              </w:rPr>
            </w:pPr>
            <w:r>
              <w:rPr>
                <w:rFonts w:cs="Arial"/>
                <w:color w:val="000000"/>
                <w:sz w:val="18"/>
                <w:szCs w:val="18"/>
              </w:rPr>
              <w:t>719</w:t>
            </w:r>
          </w:p>
        </w:tc>
        <w:tc>
          <w:tcPr>
            <w:tcW w:w="1276" w:type="dxa"/>
            <w:shd w:val="clear" w:color="000000" w:fill="EFD3D2"/>
            <w:noWrap/>
            <w:vAlign w:val="center"/>
            <w:hideMark/>
          </w:tcPr>
          <w:p w14:paraId="7E0AA073" w14:textId="05AA7DF2" w:rsidR="00AE231D" w:rsidRPr="00AE231D" w:rsidRDefault="003A2DEB" w:rsidP="00AE231D">
            <w:pPr>
              <w:spacing w:before="0"/>
              <w:jc w:val="right"/>
              <w:rPr>
                <w:rFonts w:cs="Arial"/>
                <w:color w:val="000000"/>
                <w:sz w:val="18"/>
                <w:szCs w:val="18"/>
              </w:rPr>
            </w:pPr>
            <w:r>
              <w:rPr>
                <w:rFonts w:cs="Arial"/>
                <w:color w:val="000000"/>
                <w:sz w:val="18"/>
                <w:szCs w:val="18"/>
              </w:rPr>
              <w:t>770</w:t>
            </w:r>
          </w:p>
        </w:tc>
      </w:tr>
      <w:tr w:rsidR="00AE231D" w:rsidRPr="00AE231D" w14:paraId="7EB159AB" w14:textId="77777777" w:rsidTr="001A1261">
        <w:trPr>
          <w:trHeight w:val="312"/>
        </w:trPr>
        <w:tc>
          <w:tcPr>
            <w:tcW w:w="3417" w:type="dxa"/>
            <w:shd w:val="clear" w:color="auto" w:fill="auto"/>
            <w:noWrap/>
            <w:vAlign w:val="center"/>
            <w:hideMark/>
          </w:tcPr>
          <w:p w14:paraId="209B3B9B" w14:textId="3B20DED5" w:rsidR="00AE231D" w:rsidRPr="00AE231D" w:rsidRDefault="00DA3153" w:rsidP="00AE231D">
            <w:pPr>
              <w:spacing w:before="0"/>
              <w:jc w:val="left"/>
              <w:rPr>
                <w:rFonts w:cs="Arial"/>
                <w:color w:val="000000"/>
                <w:sz w:val="18"/>
                <w:szCs w:val="18"/>
              </w:rPr>
            </w:pPr>
            <w:r>
              <w:rPr>
                <w:rFonts w:cs="Arial"/>
                <w:color w:val="000000"/>
                <w:sz w:val="18"/>
                <w:szCs w:val="18"/>
              </w:rPr>
              <w:t>Seacare</w:t>
            </w:r>
          </w:p>
        </w:tc>
        <w:tc>
          <w:tcPr>
            <w:tcW w:w="1276" w:type="dxa"/>
            <w:shd w:val="clear" w:color="auto" w:fill="auto"/>
            <w:noWrap/>
            <w:vAlign w:val="center"/>
            <w:hideMark/>
          </w:tcPr>
          <w:p w14:paraId="7E4A65EC" w14:textId="579428B3" w:rsidR="00AE231D" w:rsidRPr="00AE231D" w:rsidRDefault="00DA3153" w:rsidP="00AE231D">
            <w:pPr>
              <w:spacing w:before="0"/>
              <w:jc w:val="right"/>
              <w:rPr>
                <w:rFonts w:cs="Arial"/>
                <w:color w:val="000000"/>
                <w:sz w:val="18"/>
                <w:szCs w:val="18"/>
              </w:rPr>
            </w:pPr>
            <w:r>
              <w:rPr>
                <w:rFonts w:cs="Arial"/>
                <w:color w:val="000000"/>
                <w:sz w:val="18"/>
                <w:szCs w:val="18"/>
              </w:rPr>
              <w:t>7</w:t>
            </w:r>
          </w:p>
        </w:tc>
        <w:tc>
          <w:tcPr>
            <w:tcW w:w="1134" w:type="dxa"/>
            <w:shd w:val="clear" w:color="auto" w:fill="auto"/>
            <w:noWrap/>
            <w:vAlign w:val="center"/>
            <w:hideMark/>
          </w:tcPr>
          <w:p w14:paraId="07350CEB" w14:textId="6706ACD7" w:rsidR="00AE231D" w:rsidRPr="00AE231D" w:rsidRDefault="00DA3153" w:rsidP="00AE231D">
            <w:pPr>
              <w:spacing w:before="0"/>
              <w:jc w:val="right"/>
              <w:rPr>
                <w:rFonts w:cs="Arial"/>
                <w:color w:val="000000"/>
                <w:sz w:val="18"/>
                <w:szCs w:val="18"/>
              </w:rPr>
            </w:pPr>
            <w:r>
              <w:rPr>
                <w:rFonts w:cs="Arial"/>
                <w:color w:val="000000"/>
                <w:sz w:val="18"/>
                <w:szCs w:val="18"/>
              </w:rPr>
              <w:t>51</w:t>
            </w:r>
          </w:p>
        </w:tc>
        <w:tc>
          <w:tcPr>
            <w:tcW w:w="1134" w:type="dxa"/>
            <w:shd w:val="clear" w:color="auto" w:fill="auto"/>
            <w:noWrap/>
            <w:vAlign w:val="center"/>
            <w:hideMark/>
          </w:tcPr>
          <w:p w14:paraId="193D425B" w14:textId="1BC4C7B1" w:rsidR="00AE231D" w:rsidRPr="00AE231D" w:rsidRDefault="00DA3153" w:rsidP="00AE231D">
            <w:pPr>
              <w:spacing w:before="0"/>
              <w:jc w:val="right"/>
              <w:rPr>
                <w:rFonts w:cs="Arial"/>
                <w:color w:val="000000"/>
                <w:sz w:val="18"/>
                <w:szCs w:val="18"/>
              </w:rPr>
            </w:pPr>
            <w:r>
              <w:rPr>
                <w:rFonts w:cs="Arial"/>
                <w:color w:val="000000"/>
                <w:sz w:val="18"/>
                <w:szCs w:val="18"/>
              </w:rPr>
              <w:t>0</w:t>
            </w:r>
          </w:p>
        </w:tc>
        <w:tc>
          <w:tcPr>
            <w:tcW w:w="1134" w:type="dxa"/>
            <w:shd w:val="clear" w:color="auto" w:fill="auto"/>
            <w:noWrap/>
            <w:vAlign w:val="center"/>
            <w:hideMark/>
          </w:tcPr>
          <w:p w14:paraId="5E274C43" w14:textId="630D01F4" w:rsidR="00AE231D" w:rsidRPr="00AE231D" w:rsidRDefault="003A2DEB" w:rsidP="00AE231D">
            <w:pPr>
              <w:spacing w:before="0"/>
              <w:jc w:val="right"/>
              <w:rPr>
                <w:rFonts w:cs="Arial"/>
                <w:color w:val="000000"/>
                <w:sz w:val="18"/>
                <w:szCs w:val="18"/>
              </w:rPr>
            </w:pPr>
            <w:r>
              <w:rPr>
                <w:rFonts w:cs="Arial"/>
                <w:color w:val="000000"/>
                <w:sz w:val="18"/>
                <w:szCs w:val="18"/>
              </w:rPr>
              <w:t>51</w:t>
            </w:r>
          </w:p>
        </w:tc>
        <w:tc>
          <w:tcPr>
            <w:tcW w:w="1276" w:type="dxa"/>
            <w:shd w:val="clear" w:color="auto" w:fill="auto"/>
            <w:noWrap/>
            <w:vAlign w:val="center"/>
            <w:hideMark/>
          </w:tcPr>
          <w:p w14:paraId="24A590D1" w14:textId="5EC49132" w:rsidR="00AE231D" w:rsidRPr="00AE231D" w:rsidRDefault="003A2DEB" w:rsidP="00AE231D">
            <w:pPr>
              <w:spacing w:before="0"/>
              <w:jc w:val="right"/>
              <w:rPr>
                <w:rFonts w:cs="Arial"/>
                <w:color w:val="000000"/>
                <w:sz w:val="18"/>
                <w:szCs w:val="18"/>
              </w:rPr>
            </w:pPr>
            <w:r>
              <w:rPr>
                <w:rFonts w:cs="Arial"/>
                <w:color w:val="000000"/>
                <w:sz w:val="18"/>
                <w:szCs w:val="18"/>
              </w:rPr>
              <w:t>58</w:t>
            </w:r>
          </w:p>
        </w:tc>
      </w:tr>
      <w:tr w:rsidR="00AE231D" w:rsidRPr="00AE231D" w14:paraId="2FDB92C0" w14:textId="77777777" w:rsidTr="001A1261">
        <w:trPr>
          <w:trHeight w:val="312"/>
        </w:trPr>
        <w:tc>
          <w:tcPr>
            <w:tcW w:w="3417" w:type="dxa"/>
            <w:shd w:val="clear" w:color="000000" w:fill="EFD3D2"/>
            <w:noWrap/>
            <w:vAlign w:val="center"/>
            <w:hideMark/>
          </w:tcPr>
          <w:p w14:paraId="74C9FAB7" w14:textId="331CD693" w:rsidR="00AE231D" w:rsidRPr="00AE231D" w:rsidRDefault="00DA3153" w:rsidP="00AE231D">
            <w:pPr>
              <w:spacing w:before="0"/>
              <w:jc w:val="left"/>
              <w:rPr>
                <w:rFonts w:cs="Arial"/>
                <w:color w:val="000000"/>
                <w:sz w:val="18"/>
                <w:szCs w:val="18"/>
              </w:rPr>
            </w:pPr>
            <w:r>
              <w:rPr>
                <w:rFonts w:cs="Arial"/>
                <w:color w:val="000000"/>
                <w:sz w:val="18"/>
                <w:szCs w:val="18"/>
              </w:rPr>
              <w:t>Northern Territory</w:t>
            </w:r>
          </w:p>
        </w:tc>
        <w:tc>
          <w:tcPr>
            <w:tcW w:w="1276" w:type="dxa"/>
            <w:shd w:val="clear" w:color="000000" w:fill="EFD3D2"/>
            <w:noWrap/>
            <w:vAlign w:val="center"/>
            <w:hideMark/>
          </w:tcPr>
          <w:p w14:paraId="03A43997" w14:textId="4CAB35A1" w:rsidR="00AE231D" w:rsidRPr="00AE231D" w:rsidRDefault="00DA3153" w:rsidP="00AE231D">
            <w:pPr>
              <w:spacing w:before="0"/>
              <w:jc w:val="right"/>
              <w:rPr>
                <w:rFonts w:cs="Arial"/>
                <w:color w:val="000000"/>
                <w:sz w:val="18"/>
                <w:szCs w:val="18"/>
              </w:rPr>
            </w:pPr>
            <w:r>
              <w:rPr>
                <w:rFonts w:cs="Arial"/>
                <w:color w:val="000000"/>
                <w:sz w:val="18"/>
                <w:szCs w:val="18"/>
              </w:rPr>
              <w:t>39</w:t>
            </w:r>
          </w:p>
        </w:tc>
        <w:tc>
          <w:tcPr>
            <w:tcW w:w="1134" w:type="dxa"/>
            <w:shd w:val="clear" w:color="000000" w:fill="EFD3D2"/>
            <w:noWrap/>
            <w:vAlign w:val="center"/>
            <w:hideMark/>
          </w:tcPr>
          <w:p w14:paraId="4E421A1D" w14:textId="7ED0C3A5" w:rsidR="00AE231D" w:rsidRPr="00AE231D" w:rsidRDefault="00DA3153" w:rsidP="00AE231D">
            <w:pPr>
              <w:spacing w:before="0"/>
              <w:jc w:val="right"/>
              <w:rPr>
                <w:rFonts w:cs="Arial"/>
                <w:color w:val="000000"/>
                <w:sz w:val="18"/>
                <w:szCs w:val="18"/>
              </w:rPr>
            </w:pPr>
            <w:r>
              <w:rPr>
                <w:rFonts w:cs="Arial"/>
                <w:color w:val="000000"/>
                <w:sz w:val="18"/>
                <w:szCs w:val="18"/>
              </w:rPr>
              <w:t>96</w:t>
            </w:r>
          </w:p>
        </w:tc>
        <w:tc>
          <w:tcPr>
            <w:tcW w:w="1134" w:type="dxa"/>
            <w:shd w:val="clear" w:color="000000" w:fill="EFD3D2"/>
            <w:noWrap/>
            <w:vAlign w:val="center"/>
            <w:hideMark/>
          </w:tcPr>
          <w:p w14:paraId="58F0B695" w14:textId="4A158965" w:rsidR="00AE231D" w:rsidRPr="00AE231D" w:rsidRDefault="00DA3153" w:rsidP="00AE231D">
            <w:pPr>
              <w:spacing w:before="0"/>
              <w:jc w:val="right"/>
              <w:rPr>
                <w:rFonts w:cs="Arial"/>
                <w:color w:val="000000"/>
                <w:sz w:val="18"/>
                <w:szCs w:val="18"/>
              </w:rPr>
            </w:pPr>
            <w:r>
              <w:rPr>
                <w:rFonts w:cs="Arial"/>
                <w:color w:val="000000"/>
                <w:sz w:val="18"/>
                <w:szCs w:val="18"/>
              </w:rPr>
              <w:t>15</w:t>
            </w:r>
          </w:p>
        </w:tc>
        <w:tc>
          <w:tcPr>
            <w:tcW w:w="1134" w:type="dxa"/>
            <w:shd w:val="clear" w:color="000000" w:fill="EFD3D2"/>
            <w:noWrap/>
            <w:vAlign w:val="center"/>
            <w:hideMark/>
          </w:tcPr>
          <w:p w14:paraId="2599491F" w14:textId="40A08ED4" w:rsidR="00AE231D" w:rsidRPr="00AE231D" w:rsidRDefault="003A2DEB" w:rsidP="00AE231D">
            <w:pPr>
              <w:spacing w:before="0"/>
              <w:jc w:val="right"/>
              <w:rPr>
                <w:rFonts w:cs="Arial"/>
                <w:color w:val="000000"/>
                <w:sz w:val="18"/>
                <w:szCs w:val="18"/>
              </w:rPr>
            </w:pPr>
            <w:r>
              <w:rPr>
                <w:rFonts w:cs="Arial"/>
                <w:color w:val="000000"/>
                <w:sz w:val="18"/>
                <w:szCs w:val="18"/>
              </w:rPr>
              <w:t>111</w:t>
            </w:r>
          </w:p>
        </w:tc>
        <w:tc>
          <w:tcPr>
            <w:tcW w:w="1276" w:type="dxa"/>
            <w:shd w:val="clear" w:color="000000" w:fill="EFD3D2"/>
            <w:noWrap/>
            <w:vAlign w:val="center"/>
            <w:hideMark/>
          </w:tcPr>
          <w:p w14:paraId="0496FFAF" w14:textId="4F7900C3" w:rsidR="00AE231D" w:rsidRPr="00AE231D" w:rsidRDefault="003A2DEB" w:rsidP="00AE231D">
            <w:pPr>
              <w:spacing w:before="0"/>
              <w:jc w:val="right"/>
              <w:rPr>
                <w:rFonts w:cs="Arial"/>
                <w:color w:val="000000"/>
                <w:sz w:val="18"/>
                <w:szCs w:val="18"/>
              </w:rPr>
            </w:pPr>
            <w:r>
              <w:rPr>
                <w:rFonts w:cs="Arial"/>
                <w:color w:val="000000"/>
                <w:sz w:val="18"/>
                <w:szCs w:val="18"/>
              </w:rPr>
              <w:t>150</w:t>
            </w:r>
          </w:p>
        </w:tc>
      </w:tr>
      <w:tr w:rsidR="00DF7579" w:rsidRPr="00DF7579" w14:paraId="321B52B5" w14:textId="77777777" w:rsidTr="001A1261">
        <w:trPr>
          <w:trHeight w:val="312"/>
        </w:trPr>
        <w:tc>
          <w:tcPr>
            <w:tcW w:w="3417" w:type="dxa"/>
            <w:shd w:val="clear" w:color="auto" w:fill="808080" w:themeFill="background1" w:themeFillShade="80"/>
            <w:noWrap/>
            <w:vAlign w:val="center"/>
            <w:hideMark/>
          </w:tcPr>
          <w:p w14:paraId="15998FBE" w14:textId="77777777" w:rsidR="00AE231D" w:rsidRPr="00AE231D" w:rsidRDefault="00AE231D" w:rsidP="00AE231D">
            <w:pPr>
              <w:spacing w:before="0"/>
              <w:jc w:val="left"/>
              <w:rPr>
                <w:rFonts w:cs="Arial"/>
                <w:b/>
                <w:bCs/>
                <w:color w:val="FFFFFF" w:themeColor="background1"/>
                <w:sz w:val="18"/>
                <w:szCs w:val="18"/>
              </w:rPr>
            </w:pPr>
            <w:r w:rsidRPr="00AE231D">
              <w:rPr>
                <w:rFonts w:cs="Arial"/>
                <w:b/>
                <w:bCs/>
                <w:color w:val="FFFFFF" w:themeColor="background1"/>
                <w:sz w:val="18"/>
                <w:szCs w:val="18"/>
              </w:rPr>
              <w:t>TOTAL of Australian Jurisdictions</w:t>
            </w:r>
          </w:p>
        </w:tc>
        <w:tc>
          <w:tcPr>
            <w:tcW w:w="1276" w:type="dxa"/>
            <w:shd w:val="clear" w:color="auto" w:fill="808080" w:themeFill="background1" w:themeFillShade="80"/>
            <w:noWrap/>
            <w:vAlign w:val="center"/>
            <w:hideMark/>
          </w:tcPr>
          <w:p w14:paraId="3F2C2425" w14:textId="4E5381D9"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1,889</w:t>
            </w:r>
          </w:p>
        </w:tc>
        <w:tc>
          <w:tcPr>
            <w:tcW w:w="1134" w:type="dxa"/>
            <w:shd w:val="clear" w:color="auto" w:fill="808080" w:themeFill="background1" w:themeFillShade="80"/>
            <w:noWrap/>
            <w:vAlign w:val="center"/>
            <w:hideMark/>
          </w:tcPr>
          <w:p w14:paraId="1B737B28" w14:textId="61222235"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1,989</w:t>
            </w:r>
          </w:p>
        </w:tc>
        <w:tc>
          <w:tcPr>
            <w:tcW w:w="1134" w:type="dxa"/>
            <w:shd w:val="clear" w:color="auto" w:fill="808080" w:themeFill="background1" w:themeFillShade="80"/>
            <w:noWrap/>
            <w:vAlign w:val="center"/>
            <w:hideMark/>
          </w:tcPr>
          <w:p w14:paraId="38486D99" w14:textId="1B2DE43C"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724</w:t>
            </w:r>
          </w:p>
        </w:tc>
        <w:tc>
          <w:tcPr>
            <w:tcW w:w="1134" w:type="dxa"/>
            <w:shd w:val="clear" w:color="auto" w:fill="808080" w:themeFill="background1" w:themeFillShade="80"/>
            <w:noWrap/>
            <w:vAlign w:val="center"/>
            <w:hideMark/>
          </w:tcPr>
          <w:p w14:paraId="4DA145AC" w14:textId="333DEF01"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2,713</w:t>
            </w:r>
          </w:p>
        </w:tc>
        <w:tc>
          <w:tcPr>
            <w:tcW w:w="1276" w:type="dxa"/>
            <w:shd w:val="clear" w:color="auto" w:fill="808080" w:themeFill="background1" w:themeFillShade="80"/>
            <w:noWrap/>
            <w:vAlign w:val="center"/>
            <w:hideMark/>
          </w:tcPr>
          <w:p w14:paraId="3EFAAF13" w14:textId="1349B833"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4,602</w:t>
            </w:r>
          </w:p>
        </w:tc>
      </w:tr>
      <w:tr w:rsidR="00AE231D" w:rsidRPr="00AE231D" w14:paraId="674A63B0" w14:textId="77777777" w:rsidTr="001A1261">
        <w:trPr>
          <w:trHeight w:val="312"/>
        </w:trPr>
        <w:tc>
          <w:tcPr>
            <w:tcW w:w="3417" w:type="dxa"/>
            <w:shd w:val="clear" w:color="000000" w:fill="EFD3D2"/>
            <w:noWrap/>
            <w:vAlign w:val="center"/>
            <w:hideMark/>
          </w:tcPr>
          <w:p w14:paraId="5D40A552" w14:textId="77777777" w:rsidR="00AE231D" w:rsidRPr="00AE231D" w:rsidRDefault="00AE231D" w:rsidP="00AE231D">
            <w:pPr>
              <w:spacing w:before="0"/>
              <w:jc w:val="left"/>
              <w:rPr>
                <w:rFonts w:cs="Arial"/>
                <w:color w:val="000000"/>
                <w:sz w:val="18"/>
                <w:szCs w:val="18"/>
              </w:rPr>
            </w:pPr>
            <w:r w:rsidRPr="00AE231D">
              <w:rPr>
                <w:rFonts w:cs="Arial"/>
                <w:color w:val="000000"/>
                <w:sz w:val="18"/>
                <w:szCs w:val="18"/>
              </w:rPr>
              <w:t>New Zealand (work-related injury only)</w:t>
            </w:r>
          </w:p>
        </w:tc>
        <w:tc>
          <w:tcPr>
            <w:tcW w:w="1276" w:type="dxa"/>
            <w:shd w:val="clear" w:color="000000" w:fill="EFD3D2"/>
            <w:noWrap/>
            <w:vAlign w:val="center"/>
            <w:hideMark/>
          </w:tcPr>
          <w:p w14:paraId="14132424" w14:textId="77777777" w:rsidR="00AE231D" w:rsidRPr="00AE231D" w:rsidRDefault="00AE231D" w:rsidP="00AE231D">
            <w:pPr>
              <w:spacing w:before="0"/>
              <w:jc w:val="right"/>
              <w:rPr>
                <w:rFonts w:cs="Arial"/>
                <w:color w:val="000000"/>
                <w:sz w:val="18"/>
                <w:szCs w:val="18"/>
              </w:rPr>
            </w:pPr>
            <w:r w:rsidRPr="00AE231D">
              <w:rPr>
                <w:rFonts w:cs="Arial"/>
                <w:color w:val="000000"/>
                <w:sz w:val="18"/>
                <w:szCs w:val="18"/>
              </w:rPr>
              <w:t>360</w:t>
            </w:r>
          </w:p>
        </w:tc>
        <w:tc>
          <w:tcPr>
            <w:tcW w:w="1134" w:type="dxa"/>
            <w:shd w:val="clear" w:color="000000" w:fill="EFD3D2"/>
            <w:noWrap/>
            <w:vAlign w:val="center"/>
            <w:hideMark/>
          </w:tcPr>
          <w:p w14:paraId="3D5E3B64" w14:textId="77777777" w:rsidR="00AE231D" w:rsidRPr="00AE231D" w:rsidRDefault="00AE231D" w:rsidP="00AE231D">
            <w:pPr>
              <w:spacing w:before="0"/>
              <w:jc w:val="right"/>
              <w:rPr>
                <w:rFonts w:cs="Arial"/>
                <w:color w:val="000000"/>
                <w:sz w:val="18"/>
                <w:szCs w:val="18"/>
              </w:rPr>
            </w:pPr>
            <w:r w:rsidRPr="00AE231D">
              <w:rPr>
                <w:rFonts w:cs="Arial"/>
                <w:color w:val="000000"/>
                <w:sz w:val="18"/>
                <w:szCs w:val="18"/>
              </w:rPr>
              <w:t>n/a</w:t>
            </w:r>
          </w:p>
        </w:tc>
        <w:tc>
          <w:tcPr>
            <w:tcW w:w="1134" w:type="dxa"/>
            <w:shd w:val="clear" w:color="000000" w:fill="EFD3D2"/>
            <w:noWrap/>
            <w:vAlign w:val="center"/>
            <w:hideMark/>
          </w:tcPr>
          <w:p w14:paraId="63193BA6" w14:textId="77777777" w:rsidR="00AE231D" w:rsidRPr="00AE231D" w:rsidRDefault="00AE231D" w:rsidP="00AE231D">
            <w:pPr>
              <w:spacing w:before="0"/>
              <w:jc w:val="right"/>
              <w:rPr>
                <w:rFonts w:cs="Arial"/>
                <w:color w:val="000000"/>
                <w:sz w:val="18"/>
                <w:szCs w:val="18"/>
              </w:rPr>
            </w:pPr>
            <w:r w:rsidRPr="00AE231D">
              <w:rPr>
                <w:rFonts w:cs="Arial"/>
                <w:color w:val="000000"/>
                <w:sz w:val="18"/>
                <w:szCs w:val="18"/>
              </w:rPr>
              <w:t>n/a</w:t>
            </w:r>
          </w:p>
        </w:tc>
        <w:tc>
          <w:tcPr>
            <w:tcW w:w="1134" w:type="dxa"/>
            <w:shd w:val="clear" w:color="000000" w:fill="EFD3D2"/>
            <w:noWrap/>
            <w:vAlign w:val="center"/>
            <w:hideMark/>
          </w:tcPr>
          <w:p w14:paraId="5A1244B7" w14:textId="77777777" w:rsidR="00AE231D" w:rsidRPr="00AE231D" w:rsidRDefault="00AE231D" w:rsidP="00AE231D">
            <w:pPr>
              <w:spacing w:before="0"/>
              <w:jc w:val="right"/>
              <w:rPr>
                <w:rFonts w:cs="Arial"/>
                <w:color w:val="000000"/>
                <w:sz w:val="18"/>
                <w:szCs w:val="18"/>
              </w:rPr>
            </w:pPr>
            <w:r w:rsidRPr="00AE231D">
              <w:rPr>
                <w:rFonts w:cs="Arial"/>
                <w:color w:val="000000"/>
                <w:sz w:val="18"/>
                <w:szCs w:val="18"/>
              </w:rPr>
              <w:t>212</w:t>
            </w:r>
          </w:p>
        </w:tc>
        <w:tc>
          <w:tcPr>
            <w:tcW w:w="1276" w:type="dxa"/>
            <w:shd w:val="clear" w:color="000000" w:fill="EFD3D2"/>
            <w:noWrap/>
            <w:vAlign w:val="center"/>
            <w:hideMark/>
          </w:tcPr>
          <w:p w14:paraId="09E31286" w14:textId="77777777" w:rsidR="00AE231D" w:rsidRPr="00AE231D" w:rsidRDefault="00AE231D" w:rsidP="00AE231D">
            <w:pPr>
              <w:spacing w:before="0"/>
              <w:jc w:val="right"/>
              <w:rPr>
                <w:rFonts w:cs="Arial"/>
                <w:color w:val="000000"/>
                <w:sz w:val="18"/>
                <w:szCs w:val="18"/>
              </w:rPr>
            </w:pPr>
            <w:r w:rsidRPr="00AE231D">
              <w:rPr>
                <w:rFonts w:cs="Arial"/>
                <w:color w:val="000000"/>
                <w:sz w:val="18"/>
                <w:szCs w:val="18"/>
              </w:rPr>
              <w:t>572</w:t>
            </w:r>
          </w:p>
        </w:tc>
      </w:tr>
    </w:tbl>
    <w:p w14:paraId="62A16186" w14:textId="77777777" w:rsidR="00CF7AFB" w:rsidRDefault="00CF7AFB" w:rsidP="000F6210">
      <w:pPr>
        <w:pStyle w:val="Heading2"/>
      </w:pPr>
    </w:p>
    <w:p w14:paraId="2BDF3BF1" w14:textId="3ACCECB3" w:rsidR="00CE00EC" w:rsidRDefault="00CE00EC" w:rsidP="000F6210">
      <w:pPr>
        <w:pStyle w:val="Heading2"/>
      </w:pPr>
      <w:r>
        <w:t>Interpretation of Seacare return to work results</w:t>
      </w:r>
      <w:r>
        <w:rPr>
          <w:color w:val="1A001F"/>
        </w:rPr>
        <w:t xml:space="preserve"> </w:t>
      </w:r>
    </w:p>
    <w:p w14:paraId="2E0B60B2" w14:textId="77777777" w:rsidR="00CE00EC" w:rsidRDefault="004D3614" w:rsidP="000E20AE">
      <w:pPr>
        <w:pStyle w:val="BodyJustified"/>
      </w:pPr>
      <w:r>
        <w:t xml:space="preserve">Injured workers within the </w:t>
      </w:r>
      <w:r w:rsidR="00CE00EC">
        <w:t xml:space="preserve">Seacare </w:t>
      </w:r>
      <w:r>
        <w:t>scheme</w:t>
      </w:r>
      <w:r w:rsidR="00CE00EC">
        <w:t xml:space="preserve"> face unique problems in attempting to return to work that need to be considered when interpreting Seacare data. To facilitate graduated return to work for an injured seafarer a supernumerary position on a ship needs to be found, but there are few supernumerary positions available. Also it can be difficult to include shore-based duties as part of a graduated return to work as many seafarers live in different locations to their employers’ offices.</w:t>
      </w:r>
    </w:p>
    <w:p w14:paraId="058965D5" w14:textId="77777777" w:rsidR="00CE00EC" w:rsidRDefault="00CE00EC" w:rsidP="000E20AE">
      <w:pPr>
        <w:pStyle w:val="BodyJustified"/>
      </w:pPr>
      <w:r>
        <w:t>Injured seafarers have to be passed as medically fit under fitness-for-duties regulations to resume full pre-injury duties. The injury time for seafarers may also be extended by the fact that ships are away from port for four to six weeks, meaning that injured workers may not be able to resume work immediately after they are deemed fit to do so. These factors can result in injured workers waiting additional time to return to work.</w:t>
      </w:r>
    </w:p>
    <w:p w14:paraId="031455B4" w14:textId="35BC080C" w:rsidR="00CE00EC" w:rsidRDefault="00CE00EC" w:rsidP="00EB7886">
      <w:pPr>
        <w:pStyle w:val="SWASectionnum2"/>
      </w:pPr>
      <w:bookmarkStart w:id="40" w:name="_Toc476564200"/>
      <w:bookmarkStart w:id="41" w:name="_Toc4508781"/>
      <w:r>
        <w:t>Assets to liabilities ratio (funding ratio) data</w:t>
      </w:r>
      <w:bookmarkEnd w:id="40"/>
      <w:bookmarkEnd w:id="41"/>
      <w:r>
        <w:t xml:space="preserve"> </w:t>
      </w:r>
    </w:p>
    <w:p w14:paraId="3E288C25" w14:textId="77777777" w:rsidR="00CE00EC" w:rsidRDefault="00CE00EC" w:rsidP="000E20AE">
      <w:pPr>
        <w:pStyle w:val="BodyJustified"/>
      </w:pPr>
      <w:r>
        <w:t xml:space="preserve">Different measures of assets to liabilities can arise from different economic and actuarial assumptions in valuing liabilities as well as differences in the definitions of: </w:t>
      </w:r>
    </w:p>
    <w:p w14:paraId="3495324C" w14:textId="77777777" w:rsidR="00CE00EC" w:rsidRDefault="00CE00EC" w:rsidP="00AE231D">
      <w:pPr>
        <w:pStyle w:val="SWABullets"/>
      </w:pPr>
      <w:r>
        <w:t>assets and net assets, and</w:t>
      </w:r>
    </w:p>
    <w:p w14:paraId="5AB769B2" w14:textId="77777777" w:rsidR="00CE00EC" w:rsidRDefault="00CE00EC" w:rsidP="00AE231D">
      <w:pPr>
        <w:pStyle w:val="SWABullets"/>
      </w:pPr>
      <w:r>
        <w:t>liabilities, such as allowance in some schemes for prudential margins, and allowance for different levels of claim handling expenses.</w:t>
      </w:r>
    </w:p>
    <w:p w14:paraId="495EB492" w14:textId="77777777" w:rsidR="00CE00EC" w:rsidRDefault="00CE00EC" w:rsidP="000E20AE">
      <w:pPr>
        <w:pStyle w:val="BodyJustified"/>
      </w:pPr>
      <w:r>
        <w:t>Different definitions of net assets have been addressed in this publication by applying a consistent definition. For centrally funded schemes, net assets are equal to the total current and non-current assets of the scheme minus the outstanding claim recoveries as at the end of the reference financial year. For privately underwritten schemes, assets are considered to be the insurers’ overall balance sheet claims provisions.</w:t>
      </w:r>
    </w:p>
    <w:p w14:paraId="514215E3" w14:textId="77777777" w:rsidR="00CE00EC" w:rsidRDefault="00CE00EC" w:rsidP="000E20AE">
      <w:pPr>
        <w:pStyle w:val="BodyJustified"/>
      </w:pPr>
      <w:r>
        <w:t xml:space="preserve">A consistent definition of net outstanding claim liabilities has also been adopted, but there are still some differences between jurisdictions in the measurement of net outstanding claim liabilities. These relate to the different assumptions for claim handling expenses by jurisdictions for which adjustments have not been applied. </w:t>
      </w:r>
    </w:p>
    <w:p w14:paraId="6F4E7EED" w14:textId="77777777" w:rsidR="00CE00EC" w:rsidRDefault="00CE00EC" w:rsidP="000E20AE">
      <w:pPr>
        <w:pStyle w:val="BodyJustified"/>
      </w:pPr>
      <w:r>
        <w:lastRenderedPageBreak/>
        <w:t xml:space="preserve">Net outstanding claim liabilities for centrally funded schemes are equal to the total current and non-current liabilities of the scheme minus outstanding claim recoveries as at the end of the reference financial year. For privately underwritten schemes, liabilities are taken as the central estimate of outstanding claims for the scheme (excluding the self-insured sector) as at the end of the reference financial year. </w:t>
      </w:r>
    </w:p>
    <w:p w14:paraId="316845A8" w14:textId="7EF6CE86" w:rsidR="00CE00EC" w:rsidRDefault="00CE00EC" w:rsidP="000E20AE">
      <w:pPr>
        <w:pStyle w:val="BodyJustified"/>
      </w:pPr>
      <w:r>
        <w:t xml:space="preserve">For jurisdictions with a separate fund dedicated to workers’ compensation (centrally funded schemes), the assets set aside for future liabilities can be easily identified from their annual reports. Centrally funded schemes operate in Victoria, Queensland, South Australia, </w:t>
      </w:r>
      <w:r w:rsidR="00E21FCD">
        <w:t>the Australian Government</w:t>
      </w:r>
      <w:r>
        <w:t xml:space="preserve"> and New Zealand.</w:t>
      </w:r>
    </w:p>
    <w:p w14:paraId="084505BE" w14:textId="77777777" w:rsidR="00CE00EC" w:rsidRDefault="00CE00EC" w:rsidP="000E20AE">
      <w:pPr>
        <w:pStyle w:val="BodyJustified"/>
      </w:pPr>
      <w:r>
        <w:t>For jurisdictions where workers’ compensation is underwritten by insurance companies (privately underwritten schemes), assets are set aside to meet all insurance liabilities but the insurance companies do not identify reserves specifically for workers’ compensation liabilities. For these schemes net assets are considered to be the balance sheet provisions made by the insurers at the end of each financial year. Privately underwritten schemes operate in Western Australia, Tasmania, the Northern Territory, the Australian Capital Territory and Seacare.</w:t>
      </w:r>
    </w:p>
    <w:p w14:paraId="5AF9F6FB" w14:textId="77777777" w:rsidR="00CE00EC" w:rsidRDefault="00CE00EC" w:rsidP="000E20AE">
      <w:pPr>
        <w:pStyle w:val="BodyJustified"/>
      </w:pPr>
      <w:r>
        <w:t xml:space="preserve">The New South Wales scheme is a managed fund, combining some of the features of centrally funded schemes and privately underwritten schemes. </w:t>
      </w:r>
    </w:p>
    <w:p w14:paraId="7CD619E2" w14:textId="50118497" w:rsidR="00CE00EC" w:rsidRDefault="00CE00EC" w:rsidP="000F6210">
      <w:pPr>
        <w:pStyle w:val="Heading2"/>
      </w:pPr>
      <w:r>
        <w:t>Prudential margins</w:t>
      </w:r>
      <w:r>
        <w:rPr>
          <w:color w:val="1A001F"/>
        </w:rPr>
        <w:t xml:space="preserve"> </w:t>
      </w:r>
    </w:p>
    <w:p w14:paraId="3CABED76" w14:textId="77777777" w:rsidR="00CE00EC" w:rsidRDefault="00CE00EC" w:rsidP="000E20AE">
      <w:pPr>
        <w:pStyle w:val="BodyJustified"/>
      </w:pPr>
      <w:r>
        <w:t xml:space="preserve">Many jurisdictions add prudential margins to their estimates of outstanding claims liabilities to increase the probability of maintaining sufficient assets to meet the liabilities estimate. This is done in recognition that there are inherent uncertainties in the actuarial assumptions underlying the value of outstanding liabilities. The addition of a prudential margin will lower the assets to liabilities ratio for that jurisdiction. As some jurisdictions do not have prudential margins, these margins have been removed from the estimates to enhance comparability. For jurisdictions that use prudential margins in determining their liabilities there will be a greater discrepancy between the ratios shown in this report and those shown in their annual reports. The margins that have been removed are: </w:t>
      </w:r>
    </w:p>
    <w:p w14:paraId="2AC1932C" w14:textId="7B8D4379" w:rsidR="00CE00EC" w:rsidRPr="007F454D" w:rsidRDefault="00CE00EC" w:rsidP="003F47A7">
      <w:pPr>
        <w:pStyle w:val="SWABullets"/>
        <w:jc w:val="left"/>
      </w:pPr>
      <w:r w:rsidRPr="007F454D">
        <w:t>New South Wales — a risk margin of 12</w:t>
      </w:r>
      <w:r w:rsidR="00AE231D">
        <w:t> </w:t>
      </w:r>
      <w:r>
        <w:t>per</w:t>
      </w:r>
      <w:r w:rsidR="00AE231D">
        <w:t> </w:t>
      </w:r>
      <w:r>
        <w:t>cent</w:t>
      </w:r>
      <w:r w:rsidRPr="007F454D">
        <w:t xml:space="preserve"> from 2012–13 and 2013–14, </w:t>
      </w:r>
      <w:r w:rsidR="00A50EE4">
        <w:t>1</w:t>
      </w:r>
      <w:r w:rsidR="00C147F8">
        <w:t>5.6</w:t>
      </w:r>
      <w:r w:rsidR="00FB0257">
        <w:t> per cent</w:t>
      </w:r>
      <w:r w:rsidR="006C3741">
        <w:t xml:space="preserve"> from 2014–15 and </w:t>
      </w:r>
      <w:r w:rsidR="007716D7">
        <w:t xml:space="preserve">2015–16 and </w:t>
      </w:r>
      <w:r w:rsidR="00A50EE4">
        <w:t xml:space="preserve">15.1 per cent from </w:t>
      </w:r>
      <w:r w:rsidR="007716D7">
        <w:t>2016</w:t>
      </w:r>
      <w:r w:rsidR="007716D7" w:rsidRPr="007F454D">
        <w:t>–</w:t>
      </w:r>
      <w:r w:rsidR="007716D7">
        <w:t>17.</w:t>
      </w:r>
    </w:p>
    <w:p w14:paraId="5F37C783" w14:textId="4C6AF08F" w:rsidR="00CE00EC" w:rsidRPr="007F454D" w:rsidRDefault="00CE00EC" w:rsidP="003F47A7">
      <w:pPr>
        <w:pStyle w:val="SWABullets"/>
        <w:jc w:val="left"/>
      </w:pPr>
      <w:r w:rsidRPr="007F454D">
        <w:t xml:space="preserve">Victoria — </w:t>
      </w:r>
      <w:r>
        <w:t>a</w:t>
      </w:r>
      <w:r w:rsidRPr="007F454D">
        <w:t xml:space="preserve"> risk margin of 8.0</w:t>
      </w:r>
      <w:r w:rsidR="00AE231D">
        <w:t> per </w:t>
      </w:r>
      <w:r>
        <w:t>cent</w:t>
      </w:r>
      <w:r w:rsidRPr="007F454D">
        <w:t xml:space="preserve"> for 2012–13, 2013–14</w:t>
      </w:r>
      <w:r w:rsidR="00382027">
        <w:t>,</w:t>
      </w:r>
      <w:r w:rsidRPr="007F454D">
        <w:t xml:space="preserve"> 2014–15</w:t>
      </w:r>
      <w:r w:rsidR="00382027">
        <w:t xml:space="preserve">, </w:t>
      </w:r>
      <w:r w:rsidR="00382027" w:rsidRPr="007F454D">
        <w:t>201</w:t>
      </w:r>
      <w:r w:rsidR="00382027">
        <w:t>5</w:t>
      </w:r>
      <w:r w:rsidR="00382027" w:rsidRPr="007F454D">
        <w:t>–1</w:t>
      </w:r>
      <w:r w:rsidR="00382027">
        <w:t xml:space="preserve">6 and </w:t>
      </w:r>
      <w:r w:rsidR="00382027" w:rsidRPr="007F454D">
        <w:t>201</w:t>
      </w:r>
      <w:r w:rsidR="00382027">
        <w:t>6</w:t>
      </w:r>
      <w:r w:rsidR="00382027" w:rsidRPr="007F454D">
        <w:t>–1</w:t>
      </w:r>
      <w:r w:rsidR="00382027">
        <w:t>7</w:t>
      </w:r>
      <w:r w:rsidRPr="007F454D">
        <w:t>. The risk margin for the Insurers’ Guarantee Fund and the Uninsured Employers and Indemnity Funds is 40</w:t>
      </w:r>
      <w:r w:rsidR="00AE231D">
        <w:t> </w:t>
      </w:r>
      <w:r>
        <w:t>per</w:t>
      </w:r>
      <w:r w:rsidR="00AE231D">
        <w:t> </w:t>
      </w:r>
      <w:r>
        <w:t>cent</w:t>
      </w:r>
      <w:r w:rsidRPr="007F454D">
        <w:t xml:space="preserve"> for the period 20</w:t>
      </w:r>
      <w:r w:rsidR="00E25CB7">
        <w:t>12</w:t>
      </w:r>
      <w:r w:rsidRPr="007F454D">
        <w:t>–</w:t>
      </w:r>
      <w:r w:rsidR="00E25CB7">
        <w:t>13</w:t>
      </w:r>
      <w:r w:rsidRPr="007F454D">
        <w:t xml:space="preserve"> to 201</w:t>
      </w:r>
      <w:r w:rsidR="007716D7">
        <w:t>6</w:t>
      </w:r>
      <w:r w:rsidRPr="007F454D">
        <w:t>–1</w:t>
      </w:r>
      <w:r w:rsidR="007716D7">
        <w:t xml:space="preserve">7. </w:t>
      </w:r>
    </w:p>
    <w:p w14:paraId="79EDE632" w14:textId="6C5B2E97" w:rsidR="00CE00EC" w:rsidRPr="007F454D" w:rsidRDefault="00CE00EC" w:rsidP="008926EB">
      <w:pPr>
        <w:pStyle w:val="SWABullets"/>
        <w:jc w:val="left"/>
      </w:pPr>
      <w:r w:rsidRPr="007F454D">
        <w:t>Queensland — a prudential margin of 10.1</w:t>
      </w:r>
      <w:r w:rsidR="00FB0257">
        <w:t> per cent</w:t>
      </w:r>
      <w:r w:rsidRPr="007F454D">
        <w:t xml:space="preserve"> from 2012–13 and 9.7</w:t>
      </w:r>
      <w:r w:rsidR="00AE231D">
        <w:t> </w:t>
      </w:r>
      <w:r>
        <w:t>per</w:t>
      </w:r>
      <w:r w:rsidR="00AE231D">
        <w:t> </w:t>
      </w:r>
      <w:r>
        <w:t>cent</w:t>
      </w:r>
      <w:r w:rsidR="006C3741">
        <w:t xml:space="preserve"> from 2013–14 a</w:t>
      </w:r>
      <w:r w:rsidR="007716D7">
        <w:t>nd 2014–15 and 9.8% for 2015-16 and 2016</w:t>
      </w:r>
      <w:r w:rsidR="008926EB">
        <w:t>-17.</w:t>
      </w:r>
    </w:p>
    <w:p w14:paraId="36A504CD" w14:textId="7B4F448D" w:rsidR="00CE00EC" w:rsidRPr="007F454D" w:rsidRDefault="00CE00EC" w:rsidP="003F47A7">
      <w:pPr>
        <w:pStyle w:val="SWABullets"/>
        <w:jc w:val="left"/>
      </w:pPr>
      <w:r w:rsidRPr="007F454D">
        <w:t>South Australia — a prudential margin of 5.5</w:t>
      </w:r>
      <w:r w:rsidR="00FB0257">
        <w:t> per cent</w:t>
      </w:r>
      <w:r w:rsidRPr="007F454D">
        <w:t xml:space="preserve"> from 2012–13 and 2013–14, and 6.3</w:t>
      </w:r>
      <w:r w:rsidR="00FB0257">
        <w:t> per cent</w:t>
      </w:r>
      <w:r w:rsidR="006C3741">
        <w:t xml:space="preserve"> from 2014–15 and 6.4</w:t>
      </w:r>
      <w:r w:rsidR="00A13563">
        <w:t xml:space="preserve"> from 2015–16</w:t>
      </w:r>
      <w:r w:rsidR="008926EB">
        <w:t xml:space="preserve"> and 12.4 per cent from 2016-17.</w:t>
      </w:r>
    </w:p>
    <w:p w14:paraId="73B5F107" w14:textId="77777777" w:rsidR="00CE00EC" w:rsidRPr="007F454D" w:rsidRDefault="00CE00EC" w:rsidP="003F47A7">
      <w:pPr>
        <w:pStyle w:val="SWABullets"/>
        <w:jc w:val="left"/>
      </w:pPr>
      <w:r w:rsidRPr="007F454D">
        <w:t>Northern Territory — a prudential margin of 15</w:t>
      </w:r>
      <w:r w:rsidR="00FB0257">
        <w:t> per cent</w:t>
      </w:r>
      <w:r w:rsidRPr="007F454D">
        <w:t xml:space="preserve"> for all years.</w:t>
      </w:r>
    </w:p>
    <w:p w14:paraId="01FB18E4" w14:textId="77777777" w:rsidR="00CE00EC" w:rsidRDefault="00CE00EC" w:rsidP="00EB7886">
      <w:pPr>
        <w:pStyle w:val="SWASectionnum2"/>
      </w:pPr>
      <w:bookmarkStart w:id="42" w:name="_Toc476564201"/>
      <w:bookmarkStart w:id="43" w:name="_Toc4508782"/>
      <w:r>
        <w:t>Scheme expenditure data</w:t>
      </w:r>
      <w:bookmarkEnd w:id="42"/>
      <w:bookmarkEnd w:id="43"/>
      <w:r>
        <w:rPr>
          <w:color w:val="1A001F"/>
        </w:rPr>
        <w:t xml:space="preserve"> </w:t>
      </w:r>
    </w:p>
    <w:p w14:paraId="18F6A152" w14:textId="77777777" w:rsidR="00CE00EC" w:rsidRDefault="00CE00EC" w:rsidP="00CE00EC">
      <w:r>
        <w:t>The data items for this measure are as follows:</w:t>
      </w:r>
    </w:p>
    <w:p w14:paraId="48978D00" w14:textId="77777777" w:rsidR="00CE00EC" w:rsidRDefault="00CE00EC" w:rsidP="00AE231D">
      <w:pPr>
        <w:pStyle w:val="SWABullets"/>
      </w:pPr>
      <w:r w:rsidRPr="00AE231D">
        <w:rPr>
          <w:rStyle w:val="Colouredsection"/>
          <w:b/>
          <w:color w:val="AF1E2D"/>
        </w:rPr>
        <w:t>Direct to worker costs</w:t>
      </w:r>
      <w:r w:rsidRPr="00FF48E0">
        <w:rPr>
          <w:color w:val="145B85"/>
        </w:rPr>
        <w:t xml:space="preserve"> </w:t>
      </w:r>
      <w:r>
        <w:t>are compensation paid to injured employees either as weekly benefits, redemptions, lump sums, common law settlements (excluding legal costs) and non-economic loss benefits.</w:t>
      </w:r>
    </w:p>
    <w:p w14:paraId="79090B0B" w14:textId="77777777" w:rsidR="00CE00EC" w:rsidRDefault="00CE00EC" w:rsidP="00AE231D">
      <w:pPr>
        <w:pStyle w:val="SWABullets"/>
      </w:pPr>
      <w:r w:rsidRPr="00AE231D">
        <w:rPr>
          <w:rStyle w:val="Colouredsection"/>
          <w:b/>
          <w:color w:val="AF1E2D"/>
        </w:rPr>
        <w:t>Services to worker costs</w:t>
      </w:r>
      <w:r w:rsidRPr="00AE231D">
        <w:rPr>
          <w:rStyle w:val="Colouredsection"/>
          <w:color w:val="AF1E2D"/>
        </w:rPr>
        <w:t xml:space="preserve"> </w:t>
      </w:r>
      <w:r>
        <w:t>include medical treatment, rehabilitation, legal costs, return to work assistance, transportation, employee advisory services and interpreter costs that are used to assist employees recover from their injury and return to work.</w:t>
      </w:r>
    </w:p>
    <w:p w14:paraId="6AF9A13A" w14:textId="77777777" w:rsidR="00CE00EC" w:rsidRDefault="00CE00EC" w:rsidP="00AE231D">
      <w:pPr>
        <w:pStyle w:val="SWABullets"/>
      </w:pPr>
      <w:r w:rsidRPr="00AE231D">
        <w:rPr>
          <w:rStyle w:val="Colouredsection"/>
          <w:b/>
          <w:color w:val="AF1E2D"/>
        </w:rPr>
        <w:t>Insurance operations costs</w:t>
      </w:r>
      <w:r w:rsidRPr="00AE231D">
        <w:rPr>
          <w:color w:val="AF1E2D"/>
        </w:rPr>
        <w:t xml:space="preserve"> </w:t>
      </w:r>
      <w:r>
        <w:t xml:space="preserve">encompass claims management, premiums/ levy management, fees paid to agents, medical reports, licensed-insurer expenses, registration of employers, </w:t>
      </w:r>
      <w:r>
        <w:lastRenderedPageBreak/>
        <w:t>collection of premiums and other costs associated with the claims management and premium collection functions of the scheme.</w:t>
      </w:r>
    </w:p>
    <w:p w14:paraId="05AB0E35" w14:textId="77777777" w:rsidR="00CE00EC" w:rsidRDefault="00CE00EC" w:rsidP="00AE231D">
      <w:pPr>
        <w:pStyle w:val="SWABullets"/>
      </w:pPr>
      <w:r w:rsidRPr="00AE231D">
        <w:rPr>
          <w:rStyle w:val="Colouredsection"/>
          <w:b/>
          <w:color w:val="AF1E2D"/>
        </w:rPr>
        <w:t>Dispute resolution costs</w:t>
      </w:r>
      <w:r w:rsidRPr="00AE231D">
        <w:rPr>
          <w:color w:val="AF1E2D"/>
        </w:rPr>
        <w:t xml:space="preserve"> </w:t>
      </w:r>
      <w:r>
        <w:t>include all activities associated with the finalising of disputes other than the direct costs associated with a claim, such as legal representation costs, which are included as claim payments. Dispute resolution costs also include costs associated with departments of justice/courts, conciliation, medical panels and workers’ compensation tribunals/courts.</w:t>
      </w:r>
    </w:p>
    <w:p w14:paraId="0E4CBC88" w14:textId="77777777" w:rsidR="00CE00EC" w:rsidRDefault="00CE00EC" w:rsidP="00AE231D">
      <w:pPr>
        <w:pStyle w:val="SWABullets"/>
      </w:pPr>
      <w:r w:rsidRPr="00AE231D">
        <w:rPr>
          <w:rStyle w:val="Colouredsection"/>
          <w:b/>
          <w:color w:val="AF1E2D"/>
        </w:rPr>
        <w:t>Other administration costs</w:t>
      </w:r>
      <w:r w:rsidRPr="00AE231D">
        <w:rPr>
          <w:rStyle w:val="Colouredsection"/>
          <w:color w:val="AF1E2D"/>
        </w:rPr>
        <w:t xml:space="preserve"> </w:t>
      </w:r>
      <w:r>
        <w:t xml:space="preserve">include expenditure associated with corporate administration, but exclude corporate administration costs allocated to work </w:t>
      </w:r>
      <w:r w:rsidRPr="005F5109">
        <w:t>health and safety. Costs encompass executive management, board/management committee, corporate planning and reporting, finance, human resources and personnel, administration, audit costs, corporate legal costs, bank charges and IT costs (including depreciation).</w:t>
      </w:r>
    </w:p>
    <w:p w14:paraId="30E96681" w14:textId="77777777" w:rsidR="00CE00EC" w:rsidRDefault="00CE00EC" w:rsidP="00AE231D">
      <w:pPr>
        <w:pStyle w:val="SWABullets"/>
      </w:pPr>
      <w:r w:rsidRPr="00AE231D">
        <w:rPr>
          <w:rStyle w:val="Colouredsection"/>
          <w:b/>
          <w:color w:val="AF1E2D"/>
        </w:rPr>
        <w:t>Regulation costs</w:t>
      </w:r>
      <w:r w:rsidRPr="00AE231D">
        <w:rPr>
          <w:color w:val="AF1E2D"/>
        </w:rPr>
        <w:t xml:space="preserve"> </w:t>
      </w:r>
      <w:r w:rsidRPr="005F5109">
        <w:t>include licen</w:t>
      </w:r>
      <w:r>
        <w:t>s</w:t>
      </w:r>
      <w:r w:rsidRPr="005F5109">
        <w:t>e and performance management, compliance activity, fraud investigations, litigation and prosecution, return to work and compensation</w:t>
      </w:r>
      <w:r>
        <w:t>,</w:t>
      </w:r>
      <w:r w:rsidRPr="005F5109">
        <w:t xml:space="preserve"> advertising, IT costs, injury management and return to work research, actuarial services and administration and overseeing of self-insurers and exempt employers</w:t>
      </w:r>
      <w:r>
        <w:t>.</w:t>
      </w:r>
    </w:p>
    <w:p w14:paraId="050E2614" w14:textId="77777777" w:rsidR="00CE00EC" w:rsidRDefault="00CE00EC" w:rsidP="00CE00EC">
      <w:pPr>
        <w:ind w:left="567" w:hanging="283"/>
        <w:rPr>
          <w:color w:val="000000"/>
          <w:lang w:val="en-US"/>
        </w:rPr>
      </w:pPr>
    </w:p>
    <w:p w14:paraId="0AD77E1F" w14:textId="77777777" w:rsidR="00CE00EC" w:rsidRDefault="00CE00EC" w:rsidP="00CE00EC">
      <w:pPr>
        <w:ind w:left="567" w:hanging="283"/>
        <w:rPr>
          <w:color w:val="000000"/>
          <w:lang w:val="en-US"/>
        </w:rPr>
        <w:sectPr w:rsidR="00CE00EC" w:rsidSect="006A0703">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418" w:header="720" w:footer="720" w:gutter="0"/>
          <w:cols w:space="720"/>
          <w:noEndnote/>
          <w:titlePg/>
          <w:docGrid w:linePitch="299"/>
        </w:sectPr>
      </w:pPr>
    </w:p>
    <w:p w14:paraId="080E2F3A" w14:textId="77777777" w:rsidR="00CE00EC" w:rsidRDefault="00CE00EC" w:rsidP="00EB7886">
      <w:pPr>
        <w:pStyle w:val="SWASectionnumberingheading"/>
      </w:pPr>
      <w:bookmarkStart w:id="44" w:name="_Toc476564202"/>
      <w:bookmarkStart w:id="45" w:name="_Toc4508783"/>
      <w:r w:rsidRPr="002A1ED7">
        <w:lastRenderedPageBreak/>
        <w:t xml:space="preserve">Appendix 2 — Key features of Australian </w:t>
      </w:r>
      <w:r>
        <w:t>w</w:t>
      </w:r>
      <w:r w:rsidRPr="002A1ED7">
        <w:t xml:space="preserve">orkers’ </w:t>
      </w:r>
      <w:r>
        <w:t>c</w:t>
      </w:r>
      <w:r w:rsidRPr="002A1ED7">
        <w:t xml:space="preserve">ompensation </w:t>
      </w:r>
      <w:r>
        <w:t>s</w:t>
      </w:r>
      <w:r w:rsidRPr="002A1ED7">
        <w:t>chemes</w:t>
      </w:r>
      <w:bookmarkEnd w:id="44"/>
      <w:bookmarkEnd w:id="45"/>
    </w:p>
    <w:p w14:paraId="23366DE2" w14:textId="6A383699" w:rsidR="00CE00EC" w:rsidRDefault="00CE00EC" w:rsidP="00CB108E">
      <w:pPr>
        <w:pStyle w:val="SWATableheader"/>
      </w:pPr>
      <w:r>
        <w:t xml:space="preserve"> Appendix 2 — Table 1: Key features of Australian workers’ compensation schemes as at 1 January </w:t>
      </w:r>
      <w:r w:rsidR="00C822E8">
        <w:t>2017</w:t>
      </w:r>
      <w:r w:rsidR="00CE5167">
        <w:t xml:space="preserve"> </w:t>
      </w:r>
    </w:p>
    <w:tbl>
      <w:tblPr>
        <w:tblStyle w:val="LightShading-Accent2"/>
        <w:tblW w:w="5000" w:type="pct"/>
        <w:tblBorders>
          <w:bottom w:val="dashSmallGap" w:sz="4" w:space="0" w:color="FFFFFF" w:themeColor="background1"/>
          <w:insideH w:val="dashSmallGap" w:sz="4" w:space="0" w:color="FFFFFF" w:themeColor="background1"/>
        </w:tblBorders>
        <w:tblLook w:val="04A0" w:firstRow="1" w:lastRow="0" w:firstColumn="1" w:lastColumn="0" w:noHBand="0" w:noVBand="1"/>
        <w:tblCaption w:val="Appendix 2.Key features of the Australian workers' compensation schemes"/>
        <w:tblDescription w:val="This Table contains jurisdictional information on key features of Australian workers' compensation schemes."/>
      </w:tblPr>
      <w:tblGrid>
        <w:gridCol w:w="2487"/>
        <w:gridCol w:w="1328"/>
        <w:gridCol w:w="1313"/>
        <w:gridCol w:w="1313"/>
        <w:gridCol w:w="1308"/>
        <w:gridCol w:w="1393"/>
        <w:gridCol w:w="1202"/>
        <w:gridCol w:w="1485"/>
        <w:gridCol w:w="1151"/>
        <w:gridCol w:w="1296"/>
      </w:tblGrid>
      <w:tr w:rsidR="00BF6788" w:rsidRPr="00BF6788" w14:paraId="165B2AD4" w14:textId="77777777" w:rsidTr="007D34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1" w:type="pct"/>
          </w:tcPr>
          <w:p w14:paraId="7A223836" w14:textId="77777777" w:rsidR="00CE00EC" w:rsidRPr="00BF6788" w:rsidRDefault="00CE00EC" w:rsidP="00B94996">
            <w:pPr>
              <w:pStyle w:val="Tablecolumnheadings"/>
              <w:rPr>
                <w:b/>
                <w:color w:val="FFFFFF" w:themeColor="background1"/>
              </w:rPr>
            </w:pPr>
            <w:r w:rsidRPr="00BF6788">
              <w:rPr>
                <w:b/>
                <w:color w:val="FFFFFF" w:themeColor="background1"/>
              </w:rPr>
              <w:t>Jurisdiction</w:t>
            </w:r>
          </w:p>
        </w:tc>
        <w:tc>
          <w:tcPr>
            <w:tcW w:w="465" w:type="pct"/>
          </w:tcPr>
          <w:p w14:paraId="0DD369E7"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NSW</w:t>
            </w:r>
          </w:p>
        </w:tc>
        <w:tc>
          <w:tcPr>
            <w:tcW w:w="460" w:type="pct"/>
          </w:tcPr>
          <w:p w14:paraId="0292872F"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Vic</w:t>
            </w:r>
          </w:p>
        </w:tc>
        <w:tc>
          <w:tcPr>
            <w:tcW w:w="460" w:type="pct"/>
          </w:tcPr>
          <w:p w14:paraId="4A58B565"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Qld</w:t>
            </w:r>
          </w:p>
        </w:tc>
        <w:tc>
          <w:tcPr>
            <w:tcW w:w="458" w:type="pct"/>
          </w:tcPr>
          <w:p w14:paraId="4833BAAF"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WA</w:t>
            </w:r>
          </w:p>
        </w:tc>
        <w:tc>
          <w:tcPr>
            <w:tcW w:w="488" w:type="pct"/>
          </w:tcPr>
          <w:p w14:paraId="038DB800"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SA</w:t>
            </w:r>
          </w:p>
        </w:tc>
        <w:tc>
          <w:tcPr>
            <w:tcW w:w="421" w:type="pct"/>
          </w:tcPr>
          <w:p w14:paraId="6ED8851B"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Tas</w:t>
            </w:r>
          </w:p>
        </w:tc>
        <w:tc>
          <w:tcPr>
            <w:tcW w:w="520" w:type="pct"/>
          </w:tcPr>
          <w:p w14:paraId="037743FD"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NT</w:t>
            </w:r>
          </w:p>
        </w:tc>
        <w:tc>
          <w:tcPr>
            <w:tcW w:w="403" w:type="pct"/>
          </w:tcPr>
          <w:p w14:paraId="1177F909"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ACT</w:t>
            </w:r>
          </w:p>
        </w:tc>
        <w:tc>
          <w:tcPr>
            <w:tcW w:w="454" w:type="pct"/>
          </w:tcPr>
          <w:p w14:paraId="4299839E" w14:textId="33BBF19C" w:rsidR="00CE00EC" w:rsidRPr="00BF6788" w:rsidRDefault="00854242"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Comcare</w:t>
            </w:r>
          </w:p>
        </w:tc>
      </w:tr>
      <w:tr w:rsidR="00BF6788" w:rsidRPr="00BF6788" w14:paraId="3B2FFB9A" w14:textId="77777777" w:rsidTr="007D34F4">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871" w:type="pct"/>
            <w:shd w:val="clear" w:color="auto" w:fill="808080" w:themeFill="background1" w:themeFillShade="80"/>
          </w:tcPr>
          <w:p w14:paraId="4286C61B" w14:textId="77777777" w:rsidR="00CE00EC" w:rsidRPr="00BF6788" w:rsidRDefault="00CE00EC" w:rsidP="00B94996">
            <w:pPr>
              <w:pStyle w:val="Tablesubheadingsbold"/>
              <w:rPr>
                <w:b/>
                <w:color w:val="FFFFFF" w:themeColor="background1"/>
              </w:rPr>
            </w:pPr>
            <w:r w:rsidRPr="00BF6788">
              <w:rPr>
                <w:b/>
                <w:color w:val="FFFFFF" w:themeColor="background1"/>
              </w:rPr>
              <w:t>Fund type</w:t>
            </w:r>
          </w:p>
        </w:tc>
        <w:tc>
          <w:tcPr>
            <w:tcW w:w="465" w:type="pct"/>
            <w:shd w:val="clear" w:color="auto" w:fill="808080" w:themeFill="background1" w:themeFillShade="80"/>
          </w:tcPr>
          <w:p w14:paraId="476AD166"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Managed fund</w:t>
            </w:r>
          </w:p>
        </w:tc>
        <w:tc>
          <w:tcPr>
            <w:tcW w:w="460" w:type="pct"/>
            <w:shd w:val="clear" w:color="auto" w:fill="808080" w:themeFill="background1" w:themeFillShade="80"/>
          </w:tcPr>
          <w:p w14:paraId="67F01CDB"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60" w:type="pct"/>
            <w:shd w:val="clear" w:color="auto" w:fill="808080" w:themeFill="background1" w:themeFillShade="80"/>
          </w:tcPr>
          <w:p w14:paraId="018FDF7E"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58" w:type="pct"/>
            <w:shd w:val="clear" w:color="auto" w:fill="808080" w:themeFill="background1" w:themeFillShade="80"/>
          </w:tcPr>
          <w:p w14:paraId="077DA7C3"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88" w:type="pct"/>
            <w:shd w:val="clear" w:color="auto" w:fill="808080" w:themeFill="background1" w:themeFillShade="80"/>
          </w:tcPr>
          <w:p w14:paraId="7A99A626"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21" w:type="pct"/>
            <w:shd w:val="clear" w:color="auto" w:fill="808080" w:themeFill="background1" w:themeFillShade="80"/>
          </w:tcPr>
          <w:p w14:paraId="738801FD"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520" w:type="pct"/>
            <w:shd w:val="clear" w:color="auto" w:fill="808080" w:themeFill="background1" w:themeFillShade="80"/>
          </w:tcPr>
          <w:p w14:paraId="43C14B02"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03" w:type="pct"/>
            <w:shd w:val="clear" w:color="auto" w:fill="808080" w:themeFill="background1" w:themeFillShade="80"/>
          </w:tcPr>
          <w:p w14:paraId="69676E8E"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54" w:type="pct"/>
            <w:shd w:val="clear" w:color="auto" w:fill="808080" w:themeFill="background1" w:themeFillShade="80"/>
          </w:tcPr>
          <w:p w14:paraId="40092DD4"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r>
      <w:tr w:rsidR="00BF6788" w:rsidRPr="00BF6788" w14:paraId="7FC97899" w14:textId="77777777" w:rsidTr="007D34F4">
        <w:trPr>
          <w:cnfStyle w:val="000000010000" w:firstRow="0" w:lastRow="0" w:firstColumn="0" w:lastColumn="0" w:oddVBand="0" w:evenVBand="0" w:oddHBand="0" w:evenHBand="1" w:firstRowFirstColumn="0" w:firstRowLastColumn="0" w:lastRowFirstColumn="0" w:lastRowLastColumn="0"/>
          <w:trHeight w:hRule="exact" w:val="497"/>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14:paraId="3AD417C4" w14:textId="77777777" w:rsidR="00CE00EC" w:rsidRPr="00BF6788" w:rsidRDefault="00CE00EC" w:rsidP="00B94996">
            <w:pPr>
              <w:pStyle w:val="Tablesubheadingsbold"/>
              <w:rPr>
                <w:color w:val="auto"/>
              </w:rPr>
            </w:pPr>
            <w:r w:rsidRPr="00BF6788">
              <w:rPr>
                <w:color w:val="auto"/>
              </w:rPr>
              <w:t>Cover for journey claims</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14:paraId="75A0855A"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(a)</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14:paraId="2A28D504"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(b)</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14:paraId="7B80D616"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14:paraId="18A20FD1"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14:paraId="1C45884A"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(c)</w:t>
            </w:r>
            <w:r w:rsidRPr="00BF6788">
              <w:rPr>
                <w:color w:val="auto"/>
                <w:sz w:val="18"/>
                <w:szCs w:val="12"/>
              </w:rPr>
              <w:t xml:space="preserve"> </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14:paraId="328A3DAD"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14:paraId="7C6CD190" w14:textId="77777777" w:rsidR="00CE00EC" w:rsidRPr="00BF6788" w:rsidRDefault="007D34F4" w:rsidP="007D34F4">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No unless a police officer</w:t>
            </w:r>
            <w:r w:rsidR="00CE00EC" w:rsidRPr="00BF6788">
              <w:rPr>
                <w:color w:val="auto"/>
                <w:sz w:val="18"/>
                <w:vertAlign w:val="superscript"/>
              </w:rPr>
              <w:t>(d)</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14:paraId="75B07898"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14:paraId="0E0F6605"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(e)</w:t>
            </w:r>
          </w:p>
        </w:tc>
      </w:tr>
      <w:tr w:rsidR="00BF6788" w:rsidRPr="00BF6788" w14:paraId="67F30A22" w14:textId="77777777" w:rsidTr="007D34F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6F247AEB" w14:textId="77777777" w:rsidR="00CE00EC" w:rsidRPr="00BF6788" w:rsidRDefault="00CE00EC" w:rsidP="00B94996">
            <w:pPr>
              <w:pStyle w:val="Tablesubheadingsbold"/>
              <w:rPr>
                <w:color w:val="auto"/>
              </w:rPr>
            </w:pPr>
            <w:r w:rsidRPr="00BF6788">
              <w:rPr>
                <w:color w:val="auto"/>
              </w:rPr>
              <w:t>Common law available</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14:paraId="658C7497" w14:textId="22E58AAA" w:rsidR="00CE00EC" w:rsidRPr="00064D46" w:rsidRDefault="00CE00EC" w:rsidP="00064D46">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vertAlign w:val="superscript"/>
              </w:rPr>
            </w:pPr>
            <w:r w:rsidRPr="00BF6788">
              <w:rPr>
                <w:color w:val="auto"/>
                <w:sz w:val="18"/>
              </w:rPr>
              <w:t>Yes</w:t>
            </w:r>
            <w:r w:rsidR="00064D46">
              <w:rPr>
                <w:color w:val="auto"/>
                <w:sz w:val="18"/>
                <w:vertAlign w:val="superscript"/>
              </w:rPr>
              <w:t>(f)</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14:paraId="5861C25C"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 – limited</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14:paraId="396A26C7"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385E7497"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14:paraId="1AAB8599"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No</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14:paraId="4130EFA9"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14:paraId="0D66FF43"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No</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14:paraId="435B7126"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2610A768"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 –limited</w:t>
            </w:r>
          </w:p>
        </w:tc>
      </w:tr>
      <w:tr w:rsidR="00BF6788" w:rsidRPr="00BF6788" w14:paraId="056F8D7C" w14:textId="77777777" w:rsidTr="007D34F4">
        <w:trPr>
          <w:cnfStyle w:val="000000010000" w:firstRow="0" w:lastRow="0" w:firstColumn="0" w:lastColumn="0" w:oddVBand="0" w:evenVBand="0" w:oddHBand="0" w:evenHBand="1"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14:paraId="71D8B3E2" w14:textId="77777777" w:rsidR="00CE00EC" w:rsidRPr="00BF6788" w:rsidRDefault="00CE00EC" w:rsidP="00B94996">
            <w:pPr>
              <w:pStyle w:val="Tablesubheadingsbold"/>
              <w:rPr>
                <w:color w:val="auto"/>
              </w:rPr>
            </w:pPr>
            <w:r w:rsidRPr="00BF6788">
              <w:rPr>
                <w:color w:val="auto"/>
              </w:rPr>
              <w:t>Redemptions/settlements available</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14:paraId="2179D6C5" w14:textId="6157AB5F" w:rsidR="00CE00EC" w:rsidRPr="00064D46"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vertAlign w:val="superscript"/>
              </w:rPr>
            </w:pPr>
            <w:r w:rsidRPr="00BF6788">
              <w:rPr>
                <w:color w:val="auto"/>
                <w:sz w:val="18"/>
              </w:rPr>
              <w:t>Yes</w:t>
            </w:r>
            <w:r w:rsidR="00064D46">
              <w:rPr>
                <w:color w:val="auto"/>
                <w:sz w:val="18"/>
                <w:vertAlign w:val="superscript"/>
              </w:rPr>
              <w:t>(g)</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14:paraId="5A310C2C"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 – limited</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14:paraId="26ACCE33"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14:paraId="4E6F48AD"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14:paraId="1E43FFFF" w14:textId="5655535E" w:rsidR="00CE00EC" w:rsidRPr="00BF6788" w:rsidRDefault="00CE00EC" w:rsidP="00064D46">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r w:rsidRPr="00BF6788">
              <w:rPr>
                <w:color w:val="auto"/>
                <w:sz w:val="18"/>
                <w:vertAlign w:val="superscript"/>
              </w:rPr>
              <w:t>(</w:t>
            </w:r>
            <w:r w:rsidR="00064D46">
              <w:rPr>
                <w:color w:val="auto"/>
                <w:sz w:val="18"/>
                <w:vertAlign w:val="superscript"/>
              </w:rPr>
              <w:t>h</w:t>
            </w:r>
            <w:r w:rsidRPr="00BF6788">
              <w:rPr>
                <w:color w:val="auto"/>
                <w:sz w:val="18"/>
                <w:vertAlign w:val="superscript"/>
              </w:rPr>
              <w:t>)</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14:paraId="31C0A9BC"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14:paraId="473C71CE"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 xml:space="preserve">Yes </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14:paraId="74E6C3E0"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14:paraId="53F5529F"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 – limited</w:t>
            </w:r>
          </w:p>
        </w:tc>
      </w:tr>
      <w:tr w:rsidR="00BF6788" w:rsidRPr="00BF6788" w14:paraId="08CBAB41" w14:textId="77777777" w:rsidTr="007D34F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23937ADB" w14:textId="67D1F483" w:rsidR="00CE00EC" w:rsidRPr="00BF6788" w:rsidRDefault="00CE00EC" w:rsidP="00064D46">
            <w:pPr>
              <w:pStyle w:val="Tablesubheadingsbold"/>
              <w:rPr>
                <w:color w:val="auto"/>
              </w:rPr>
            </w:pPr>
            <w:r w:rsidRPr="00BF6788">
              <w:rPr>
                <w:color w:val="auto"/>
              </w:rPr>
              <w:t xml:space="preserve">Number of employees </w:t>
            </w:r>
            <w:r w:rsidRPr="00BF6788">
              <w:rPr>
                <w:color w:val="auto"/>
                <w:vertAlign w:val="superscript"/>
              </w:rPr>
              <w:t>(</w:t>
            </w:r>
            <w:r w:rsidR="00064D46">
              <w:rPr>
                <w:color w:val="auto"/>
                <w:vertAlign w:val="superscript"/>
              </w:rPr>
              <w:t>i</w:t>
            </w:r>
            <w:r w:rsidRPr="00BF6788">
              <w:rPr>
                <w:color w:val="auto"/>
                <w:vertAlign w:val="superscript"/>
              </w:rPr>
              <w:t>)</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14:paraId="6BDCEEDC" w14:textId="23AB0836" w:rsidR="00CE00EC" w:rsidRPr="00BF6788" w:rsidRDefault="00BF6788" w:rsidP="001B00BF">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3,</w:t>
            </w:r>
            <w:r w:rsidR="00212E87" w:rsidRPr="00BF6788">
              <w:rPr>
                <w:color w:val="auto"/>
                <w:sz w:val="18"/>
              </w:rPr>
              <w:t>4</w:t>
            </w:r>
            <w:r w:rsidR="001B00BF">
              <w:rPr>
                <w:color w:val="auto"/>
                <w:sz w:val="18"/>
              </w:rPr>
              <w:t>82,439</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14:paraId="15C45CD2" w14:textId="699BC9E7" w:rsidR="00CE00EC" w:rsidRPr="00BF6788" w:rsidRDefault="00BF6788" w:rsidP="001B00BF">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2,</w:t>
            </w:r>
            <w:r w:rsidR="001B00BF">
              <w:rPr>
                <w:color w:val="auto"/>
                <w:sz w:val="18"/>
              </w:rPr>
              <w:t>879</w:t>
            </w:r>
            <w:r w:rsidRPr="00BF6788">
              <w:rPr>
                <w:color w:val="auto"/>
                <w:sz w:val="18"/>
              </w:rPr>
              <w:t>,</w:t>
            </w:r>
            <w:r w:rsidR="001B00BF">
              <w:rPr>
                <w:color w:val="auto"/>
                <w:sz w:val="18"/>
              </w:rPr>
              <w:t>730</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14:paraId="2929912C" w14:textId="36C8A256" w:rsidR="00CE00EC" w:rsidRPr="00BF6788" w:rsidRDefault="00205AA0" w:rsidP="001B00BF">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2</w:t>
            </w:r>
            <w:r w:rsidR="00BF6788" w:rsidRPr="00BF6788">
              <w:rPr>
                <w:color w:val="auto"/>
                <w:sz w:val="18"/>
              </w:rPr>
              <w:t>,</w:t>
            </w:r>
            <w:r w:rsidR="00212E87" w:rsidRPr="00BF6788">
              <w:rPr>
                <w:color w:val="auto"/>
                <w:sz w:val="18"/>
              </w:rPr>
              <w:t>1</w:t>
            </w:r>
            <w:r w:rsidR="001B00BF">
              <w:rPr>
                <w:color w:val="auto"/>
                <w:sz w:val="18"/>
              </w:rPr>
              <w:t>82</w:t>
            </w:r>
            <w:r w:rsidR="00BF6788" w:rsidRPr="00BF6788">
              <w:rPr>
                <w:color w:val="auto"/>
                <w:sz w:val="18"/>
              </w:rPr>
              <w:t>,</w:t>
            </w:r>
            <w:r w:rsidR="001B00BF">
              <w:rPr>
                <w:color w:val="auto"/>
                <w:sz w:val="18"/>
              </w:rPr>
              <w:t>516</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3AB31742" w14:textId="65C4A185" w:rsidR="00CE00EC" w:rsidRPr="00BF6788" w:rsidRDefault="00CE00EC" w:rsidP="001B00BF">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BF6788" w:rsidRPr="00BF6788">
              <w:rPr>
                <w:color w:val="auto"/>
                <w:sz w:val="18"/>
              </w:rPr>
              <w:t>,</w:t>
            </w:r>
            <w:r w:rsidR="001B00BF">
              <w:rPr>
                <w:color w:val="auto"/>
                <w:sz w:val="18"/>
              </w:rPr>
              <w:t>211</w:t>
            </w:r>
            <w:r w:rsidR="00BF6788" w:rsidRPr="00BF6788">
              <w:rPr>
                <w:color w:val="auto"/>
                <w:sz w:val="18"/>
              </w:rPr>
              <w:t>,</w:t>
            </w:r>
            <w:r w:rsidR="001B00BF">
              <w:rPr>
                <w:color w:val="auto"/>
                <w:sz w:val="18"/>
              </w:rPr>
              <w:t>769</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14:paraId="03900364" w14:textId="06EC6D00" w:rsidR="00CE00EC" w:rsidRPr="00BF6788" w:rsidRDefault="00212E87" w:rsidP="001B00BF">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7</w:t>
            </w:r>
            <w:r w:rsidR="001B00BF">
              <w:rPr>
                <w:color w:val="auto"/>
                <w:sz w:val="18"/>
              </w:rPr>
              <w:t>52</w:t>
            </w:r>
            <w:r w:rsidR="00BF6788" w:rsidRPr="00BF6788">
              <w:rPr>
                <w:color w:val="auto"/>
                <w:sz w:val="18"/>
              </w:rPr>
              <w:t>,</w:t>
            </w:r>
            <w:r w:rsidR="001B00BF">
              <w:rPr>
                <w:color w:val="auto"/>
                <w:sz w:val="18"/>
              </w:rPr>
              <w:t>046</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14:paraId="46DEC096" w14:textId="355001F7" w:rsidR="00CE00EC" w:rsidRPr="00BF6788" w:rsidRDefault="00BF6788" w:rsidP="001B00BF">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21</w:t>
            </w:r>
            <w:r w:rsidR="001B00BF">
              <w:rPr>
                <w:color w:val="auto"/>
                <w:sz w:val="18"/>
              </w:rPr>
              <w:t>8</w:t>
            </w:r>
            <w:r w:rsidRPr="00BF6788">
              <w:rPr>
                <w:color w:val="auto"/>
                <w:sz w:val="18"/>
              </w:rPr>
              <w:t>,</w:t>
            </w:r>
            <w:r w:rsidR="001B00BF">
              <w:rPr>
                <w:color w:val="auto"/>
                <w:sz w:val="18"/>
              </w:rPr>
              <w:t>994</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14:paraId="6A8F093D" w14:textId="121A5B44" w:rsidR="00CE00EC" w:rsidRPr="00BF6788" w:rsidRDefault="00BF6788" w:rsidP="001B00BF">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1B00BF">
              <w:rPr>
                <w:color w:val="auto"/>
                <w:sz w:val="18"/>
              </w:rPr>
              <w:t>40</w:t>
            </w:r>
            <w:r w:rsidRPr="00BF6788">
              <w:rPr>
                <w:color w:val="auto"/>
                <w:sz w:val="18"/>
              </w:rPr>
              <w:t>,</w:t>
            </w:r>
            <w:r w:rsidR="001B00BF">
              <w:rPr>
                <w:color w:val="auto"/>
                <w:sz w:val="18"/>
              </w:rPr>
              <w:t>423</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14:paraId="0C6265B2" w14:textId="3CFC24BB" w:rsidR="00CE00EC" w:rsidRPr="00BF6788" w:rsidRDefault="00BF6788" w:rsidP="001B00BF">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1B00BF">
              <w:rPr>
                <w:color w:val="auto"/>
                <w:sz w:val="18"/>
              </w:rPr>
              <w:t>43</w:t>
            </w:r>
            <w:r w:rsidRPr="00BF6788">
              <w:rPr>
                <w:color w:val="auto"/>
                <w:sz w:val="18"/>
              </w:rPr>
              <w:t>,</w:t>
            </w:r>
            <w:r w:rsidR="001B00BF">
              <w:rPr>
                <w:color w:val="auto"/>
                <w:sz w:val="18"/>
              </w:rPr>
              <w:t>406</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35E40CCB" w14:textId="133B382C" w:rsidR="00CE00EC" w:rsidRPr="00BF6788" w:rsidRDefault="001B00BF" w:rsidP="001B00BF">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407</w:t>
            </w:r>
            <w:r w:rsidR="00BF6788" w:rsidRPr="00BF6788">
              <w:rPr>
                <w:color w:val="auto"/>
                <w:sz w:val="18"/>
              </w:rPr>
              <w:t>,</w:t>
            </w:r>
            <w:r>
              <w:rPr>
                <w:color w:val="auto"/>
                <w:sz w:val="18"/>
              </w:rPr>
              <w:t>111</w:t>
            </w:r>
          </w:p>
        </w:tc>
      </w:tr>
      <w:tr w:rsidR="00BF6788" w:rsidRPr="00BF6788" w14:paraId="224E28E7" w14:textId="77777777" w:rsidTr="007D34F4">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14:paraId="0875987C" w14:textId="77777777" w:rsidR="00CE00EC" w:rsidRPr="00BF6788" w:rsidRDefault="00CE00EC" w:rsidP="00B94996">
            <w:pPr>
              <w:pStyle w:val="Tablesubheadingsbold"/>
              <w:rPr>
                <w:color w:val="auto"/>
              </w:rPr>
            </w:pPr>
            <w:r w:rsidRPr="00BF6788">
              <w:rPr>
                <w:color w:val="auto"/>
              </w:rPr>
              <w:t>Number of self-insurers</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14:paraId="2267858C" w14:textId="0DFD266B" w:rsidR="00CE00EC" w:rsidRPr="00BF6788" w:rsidRDefault="00C822E8" w:rsidP="009F084C">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57</w:t>
            </w:r>
            <w:r w:rsidR="00CE00EC" w:rsidRPr="00BF6788">
              <w:rPr>
                <w:color w:val="auto"/>
                <w:sz w:val="18"/>
                <w:vertAlign w:val="superscript"/>
              </w:rPr>
              <w:t>(</w:t>
            </w:r>
            <w:r w:rsidR="009F084C">
              <w:rPr>
                <w:color w:val="auto"/>
                <w:sz w:val="18"/>
                <w:vertAlign w:val="superscript"/>
              </w:rPr>
              <w:t>j</w:t>
            </w:r>
            <w:r w:rsidR="00CE00EC" w:rsidRPr="00BF6788">
              <w:rPr>
                <w:color w:val="auto"/>
                <w:sz w:val="18"/>
                <w:vertAlign w:val="superscript"/>
              </w:rPr>
              <w:t>)</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14:paraId="787AFDAF"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38</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14:paraId="21631AC3"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28</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14:paraId="72066BCD"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25</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14:paraId="7B6283D1"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72 plus crown</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14:paraId="0D67DBF2" w14:textId="674C8AFC" w:rsidR="00CE00EC" w:rsidRPr="00BF6788" w:rsidRDefault="00CE00EC" w:rsidP="009F084C">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10</w:t>
            </w:r>
            <w:r w:rsidRPr="00BF6788">
              <w:rPr>
                <w:color w:val="auto"/>
                <w:sz w:val="18"/>
                <w:vertAlign w:val="superscript"/>
              </w:rPr>
              <w:t>(</w:t>
            </w:r>
            <w:r w:rsidR="009F084C">
              <w:rPr>
                <w:color w:val="auto"/>
                <w:sz w:val="18"/>
                <w:vertAlign w:val="superscript"/>
              </w:rPr>
              <w:t>k</w:t>
            </w:r>
            <w:r w:rsidRPr="00BF6788">
              <w:rPr>
                <w:color w:val="auto"/>
                <w:sz w:val="18"/>
                <w:vertAlign w:val="superscript"/>
              </w:rPr>
              <w:t>)</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14:paraId="646D7F7F"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 xml:space="preserve">4 </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14:paraId="57C107E6"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7</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14:paraId="2358D773" w14:textId="45F9312A" w:rsidR="00CE00EC" w:rsidRPr="00BF6788" w:rsidRDefault="00CE00EC" w:rsidP="009F084C">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3</w:t>
            </w:r>
            <w:r w:rsidR="00E300B9">
              <w:rPr>
                <w:color w:val="auto"/>
                <w:sz w:val="18"/>
              </w:rPr>
              <w:t>4</w:t>
            </w:r>
            <w:r w:rsidRPr="00BF6788">
              <w:rPr>
                <w:color w:val="auto"/>
                <w:sz w:val="18"/>
                <w:vertAlign w:val="superscript"/>
              </w:rPr>
              <w:t>(</w:t>
            </w:r>
            <w:r w:rsidR="009F084C">
              <w:rPr>
                <w:color w:val="auto"/>
                <w:sz w:val="18"/>
                <w:vertAlign w:val="superscript"/>
              </w:rPr>
              <w:t>l</w:t>
            </w:r>
            <w:r w:rsidRPr="00BF6788">
              <w:rPr>
                <w:color w:val="auto"/>
                <w:sz w:val="18"/>
                <w:vertAlign w:val="superscript"/>
              </w:rPr>
              <w:t>)</w:t>
            </w:r>
          </w:p>
        </w:tc>
      </w:tr>
      <w:tr w:rsidR="00BF6788" w:rsidRPr="00BF6788" w14:paraId="0F1FE982" w14:textId="77777777" w:rsidTr="007D34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2B83DC64" w14:textId="77777777" w:rsidR="00CE00EC" w:rsidRPr="00BF6788" w:rsidRDefault="00CE00EC" w:rsidP="00B94996">
            <w:pPr>
              <w:pStyle w:val="Tablesubheadingsbold"/>
              <w:rPr>
                <w:color w:val="auto"/>
              </w:rPr>
            </w:pPr>
            <w:r w:rsidRPr="00BF6788">
              <w:rPr>
                <w:color w:val="auto"/>
              </w:rPr>
              <w:t>Standardised average premium rate (per cent)</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14:paraId="7CAAC430" w14:textId="069D6697" w:rsidR="00CE00EC" w:rsidRPr="00BF6788" w:rsidRDefault="00CE00EC" w:rsidP="00520315">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520315">
              <w:rPr>
                <w:color w:val="auto"/>
                <w:sz w:val="18"/>
              </w:rPr>
              <w:t>40</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14:paraId="3E3559CD"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1.31</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14:paraId="1FC2EAC3" w14:textId="553B78B6" w:rsidR="00CE00EC" w:rsidRPr="00BF6788" w:rsidRDefault="00CE00EC" w:rsidP="00520315">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520315">
              <w:rPr>
                <w:color w:val="auto"/>
                <w:sz w:val="18"/>
              </w:rPr>
              <w:t>20</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13B4F3CA" w14:textId="500FD587" w:rsidR="00CE00EC" w:rsidRPr="00BF6788" w:rsidRDefault="00CE00EC" w:rsidP="00520315">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0D1EDA" w:rsidRPr="00BF6788">
              <w:rPr>
                <w:color w:val="auto"/>
                <w:sz w:val="18"/>
              </w:rPr>
              <w:t>1</w:t>
            </w:r>
            <w:r w:rsidR="00520315">
              <w:rPr>
                <w:color w:val="auto"/>
                <w:sz w:val="18"/>
              </w:rPr>
              <w:t>4</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14:paraId="1FF941A9" w14:textId="51F0BACB" w:rsidR="00CE00EC" w:rsidRPr="00BF6788" w:rsidRDefault="000D1EDA" w:rsidP="00520315">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1.9</w:t>
            </w:r>
            <w:r w:rsidR="00520315">
              <w:rPr>
                <w:color w:val="auto"/>
                <w:sz w:val="18"/>
              </w:rPr>
              <w:t>3</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14:paraId="3858A97E" w14:textId="7F11E5A4" w:rsidR="00CE00EC" w:rsidRPr="00BF6788" w:rsidRDefault="000D1EDA" w:rsidP="00520315">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520315">
              <w:rPr>
                <w:color w:val="auto"/>
                <w:sz w:val="18"/>
              </w:rPr>
              <w:t>50</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14:paraId="3C6B09FC" w14:textId="5C09C7D3" w:rsidR="00CE00EC" w:rsidRPr="00BF6788" w:rsidRDefault="00CE00EC" w:rsidP="00520315">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520315">
              <w:rPr>
                <w:color w:val="auto"/>
                <w:sz w:val="18"/>
              </w:rPr>
              <w:t>44</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14:paraId="716ADFC3" w14:textId="1E4D75FC" w:rsidR="00CE00EC" w:rsidRPr="00BF6788" w:rsidRDefault="00CE00EC" w:rsidP="00520315">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0D1EDA" w:rsidRPr="00BF6788">
              <w:rPr>
                <w:color w:val="auto"/>
                <w:sz w:val="18"/>
              </w:rPr>
              <w:t>7</w:t>
            </w:r>
            <w:r w:rsidR="00520315">
              <w:rPr>
                <w:color w:val="auto"/>
                <w:sz w:val="18"/>
              </w:rPr>
              <w:t>2</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2C17262A" w14:textId="4D9338A4" w:rsidR="00CE00EC" w:rsidRPr="00BF6788" w:rsidRDefault="00CE00EC" w:rsidP="00520315">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520315">
              <w:rPr>
                <w:color w:val="auto"/>
                <w:sz w:val="18"/>
              </w:rPr>
              <w:t>03</w:t>
            </w:r>
          </w:p>
        </w:tc>
      </w:tr>
      <w:tr w:rsidR="00BF6788" w:rsidRPr="00BF6788" w14:paraId="18A058A9" w14:textId="77777777" w:rsidTr="007D34F4">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14:paraId="564DE84E" w14:textId="77777777" w:rsidR="00CE00EC" w:rsidRPr="00BF6788" w:rsidRDefault="00CE00EC" w:rsidP="00B94996">
            <w:pPr>
              <w:pStyle w:val="Tablesubheadingsbold"/>
              <w:rPr>
                <w:color w:val="auto"/>
              </w:rPr>
            </w:pPr>
            <w:r w:rsidRPr="00BF6788">
              <w:rPr>
                <w:color w:val="auto"/>
              </w:rPr>
              <w:t xml:space="preserve">Funding ratio (per cent) </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14:paraId="05D5EE80" w14:textId="12AEEEF1" w:rsidR="00CE00EC" w:rsidRPr="00BF6788" w:rsidRDefault="00762F4A"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133</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14:paraId="7B2B6922" w14:textId="6BCF9024"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132</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14:paraId="4B6D25E0" w14:textId="7A2D5CD0" w:rsidR="00CE00EC" w:rsidRPr="00BF6788" w:rsidRDefault="00762F4A"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201</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14:paraId="3552EB33" w14:textId="74C238E2" w:rsidR="00CE00EC" w:rsidRPr="00BF6788" w:rsidRDefault="00A01821" w:rsidP="00350E0B">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13</w:t>
            </w:r>
            <w:r w:rsidR="00350E0B">
              <w:rPr>
                <w:color w:val="auto"/>
                <w:sz w:val="18"/>
              </w:rPr>
              <w:t>1</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14:paraId="4915E1C9" w14:textId="06AAD2B0" w:rsidR="00CE00EC" w:rsidRPr="00BF6788" w:rsidRDefault="00762F4A"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140</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14:paraId="6783C930" w14:textId="16AFC09E" w:rsidR="00CE00EC" w:rsidRPr="00BF6788" w:rsidRDefault="00350E0B" w:rsidP="00350E0B">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141</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14:paraId="45CA293A" w14:textId="51528CB9"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99</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14:paraId="779C7A65"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n/a</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14:paraId="49107D36" w14:textId="5E341B9D"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102</w:t>
            </w:r>
          </w:p>
        </w:tc>
      </w:tr>
      <w:tr w:rsidR="00BF6788" w:rsidRPr="00BF6788" w14:paraId="3E4BA5A6" w14:textId="77777777" w:rsidTr="007D34F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5A760F47" w14:textId="77777777" w:rsidR="00CE00EC" w:rsidRPr="00BF6788" w:rsidRDefault="00CE00EC" w:rsidP="00B94996">
            <w:pPr>
              <w:pStyle w:val="Tablesubheadingsbold"/>
              <w:rPr>
                <w:color w:val="auto"/>
              </w:rPr>
            </w:pPr>
            <w:r w:rsidRPr="00BF6788">
              <w:rPr>
                <w:color w:val="auto"/>
              </w:rPr>
              <w:t xml:space="preserve">Disputation rate (per cent) </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14:paraId="7E35065C" w14:textId="4718E2CC" w:rsidR="00CE00EC" w:rsidRPr="00BF6788" w:rsidRDefault="00350E0B"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2.9</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14:paraId="5341E305" w14:textId="5CD8CC11" w:rsidR="00CE00EC" w:rsidRPr="00BF6788" w:rsidRDefault="00350E0B"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9.2</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14:paraId="21AF0A5D" w14:textId="045AA101" w:rsidR="00CE00EC" w:rsidRPr="00BF6788" w:rsidRDefault="00350E0B"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3.0</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532D5991" w14:textId="349237BC" w:rsidR="00CE00EC" w:rsidRPr="00BF6788" w:rsidRDefault="00350E0B"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4.1</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14:paraId="0DD1E9F8" w14:textId="61173BD7" w:rsidR="00CE00EC" w:rsidRPr="00BF6788" w:rsidRDefault="00350E0B"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11.4</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14:paraId="49097DD9" w14:textId="39025795" w:rsidR="00CE00EC" w:rsidRPr="00BF6788" w:rsidRDefault="00350E0B"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10.5</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14:paraId="0C2DD4DD" w14:textId="3AC603B7" w:rsidR="00CE00EC" w:rsidRPr="00BF6788" w:rsidRDefault="00350E0B"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6.7</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14:paraId="554BCC65"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n/a</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57ED1BAD" w14:textId="465B00E6" w:rsidR="00CE00EC" w:rsidRPr="00BF6788" w:rsidRDefault="00350E0B"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7.5</w:t>
            </w:r>
          </w:p>
        </w:tc>
      </w:tr>
      <w:tr w:rsidR="00BF6788" w:rsidRPr="00BF6788" w14:paraId="1B26EA06" w14:textId="77777777" w:rsidTr="007D34F4">
        <w:trPr>
          <w:cnfStyle w:val="000000010000" w:firstRow="0" w:lastRow="0" w:firstColumn="0" w:lastColumn="0" w:oddVBand="0" w:evenVBand="0" w:oddHBand="0" w:evenHBand="1"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14:paraId="771E970F" w14:textId="77777777" w:rsidR="00CE00EC" w:rsidRPr="00BF6788" w:rsidRDefault="00CE00EC" w:rsidP="00B94996">
            <w:pPr>
              <w:pStyle w:val="Tablesubheadingsbold"/>
              <w:rPr>
                <w:color w:val="auto"/>
              </w:rPr>
            </w:pPr>
            <w:r w:rsidRPr="00BF6788">
              <w:rPr>
                <w:color w:val="auto"/>
              </w:rPr>
              <w:t xml:space="preserve">Current return to work rate (per cent) </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14:paraId="6B961EC5" w14:textId="12348B72"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81</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14:paraId="79276360" w14:textId="1070C730"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81</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14:paraId="771C44CB" w14:textId="24D6E717"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83</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14:paraId="128827BE" w14:textId="1AC3B5FF"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82</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14:paraId="0C697194" w14:textId="284425DD"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NA</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14:paraId="4436EE2B" w14:textId="56333D19"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79</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14:paraId="0A5BB254" w14:textId="1571D339"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73</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14:paraId="7AD4F7A9" w14:textId="17B710B7" w:rsidR="00CE00EC" w:rsidRPr="00BF6788" w:rsidRDefault="00854242"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86</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14:paraId="572E029B" w14:textId="2D996504"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85</w:t>
            </w:r>
          </w:p>
        </w:tc>
      </w:tr>
    </w:tbl>
    <w:p w14:paraId="3EECA95E" w14:textId="77777777" w:rsidR="00A35DE3" w:rsidRDefault="00A35DE3" w:rsidP="00A35DE3">
      <w:pPr>
        <w:pStyle w:val="Footnotecompressed"/>
        <w:numPr>
          <w:ilvl w:val="0"/>
          <w:numId w:val="0"/>
        </w:numPr>
        <w:ind w:left="284"/>
        <w:rPr>
          <w:sz w:val="14"/>
          <w:szCs w:val="14"/>
        </w:rPr>
      </w:pPr>
    </w:p>
    <w:p w14:paraId="182A560A" w14:textId="77777777" w:rsidR="00CE00EC" w:rsidRPr="00A35DE3" w:rsidRDefault="00CE00EC" w:rsidP="00CE00EC">
      <w:pPr>
        <w:pStyle w:val="Footnotecompressed"/>
        <w:rPr>
          <w:sz w:val="14"/>
          <w:szCs w:val="14"/>
        </w:rPr>
      </w:pPr>
      <w:r w:rsidRPr="00A35DE3">
        <w:rPr>
          <w:sz w:val="14"/>
          <w:szCs w:val="14"/>
        </w:rPr>
        <w:t>Limited coverage continues for police officers, firefighters, paramedics, bushfire fighters, emergency services volunteers, and workers injured while working in or around coal mines. For all other workers injured on or after 19 June 2012 there must be a real and substantial connection between employments and the accident or incident out of which the personal injury arose.</w:t>
      </w:r>
    </w:p>
    <w:p w14:paraId="2B337DC6" w14:textId="77777777" w:rsidR="00CE00EC" w:rsidRPr="00A35DE3" w:rsidRDefault="00CE00EC" w:rsidP="00CE00EC">
      <w:pPr>
        <w:pStyle w:val="Footnotecompressed"/>
        <w:rPr>
          <w:sz w:val="14"/>
          <w:szCs w:val="14"/>
        </w:rPr>
      </w:pPr>
      <w:r w:rsidRPr="00A35DE3">
        <w:rPr>
          <w:sz w:val="14"/>
          <w:szCs w:val="14"/>
        </w:rPr>
        <w:t>Journey claims as a result of a transport accident are covered by the TAC in Victoria for injuries sustained to/from work. Journey injuries sustained in the course of work are compensable under the Workplace Injury Rehabilitation and Compensation Act 2013.</w:t>
      </w:r>
    </w:p>
    <w:p w14:paraId="716CDAFC" w14:textId="77777777" w:rsidR="00CE00EC" w:rsidRPr="00A35DE3" w:rsidRDefault="00CE00EC" w:rsidP="00CE00EC">
      <w:pPr>
        <w:pStyle w:val="Footnotecompressed"/>
        <w:rPr>
          <w:sz w:val="14"/>
          <w:szCs w:val="14"/>
        </w:rPr>
      </w:pPr>
      <w:r w:rsidRPr="00A35DE3">
        <w:rPr>
          <w:sz w:val="14"/>
          <w:szCs w:val="14"/>
        </w:rPr>
        <w:t>Journey claims are only covered in SA in limited circumstances – the journey must have been undertaken while carrying out work duties. Commutes between home and work are only compensable where there is a ‘real and substantial connection’ with employment.</w:t>
      </w:r>
    </w:p>
    <w:p w14:paraId="7819EF61" w14:textId="77777777" w:rsidR="00CE00EC" w:rsidRPr="00A35DE3" w:rsidRDefault="00CE00EC" w:rsidP="00CE00EC">
      <w:pPr>
        <w:pStyle w:val="Footnotecompressed"/>
        <w:rPr>
          <w:sz w:val="14"/>
          <w:szCs w:val="14"/>
        </w:rPr>
      </w:pPr>
      <w:r w:rsidRPr="00A35DE3">
        <w:rPr>
          <w:sz w:val="14"/>
          <w:szCs w:val="14"/>
        </w:rPr>
        <w:t>Journey claims are not covered if the incident involves a motor vehicle. These are covered by the Motor Accidents (Compensation) Amendment Act 2007.</w:t>
      </w:r>
    </w:p>
    <w:p w14:paraId="16014391" w14:textId="51EA10D1" w:rsidR="00CE00EC" w:rsidRDefault="00CE00EC" w:rsidP="00CE00EC">
      <w:pPr>
        <w:pStyle w:val="Footnotecompressed"/>
        <w:rPr>
          <w:sz w:val="14"/>
          <w:szCs w:val="14"/>
        </w:rPr>
      </w:pPr>
      <w:r w:rsidRPr="00A35DE3">
        <w:rPr>
          <w:sz w:val="14"/>
          <w:szCs w:val="14"/>
        </w:rPr>
        <w:t xml:space="preserve">As of 13 April 2007, the SRC Act was amended to remove coverage for non-work related journeys and recess breaks; however on 7 December 2011 section 6 of the SRC Act was amended to reinstate ordinary recess claims. </w:t>
      </w:r>
    </w:p>
    <w:p w14:paraId="1B93FEFD" w14:textId="05A76A57" w:rsidR="00064D46" w:rsidRDefault="00064D46" w:rsidP="00CE00EC">
      <w:pPr>
        <w:pStyle w:val="Footnotecompressed"/>
        <w:rPr>
          <w:sz w:val="14"/>
          <w:szCs w:val="14"/>
        </w:rPr>
      </w:pPr>
      <w:r>
        <w:rPr>
          <w:sz w:val="14"/>
          <w:szCs w:val="14"/>
        </w:rPr>
        <w:t>To access common law, workers must reach a threshold of 15 per cent permanent impairment.</w:t>
      </w:r>
    </w:p>
    <w:p w14:paraId="02A72FCD" w14:textId="21E8C658" w:rsidR="00064D46" w:rsidRPr="00A35DE3" w:rsidRDefault="00064D46" w:rsidP="00CE00EC">
      <w:pPr>
        <w:pStyle w:val="Footnotecompressed"/>
        <w:rPr>
          <w:sz w:val="14"/>
          <w:szCs w:val="14"/>
        </w:rPr>
      </w:pPr>
      <w:r>
        <w:rPr>
          <w:sz w:val="14"/>
          <w:szCs w:val="14"/>
        </w:rPr>
        <w:t>Commutations are subject to pre-conditions as per section 87EA of the Workers Compensation Act</w:t>
      </w:r>
    </w:p>
    <w:p w14:paraId="4989D7BC" w14:textId="77777777" w:rsidR="00CE00EC" w:rsidRPr="00A35DE3" w:rsidRDefault="00CE00EC" w:rsidP="00CE00EC">
      <w:pPr>
        <w:pStyle w:val="Footnotecompressed"/>
        <w:rPr>
          <w:sz w:val="14"/>
          <w:szCs w:val="14"/>
        </w:rPr>
      </w:pPr>
      <w:r w:rsidRPr="00A35DE3">
        <w:rPr>
          <w:sz w:val="14"/>
          <w:szCs w:val="14"/>
        </w:rPr>
        <w:t>A worker is only eligible if: (i) they have returned to work but are entitled to ≤ $30 pw, (ii) they are 55 years and have no current work capacity, or (iii) the Tribunal orders a redemption due to exceptional circumstances. Redemption can only be reached by agreement between the worker and WorkCover SA or self-insured employer.</w:t>
      </w:r>
    </w:p>
    <w:p w14:paraId="48261AC4" w14:textId="77777777" w:rsidR="00CE00EC" w:rsidRPr="00A35DE3" w:rsidRDefault="00CE00EC" w:rsidP="00CE00EC">
      <w:pPr>
        <w:pStyle w:val="Footnotecompressed"/>
        <w:rPr>
          <w:sz w:val="14"/>
          <w:szCs w:val="14"/>
        </w:rPr>
      </w:pPr>
      <w:r w:rsidRPr="00A35DE3">
        <w:rPr>
          <w:sz w:val="14"/>
          <w:szCs w:val="14"/>
        </w:rPr>
        <w:t>Number of employees is supplied by the ABS using Labour Force Survey data as a base, with a number of adjustments applied to account for differences in coverage for some jurisdictions.</w:t>
      </w:r>
    </w:p>
    <w:p w14:paraId="78DDB860" w14:textId="753E7F57" w:rsidR="00CE00EC" w:rsidRPr="00A35DE3" w:rsidRDefault="00CE00EC" w:rsidP="00CE00EC">
      <w:pPr>
        <w:pStyle w:val="Footnotecompressed"/>
        <w:rPr>
          <w:sz w:val="14"/>
          <w:szCs w:val="14"/>
        </w:rPr>
      </w:pPr>
      <w:r w:rsidRPr="00A35DE3">
        <w:rPr>
          <w:sz w:val="14"/>
          <w:szCs w:val="14"/>
        </w:rPr>
        <w:t xml:space="preserve">NSW licences </w:t>
      </w:r>
      <w:r w:rsidR="00C822E8">
        <w:rPr>
          <w:sz w:val="14"/>
          <w:szCs w:val="14"/>
        </w:rPr>
        <w:t>57</w:t>
      </w:r>
      <w:r w:rsidR="00C822E8" w:rsidRPr="00A35DE3">
        <w:rPr>
          <w:sz w:val="14"/>
          <w:szCs w:val="14"/>
        </w:rPr>
        <w:t xml:space="preserve"> </w:t>
      </w:r>
      <w:r w:rsidRPr="00A35DE3">
        <w:rPr>
          <w:sz w:val="14"/>
          <w:szCs w:val="14"/>
        </w:rPr>
        <w:t xml:space="preserve">employers as self-insurers. NSW also licences </w:t>
      </w:r>
      <w:r w:rsidR="00C822E8">
        <w:rPr>
          <w:sz w:val="14"/>
          <w:szCs w:val="14"/>
        </w:rPr>
        <w:t>6</w:t>
      </w:r>
      <w:r w:rsidRPr="00A35DE3">
        <w:rPr>
          <w:sz w:val="14"/>
          <w:szCs w:val="14"/>
        </w:rPr>
        <w:t xml:space="preserve"> general insurers to provide insurance within specialised industries and an additional 1</w:t>
      </w:r>
      <w:r w:rsidR="00A738C5">
        <w:rPr>
          <w:sz w:val="14"/>
          <w:szCs w:val="14"/>
        </w:rPr>
        <w:t>93</w:t>
      </w:r>
      <w:r w:rsidRPr="00A35DE3">
        <w:rPr>
          <w:sz w:val="14"/>
          <w:szCs w:val="14"/>
        </w:rPr>
        <w:t xml:space="preserve"> government agencies deemed self-insurers covered by the Treasury Managed Fund which is centrally administered by the NSW Self-Insurance Corporation.</w:t>
      </w:r>
    </w:p>
    <w:p w14:paraId="6CF73FA5" w14:textId="77777777" w:rsidR="00CE00EC" w:rsidRPr="00A35DE3" w:rsidRDefault="00CE00EC" w:rsidP="00CE00EC">
      <w:pPr>
        <w:pStyle w:val="Footnotecompressed"/>
        <w:rPr>
          <w:sz w:val="14"/>
          <w:szCs w:val="14"/>
        </w:rPr>
      </w:pPr>
      <w:r w:rsidRPr="00A35DE3">
        <w:rPr>
          <w:sz w:val="14"/>
          <w:szCs w:val="14"/>
        </w:rPr>
        <w:t xml:space="preserve">Not including the Tasmanian State Service. </w:t>
      </w:r>
    </w:p>
    <w:p w14:paraId="6451980C" w14:textId="3082717B" w:rsidR="00CE00EC" w:rsidRPr="00A35DE3" w:rsidRDefault="00CE00EC" w:rsidP="00CE00EC">
      <w:pPr>
        <w:pStyle w:val="Footnotecompressed"/>
        <w:rPr>
          <w:sz w:val="14"/>
          <w:szCs w:val="14"/>
        </w:rPr>
      </w:pPr>
      <w:r w:rsidRPr="00A35DE3">
        <w:rPr>
          <w:sz w:val="14"/>
          <w:szCs w:val="14"/>
        </w:rPr>
        <w:t>As at 30 June 201</w:t>
      </w:r>
      <w:r w:rsidR="00350E0B">
        <w:rPr>
          <w:sz w:val="14"/>
          <w:szCs w:val="14"/>
        </w:rPr>
        <w:t>7</w:t>
      </w:r>
      <w:r w:rsidRPr="00A35DE3">
        <w:rPr>
          <w:sz w:val="14"/>
          <w:szCs w:val="14"/>
        </w:rPr>
        <w:t>.</w:t>
      </w:r>
    </w:p>
    <w:p w14:paraId="2942EEFC" w14:textId="77777777" w:rsidR="00CE00EC" w:rsidRPr="001839B9" w:rsidRDefault="00CE00EC" w:rsidP="00CE00EC">
      <w:pPr>
        <w:pStyle w:val="Footnote"/>
        <w:rPr>
          <w:sz w:val="14"/>
          <w:szCs w:val="14"/>
        </w:rPr>
        <w:sectPr w:rsidR="00CE00EC" w:rsidRPr="001839B9" w:rsidSect="00B94996">
          <w:headerReference w:type="even" r:id="rId83"/>
          <w:headerReference w:type="default" r:id="rId84"/>
          <w:footerReference w:type="even" r:id="rId85"/>
          <w:footerReference w:type="default" r:id="rId86"/>
          <w:pgSz w:w="16838" w:h="11906" w:orient="landscape"/>
          <w:pgMar w:top="964" w:right="1134" w:bottom="624" w:left="1418" w:header="720" w:footer="720" w:gutter="0"/>
          <w:cols w:space="720"/>
          <w:noEndnote/>
          <w:docGrid w:linePitch="299"/>
        </w:sectPr>
      </w:pPr>
    </w:p>
    <w:p w14:paraId="07D6FF3C" w14:textId="1CC1D399" w:rsidR="00CE00EC" w:rsidRPr="00A06BB6" w:rsidRDefault="00CE00EC" w:rsidP="00CB108E">
      <w:pPr>
        <w:pStyle w:val="SWATableheader"/>
        <w:rPr>
          <w:vertAlign w:val="superscript"/>
        </w:rPr>
      </w:pPr>
      <w:r w:rsidRPr="001A20D3">
        <w:lastRenderedPageBreak/>
        <w:t>Appendix 2 – Table 2: Weekly entitlements under Australian workers’ compensation schemes for award wage earners as at 1 January 201</w:t>
      </w:r>
      <w:r w:rsidR="00CD2002">
        <w:t>7</w:t>
      </w:r>
      <w:r w:rsidRPr="00C94E11">
        <w:rPr>
          <w:vertAlign w:val="superscript"/>
        </w:rPr>
        <w:t>(a)</w:t>
      </w:r>
      <w:r w:rsidR="00A06BB6">
        <w:rPr>
          <w:vertAlign w:val="superscript"/>
        </w:rPr>
        <w:t xml:space="preserve"> </w:t>
      </w:r>
    </w:p>
    <w:tbl>
      <w:tblPr>
        <w:tblW w:w="14474" w:type="dxa"/>
        <w:tblInd w:w="93" w:type="dxa"/>
        <w:tblBorders>
          <w:top w:val="dotted" w:sz="4" w:space="0" w:color="FFFFFF"/>
          <w:left w:val="dotted" w:sz="4" w:space="0" w:color="FFFFFF"/>
          <w:bottom w:val="dashed" w:sz="8" w:space="0" w:color="FFFFFF"/>
          <w:right w:val="dotted" w:sz="4" w:space="0" w:color="FFFFFF"/>
          <w:insideH w:val="dotted" w:sz="4" w:space="0" w:color="FFFFFF"/>
          <w:insideV w:val="dotted" w:sz="4" w:space="0" w:color="FFFFFF"/>
        </w:tblBorders>
        <w:tblLook w:val="04A0" w:firstRow="1" w:lastRow="0" w:firstColumn="1" w:lastColumn="0" w:noHBand="0" w:noVBand="1"/>
      </w:tblPr>
      <w:tblGrid>
        <w:gridCol w:w="1237"/>
        <w:gridCol w:w="1117"/>
        <w:gridCol w:w="1117"/>
        <w:gridCol w:w="1506"/>
        <w:gridCol w:w="1275"/>
        <w:gridCol w:w="2268"/>
        <w:gridCol w:w="1418"/>
        <w:gridCol w:w="1559"/>
        <w:gridCol w:w="1559"/>
        <w:gridCol w:w="1418"/>
      </w:tblGrid>
      <w:tr w:rsidR="00C41E45" w:rsidRPr="00A35DE3" w14:paraId="47355A4C" w14:textId="77777777" w:rsidTr="00A747CA">
        <w:trPr>
          <w:cantSplit/>
          <w:trHeight w:val="340"/>
          <w:tblHeader/>
        </w:trPr>
        <w:tc>
          <w:tcPr>
            <w:tcW w:w="1237" w:type="dxa"/>
            <w:shd w:val="clear" w:color="000000" w:fill="AF1E2D"/>
            <w:vAlign w:val="center"/>
            <w:hideMark/>
          </w:tcPr>
          <w:p w14:paraId="5E0A516D" w14:textId="77777777"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Jurisdiction</w:t>
            </w:r>
          </w:p>
        </w:tc>
        <w:tc>
          <w:tcPr>
            <w:tcW w:w="1117" w:type="dxa"/>
            <w:shd w:val="clear" w:color="000000" w:fill="AF1E2D"/>
            <w:vAlign w:val="center"/>
            <w:hideMark/>
          </w:tcPr>
          <w:p w14:paraId="4CE29804" w14:textId="77777777"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NSW</w:t>
            </w:r>
          </w:p>
        </w:tc>
        <w:tc>
          <w:tcPr>
            <w:tcW w:w="1117" w:type="dxa"/>
            <w:shd w:val="clear" w:color="000000" w:fill="AF1E2D"/>
            <w:vAlign w:val="center"/>
            <w:hideMark/>
          </w:tcPr>
          <w:p w14:paraId="2BEEADFE" w14:textId="77777777"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Vic</w:t>
            </w:r>
          </w:p>
        </w:tc>
        <w:tc>
          <w:tcPr>
            <w:tcW w:w="1506" w:type="dxa"/>
            <w:shd w:val="clear" w:color="000000" w:fill="AF1E2D"/>
            <w:vAlign w:val="center"/>
            <w:hideMark/>
          </w:tcPr>
          <w:p w14:paraId="7E95A942" w14:textId="77777777"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Qld</w:t>
            </w:r>
          </w:p>
        </w:tc>
        <w:tc>
          <w:tcPr>
            <w:tcW w:w="1275" w:type="dxa"/>
            <w:shd w:val="clear" w:color="000000" w:fill="AF1E2D"/>
            <w:vAlign w:val="center"/>
            <w:hideMark/>
          </w:tcPr>
          <w:p w14:paraId="4E8B4DD3" w14:textId="77777777"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WA</w:t>
            </w:r>
          </w:p>
        </w:tc>
        <w:tc>
          <w:tcPr>
            <w:tcW w:w="2268" w:type="dxa"/>
            <w:shd w:val="clear" w:color="000000" w:fill="AF1E2D"/>
            <w:vAlign w:val="center"/>
            <w:hideMark/>
          </w:tcPr>
          <w:p w14:paraId="51357370" w14:textId="77777777"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SA</w:t>
            </w:r>
          </w:p>
        </w:tc>
        <w:tc>
          <w:tcPr>
            <w:tcW w:w="1418" w:type="dxa"/>
            <w:shd w:val="clear" w:color="000000" w:fill="AF1E2D"/>
            <w:vAlign w:val="center"/>
            <w:hideMark/>
          </w:tcPr>
          <w:p w14:paraId="0A9A7D16" w14:textId="77777777"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Tas</w:t>
            </w:r>
          </w:p>
        </w:tc>
        <w:tc>
          <w:tcPr>
            <w:tcW w:w="1559" w:type="dxa"/>
            <w:shd w:val="clear" w:color="000000" w:fill="AF1E2D"/>
            <w:vAlign w:val="center"/>
            <w:hideMark/>
          </w:tcPr>
          <w:p w14:paraId="63BD6FF5" w14:textId="77777777"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NT</w:t>
            </w:r>
          </w:p>
        </w:tc>
        <w:tc>
          <w:tcPr>
            <w:tcW w:w="1559" w:type="dxa"/>
            <w:shd w:val="clear" w:color="000000" w:fill="AF1E2D"/>
            <w:vAlign w:val="center"/>
            <w:hideMark/>
          </w:tcPr>
          <w:p w14:paraId="757D0854" w14:textId="77777777"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ACT</w:t>
            </w:r>
          </w:p>
        </w:tc>
        <w:tc>
          <w:tcPr>
            <w:tcW w:w="1418" w:type="dxa"/>
            <w:shd w:val="clear" w:color="000000" w:fill="AF1E2D"/>
            <w:vAlign w:val="center"/>
            <w:hideMark/>
          </w:tcPr>
          <w:p w14:paraId="58B58828" w14:textId="03492053" w:rsidR="00C41E45" w:rsidRPr="00C41E45" w:rsidRDefault="00953BB8" w:rsidP="00C41E45">
            <w:pPr>
              <w:spacing w:before="0"/>
              <w:jc w:val="center"/>
              <w:rPr>
                <w:rFonts w:cs="Arial"/>
                <w:b/>
                <w:bCs/>
                <w:color w:val="FFFFFF"/>
                <w:sz w:val="16"/>
                <w:szCs w:val="18"/>
              </w:rPr>
            </w:pPr>
            <w:r>
              <w:rPr>
                <w:rFonts w:cs="Arial"/>
                <w:b/>
                <w:bCs/>
                <w:color w:val="FFFFFF"/>
                <w:sz w:val="16"/>
                <w:szCs w:val="18"/>
                <w:lang w:val="en-GB"/>
              </w:rPr>
              <w:t>Comcare</w:t>
            </w:r>
          </w:p>
        </w:tc>
      </w:tr>
      <w:tr w:rsidR="00C41E45" w:rsidRPr="00A35DE3" w14:paraId="7C3658A1" w14:textId="77777777" w:rsidTr="00076580">
        <w:trPr>
          <w:cantSplit/>
          <w:trHeight w:val="315"/>
        </w:trPr>
        <w:tc>
          <w:tcPr>
            <w:tcW w:w="14474" w:type="dxa"/>
            <w:gridSpan w:val="10"/>
            <w:shd w:val="clear" w:color="auto" w:fill="808080" w:themeFill="background1" w:themeFillShade="80"/>
            <w:vAlign w:val="center"/>
            <w:hideMark/>
          </w:tcPr>
          <w:p w14:paraId="64D5E16F" w14:textId="77777777" w:rsidR="00C41E45" w:rsidRPr="00C41E45" w:rsidRDefault="00C41E45" w:rsidP="00C41E45">
            <w:pPr>
              <w:spacing w:before="0"/>
              <w:jc w:val="center"/>
              <w:rPr>
                <w:rFonts w:cs="Arial"/>
                <w:b/>
                <w:color w:val="FFFFFF" w:themeColor="background1"/>
                <w:sz w:val="16"/>
                <w:szCs w:val="18"/>
              </w:rPr>
            </w:pPr>
            <w:r w:rsidRPr="00A35DE3">
              <w:rPr>
                <w:rFonts w:cs="Arial"/>
                <w:b/>
                <w:color w:val="FFFFFF" w:themeColor="background1"/>
                <w:sz w:val="16"/>
                <w:szCs w:val="18"/>
              </w:rPr>
              <w:t>Entitlements expressed as a percentage of pre-injury earnings for award wage earners</w:t>
            </w:r>
          </w:p>
        </w:tc>
      </w:tr>
      <w:tr w:rsidR="00C41E45" w:rsidRPr="00A35DE3" w14:paraId="675EE642" w14:textId="77777777" w:rsidTr="00A35DE3">
        <w:trPr>
          <w:cantSplit/>
          <w:trHeight w:val="1191"/>
        </w:trPr>
        <w:tc>
          <w:tcPr>
            <w:tcW w:w="1237" w:type="dxa"/>
            <w:shd w:val="clear" w:color="000000" w:fill="EFD3D2"/>
            <w:hideMark/>
          </w:tcPr>
          <w:p w14:paraId="4BF31B9D" w14:textId="77777777"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0–13 weeks (total incapacity)</w:t>
            </w:r>
          </w:p>
        </w:tc>
        <w:tc>
          <w:tcPr>
            <w:tcW w:w="1117" w:type="dxa"/>
            <w:shd w:val="clear" w:color="000000" w:fill="EFD3D2"/>
            <w:hideMark/>
          </w:tcPr>
          <w:p w14:paraId="48772B14"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95 per cent (excl O/T)</w:t>
            </w:r>
            <w:r w:rsidRPr="00C41E45">
              <w:rPr>
                <w:rFonts w:cs="Arial"/>
                <w:color w:val="000000"/>
                <w:sz w:val="16"/>
                <w:szCs w:val="18"/>
                <w:vertAlign w:val="superscript"/>
                <w:lang w:val="en-GB"/>
              </w:rPr>
              <w:t>(b)</w:t>
            </w:r>
            <w:r w:rsidRPr="00C41E45">
              <w:rPr>
                <w:rFonts w:cs="Arial"/>
                <w:color w:val="000000"/>
                <w:sz w:val="16"/>
                <w:szCs w:val="18"/>
                <w:lang w:val="en-GB"/>
              </w:rPr>
              <w:t xml:space="preserve"> </w:t>
            </w:r>
          </w:p>
        </w:tc>
        <w:tc>
          <w:tcPr>
            <w:tcW w:w="1117" w:type="dxa"/>
            <w:shd w:val="clear" w:color="000000" w:fill="EFD3D2"/>
            <w:hideMark/>
          </w:tcPr>
          <w:p w14:paraId="1EBC7E53"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95 per cent </w:t>
            </w:r>
          </w:p>
        </w:tc>
        <w:tc>
          <w:tcPr>
            <w:tcW w:w="1506" w:type="dxa"/>
            <w:shd w:val="clear" w:color="000000" w:fill="EFD3D2"/>
            <w:hideMark/>
          </w:tcPr>
          <w:p w14:paraId="40470ABF"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85 per cent of NWE</w:t>
            </w:r>
            <w:r w:rsidRPr="00C41E45">
              <w:rPr>
                <w:rFonts w:cs="Arial"/>
                <w:color w:val="000000"/>
                <w:sz w:val="16"/>
                <w:szCs w:val="18"/>
                <w:vertAlign w:val="superscript"/>
                <w:lang w:val="en-GB"/>
              </w:rPr>
              <w:t>(c)</w:t>
            </w:r>
            <w:r w:rsidRPr="00C41E45">
              <w:rPr>
                <w:rFonts w:cs="Arial"/>
                <w:color w:val="000000"/>
                <w:sz w:val="16"/>
                <w:szCs w:val="18"/>
                <w:lang w:val="en-GB"/>
              </w:rPr>
              <w:t xml:space="preserve"> (or 100 per cent under industrial agreement) (greater of)</w:t>
            </w:r>
          </w:p>
        </w:tc>
        <w:tc>
          <w:tcPr>
            <w:tcW w:w="1275" w:type="dxa"/>
            <w:shd w:val="clear" w:color="000000" w:fill="EFD3D2"/>
            <w:hideMark/>
          </w:tcPr>
          <w:p w14:paraId="00741E01"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000000" w:fill="EFD3D2"/>
            <w:hideMark/>
          </w:tcPr>
          <w:p w14:paraId="01AFACF6"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100 per cent </w:t>
            </w:r>
          </w:p>
        </w:tc>
        <w:tc>
          <w:tcPr>
            <w:tcW w:w="1418" w:type="dxa"/>
            <w:shd w:val="clear" w:color="000000" w:fill="EFD3D2"/>
            <w:hideMark/>
          </w:tcPr>
          <w:p w14:paraId="4B8B0D5E"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000000" w:fill="EFD3D2"/>
            <w:hideMark/>
          </w:tcPr>
          <w:p w14:paraId="308CB6BC"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000000" w:fill="EFD3D2"/>
            <w:hideMark/>
          </w:tcPr>
          <w:p w14:paraId="214B24E3"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418" w:type="dxa"/>
            <w:shd w:val="clear" w:color="000000" w:fill="EFD3D2"/>
            <w:hideMark/>
          </w:tcPr>
          <w:p w14:paraId="5AD2E318"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r>
      <w:tr w:rsidR="00C41E45" w:rsidRPr="00A35DE3" w14:paraId="0714CDE0" w14:textId="77777777" w:rsidTr="00A35DE3">
        <w:trPr>
          <w:cantSplit/>
          <w:trHeight w:val="1191"/>
        </w:trPr>
        <w:tc>
          <w:tcPr>
            <w:tcW w:w="1237" w:type="dxa"/>
            <w:shd w:val="clear" w:color="auto" w:fill="auto"/>
            <w:hideMark/>
          </w:tcPr>
          <w:p w14:paraId="3EB46A50" w14:textId="77777777"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14–26 weeks (total incapacity)</w:t>
            </w:r>
          </w:p>
        </w:tc>
        <w:tc>
          <w:tcPr>
            <w:tcW w:w="1117" w:type="dxa"/>
            <w:shd w:val="clear" w:color="auto" w:fill="auto"/>
            <w:hideMark/>
          </w:tcPr>
          <w:p w14:paraId="2A5F4DF7"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(excl O/T) </w:t>
            </w:r>
          </w:p>
        </w:tc>
        <w:tc>
          <w:tcPr>
            <w:tcW w:w="1117" w:type="dxa"/>
            <w:shd w:val="clear" w:color="auto" w:fill="auto"/>
            <w:hideMark/>
          </w:tcPr>
          <w:p w14:paraId="253EBA79"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w:t>
            </w:r>
          </w:p>
        </w:tc>
        <w:tc>
          <w:tcPr>
            <w:tcW w:w="1506" w:type="dxa"/>
            <w:shd w:val="clear" w:color="auto" w:fill="auto"/>
            <w:hideMark/>
          </w:tcPr>
          <w:p w14:paraId="72848135"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85 per cent of NWE</w:t>
            </w:r>
            <w:r w:rsidRPr="00C41E45">
              <w:rPr>
                <w:rFonts w:cs="Arial"/>
                <w:color w:val="000000"/>
                <w:sz w:val="16"/>
                <w:szCs w:val="18"/>
                <w:vertAlign w:val="superscript"/>
                <w:lang w:val="en-GB"/>
              </w:rPr>
              <w:t>(c)</w:t>
            </w:r>
            <w:r w:rsidRPr="00C41E45">
              <w:rPr>
                <w:rFonts w:cs="Arial"/>
                <w:color w:val="000000"/>
                <w:sz w:val="16"/>
                <w:szCs w:val="18"/>
                <w:lang w:val="en-GB"/>
              </w:rPr>
              <w:t xml:space="preserve"> (or 100 per cent under industrial agreement) (greater of)</w:t>
            </w:r>
          </w:p>
        </w:tc>
        <w:tc>
          <w:tcPr>
            <w:tcW w:w="1275" w:type="dxa"/>
            <w:shd w:val="clear" w:color="auto" w:fill="auto"/>
            <w:hideMark/>
          </w:tcPr>
          <w:p w14:paraId="605DB282"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auto" w:fill="auto"/>
            <w:hideMark/>
          </w:tcPr>
          <w:p w14:paraId="05960091"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100 per cent </w:t>
            </w:r>
          </w:p>
        </w:tc>
        <w:tc>
          <w:tcPr>
            <w:tcW w:w="1418" w:type="dxa"/>
            <w:shd w:val="clear" w:color="auto" w:fill="auto"/>
            <w:hideMark/>
          </w:tcPr>
          <w:p w14:paraId="66A07E42"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auto" w:fill="auto"/>
            <w:hideMark/>
          </w:tcPr>
          <w:p w14:paraId="3618A409"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auto" w:fill="auto"/>
            <w:hideMark/>
          </w:tcPr>
          <w:p w14:paraId="6A59C2FC"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418" w:type="dxa"/>
            <w:shd w:val="clear" w:color="auto" w:fill="auto"/>
            <w:hideMark/>
          </w:tcPr>
          <w:p w14:paraId="109A35F6"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r>
      <w:tr w:rsidR="00C41E45" w:rsidRPr="00A35DE3" w14:paraId="4B7A722D" w14:textId="77777777" w:rsidTr="00076580">
        <w:trPr>
          <w:cantSplit/>
          <w:trHeight w:val="675"/>
        </w:trPr>
        <w:tc>
          <w:tcPr>
            <w:tcW w:w="1237" w:type="dxa"/>
            <w:shd w:val="clear" w:color="000000" w:fill="EFD3D2"/>
            <w:hideMark/>
          </w:tcPr>
          <w:p w14:paraId="442AC3FF" w14:textId="77777777" w:rsidR="00C41E45" w:rsidRPr="00C41E45" w:rsidRDefault="00C41E45" w:rsidP="00C41E45">
            <w:pPr>
              <w:spacing w:before="0"/>
              <w:jc w:val="left"/>
              <w:rPr>
                <w:rFonts w:cs="Arial"/>
                <w:b/>
                <w:bCs/>
                <w:color w:val="000000"/>
                <w:sz w:val="16"/>
                <w:szCs w:val="18"/>
                <w:lang w:val="en-GB"/>
              </w:rPr>
            </w:pPr>
            <w:r w:rsidRPr="00C41E45">
              <w:rPr>
                <w:rFonts w:cs="Arial"/>
                <w:b/>
                <w:bCs/>
                <w:color w:val="000000"/>
                <w:sz w:val="16"/>
                <w:szCs w:val="18"/>
                <w:lang w:val="en-GB"/>
              </w:rPr>
              <w:t>27–52 weeks (total incapacity)</w:t>
            </w:r>
          </w:p>
        </w:tc>
        <w:tc>
          <w:tcPr>
            <w:tcW w:w="1117" w:type="dxa"/>
            <w:shd w:val="clear" w:color="000000" w:fill="EFD3D2"/>
            <w:hideMark/>
          </w:tcPr>
          <w:p w14:paraId="37ADDB43" w14:textId="77777777"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80 per cent (excl O/T)</w:t>
            </w:r>
          </w:p>
        </w:tc>
        <w:tc>
          <w:tcPr>
            <w:tcW w:w="1117" w:type="dxa"/>
            <w:shd w:val="clear" w:color="000000" w:fill="EFD3D2"/>
            <w:hideMark/>
          </w:tcPr>
          <w:p w14:paraId="23C17A13" w14:textId="77777777"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 xml:space="preserve">80 per cent </w:t>
            </w:r>
          </w:p>
        </w:tc>
        <w:tc>
          <w:tcPr>
            <w:tcW w:w="1506" w:type="dxa"/>
            <w:shd w:val="clear" w:color="000000" w:fill="EFD3D2"/>
            <w:hideMark/>
          </w:tcPr>
          <w:p w14:paraId="5074F17C" w14:textId="77777777"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75 per cent NWE or 70 per cent QOTE</w:t>
            </w:r>
            <w:r w:rsidRPr="00C41E45">
              <w:rPr>
                <w:rFonts w:cs="Arial"/>
                <w:color w:val="000000"/>
                <w:sz w:val="16"/>
                <w:szCs w:val="18"/>
                <w:vertAlign w:val="superscript"/>
                <w:lang w:val="en-GB"/>
              </w:rPr>
              <w:t>(c)</w:t>
            </w:r>
          </w:p>
        </w:tc>
        <w:tc>
          <w:tcPr>
            <w:tcW w:w="1275" w:type="dxa"/>
            <w:shd w:val="clear" w:color="000000" w:fill="EFD3D2"/>
            <w:hideMark/>
          </w:tcPr>
          <w:p w14:paraId="3160FFEF" w14:textId="77777777"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100 per cent</w:t>
            </w:r>
          </w:p>
        </w:tc>
        <w:tc>
          <w:tcPr>
            <w:tcW w:w="2268" w:type="dxa"/>
            <w:shd w:val="clear" w:color="000000" w:fill="EFD3D2"/>
            <w:hideMark/>
          </w:tcPr>
          <w:p w14:paraId="71473E27" w14:textId="77777777"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100 per cent</w:t>
            </w:r>
          </w:p>
        </w:tc>
        <w:tc>
          <w:tcPr>
            <w:tcW w:w="1418" w:type="dxa"/>
            <w:shd w:val="clear" w:color="000000" w:fill="EFD3D2"/>
            <w:hideMark/>
          </w:tcPr>
          <w:p w14:paraId="55283F33" w14:textId="77777777"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90 per cent or 95 per cent</w:t>
            </w:r>
            <w:r w:rsidRPr="00C41E45">
              <w:rPr>
                <w:rFonts w:cs="Arial"/>
                <w:color w:val="000000"/>
                <w:sz w:val="16"/>
                <w:szCs w:val="18"/>
                <w:vertAlign w:val="superscript"/>
                <w:lang w:val="en-GB"/>
              </w:rPr>
              <w:t>(d)</w:t>
            </w:r>
          </w:p>
        </w:tc>
        <w:tc>
          <w:tcPr>
            <w:tcW w:w="1559" w:type="dxa"/>
            <w:shd w:val="clear" w:color="000000" w:fill="EFD3D2"/>
            <w:hideMark/>
          </w:tcPr>
          <w:p w14:paraId="040D6A10" w14:textId="77777777"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75–90 per cent</w:t>
            </w:r>
          </w:p>
        </w:tc>
        <w:tc>
          <w:tcPr>
            <w:tcW w:w="1559" w:type="dxa"/>
            <w:shd w:val="clear" w:color="000000" w:fill="EFD3D2"/>
            <w:hideMark/>
          </w:tcPr>
          <w:p w14:paraId="11AA95D2" w14:textId="79125332" w:rsidR="00C41E45" w:rsidRPr="00C41E45" w:rsidRDefault="00A80048" w:rsidP="00A80048">
            <w:pPr>
              <w:spacing w:before="0"/>
              <w:jc w:val="left"/>
              <w:rPr>
                <w:rFonts w:cs="Arial"/>
                <w:color w:val="000000"/>
                <w:sz w:val="16"/>
                <w:szCs w:val="18"/>
                <w:lang w:val="en-GB"/>
              </w:rPr>
            </w:pPr>
            <w:r>
              <w:rPr>
                <w:rFonts w:cs="Arial"/>
                <w:color w:val="000000"/>
                <w:sz w:val="16"/>
                <w:szCs w:val="18"/>
                <w:lang w:val="en-GB"/>
              </w:rPr>
              <w:t>65</w:t>
            </w:r>
            <w:r w:rsidR="00C41E45" w:rsidRPr="00C41E45">
              <w:rPr>
                <w:rFonts w:cs="Arial"/>
                <w:color w:val="000000"/>
                <w:sz w:val="16"/>
                <w:szCs w:val="18"/>
                <w:lang w:val="en-GB"/>
              </w:rPr>
              <w:t> per cent or Stat Floor</w:t>
            </w:r>
          </w:p>
        </w:tc>
        <w:tc>
          <w:tcPr>
            <w:tcW w:w="1418" w:type="dxa"/>
            <w:shd w:val="clear" w:color="000000" w:fill="EFD3D2"/>
            <w:hideMark/>
          </w:tcPr>
          <w:p w14:paraId="584260FF" w14:textId="77777777" w:rsidR="00C41E45" w:rsidRPr="00A35DE3" w:rsidRDefault="00C41E45" w:rsidP="00C41E45">
            <w:pPr>
              <w:spacing w:before="0"/>
              <w:jc w:val="left"/>
              <w:rPr>
                <w:rFonts w:cs="Arial"/>
                <w:color w:val="000000"/>
                <w:sz w:val="16"/>
                <w:szCs w:val="18"/>
                <w:lang w:val="en-GB"/>
              </w:rPr>
            </w:pPr>
            <w:r w:rsidRPr="00C41E45">
              <w:rPr>
                <w:rFonts w:cs="Arial"/>
                <w:color w:val="000000"/>
                <w:sz w:val="16"/>
                <w:szCs w:val="18"/>
                <w:lang w:val="en-GB"/>
              </w:rPr>
              <w:t xml:space="preserve">27–45 wks 100 per cent </w:t>
            </w:r>
          </w:p>
          <w:p w14:paraId="058FE9F6" w14:textId="77777777" w:rsidR="00C41E45" w:rsidRPr="00A35DE3" w:rsidRDefault="00C41E45" w:rsidP="00C41E45">
            <w:pPr>
              <w:spacing w:before="0"/>
              <w:jc w:val="left"/>
              <w:rPr>
                <w:rFonts w:cs="Arial"/>
                <w:color w:val="000000"/>
                <w:sz w:val="16"/>
                <w:szCs w:val="18"/>
                <w:lang w:val="en-GB"/>
              </w:rPr>
            </w:pPr>
          </w:p>
          <w:p w14:paraId="7D0F353D" w14:textId="77777777"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rPr>
              <w:t>46–52 wks 75 per cent</w:t>
            </w:r>
            <w:r w:rsidRPr="00C41E45">
              <w:rPr>
                <w:rFonts w:cs="Arial"/>
                <w:color w:val="000000"/>
                <w:sz w:val="16"/>
                <w:szCs w:val="18"/>
                <w:vertAlign w:val="superscript"/>
              </w:rPr>
              <w:t>(e)</w:t>
            </w:r>
          </w:p>
        </w:tc>
      </w:tr>
      <w:tr w:rsidR="00C41E45" w:rsidRPr="00A35DE3" w14:paraId="366C5435" w14:textId="77777777" w:rsidTr="00A35DE3">
        <w:trPr>
          <w:cantSplit/>
          <w:trHeight w:val="1191"/>
        </w:trPr>
        <w:tc>
          <w:tcPr>
            <w:tcW w:w="1237" w:type="dxa"/>
            <w:shd w:val="clear" w:color="auto" w:fill="auto"/>
            <w:hideMark/>
          </w:tcPr>
          <w:p w14:paraId="337AFC7E" w14:textId="77777777"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53–104 weeks (total incapacity)</w:t>
            </w:r>
          </w:p>
        </w:tc>
        <w:tc>
          <w:tcPr>
            <w:tcW w:w="1117" w:type="dxa"/>
            <w:shd w:val="clear" w:color="auto" w:fill="auto"/>
            <w:hideMark/>
          </w:tcPr>
          <w:p w14:paraId="103546F1" w14:textId="0A28026D"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 per cent (excl O/T)</w:t>
            </w:r>
            <w:r w:rsidR="00CD2002">
              <w:rPr>
                <w:rFonts w:cs="Arial"/>
                <w:color w:val="000000"/>
                <w:sz w:val="16"/>
                <w:szCs w:val="18"/>
                <w:lang w:val="en-GB"/>
              </w:rPr>
              <w:t xml:space="preserve"> and shift allowance</w:t>
            </w:r>
          </w:p>
        </w:tc>
        <w:tc>
          <w:tcPr>
            <w:tcW w:w="1117" w:type="dxa"/>
            <w:shd w:val="clear" w:color="auto" w:fill="auto"/>
            <w:hideMark/>
          </w:tcPr>
          <w:p w14:paraId="66EF44DE"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(excl O/T) </w:t>
            </w:r>
          </w:p>
        </w:tc>
        <w:tc>
          <w:tcPr>
            <w:tcW w:w="1506" w:type="dxa"/>
            <w:shd w:val="clear" w:color="auto" w:fill="auto"/>
            <w:hideMark/>
          </w:tcPr>
          <w:p w14:paraId="0431F722"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 per cent NWE or 70 per cent QOTE</w:t>
            </w:r>
            <w:r w:rsidRPr="00C41E45">
              <w:rPr>
                <w:rFonts w:cs="Arial"/>
                <w:color w:val="000000"/>
                <w:sz w:val="16"/>
                <w:szCs w:val="18"/>
                <w:vertAlign w:val="superscript"/>
                <w:lang w:val="en-GB"/>
              </w:rPr>
              <w:t>(c)</w:t>
            </w:r>
          </w:p>
        </w:tc>
        <w:tc>
          <w:tcPr>
            <w:tcW w:w="1275" w:type="dxa"/>
            <w:shd w:val="clear" w:color="auto" w:fill="auto"/>
            <w:hideMark/>
          </w:tcPr>
          <w:p w14:paraId="0BE277D8"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auto" w:fill="auto"/>
            <w:hideMark/>
          </w:tcPr>
          <w:p w14:paraId="0A1C5E8E"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w:t>
            </w:r>
          </w:p>
        </w:tc>
        <w:tc>
          <w:tcPr>
            <w:tcW w:w="1418" w:type="dxa"/>
            <w:shd w:val="clear" w:color="auto" w:fill="auto"/>
            <w:hideMark/>
          </w:tcPr>
          <w:p w14:paraId="7D643331" w14:textId="77777777"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53–78 weeks 90 per cent or 95 per cent</w:t>
            </w:r>
            <w:r w:rsidRPr="00C41E45">
              <w:rPr>
                <w:rFonts w:cs="Arial"/>
                <w:color w:val="000000"/>
                <w:sz w:val="16"/>
                <w:szCs w:val="18"/>
                <w:vertAlign w:val="superscript"/>
                <w:lang w:val="en-GB"/>
              </w:rPr>
              <w:t>(d)</w:t>
            </w:r>
            <w:r w:rsidRPr="00C41E45">
              <w:rPr>
                <w:rFonts w:cs="Arial"/>
                <w:color w:val="000000"/>
                <w:sz w:val="16"/>
                <w:szCs w:val="18"/>
                <w:lang w:val="en-GB"/>
              </w:rPr>
              <w:t>, 79–104 weeks 80 per cent or 85 per cent</w:t>
            </w:r>
            <w:r w:rsidRPr="00C41E45">
              <w:rPr>
                <w:rFonts w:cs="Arial"/>
                <w:color w:val="000000"/>
                <w:sz w:val="16"/>
                <w:szCs w:val="18"/>
                <w:vertAlign w:val="superscript"/>
                <w:lang w:val="en-GB"/>
              </w:rPr>
              <w:t>(d)</w:t>
            </w:r>
          </w:p>
        </w:tc>
        <w:tc>
          <w:tcPr>
            <w:tcW w:w="1559" w:type="dxa"/>
            <w:shd w:val="clear" w:color="auto" w:fill="auto"/>
            <w:hideMark/>
          </w:tcPr>
          <w:p w14:paraId="080CD531"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75–90 per cent</w:t>
            </w:r>
          </w:p>
        </w:tc>
        <w:tc>
          <w:tcPr>
            <w:tcW w:w="1559" w:type="dxa"/>
            <w:shd w:val="clear" w:color="auto" w:fill="auto"/>
            <w:hideMark/>
          </w:tcPr>
          <w:p w14:paraId="6F5B6BF9" w14:textId="46DD1699" w:rsidR="00C41E45" w:rsidRPr="00C41E45" w:rsidRDefault="00A80048" w:rsidP="00A80048">
            <w:pPr>
              <w:spacing w:before="0"/>
              <w:jc w:val="left"/>
              <w:rPr>
                <w:rFonts w:cs="Arial"/>
                <w:color w:val="000000"/>
                <w:sz w:val="16"/>
                <w:szCs w:val="18"/>
              </w:rPr>
            </w:pPr>
            <w:r>
              <w:rPr>
                <w:rFonts w:cs="Arial"/>
                <w:color w:val="000000"/>
                <w:sz w:val="16"/>
                <w:szCs w:val="18"/>
                <w:lang w:val="en-GB"/>
              </w:rPr>
              <w:t>65</w:t>
            </w:r>
            <w:r w:rsidR="00C41E45" w:rsidRPr="00C41E45">
              <w:rPr>
                <w:rFonts w:cs="Arial"/>
                <w:color w:val="000000"/>
                <w:sz w:val="16"/>
                <w:szCs w:val="18"/>
                <w:lang w:val="en-GB"/>
              </w:rPr>
              <w:t> per cent or Stat Floor</w:t>
            </w:r>
          </w:p>
        </w:tc>
        <w:tc>
          <w:tcPr>
            <w:tcW w:w="1418" w:type="dxa"/>
            <w:shd w:val="clear" w:color="auto" w:fill="auto"/>
            <w:hideMark/>
          </w:tcPr>
          <w:p w14:paraId="214A31FC"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 per cent</w:t>
            </w:r>
            <w:r w:rsidRPr="00C41E45">
              <w:rPr>
                <w:rFonts w:cs="Arial"/>
                <w:color w:val="000000"/>
                <w:sz w:val="16"/>
                <w:szCs w:val="18"/>
                <w:vertAlign w:val="superscript"/>
                <w:lang w:val="en-GB"/>
              </w:rPr>
              <w:t>(e)</w:t>
            </w:r>
          </w:p>
        </w:tc>
      </w:tr>
      <w:tr w:rsidR="00C41E45" w:rsidRPr="00A35DE3" w14:paraId="48B48CC0" w14:textId="77777777" w:rsidTr="00A35DE3">
        <w:trPr>
          <w:cantSplit/>
          <w:trHeight w:val="1587"/>
        </w:trPr>
        <w:tc>
          <w:tcPr>
            <w:tcW w:w="1237" w:type="dxa"/>
            <w:shd w:val="clear" w:color="000000" w:fill="EFD3D2"/>
            <w:hideMark/>
          </w:tcPr>
          <w:p w14:paraId="74E74FEA" w14:textId="77777777"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104+ weeks (total incapacity)</w:t>
            </w:r>
          </w:p>
        </w:tc>
        <w:tc>
          <w:tcPr>
            <w:tcW w:w="1117" w:type="dxa"/>
            <w:shd w:val="clear" w:color="000000" w:fill="EFD3D2"/>
            <w:hideMark/>
          </w:tcPr>
          <w:p w14:paraId="68F1BBF7"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rPr>
              <w:t>80 per cent - (excl O/</w:t>
            </w:r>
            <w:r w:rsidR="00A407DF">
              <w:rPr>
                <w:rFonts w:cs="Arial"/>
                <w:color w:val="000000"/>
                <w:sz w:val="16"/>
                <w:szCs w:val="18"/>
              </w:rPr>
              <w:t>T; cease at five years unless &gt;</w:t>
            </w:r>
            <w:r w:rsidRPr="00C41E45">
              <w:rPr>
                <w:rFonts w:cs="Arial"/>
                <w:color w:val="000000"/>
                <w:sz w:val="16"/>
                <w:szCs w:val="18"/>
              </w:rPr>
              <w:t>20 per cent permanent impairment</w:t>
            </w:r>
          </w:p>
        </w:tc>
        <w:tc>
          <w:tcPr>
            <w:tcW w:w="1117" w:type="dxa"/>
            <w:shd w:val="clear" w:color="000000" w:fill="EFD3D2"/>
            <w:hideMark/>
          </w:tcPr>
          <w:p w14:paraId="1CC4EB98"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 per cent (excl O/T, subject to work capacity test after 130 weeks)</w:t>
            </w:r>
          </w:p>
        </w:tc>
        <w:tc>
          <w:tcPr>
            <w:tcW w:w="1506" w:type="dxa"/>
            <w:shd w:val="clear" w:color="000000" w:fill="EFD3D2"/>
            <w:hideMark/>
          </w:tcPr>
          <w:p w14:paraId="498ED92B" w14:textId="77777777" w:rsidR="00C41E45" w:rsidRPr="00C41E45" w:rsidRDefault="00A407DF" w:rsidP="00C41E45">
            <w:pPr>
              <w:spacing w:before="0"/>
              <w:jc w:val="left"/>
              <w:rPr>
                <w:rFonts w:cs="Arial"/>
                <w:color w:val="000000"/>
                <w:sz w:val="16"/>
                <w:szCs w:val="18"/>
              </w:rPr>
            </w:pPr>
            <w:r>
              <w:rPr>
                <w:rFonts w:cs="Arial"/>
                <w:color w:val="000000"/>
                <w:sz w:val="16"/>
                <w:szCs w:val="18"/>
                <w:lang w:val="en-GB"/>
              </w:rPr>
              <w:t>75 per cent NWE if &gt;</w:t>
            </w:r>
            <w:r w:rsidR="00C41E45" w:rsidRPr="00C41E45">
              <w:rPr>
                <w:rFonts w:cs="Arial"/>
                <w:color w:val="000000"/>
                <w:sz w:val="16"/>
                <w:szCs w:val="18"/>
                <w:lang w:val="en-GB"/>
              </w:rPr>
              <w:t>15 per cent impairment, otherwise an amount equal to the single pension rate</w:t>
            </w:r>
            <w:r w:rsidR="00C41E45" w:rsidRPr="00C41E45">
              <w:rPr>
                <w:rFonts w:cs="Arial"/>
                <w:color w:val="000000"/>
                <w:sz w:val="16"/>
                <w:szCs w:val="18"/>
                <w:vertAlign w:val="superscript"/>
                <w:lang w:val="en-GB"/>
              </w:rPr>
              <w:t>(c).</w:t>
            </w:r>
          </w:p>
        </w:tc>
        <w:tc>
          <w:tcPr>
            <w:tcW w:w="1275" w:type="dxa"/>
            <w:shd w:val="clear" w:color="000000" w:fill="EFD3D2"/>
            <w:hideMark/>
          </w:tcPr>
          <w:p w14:paraId="082E343F"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000000" w:fill="EFD3D2"/>
            <w:hideMark/>
          </w:tcPr>
          <w:p w14:paraId="6F96FE65"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rPr>
              <w:t>80 per cent (ongoing entitlement if the worker is taken to be seriously injured on account of an assessment of whole person impairment arising from their work injury of 30 per cent or more)</w:t>
            </w:r>
          </w:p>
        </w:tc>
        <w:tc>
          <w:tcPr>
            <w:tcW w:w="1418" w:type="dxa"/>
            <w:shd w:val="clear" w:color="000000" w:fill="EFD3D2"/>
            <w:hideMark/>
          </w:tcPr>
          <w:p w14:paraId="0EAA5AA9"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 per cent or 85 per cent</w:t>
            </w:r>
            <w:r w:rsidRPr="00C41E45">
              <w:rPr>
                <w:rFonts w:cs="Arial"/>
                <w:color w:val="000000"/>
                <w:sz w:val="16"/>
                <w:szCs w:val="18"/>
                <w:vertAlign w:val="superscript"/>
                <w:lang w:val="en-GB"/>
              </w:rPr>
              <w:t>(d)(f)</w:t>
            </w:r>
          </w:p>
        </w:tc>
        <w:tc>
          <w:tcPr>
            <w:tcW w:w="1559" w:type="dxa"/>
            <w:shd w:val="clear" w:color="000000" w:fill="EFD3D2"/>
            <w:hideMark/>
          </w:tcPr>
          <w:p w14:paraId="3864C383"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rPr>
              <w:t>75–90 per cent but limited to 260 weeks unless more than 15 per cent PI</w:t>
            </w:r>
          </w:p>
        </w:tc>
        <w:tc>
          <w:tcPr>
            <w:tcW w:w="1559" w:type="dxa"/>
            <w:shd w:val="clear" w:color="000000" w:fill="EFD3D2"/>
            <w:hideMark/>
          </w:tcPr>
          <w:p w14:paraId="0CAD4253" w14:textId="4ADAED65" w:rsidR="00C41E45" w:rsidRPr="00C41E45" w:rsidRDefault="00A80048" w:rsidP="00A80048">
            <w:pPr>
              <w:spacing w:before="0"/>
              <w:jc w:val="left"/>
              <w:rPr>
                <w:rFonts w:cs="Arial"/>
                <w:color w:val="000000"/>
                <w:sz w:val="16"/>
                <w:szCs w:val="18"/>
              </w:rPr>
            </w:pPr>
            <w:r>
              <w:rPr>
                <w:rFonts w:cs="Arial"/>
                <w:color w:val="000000"/>
                <w:sz w:val="16"/>
                <w:szCs w:val="18"/>
                <w:lang w:val="en-GB"/>
              </w:rPr>
              <w:t>65</w:t>
            </w:r>
            <w:r w:rsidRPr="00C41E45">
              <w:rPr>
                <w:rFonts w:cs="Arial"/>
                <w:color w:val="000000"/>
                <w:sz w:val="16"/>
                <w:szCs w:val="18"/>
                <w:lang w:val="en-GB"/>
              </w:rPr>
              <w:t> per cent or Stat Floor</w:t>
            </w:r>
          </w:p>
        </w:tc>
        <w:tc>
          <w:tcPr>
            <w:tcW w:w="1418" w:type="dxa"/>
            <w:shd w:val="clear" w:color="000000" w:fill="EFD3D2"/>
            <w:hideMark/>
          </w:tcPr>
          <w:p w14:paraId="6DD6136F" w14:textId="7777777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 per cent</w:t>
            </w:r>
            <w:r w:rsidRPr="00C41E45">
              <w:rPr>
                <w:rFonts w:cs="Arial"/>
                <w:color w:val="000000"/>
                <w:sz w:val="16"/>
                <w:szCs w:val="18"/>
                <w:vertAlign w:val="superscript"/>
                <w:lang w:val="en-GB"/>
              </w:rPr>
              <w:t>(e)</w:t>
            </w:r>
          </w:p>
        </w:tc>
      </w:tr>
    </w:tbl>
    <w:p w14:paraId="51886C4E" w14:textId="77777777" w:rsidR="00CE00EC" w:rsidRPr="00A35DE3" w:rsidRDefault="00CE00EC" w:rsidP="007A0E5C">
      <w:pPr>
        <w:pStyle w:val="Footnotecompressed"/>
        <w:numPr>
          <w:ilvl w:val="0"/>
          <w:numId w:val="9"/>
        </w:numPr>
        <w:rPr>
          <w:sz w:val="14"/>
        </w:rPr>
      </w:pPr>
      <w:r w:rsidRPr="00A35DE3">
        <w:rPr>
          <w:sz w:val="14"/>
        </w:rPr>
        <w:t xml:space="preserve">Entitlement benefits in Victoria, WA, TAS, NT, ACT, and NZ do not include superannuation contributions. Compensation in the form of a superannuation contribution is payable in VIC after 52 weeks of weekly payments. </w:t>
      </w:r>
    </w:p>
    <w:p w14:paraId="79AFBBE8" w14:textId="78C1F715" w:rsidR="00CE00EC" w:rsidRPr="00A35DE3" w:rsidRDefault="00CE00EC" w:rsidP="007A0E5C">
      <w:pPr>
        <w:pStyle w:val="Footnotecompressed"/>
        <w:numPr>
          <w:ilvl w:val="0"/>
          <w:numId w:val="9"/>
        </w:numPr>
        <w:rPr>
          <w:sz w:val="14"/>
        </w:rPr>
      </w:pPr>
      <w:r w:rsidRPr="00A35DE3">
        <w:rPr>
          <w:sz w:val="14"/>
        </w:rPr>
        <w:t>Maximum weekly payment is capped at $</w:t>
      </w:r>
      <w:r w:rsidR="00CD2002">
        <w:rPr>
          <w:sz w:val="14"/>
        </w:rPr>
        <w:t>2058.10</w:t>
      </w:r>
      <w:r w:rsidRPr="00A35DE3">
        <w:rPr>
          <w:sz w:val="14"/>
        </w:rPr>
        <w:t xml:space="preserve">. </w:t>
      </w:r>
      <w:r w:rsidR="00BD4480">
        <w:rPr>
          <w:sz w:val="14"/>
        </w:rPr>
        <w:t>O/T means ‘overtime’.</w:t>
      </w:r>
    </w:p>
    <w:p w14:paraId="65C8AFBC" w14:textId="77777777" w:rsidR="00CE00EC" w:rsidRPr="00A35DE3" w:rsidRDefault="00CE00EC" w:rsidP="007A0E5C">
      <w:pPr>
        <w:pStyle w:val="Footnotecompressed"/>
        <w:numPr>
          <w:ilvl w:val="0"/>
          <w:numId w:val="9"/>
        </w:numPr>
        <w:rPr>
          <w:sz w:val="14"/>
        </w:rPr>
      </w:pPr>
      <w:r w:rsidRPr="00A35DE3">
        <w:rPr>
          <w:sz w:val="14"/>
        </w:rPr>
        <w:t xml:space="preserve">NWE – normal weekly earnings, QOTE – Original series amount of Queensland full-time adult persons Ordinary Time Earnings. </w:t>
      </w:r>
    </w:p>
    <w:p w14:paraId="5F0AB442" w14:textId="77777777" w:rsidR="00CE00EC" w:rsidRPr="00A35DE3" w:rsidRDefault="00CE00EC" w:rsidP="007A0E5C">
      <w:pPr>
        <w:pStyle w:val="Footnotecompressed"/>
        <w:numPr>
          <w:ilvl w:val="0"/>
          <w:numId w:val="9"/>
        </w:numPr>
        <w:rPr>
          <w:sz w:val="14"/>
        </w:rPr>
      </w:pPr>
      <w:r w:rsidRPr="00A35DE3">
        <w:rPr>
          <w:sz w:val="14"/>
        </w:rPr>
        <w:t xml:space="preserve">If there is medical evidence that the worker is unable to perform the worker’s usual duties with the employer; and there is medical evidence that the worker is able to return to perform suitable alternative duties with the employer and the employer does not enable the worker to undertake suitable alternative duties as part of the worker’s employment by the employer. </w:t>
      </w:r>
    </w:p>
    <w:p w14:paraId="38B23692" w14:textId="77777777" w:rsidR="00CE00EC" w:rsidRPr="00A35DE3" w:rsidRDefault="00CE00EC" w:rsidP="007A0E5C">
      <w:pPr>
        <w:pStyle w:val="Footnotecompressed"/>
        <w:numPr>
          <w:ilvl w:val="0"/>
          <w:numId w:val="9"/>
        </w:numPr>
        <w:rPr>
          <w:sz w:val="14"/>
        </w:rPr>
      </w:pPr>
      <w:r w:rsidRPr="00A35DE3">
        <w:rPr>
          <w:sz w:val="14"/>
        </w:rPr>
        <w:t>If the incapacitated employee is retired and receives an employer funded superannuation benefit, the SRC Scheme will pay a maximum of 70</w:t>
      </w:r>
      <w:r w:rsidR="00FB0257" w:rsidRPr="00A35DE3">
        <w:rPr>
          <w:sz w:val="14"/>
        </w:rPr>
        <w:t> per cent</w:t>
      </w:r>
      <w:r w:rsidRPr="00A35DE3">
        <w:rPr>
          <w:sz w:val="14"/>
        </w:rPr>
        <w:t xml:space="preserve"> of NWE per week taking into account the weekly superannuation benefit or weekly equivalent of any lump sum amount received and the compensation amount.</w:t>
      </w:r>
    </w:p>
    <w:p w14:paraId="27E45CC7" w14:textId="77777777" w:rsidR="00CE00EC" w:rsidRPr="00A35DE3" w:rsidRDefault="00CE00EC" w:rsidP="007A0E5C">
      <w:pPr>
        <w:pStyle w:val="Footnotecompressed"/>
        <w:numPr>
          <w:ilvl w:val="0"/>
          <w:numId w:val="9"/>
        </w:numPr>
        <w:rPr>
          <w:sz w:val="14"/>
        </w:rPr>
      </w:pPr>
      <w:r w:rsidRPr="00A35DE3">
        <w:rPr>
          <w:sz w:val="14"/>
        </w:rPr>
        <w:t>But not exceeding: (i) 9 years from the date of the initial incapacity, if the worker’s permanent impairment (if any), at a percentage of the whole person, is less than 15</w:t>
      </w:r>
      <w:r w:rsidR="00FB0257" w:rsidRPr="00A35DE3">
        <w:rPr>
          <w:sz w:val="14"/>
        </w:rPr>
        <w:t> per cent</w:t>
      </w:r>
      <w:r w:rsidRPr="00A35DE3">
        <w:rPr>
          <w:sz w:val="14"/>
        </w:rPr>
        <w:t xml:space="preserve"> or is not assessed; or (ii) 12 years from the date of the initial incapacity, if the worker’s permanent impairment, assessed at a percentage of the whole person, is 15</w:t>
      </w:r>
      <w:r w:rsidR="00FB0257" w:rsidRPr="00A35DE3">
        <w:rPr>
          <w:sz w:val="14"/>
        </w:rPr>
        <w:t> per cent</w:t>
      </w:r>
      <w:r w:rsidRPr="00A35DE3">
        <w:rPr>
          <w:sz w:val="14"/>
        </w:rPr>
        <w:t xml:space="preserve"> or more but less than 20</w:t>
      </w:r>
      <w:r w:rsidR="00FB0257" w:rsidRPr="00A35DE3">
        <w:rPr>
          <w:sz w:val="14"/>
        </w:rPr>
        <w:t> per cent</w:t>
      </w:r>
      <w:r w:rsidRPr="00A35DE3">
        <w:rPr>
          <w:sz w:val="14"/>
        </w:rPr>
        <w:t>; or (iii) 20 years from the date of the initial incapacity, if the worker’s permanent impairment, assessed at a percentage of the whole person, is between 20</w:t>
      </w:r>
      <w:r w:rsidR="00FB0257" w:rsidRPr="00A35DE3">
        <w:rPr>
          <w:sz w:val="14"/>
        </w:rPr>
        <w:t> per cent</w:t>
      </w:r>
      <w:r w:rsidRPr="00A35DE3">
        <w:rPr>
          <w:sz w:val="14"/>
        </w:rPr>
        <w:t xml:space="preserve"> and 30</w:t>
      </w:r>
      <w:r w:rsidR="00FB0257" w:rsidRPr="00A35DE3">
        <w:rPr>
          <w:sz w:val="14"/>
        </w:rPr>
        <w:t> per cent</w:t>
      </w:r>
      <w:r w:rsidRPr="00A35DE3">
        <w:rPr>
          <w:sz w:val="14"/>
        </w:rPr>
        <w:t>; or (iv) the period extending from the date of the initial incapacity to the day on which the entitlement of the worker ceases in accordance with Section 87 of the Workers Rehabilitation and Compensation Act 1988, if the worker’s permanent impairment, assessed at a percentage of the whole person, is 30</w:t>
      </w:r>
      <w:r w:rsidR="00FB0257" w:rsidRPr="00A35DE3">
        <w:rPr>
          <w:sz w:val="14"/>
        </w:rPr>
        <w:t> per cent</w:t>
      </w:r>
      <w:r w:rsidRPr="00A35DE3">
        <w:rPr>
          <w:sz w:val="14"/>
        </w:rPr>
        <w:t xml:space="preserve"> or more.</w:t>
      </w:r>
      <w:r w:rsidRPr="00A35DE3">
        <w:rPr>
          <w:sz w:val="12"/>
          <w:szCs w:val="14"/>
        </w:rPr>
        <w:t xml:space="preserve"> </w:t>
      </w:r>
    </w:p>
    <w:p w14:paraId="7EC7FAAF" w14:textId="77777777" w:rsidR="00CE00EC" w:rsidRDefault="00CE00EC" w:rsidP="00CE00EC">
      <w:pPr>
        <w:ind w:left="567" w:hanging="283"/>
        <w:rPr>
          <w:b/>
        </w:rPr>
        <w:sectPr w:rsidR="00CE00EC" w:rsidSect="00B94996">
          <w:headerReference w:type="even" r:id="rId87"/>
          <w:headerReference w:type="default" r:id="rId88"/>
          <w:footerReference w:type="even" r:id="rId89"/>
          <w:footerReference w:type="default" r:id="rId90"/>
          <w:pgSz w:w="16838" w:h="11906" w:orient="landscape"/>
          <w:pgMar w:top="1134" w:right="1134" w:bottom="1134" w:left="1418" w:header="720" w:footer="720" w:gutter="0"/>
          <w:cols w:space="720"/>
          <w:noEndnote/>
          <w:docGrid w:linePitch="299"/>
        </w:sectPr>
      </w:pPr>
    </w:p>
    <w:p w14:paraId="58E8F4D9" w14:textId="4AB05E5F" w:rsidR="00CE00EC" w:rsidRDefault="00CE00EC" w:rsidP="00CB108E">
      <w:pPr>
        <w:pStyle w:val="SWATableheader"/>
      </w:pPr>
      <w:r>
        <w:lastRenderedPageBreak/>
        <w:t xml:space="preserve">Appendix 2 – Table 3: Other entitlements under </w:t>
      </w:r>
      <w:r w:rsidRPr="001A20D3">
        <w:t>Australian workers’ compensation schemes for award wage earners as at 1 January 201</w:t>
      </w:r>
      <w:r w:rsidR="00CD2002">
        <w:t>7</w:t>
      </w:r>
      <w:r w:rsidR="00A06BB6">
        <w:t xml:space="preserve"> </w:t>
      </w:r>
    </w:p>
    <w:tbl>
      <w:tblPr>
        <w:tblW w:w="14474" w:type="dxa"/>
        <w:tblInd w:w="93" w:type="dxa"/>
        <w:tblLayout w:type="fixed"/>
        <w:tblLook w:val="04A0" w:firstRow="1" w:lastRow="0" w:firstColumn="1" w:lastColumn="0" w:noHBand="0" w:noVBand="1"/>
      </w:tblPr>
      <w:tblGrid>
        <w:gridCol w:w="1149"/>
        <w:gridCol w:w="1276"/>
        <w:gridCol w:w="1134"/>
        <w:gridCol w:w="3260"/>
        <w:gridCol w:w="1276"/>
        <w:gridCol w:w="1843"/>
        <w:gridCol w:w="1402"/>
        <w:gridCol w:w="1008"/>
        <w:gridCol w:w="992"/>
        <w:gridCol w:w="1134"/>
      </w:tblGrid>
      <w:tr w:rsidR="00A35DE3" w:rsidRPr="00A35DE3" w14:paraId="35068209" w14:textId="77777777" w:rsidTr="00A35DE3">
        <w:trPr>
          <w:cantSplit/>
          <w:trHeight w:val="340"/>
          <w:tblHeader/>
        </w:trPr>
        <w:tc>
          <w:tcPr>
            <w:tcW w:w="1149" w:type="dxa"/>
            <w:tcBorders>
              <w:top w:val="dotted" w:sz="4" w:space="0" w:color="FFFFFF"/>
              <w:left w:val="dotted" w:sz="4" w:space="0" w:color="FFFFFF"/>
              <w:bottom w:val="dotted" w:sz="4" w:space="0" w:color="FFFFFF"/>
              <w:right w:val="dotted" w:sz="4" w:space="0" w:color="FFFFFF"/>
            </w:tcBorders>
            <w:shd w:val="clear" w:color="000000" w:fill="AF1E2D"/>
            <w:vAlign w:val="center"/>
            <w:hideMark/>
          </w:tcPr>
          <w:p w14:paraId="7C060A9C" w14:textId="77777777"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Jurisdiction</w:t>
            </w:r>
          </w:p>
        </w:tc>
        <w:tc>
          <w:tcPr>
            <w:tcW w:w="1276" w:type="dxa"/>
            <w:tcBorders>
              <w:top w:val="dotted" w:sz="4" w:space="0" w:color="FFFFFF"/>
              <w:left w:val="nil"/>
              <w:bottom w:val="dotted" w:sz="4" w:space="0" w:color="FFFFFF"/>
              <w:right w:val="dotted" w:sz="4" w:space="0" w:color="FFFFFF"/>
            </w:tcBorders>
            <w:shd w:val="clear" w:color="000000" w:fill="AF1E2D"/>
            <w:vAlign w:val="center"/>
            <w:hideMark/>
          </w:tcPr>
          <w:p w14:paraId="0ED20473" w14:textId="77777777"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NSW</w:t>
            </w:r>
          </w:p>
        </w:tc>
        <w:tc>
          <w:tcPr>
            <w:tcW w:w="1134" w:type="dxa"/>
            <w:tcBorders>
              <w:top w:val="dotted" w:sz="4" w:space="0" w:color="FFFFFF"/>
              <w:left w:val="nil"/>
              <w:bottom w:val="dotted" w:sz="4" w:space="0" w:color="FFFFFF"/>
              <w:right w:val="dotted" w:sz="4" w:space="0" w:color="FFFFFF"/>
            </w:tcBorders>
            <w:shd w:val="clear" w:color="000000" w:fill="AF1E2D"/>
            <w:vAlign w:val="center"/>
            <w:hideMark/>
          </w:tcPr>
          <w:p w14:paraId="2A017A55" w14:textId="77777777"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Vic</w:t>
            </w:r>
          </w:p>
        </w:tc>
        <w:tc>
          <w:tcPr>
            <w:tcW w:w="3260" w:type="dxa"/>
            <w:tcBorders>
              <w:top w:val="dotted" w:sz="4" w:space="0" w:color="FFFFFF"/>
              <w:left w:val="nil"/>
              <w:bottom w:val="dotted" w:sz="4" w:space="0" w:color="FFFFFF"/>
              <w:right w:val="dotted" w:sz="4" w:space="0" w:color="FFFFFF"/>
            </w:tcBorders>
            <w:shd w:val="clear" w:color="000000" w:fill="AF1E2D"/>
            <w:vAlign w:val="center"/>
            <w:hideMark/>
          </w:tcPr>
          <w:p w14:paraId="15BEDE75" w14:textId="77777777"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Qld</w:t>
            </w:r>
          </w:p>
        </w:tc>
        <w:tc>
          <w:tcPr>
            <w:tcW w:w="1276" w:type="dxa"/>
            <w:tcBorders>
              <w:top w:val="dotted" w:sz="4" w:space="0" w:color="FFFFFF"/>
              <w:left w:val="nil"/>
              <w:bottom w:val="dotted" w:sz="4" w:space="0" w:color="FFFFFF"/>
              <w:right w:val="dotted" w:sz="4" w:space="0" w:color="FFFFFF"/>
            </w:tcBorders>
            <w:shd w:val="clear" w:color="000000" w:fill="AF1E2D"/>
            <w:vAlign w:val="center"/>
            <w:hideMark/>
          </w:tcPr>
          <w:p w14:paraId="5668DE3B" w14:textId="77777777"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WA</w:t>
            </w:r>
          </w:p>
        </w:tc>
        <w:tc>
          <w:tcPr>
            <w:tcW w:w="1843" w:type="dxa"/>
            <w:tcBorders>
              <w:top w:val="dotted" w:sz="4" w:space="0" w:color="FFFFFF"/>
              <w:left w:val="nil"/>
              <w:bottom w:val="dotted" w:sz="4" w:space="0" w:color="FFFFFF"/>
              <w:right w:val="dotted" w:sz="4" w:space="0" w:color="FFFFFF"/>
            </w:tcBorders>
            <w:shd w:val="clear" w:color="000000" w:fill="AF1E2D"/>
            <w:vAlign w:val="center"/>
            <w:hideMark/>
          </w:tcPr>
          <w:p w14:paraId="10227253" w14:textId="77777777"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SA</w:t>
            </w:r>
          </w:p>
        </w:tc>
        <w:tc>
          <w:tcPr>
            <w:tcW w:w="1402" w:type="dxa"/>
            <w:tcBorders>
              <w:top w:val="dotted" w:sz="4" w:space="0" w:color="FFFFFF"/>
              <w:left w:val="nil"/>
              <w:bottom w:val="dotted" w:sz="4" w:space="0" w:color="FFFFFF"/>
              <w:right w:val="dotted" w:sz="4" w:space="0" w:color="FFFFFF"/>
            </w:tcBorders>
            <w:shd w:val="clear" w:color="000000" w:fill="AF1E2D"/>
            <w:vAlign w:val="center"/>
            <w:hideMark/>
          </w:tcPr>
          <w:p w14:paraId="14889B6B" w14:textId="77777777"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Tas</w:t>
            </w:r>
          </w:p>
        </w:tc>
        <w:tc>
          <w:tcPr>
            <w:tcW w:w="1008" w:type="dxa"/>
            <w:tcBorders>
              <w:top w:val="dotted" w:sz="4" w:space="0" w:color="FFFFFF"/>
              <w:left w:val="nil"/>
              <w:bottom w:val="dotted" w:sz="4" w:space="0" w:color="FFFFFF"/>
              <w:right w:val="dotted" w:sz="4" w:space="0" w:color="FFFFFF"/>
            </w:tcBorders>
            <w:shd w:val="clear" w:color="000000" w:fill="AF1E2D"/>
            <w:vAlign w:val="center"/>
            <w:hideMark/>
          </w:tcPr>
          <w:p w14:paraId="57BF135D" w14:textId="77777777"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NT</w:t>
            </w:r>
          </w:p>
        </w:tc>
        <w:tc>
          <w:tcPr>
            <w:tcW w:w="992" w:type="dxa"/>
            <w:tcBorders>
              <w:top w:val="dotted" w:sz="4" w:space="0" w:color="FFFFFF"/>
              <w:left w:val="nil"/>
              <w:bottom w:val="dotted" w:sz="4" w:space="0" w:color="FFFFFF"/>
              <w:right w:val="dotted" w:sz="4" w:space="0" w:color="FFFFFF"/>
            </w:tcBorders>
            <w:shd w:val="clear" w:color="000000" w:fill="AF1E2D"/>
            <w:vAlign w:val="center"/>
            <w:hideMark/>
          </w:tcPr>
          <w:p w14:paraId="5856B92A" w14:textId="77777777"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ACT</w:t>
            </w:r>
          </w:p>
        </w:tc>
        <w:tc>
          <w:tcPr>
            <w:tcW w:w="1134" w:type="dxa"/>
            <w:tcBorders>
              <w:top w:val="dotted" w:sz="4" w:space="0" w:color="FFFFFF"/>
              <w:left w:val="nil"/>
              <w:bottom w:val="dotted" w:sz="4" w:space="0" w:color="FFFFFF"/>
              <w:right w:val="dotted" w:sz="4" w:space="0" w:color="FFFFFF"/>
            </w:tcBorders>
            <w:shd w:val="clear" w:color="000000" w:fill="AF1E2D"/>
            <w:vAlign w:val="center"/>
            <w:hideMark/>
          </w:tcPr>
          <w:p w14:paraId="120A6D0F" w14:textId="0B892F94" w:rsidR="00076580" w:rsidRPr="00076580" w:rsidRDefault="00953BB8" w:rsidP="004160E6">
            <w:pPr>
              <w:spacing w:before="0"/>
              <w:jc w:val="center"/>
              <w:rPr>
                <w:rFonts w:cs="Arial"/>
                <w:b/>
                <w:bCs/>
                <w:color w:val="FFFFFF"/>
                <w:sz w:val="16"/>
                <w:szCs w:val="18"/>
              </w:rPr>
            </w:pPr>
            <w:r>
              <w:rPr>
                <w:rFonts w:cs="Arial"/>
                <w:b/>
                <w:bCs/>
                <w:color w:val="FFFFFF"/>
                <w:sz w:val="16"/>
                <w:szCs w:val="18"/>
                <w:lang w:val="en-GB"/>
              </w:rPr>
              <w:t>Comcare</w:t>
            </w:r>
          </w:p>
        </w:tc>
      </w:tr>
      <w:tr w:rsidR="004B6C07" w:rsidRPr="00A35DE3" w14:paraId="01E24F9F" w14:textId="77777777" w:rsidTr="00A35DE3">
        <w:trPr>
          <w:trHeight w:val="1644"/>
        </w:trPr>
        <w:tc>
          <w:tcPr>
            <w:tcW w:w="1149" w:type="dxa"/>
            <w:tcBorders>
              <w:top w:val="nil"/>
              <w:left w:val="dotted" w:sz="4" w:space="0" w:color="FFFFFF"/>
              <w:bottom w:val="dotted" w:sz="4" w:space="0" w:color="FFFFFF"/>
              <w:right w:val="dotted" w:sz="4" w:space="0" w:color="FFFFFF"/>
            </w:tcBorders>
            <w:shd w:val="clear" w:color="000000" w:fill="EFD3D2"/>
            <w:hideMark/>
          </w:tcPr>
          <w:p w14:paraId="55B765D7" w14:textId="77777777" w:rsidR="00076580" w:rsidRPr="00A35DE3" w:rsidRDefault="00076580" w:rsidP="00F84459">
            <w:pPr>
              <w:pStyle w:val="ForTable"/>
              <w:rPr>
                <w:b/>
              </w:rPr>
            </w:pPr>
            <w:r w:rsidRPr="00A35DE3">
              <w:rPr>
                <w:b/>
              </w:rPr>
              <w:t>Lump sums– maximum</w:t>
            </w:r>
          </w:p>
        </w:tc>
        <w:tc>
          <w:tcPr>
            <w:tcW w:w="1276" w:type="dxa"/>
            <w:tcBorders>
              <w:top w:val="nil"/>
              <w:left w:val="nil"/>
              <w:bottom w:val="dotted" w:sz="4" w:space="0" w:color="FFFFFF"/>
              <w:right w:val="dotted" w:sz="4" w:space="0" w:color="FFFFFF"/>
            </w:tcBorders>
            <w:shd w:val="clear" w:color="000000" w:fill="EFD3D2"/>
            <w:hideMark/>
          </w:tcPr>
          <w:p w14:paraId="77CAC963" w14:textId="282DC6E9" w:rsidR="00076580" w:rsidRPr="00A35DE3" w:rsidRDefault="00F84459" w:rsidP="005832FC">
            <w:pPr>
              <w:pStyle w:val="ForTable"/>
              <w:rPr>
                <w:vertAlign w:val="superscript"/>
              </w:rPr>
            </w:pPr>
            <w:r w:rsidRPr="00A35DE3">
              <w:t>&gt;75 per cent</w:t>
            </w:r>
            <w:r w:rsidR="00076580" w:rsidRPr="00A35DE3">
              <w:t xml:space="preserve"> permanent impairment:</w:t>
            </w:r>
            <w:r w:rsidR="00076580" w:rsidRPr="00A35DE3">
              <w:br/>
              <w:t>$</w:t>
            </w:r>
            <w:r w:rsidR="005832FC">
              <w:t>584</w:t>
            </w:r>
            <w:r w:rsidRPr="00A35DE3">
              <w:t>,</w:t>
            </w:r>
            <w:r w:rsidR="005832FC">
              <w:t>580</w:t>
            </w:r>
            <w:r w:rsidRPr="00A35DE3">
              <w:t xml:space="preserve"> (plus additional 5 per cent</w:t>
            </w:r>
            <w:r w:rsidR="004160E6" w:rsidRPr="00A35DE3">
              <w:t xml:space="preserve"> for back impairment) </w:t>
            </w:r>
            <w:r w:rsidR="004160E6" w:rsidRPr="00A35DE3">
              <w:rPr>
                <w:vertAlign w:val="superscript"/>
              </w:rPr>
              <w:t>(a)</w:t>
            </w:r>
          </w:p>
        </w:tc>
        <w:tc>
          <w:tcPr>
            <w:tcW w:w="1134" w:type="dxa"/>
            <w:tcBorders>
              <w:top w:val="nil"/>
              <w:left w:val="nil"/>
              <w:bottom w:val="dotted" w:sz="4" w:space="0" w:color="FFFFFF"/>
              <w:right w:val="dotted" w:sz="4" w:space="0" w:color="FFFFFF"/>
            </w:tcBorders>
            <w:shd w:val="clear" w:color="000000" w:fill="EFD3D2"/>
            <w:hideMark/>
          </w:tcPr>
          <w:p w14:paraId="399CC477" w14:textId="67574A93" w:rsidR="00076580" w:rsidRPr="00A35DE3" w:rsidRDefault="00076580" w:rsidP="005272E7">
            <w:pPr>
              <w:pStyle w:val="ForTable"/>
            </w:pPr>
            <w:r w:rsidRPr="00A35DE3">
              <w:t>$</w:t>
            </w:r>
            <w:r w:rsidR="005272E7">
              <w:t>589,650</w:t>
            </w:r>
          </w:p>
        </w:tc>
        <w:tc>
          <w:tcPr>
            <w:tcW w:w="3260" w:type="dxa"/>
            <w:tcBorders>
              <w:top w:val="nil"/>
              <w:left w:val="nil"/>
              <w:bottom w:val="dotted" w:sz="4" w:space="0" w:color="FFFFFF"/>
              <w:right w:val="dotted" w:sz="4" w:space="0" w:color="FFFFFF"/>
            </w:tcBorders>
            <w:shd w:val="clear" w:color="000000" w:fill="EFD3D2"/>
            <w:hideMark/>
          </w:tcPr>
          <w:p w14:paraId="4E29D97A" w14:textId="77777777" w:rsidR="00076580" w:rsidRPr="00A35DE3" w:rsidRDefault="004160E6" w:rsidP="00F84459">
            <w:pPr>
              <w:pStyle w:val="ForTable"/>
            </w:pPr>
            <w:r w:rsidRPr="00A35DE3">
              <w:t>Max $314,</w:t>
            </w:r>
            <w:r w:rsidR="00076580" w:rsidRPr="00A35DE3">
              <w:t>920 pe</w:t>
            </w:r>
            <w:r w:rsidRPr="00A35DE3">
              <w:t>rmanent impairment + up to $314,920 additional lump sum if 30 per cent or more DPI + up to $356,</w:t>
            </w:r>
            <w:r w:rsidR="00076580" w:rsidRPr="00A35DE3">
              <w:t xml:space="preserve">745 for </w:t>
            </w:r>
            <w:r w:rsidRPr="00A35DE3">
              <w:t>gratuitous care if 15 per cent</w:t>
            </w:r>
            <w:r w:rsidR="00076580" w:rsidRPr="00A35DE3">
              <w:t xml:space="preserve"> or more DPI and a moderate to total level of dependency on day to day care for the fundamental activities of daily living</w:t>
            </w:r>
          </w:p>
        </w:tc>
        <w:tc>
          <w:tcPr>
            <w:tcW w:w="1276" w:type="dxa"/>
            <w:tcBorders>
              <w:top w:val="nil"/>
              <w:left w:val="nil"/>
              <w:bottom w:val="dotted" w:sz="4" w:space="0" w:color="FFFFFF"/>
              <w:right w:val="dotted" w:sz="4" w:space="0" w:color="FFFFFF"/>
            </w:tcBorders>
            <w:shd w:val="clear" w:color="000000" w:fill="EFD3D2"/>
            <w:hideMark/>
          </w:tcPr>
          <w:p w14:paraId="36890BC4" w14:textId="1F9D1B7C" w:rsidR="00076580" w:rsidRPr="00A35DE3" w:rsidRDefault="00076580" w:rsidP="001E1343">
            <w:pPr>
              <w:pStyle w:val="ForTable"/>
            </w:pPr>
            <w:r w:rsidRPr="00A35DE3">
              <w:t>$</w:t>
            </w:r>
            <w:r w:rsidR="001E1343">
              <w:t>221,891</w:t>
            </w:r>
            <w:r w:rsidRPr="00A35DE3">
              <w:t xml:space="preserve"> + $16</w:t>
            </w:r>
            <w:r w:rsidR="001E1343">
              <w:t>6</w:t>
            </w:r>
            <w:r w:rsidRPr="00A35DE3">
              <w:t>,4</w:t>
            </w:r>
            <w:r w:rsidR="001E1343">
              <w:t>18</w:t>
            </w:r>
            <w:r w:rsidRPr="00A35DE3">
              <w:t xml:space="preserve"> in special circumstances</w:t>
            </w:r>
            <w:r w:rsidR="00A35DE3">
              <w:t xml:space="preserve"> </w:t>
            </w:r>
            <w:r w:rsidRPr="00A35DE3">
              <w:rPr>
                <w:vertAlign w:val="superscript"/>
              </w:rPr>
              <w:t>(b)</w:t>
            </w:r>
          </w:p>
        </w:tc>
        <w:tc>
          <w:tcPr>
            <w:tcW w:w="1843" w:type="dxa"/>
            <w:tcBorders>
              <w:top w:val="nil"/>
              <w:left w:val="nil"/>
              <w:bottom w:val="dotted" w:sz="4" w:space="0" w:color="FFFFFF"/>
              <w:right w:val="dotted" w:sz="4" w:space="0" w:color="FFFFFF"/>
            </w:tcBorders>
            <w:shd w:val="clear" w:color="000000" w:fill="EFD3D2"/>
            <w:hideMark/>
          </w:tcPr>
          <w:p w14:paraId="42952E00" w14:textId="1E545AE2" w:rsidR="00076580" w:rsidRPr="00A35DE3" w:rsidRDefault="004160E6" w:rsidP="00EE0FC0">
            <w:pPr>
              <w:pStyle w:val="ForTable"/>
            </w:pPr>
            <w:r w:rsidRPr="00A35DE3">
              <w:t>$</w:t>
            </w:r>
            <w:r w:rsidR="00EE0FC0">
              <w:t>493,393</w:t>
            </w:r>
            <w:r w:rsidR="00076580" w:rsidRPr="00A35DE3">
              <w:t xml:space="preserve"> – lump sum for non-economic loss/</w:t>
            </w:r>
            <w:r w:rsidRPr="00A35DE3">
              <w:t xml:space="preserve"> $361,</w:t>
            </w:r>
            <w:r w:rsidR="00076580" w:rsidRPr="00A35DE3">
              <w:t>476 for economic loss</w:t>
            </w:r>
          </w:p>
        </w:tc>
        <w:tc>
          <w:tcPr>
            <w:tcW w:w="1402" w:type="dxa"/>
            <w:tcBorders>
              <w:top w:val="nil"/>
              <w:left w:val="nil"/>
              <w:bottom w:val="dotted" w:sz="4" w:space="0" w:color="FFFFFF"/>
              <w:right w:val="dotted" w:sz="4" w:space="0" w:color="FFFFFF"/>
            </w:tcBorders>
            <w:shd w:val="clear" w:color="000000" w:fill="EFD3D2"/>
            <w:hideMark/>
          </w:tcPr>
          <w:p w14:paraId="7012A0FF" w14:textId="69734FF6" w:rsidR="00076580" w:rsidRPr="00A35DE3" w:rsidRDefault="00076580" w:rsidP="00E0430C">
            <w:pPr>
              <w:pStyle w:val="ForTable"/>
            </w:pPr>
            <w:r w:rsidRPr="00A35DE3">
              <w:t>$</w:t>
            </w:r>
            <w:r w:rsidR="00E0430C">
              <w:t>355,169</w:t>
            </w:r>
            <w:r w:rsidR="004160E6" w:rsidRPr="00A35DE3">
              <w:t xml:space="preserve"> permanent impairment &gt;70 per cent</w:t>
            </w:r>
          </w:p>
        </w:tc>
        <w:tc>
          <w:tcPr>
            <w:tcW w:w="1008" w:type="dxa"/>
            <w:tcBorders>
              <w:top w:val="nil"/>
              <w:left w:val="nil"/>
              <w:bottom w:val="dotted" w:sz="4" w:space="0" w:color="FFFFFF"/>
              <w:right w:val="dotted" w:sz="4" w:space="0" w:color="FFFFFF"/>
            </w:tcBorders>
            <w:shd w:val="clear" w:color="000000" w:fill="EFD3D2"/>
            <w:hideMark/>
          </w:tcPr>
          <w:p w14:paraId="15B73F2A" w14:textId="53623A45" w:rsidR="00076580" w:rsidRPr="00A35DE3" w:rsidRDefault="00076580" w:rsidP="00A80048">
            <w:pPr>
              <w:pStyle w:val="ForTable"/>
            </w:pPr>
            <w:r w:rsidRPr="00A35DE3">
              <w:t>$</w:t>
            </w:r>
            <w:r w:rsidR="00A80048">
              <w:t>326,498</w:t>
            </w:r>
            <w:r w:rsidRPr="00A35DE3">
              <w:t xml:space="preserve"> permanent impairment</w:t>
            </w:r>
          </w:p>
        </w:tc>
        <w:tc>
          <w:tcPr>
            <w:tcW w:w="992" w:type="dxa"/>
            <w:tcBorders>
              <w:top w:val="nil"/>
              <w:left w:val="nil"/>
              <w:bottom w:val="dotted" w:sz="4" w:space="0" w:color="FFFFFF"/>
              <w:right w:val="dotted" w:sz="4" w:space="0" w:color="FFFFFF"/>
            </w:tcBorders>
            <w:shd w:val="clear" w:color="000000" w:fill="EFD3D2"/>
            <w:hideMark/>
          </w:tcPr>
          <w:p w14:paraId="31FEF0B8" w14:textId="366E1F07" w:rsidR="00076580" w:rsidRPr="00A35DE3" w:rsidRDefault="004160E6" w:rsidP="00314C8A">
            <w:pPr>
              <w:pStyle w:val="ForTable"/>
            </w:pPr>
            <w:r w:rsidRPr="00A35DE3">
              <w:t>$21</w:t>
            </w:r>
            <w:r w:rsidR="00314C8A">
              <w:t>3,745</w:t>
            </w:r>
            <w:r w:rsidR="00076580" w:rsidRPr="00A35DE3">
              <w:t xml:space="preserve"> cpi indexed</w:t>
            </w:r>
          </w:p>
        </w:tc>
        <w:tc>
          <w:tcPr>
            <w:tcW w:w="1134" w:type="dxa"/>
            <w:tcBorders>
              <w:top w:val="nil"/>
              <w:left w:val="nil"/>
              <w:bottom w:val="dotted" w:sz="4" w:space="0" w:color="FFFFFF"/>
              <w:right w:val="dotted" w:sz="4" w:space="0" w:color="FFFFFF"/>
            </w:tcBorders>
            <w:shd w:val="clear" w:color="000000" w:fill="EFD3D2"/>
            <w:hideMark/>
          </w:tcPr>
          <w:p w14:paraId="1C65A11B" w14:textId="37C3A5CB" w:rsidR="00076580" w:rsidRPr="00A35DE3" w:rsidRDefault="00076580" w:rsidP="009D48CC">
            <w:pPr>
              <w:pStyle w:val="ForTable"/>
            </w:pPr>
            <w:r w:rsidRPr="00A35DE3">
              <w:t>Up to $1</w:t>
            </w:r>
            <w:r w:rsidR="009D48CC">
              <w:t>83</w:t>
            </w:r>
            <w:r w:rsidRPr="00A35DE3">
              <w:t>,</w:t>
            </w:r>
            <w:r w:rsidR="009D48CC">
              <w:t>034</w:t>
            </w:r>
            <w:r w:rsidRPr="00A35DE3">
              <w:t>.</w:t>
            </w:r>
            <w:r w:rsidR="009D48CC">
              <w:t>84</w:t>
            </w:r>
            <w:r w:rsidRPr="00A35DE3">
              <w:t xml:space="preserve"> permanent impairment + up to $6</w:t>
            </w:r>
            <w:r w:rsidR="009D48CC">
              <w:t>8</w:t>
            </w:r>
            <w:r w:rsidRPr="00A35DE3">
              <w:t>,</w:t>
            </w:r>
            <w:r w:rsidR="009D48CC">
              <w:t>638</w:t>
            </w:r>
            <w:r w:rsidRPr="00A35DE3">
              <w:t>.</w:t>
            </w:r>
            <w:r w:rsidR="009D48CC">
              <w:t>10</w:t>
            </w:r>
            <w:r w:rsidRPr="00A35DE3">
              <w:t xml:space="preserve"> non-economic loss</w:t>
            </w:r>
          </w:p>
        </w:tc>
      </w:tr>
      <w:tr w:rsidR="00A35DE3" w:rsidRPr="00A35DE3" w14:paraId="5B1B1523" w14:textId="77777777" w:rsidTr="00A35DE3">
        <w:trPr>
          <w:cantSplit/>
          <w:trHeight w:val="2721"/>
        </w:trPr>
        <w:tc>
          <w:tcPr>
            <w:tcW w:w="1149" w:type="dxa"/>
            <w:tcBorders>
              <w:top w:val="nil"/>
              <w:left w:val="dotted" w:sz="4" w:space="0" w:color="FFFFFF"/>
              <w:bottom w:val="dotted" w:sz="4" w:space="0" w:color="FFFFFF"/>
              <w:right w:val="dotted" w:sz="4" w:space="0" w:color="FFFFFF"/>
            </w:tcBorders>
            <w:shd w:val="clear" w:color="auto" w:fill="auto"/>
            <w:hideMark/>
          </w:tcPr>
          <w:p w14:paraId="62152CD3" w14:textId="77777777" w:rsidR="00076580" w:rsidRPr="00A35DE3" w:rsidRDefault="00076580" w:rsidP="00F84459">
            <w:pPr>
              <w:pStyle w:val="ForTable"/>
              <w:rPr>
                <w:b/>
              </w:rPr>
            </w:pPr>
            <w:r w:rsidRPr="00A35DE3">
              <w:rPr>
                <w:b/>
              </w:rPr>
              <w:t>Limits– medical and hospital</w:t>
            </w:r>
          </w:p>
        </w:tc>
        <w:tc>
          <w:tcPr>
            <w:tcW w:w="1276" w:type="dxa"/>
            <w:tcBorders>
              <w:top w:val="nil"/>
              <w:left w:val="nil"/>
              <w:bottom w:val="dotted" w:sz="4" w:space="0" w:color="FFFFFF"/>
              <w:right w:val="dotted" w:sz="4" w:space="0" w:color="FFFFFF"/>
            </w:tcBorders>
            <w:shd w:val="clear" w:color="auto" w:fill="auto"/>
            <w:hideMark/>
          </w:tcPr>
          <w:p w14:paraId="61657EFB" w14:textId="77777777" w:rsidR="00076580" w:rsidRPr="00A35DE3" w:rsidRDefault="004B6C07" w:rsidP="00F84459">
            <w:pPr>
              <w:pStyle w:val="ForTable"/>
            </w:pPr>
            <w:r w:rsidRPr="00A35DE3">
              <w:t>$50,</w:t>
            </w:r>
            <w:r w:rsidR="00076580" w:rsidRPr="00A35DE3">
              <w:t>000 or greater amount fixed by the Authority and published in the Gazette or directed by W</w:t>
            </w:r>
            <w:r w:rsidRPr="00A35DE3">
              <w:t>orkers’ Compensation Commission</w:t>
            </w:r>
            <w:r w:rsidR="00076580" w:rsidRPr="00A35DE3">
              <w:rPr>
                <w:vertAlign w:val="superscript"/>
              </w:rPr>
              <w:t>(c)</w:t>
            </w:r>
          </w:p>
        </w:tc>
        <w:tc>
          <w:tcPr>
            <w:tcW w:w="1134" w:type="dxa"/>
            <w:tcBorders>
              <w:top w:val="nil"/>
              <w:left w:val="nil"/>
              <w:bottom w:val="dotted" w:sz="4" w:space="0" w:color="FFFFFF"/>
              <w:right w:val="dotted" w:sz="4" w:space="0" w:color="FFFFFF"/>
            </w:tcBorders>
            <w:shd w:val="clear" w:color="auto" w:fill="auto"/>
            <w:hideMark/>
          </w:tcPr>
          <w:p w14:paraId="0DC55C59" w14:textId="77777777" w:rsidR="00076580" w:rsidRPr="00A35DE3" w:rsidRDefault="00076580" w:rsidP="00F84459">
            <w:pPr>
              <w:pStyle w:val="ForTable"/>
            </w:pPr>
            <w:r w:rsidRPr="00A35DE3">
              <w:t>52 weeks from cessation of weekly payments</w:t>
            </w:r>
            <w:r w:rsidR="00A35DE3">
              <w:t xml:space="preserve"> </w:t>
            </w:r>
            <w:r w:rsidRPr="00A35DE3">
              <w:rPr>
                <w:vertAlign w:val="superscript"/>
              </w:rPr>
              <w:t>(d)</w:t>
            </w:r>
          </w:p>
        </w:tc>
        <w:tc>
          <w:tcPr>
            <w:tcW w:w="3260" w:type="dxa"/>
            <w:tcBorders>
              <w:top w:val="nil"/>
              <w:left w:val="nil"/>
              <w:bottom w:val="dotted" w:sz="4" w:space="0" w:color="FFFFFF"/>
              <w:right w:val="dotted" w:sz="4" w:space="0" w:color="FFFFFF"/>
            </w:tcBorders>
            <w:shd w:val="clear" w:color="auto" w:fill="auto"/>
            <w:hideMark/>
          </w:tcPr>
          <w:p w14:paraId="67746ACB" w14:textId="77777777" w:rsidR="004B6C07" w:rsidRPr="00A35DE3" w:rsidRDefault="00076580" w:rsidP="00F84459">
            <w:pPr>
              <w:pStyle w:val="ForTable"/>
            </w:pPr>
            <w:r w:rsidRPr="00A35DE3">
              <w:t>Medical - no limit.</w:t>
            </w:r>
            <w:r w:rsidR="00FB0257" w:rsidRPr="00A35DE3">
              <w:t xml:space="preserve"> </w:t>
            </w:r>
          </w:p>
          <w:p w14:paraId="7831CAE1" w14:textId="77777777" w:rsidR="00076580" w:rsidRPr="00A35DE3" w:rsidRDefault="00076580" w:rsidP="00F84459">
            <w:pPr>
              <w:pStyle w:val="ForTable"/>
            </w:pPr>
            <w:r w:rsidRPr="00A35DE3">
              <w:t>Hospital -</w:t>
            </w:r>
            <w:r w:rsidR="00FB0257" w:rsidRPr="00A35DE3">
              <w:t xml:space="preserve"> </w:t>
            </w:r>
            <w:r w:rsidRPr="00A35DE3">
              <w:t>4 days (&gt;4 days if reasonable)</w:t>
            </w:r>
          </w:p>
        </w:tc>
        <w:tc>
          <w:tcPr>
            <w:tcW w:w="1276" w:type="dxa"/>
            <w:tcBorders>
              <w:top w:val="nil"/>
              <w:left w:val="nil"/>
              <w:bottom w:val="dotted" w:sz="4" w:space="0" w:color="FFFFFF"/>
              <w:right w:val="dotted" w:sz="4" w:space="0" w:color="FFFFFF"/>
            </w:tcBorders>
            <w:shd w:val="clear" w:color="auto" w:fill="auto"/>
            <w:hideMark/>
          </w:tcPr>
          <w:p w14:paraId="2941117A" w14:textId="3910B13B" w:rsidR="00076580" w:rsidRPr="00A35DE3" w:rsidRDefault="00076580" w:rsidP="001E1343">
            <w:pPr>
              <w:pStyle w:val="ForTable"/>
            </w:pPr>
            <w:r w:rsidRPr="00A35DE3">
              <w:t>$6</w:t>
            </w:r>
            <w:r w:rsidR="001E1343">
              <w:t>6</w:t>
            </w:r>
            <w:r w:rsidRPr="00A35DE3">
              <w:t>,3</w:t>
            </w:r>
            <w:r w:rsidR="001E1343">
              <w:t>567</w:t>
            </w:r>
            <w:r w:rsidR="00FB0257" w:rsidRPr="00A35DE3">
              <w:t xml:space="preserve"> </w:t>
            </w:r>
            <w:r w:rsidRPr="00A35DE3">
              <w:t>+ $50,000 in special circumstances</w:t>
            </w:r>
          </w:p>
        </w:tc>
        <w:tc>
          <w:tcPr>
            <w:tcW w:w="1843" w:type="dxa"/>
            <w:tcBorders>
              <w:top w:val="nil"/>
              <w:left w:val="nil"/>
              <w:bottom w:val="dotted" w:sz="4" w:space="0" w:color="FFFFFF"/>
              <w:right w:val="dotted" w:sz="4" w:space="0" w:color="FFFFFF"/>
            </w:tcBorders>
            <w:shd w:val="clear" w:color="auto" w:fill="auto"/>
            <w:hideMark/>
          </w:tcPr>
          <w:p w14:paraId="404832FD" w14:textId="77777777" w:rsidR="00076580" w:rsidRPr="00A35DE3" w:rsidRDefault="00076580" w:rsidP="00F84459">
            <w:pPr>
              <w:pStyle w:val="ForTable"/>
            </w:pPr>
            <w:r w:rsidRPr="00A35DE3">
              <w:t>Not limited in time for workers taken to be seriously injured. Non-seriously injured workers' entitlement ceases after the worker has not had an entitlement to income support for a continuous period of 12 months or, if the worker has not had an entitlement to income support, after a period of 12 months.</w:t>
            </w:r>
          </w:p>
        </w:tc>
        <w:tc>
          <w:tcPr>
            <w:tcW w:w="1402" w:type="dxa"/>
            <w:tcBorders>
              <w:top w:val="nil"/>
              <w:left w:val="nil"/>
              <w:bottom w:val="dotted" w:sz="4" w:space="0" w:color="FFFFFF"/>
              <w:right w:val="dotted" w:sz="4" w:space="0" w:color="FFFFFF"/>
            </w:tcBorders>
            <w:shd w:val="clear" w:color="auto" w:fill="auto"/>
            <w:hideMark/>
          </w:tcPr>
          <w:p w14:paraId="2CD8DA32" w14:textId="77777777" w:rsidR="00076580" w:rsidRPr="00A35DE3" w:rsidRDefault="00076580" w:rsidP="00F84459">
            <w:pPr>
              <w:pStyle w:val="ForTable"/>
            </w:pPr>
            <w:r w:rsidRPr="00A35DE3">
              <w:t>No limits but entitlements cease one year following the cessation of weekly benefits, or if not entitled to weekly benefits, one year following the date the claim is made</w:t>
            </w:r>
          </w:p>
        </w:tc>
        <w:tc>
          <w:tcPr>
            <w:tcW w:w="1008" w:type="dxa"/>
            <w:tcBorders>
              <w:top w:val="nil"/>
              <w:left w:val="nil"/>
              <w:bottom w:val="dotted" w:sz="4" w:space="0" w:color="FFFFFF"/>
              <w:right w:val="dotted" w:sz="4" w:space="0" w:color="FFFFFF"/>
            </w:tcBorders>
            <w:shd w:val="clear" w:color="auto" w:fill="auto"/>
            <w:hideMark/>
          </w:tcPr>
          <w:p w14:paraId="1637722E" w14:textId="77777777" w:rsidR="00076580" w:rsidRPr="00A35DE3" w:rsidRDefault="00F84459" w:rsidP="00F84459">
            <w:pPr>
              <w:pStyle w:val="ForTable"/>
            </w:pPr>
            <w:r w:rsidRPr="00A35DE3">
              <w:t>No limit</w:t>
            </w:r>
          </w:p>
        </w:tc>
        <w:tc>
          <w:tcPr>
            <w:tcW w:w="992" w:type="dxa"/>
            <w:tcBorders>
              <w:top w:val="nil"/>
              <w:left w:val="nil"/>
              <w:bottom w:val="dotted" w:sz="4" w:space="0" w:color="FFFFFF"/>
              <w:right w:val="dotted" w:sz="4" w:space="0" w:color="FFFFFF"/>
            </w:tcBorders>
            <w:shd w:val="clear" w:color="auto" w:fill="auto"/>
            <w:hideMark/>
          </w:tcPr>
          <w:p w14:paraId="68240329" w14:textId="77777777" w:rsidR="00076580" w:rsidRPr="00A35DE3" w:rsidRDefault="00F84459" w:rsidP="00F84459">
            <w:pPr>
              <w:pStyle w:val="ForTable"/>
            </w:pPr>
            <w:r w:rsidRPr="00A35DE3">
              <w:t>No limit</w:t>
            </w:r>
          </w:p>
        </w:tc>
        <w:tc>
          <w:tcPr>
            <w:tcW w:w="1134" w:type="dxa"/>
            <w:tcBorders>
              <w:top w:val="nil"/>
              <w:left w:val="nil"/>
              <w:bottom w:val="dotted" w:sz="4" w:space="0" w:color="FFFFFF"/>
              <w:right w:val="dotted" w:sz="4" w:space="0" w:color="FFFFFF"/>
            </w:tcBorders>
            <w:shd w:val="clear" w:color="auto" w:fill="auto"/>
            <w:hideMark/>
          </w:tcPr>
          <w:p w14:paraId="489A1B6E" w14:textId="77777777" w:rsidR="00076580" w:rsidRPr="00A35DE3" w:rsidRDefault="00F84459" w:rsidP="00F84459">
            <w:pPr>
              <w:pStyle w:val="ForTable"/>
            </w:pPr>
            <w:r w:rsidRPr="00A35DE3">
              <w:t>No limit</w:t>
            </w:r>
          </w:p>
        </w:tc>
      </w:tr>
      <w:tr w:rsidR="004B6C07" w:rsidRPr="00A35DE3" w14:paraId="4C6A4162" w14:textId="77777777" w:rsidTr="00A35DE3">
        <w:trPr>
          <w:cantSplit/>
          <w:trHeight w:val="340"/>
        </w:trPr>
        <w:tc>
          <w:tcPr>
            <w:tcW w:w="1149" w:type="dxa"/>
            <w:vMerge w:val="restart"/>
            <w:tcBorders>
              <w:top w:val="nil"/>
              <w:left w:val="dotted" w:sz="4" w:space="0" w:color="FFFFFF"/>
              <w:bottom w:val="dotted" w:sz="4" w:space="0" w:color="FFFFFF"/>
              <w:right w:val="dotted" w:sz="4" w:space="0" w:color="FFFFFF"/>
            </w:tcBorders>
            <w:shd w:val="clear" w:color="000000" w:fill="EFD3D2"/>
            <w:hideMark/>
          </w:tcPr>
          <w:p w14:paraId="3906D92D" w14:textId="77777777" w:rsidR="00076580" w:rsidRPr="00A35DE3" w:rsidRDefault="00F84459" w:rsidP="00F84459">
            <w:pPr>
              <w:pStyle w:val="ForTable"/>
              <w:rPr>
                <w:b/>
              </w:rPr>
            </w:pPr>
            <w:r w:rsidRPr="00A35DE3">
              <w:rPr>
                <w:b/>
              </w:rPr>
              <w:t>Death benefits (all jurisdictions pay funeral expenses to differing amounts)</w:t>
            </w:r>
          </w:p>
        </w:tc>
        <w:tc>
          <w:tcPr>
            <w:tcW w:w="1276" w:type="dxa"/>
            <w:vMerge w:val="restart"/>
            <w:tcBorders>
              <w:top w:val="nil"/>
              <w:left w:val="dotted" w:sz="4" w:space="0" w:color="FFFFFF"/>
              <w:bottom w:val="dotted" w:sz="4" w:space="0" w:color="FFFFFF"/>
              <w:right w:val="dotted" w:sz="4" w:space="0" w:color="FFFFFF"/>
            </w:tcBorders>
            <w:shd w:val="clear" w:color="000000" w:fill="EFD3D2"/>
            <w:hideMark/>
          </w:tcPr>
          <w:p w14:paraId="678D3DCD" w14:textId="77777777" w:rsidR="003330CA" w:rsidRPr="003330CA" w:rsidRDefault="003330CA" w:rsidP="003330CA">
            <w:pPr>
              <w:jc w:val="left"/>
              <w:rPr>
                <w:rFonts w:cs="Arial"/>
                <w:sz w:val="16"/>
                <w:szCs w:val="16"/>
              </w:rPr>
            </w:pPr>
            <w:r w:rsidRPr="00206FF7">
              <w:rPr>
                <w:rFonts w:cs="Arial"/>
                <w:sz w:val="16"/>
                <w:szCs w:val="16"/>
              </w:rPr>
              <w:t>$765,650 + $137.10pw for each dependant child</w:t>
            </w:r>
          </w:p>
          <w:p w14:paraId="56C657AE" w14:textId="5CBA0636" w:rsidR="00076580" w:rsidRPr="00A35DE3" w:rsidRDefault="00076580" w:rsidP="00F84459">
            <w:pPr>
              <w:pStyle w:val="ForTable"/>
            </w:pPr>
          </w:p>
        </w:tc>
        <w:tc>
          <w:tcPr>
            <w:tcW w:w="1134" w:type="dxa"/>
            <w:vMerge w:val="restart"/>
            <w:tcBorders>
              <w:top w:val="nil"/>
              <w:left w:val="dotted" w:sz="4" w:space="0" w:color="FFFFFF"/>
              <w:bottom w:val="dotted" w:sz="4" w:space="0" w:color="FFFFFF"/>
              <w:right w:val="dotted" w:sz="4" w:space="0" w:color="FFFFFF"/>
            </w:tcBorders>
            <w:shd w:val="clear" w:color="000000" w:fill="EFD3D2"/>
            <w:hideMark/>
          </w:tcPr>
          <w:p w14:paraId="121EA13B" w14:textId="7DEBD514" w:rsidR="00076580" w:rsidRPr="00A35DE3" w:rsidRDefault="00F84459" w:rsidP="00D07DF2">
            <w:pPr>
              <w:pStyle w:val="ForTable"/>
            </w:pPr>
            <w:r w:rsidRPr="00A35DE3">
              <w:t>$</w:t>
            </w:r>
            <w:r w:rsidR="00D07DF2">
              <w:t>589,650</w:t>
            </w:r>
            <w:r w:rsidRPr="00A35DE3">
              <w:t xml:space="preserve"> (shared) + pre-injury earnings-related pensions to a maximum of $2</w:t>
            </w:r>
            <w:r w:rsidR="004B6C07" w:rsidRPr="00A35DE3">
              <w:t>,</w:t>
            </w:r>
            <w:r w:rsidRPr="00A35DE3">
              <w:t>1</w:t>
            </w:r>
            <w:r w:rsidR="005272E7">
              <w:t>5</w:t>
            </w:r>
            <w:r w:rsidRPr="00A35DE3">
              <w:t xml:space="preserve">0 pw for </w:t>
            </w:r>
            <w:r w:rsidR="000452DF">
              <w:t>dependant</w:t>
            </w:r>
            <w:r w:rsidRPr="00A35DE3">
              <w:t xml:space="preserve"> partner/s and children </w:t>
            </w:r>
          </w:p>
        </w:tc>
        <w:tc>
          <w:tcPr>
            <w:tcW w:w="3260" w:type="dxa"/>
            <w:vMerge w:val="restart"/>
            <w:tcBorders>
              <w:top w:val="nil"/>
              <w:left w:val="dotted" w:sz="4" w:space="0" w:color="FFFFFF"/>
              <w:bottom w:val="dotted" w:sz="4" w:space="0" w:color="FFFFFF"/>
              <w:right w:val="dotted" w:sz="4" w:space="0" w:color="FFFFFF"/>
            </w:tcBorders>
            <w:shd w:val="clear" w:color="000000" w:fill="EFD3D2"/>
            <w:hideMark/>
          </w:tcPr>
          <w:p w14:paraId="3C1C00F1" w14:textId="77777777" w:rsidR="00076580" w:rsidRPr="00A35DE3" w:rsidRDefault="00F84459" w:rsidP="004B6C07">
            <w:pPr>
              <w:pStyle w:val="ForTable"/>
            </w:pPr>
            <w:r w:rsidRPr="00A35DE3">
              <w:t>$589</w:t>
            </w:r>
            <w:r w:rsidR="004B6C07" w:rsidRPr="00A35DE3">
              <w:t>,</w:t>
            </w:r>
            <w:r w:rsidRPr="00A35DE3">
              <w:t xml:space="preserve">875 for total dependency + </w:t>
            </w:r>
            <w:r w:rsidR="000452DF">
              <w:t>dependant</w:t>
            </w:r>
            <w:r w:rsidRPr="00A35DE3">
              <w:t>s under 16 or students (under 21, receiving full time education) $145.70 p</w:t>
            </w:r>
            <w:r w:rsidR="004B6C07" w:rsidRPr="00A35DE3">
              <w:t>w</w:t>
            </w:r>
            <w:r w:rsidRPr="00A35DE3">
              <w:t xml:space="preserve"> paid quarterly. If totally </w:t>
            </w:r>
            <w:r w:rsidR="000452DF">
              <w:t>dependant</w:t>
            </w:r>
            <w:r w:rsidRPr="00A35DE3">
              <w:t xml:space="preserve"> spouse the following additional sums - $15</w:t>
            </w:r>
            <w:r w:rsidR="004B6C07" w:rsidRPr="00A35DE3">
              <w:t>,</w:t>
            </w:r>
            <w:r w:rsidRPr="00A35DE3">
              <w:t xml:space="preserve">770 for spouse + if </w:t>
            </w:r>
            <w:r w:rsidR="000452DF">
              <w:t>dependant</w:t>
            </w:r>
            <w:r w:rsidRPr="00A35DE3">
              <w:t>s under 16 or students an additional $31</w:t>
            </w:r>
            <w:r w:rsidR="004B6C07" w:rsidRPr="00A35DE3">
              <w:t>,</w:t>
            </w:r>
            <w:r w:rsidRPr="00A35DE3">
              <w:t xml:space="preserve">520 for each member other than spouse + while </w:t>
            </w:r>
            <w:r w:rsidR="000452DF">
              <w:t>dependant</w:t>
            </w:r>
            <w:r w:rsidRPr="00A35DE3">
              <w:t xml:space="preserve">s under 6, to the spouse $116.60 per week paid quarterly. If there a no </w:t>
            </w:r>
            <w:r w:rsidR="000452DF">
              <w:t>dependant</w:t>
            </w:r>
            <w:r w:rsidRPr="00A35DE3">
              <w:t>s (spouse, issue, next of kin) to the estate $58</w:t>
            </w:r>
            <w:r w:rsidR="004B6C07" w:rsidRPr="00A35DE3">
              <w:t>,</w:t>
            </w:r>
            <w:r w:rsidRPr="00A35DE3">
              <w:t>990. If death of worker under 21, to the parent/s $35</w:t>
            </w:r>
            <w:r w:rsidR="004B6C07" w:rsidRPr="00A35DE3">
              <w:t>,</w:t>
            </w:r>
            <w:r w:rsidRPr="00A35DE3">
              <w:t>450.</w:t>
            </w:r>
          </w:p>
        </w:tc>
        <w:tc>
          <w:tcPr>
            <w:tcW w:w="1276" w:type="dxa"/>
            <w:vMerge w:val="restart"/>
            <w:tcBorders>
              <w:top w:val="nil"/>
              <w:left w:val="dotted" w:sz="4" w:space="0" w:color="FFFFFF"/>
              <w:bottom w:val="dotted" w:sz="4" w:space="0" w:color="FFFFFF"/>
              <w:right w:val="dotted" w:sz="4" w:space="0" w:color="FFFFFF"/>
            </w:tcBorders>
            <w:shd w:val="clear" w:color="000000" w:fill="EFD3D2"/>
            <w:hideMark/>
          </w:tcPr>
          <w:p w14:paraId="195CF359" w14:textId="09C61495" w:rsidR="00F84459" w:rsidRPr="00A35DE3" w:rsidRDefault="00F84459" w:rsidP="00F84459">
            <w:pPr>
              <w:pStyle w:val="ForTable"/>
            </w:pPr>
            <w:r w:rsidRPr="00A35DE3">
              <w:t>$</w:t>
            </w:r>
            <w:r w:rsidR="001E1343">
              <w:t>304,185</w:t>
            </w:r>
            <w:r w:rsidRPr="00A35DE3">
              <w:t xml:space="preserve"> + $5</w:t>
            </w:r>
            <w:r w:rsidR="001E1343">
              <w:t>8</w:t>
            </w:r>
            <w:r w:rsidRPr="00A35DE3">
              <w:t>.10 pw for each dependant child + max of $6</w:t>
            </w:r>
            <w:r w:rsidR="001E1343">
              <w:t>6</w:t>
            </w:r>
            <w:r w:rsidRPr="00A35DE3">
              <w:t>,</w:t>
            </w:r>
            <w:r w:rsidR="001E1343">
              <w:t>567</w:t>
            </w:r>
            <w:r w:rsidRPr="00A35DE3">
              <w:t xml:space="preserve"> for medical expenses </w:t>
            </w:r>
          </w:p>
          <w:p w14:paraId="1DF04FFC" w14:textId="77777777" w:rsidR="00076580" w:rsidRPr="00A35DE3" w:rsidRDefault="00076580" w:rsidP="00F84459">
            <w:pPr>
              <w:pStyle w:val="ForTable"/>
            </w:pPr>
          </w:p>
        </w:tc>
        <w:tc>
          <w:tcPr>
            <w:tcW w:w="1843" w:type="dxa"/>
            <w:vMerge w:val="restart"/>
            <w:tcBorders>
              <w:top w:val="nil"/>
              <w:left w:val="dotted" w:sz="4" w:space="0" w:color="FFFFFF"/>
              <w:bottom w:val="dotted" w:sz="4" w:space="0" w:color="FFFFFF"/>
              <w:right w:val="dotted" w:sz="4" w:space="0" w:color="FFFFFF"/>
            </w:tcBorders>
            <w:shd w:val="clear" w:color="000000" w:fill="EFD3D2"/>
            <w:hideMark/>
          </w:tcPr>
          <w:p w14:paraId="2739484C" w14:textId="7E54BF37" w:rsidR="00076580" w:rsidRPr="00A35DE3" w:rsidRDefault="004B6C07" w:rsidP="00EE0FC0">
            <w:pPr>
              <w:pStyle w:val="ForTable"/>
            </w:pPr>
            <w:r w:rsidRPr="00A35DE3">
              <w:t>$</w:t>
            </w:r>
            <w:r w:rsidR="00EE0FC0">
              <w:t>493,393</w:t>
            </w:r>
            <w:r w:rsidRPr="00A35DE3">
              <w:t xml:space="preserve"> + 50 per cent</w:t>
            </w:r>
            <w:r w:rsidR="00F84459" w:rsidRPr="00A35DE3">
              <w:t xml:space="preserve"> of deceased worker's NWE t</w:t>
            </w:r>
            <w:r w:rsidRPr="00A35DE3">
              <w:t xml:space="preserve">o totally </w:t>
            </w:r>
            <w:r w:rsidR="000452DF">
              <w:t>dependant</w:t>
            </w:r>
            <w:r w:rsidRPr="00A35DE3">
              <w:t xml:space="preserve"> spouse + 25 per cent</w:t>
            </w:r>
            <w:r w:rsidR="00F84459" w:rsidRPr="00A35DE3">
              <w:t xml:space="preserve"> of worker's NWE to totally </w:t>
            </w:r>
            <w:r w:rsidR="000452DF">
              <w:t>dependant</w:t>
            </w:r>
            <w:r w:rsidRPr="00A35DE3">
              <w:t xml:space="preserve"> orphaned child + 12.5 per cent</w:t>
            </w:r>
            <w:r w:rsidR="00F84459" w:rsidRPr="00A35DE3">
              <w:t xml:space="preserve"> of worker's NWE to totally </w:t>
            </w:r>
            <w:r w:rsidR="000452DF">
              <w:t>dependant</w:t>
            </w:r>
            <w:r w:rsidR="00F84459" w:rsidRPr="00A35DE3">
              <w:t xml:space="preserve"> non-orphaned child.</w:t>
            </w:r>
          </w:p>
        </w:tc>
        <w:tc>
          <w:tcPr>
            <w:tcW w:w="1402" w:type="dxa"/>
            <w:vMerge w:val="restart"/>
            <w:tcBorders>
              <w:top w:val="nil"/>
              <w:left w:val="dotted" w:sz="4" w:space="0" w:color="FFFFFF"/>
              <w:bottom w:val="dotted" w:sz="4" w:space="0" w:color="FFFFFF"/>
              <w:right w:val="dotted" w:sz="4" w:space="0" w:color="FFFFFF"/>
            </w:tcBorders>
            <w:shd w:val="clear" w:color="000000" w:fill="EFD3D2"/>
            <w:hideMark/>
          </w:tcPr>
          <w:p w14:paraId="5B97459A" w14:textId="5071B6ED" w:rsidR="00076580" w:rsidRPr="00A35DE3" w:rsidRDefault="00F84459" w:rsidP="00E0430C">
            <w:pPr>
              <w:pStyle w:val="ForTable"/>
            </w:pPr>
            <w:r w:rsidRPr="00A35DE3">
              <w:t>$</w:t>
            </w:r>
            <w:r w:rsidR="00E0430C">
              <w:t>355,169</w:t>
            </w:r>
            <w:r w:rsidRPr="00A35DE3">
              <w:t xml:space="preserve"> +100</w:t>
            </w:r>
            <w:r w:rsidR="004B6C07" w:rsidRPr="00A35DE3">
              <w:t> per cent</w:t>
            </w:r>
            <w:r w:rsidRPr="00A35DE3">
              <w:t xml:space="preserve"> weekly</w:t>
            </w:r>
            <w:r w:rsidR="004B6C07" w:rsidRPr="00A35DE3">
              <w:t xml:space="preserve"> payment 0-26 weeks, 90 per cent weekly payment 27-78 weeks, 80 per cent</w:t>
            </w:r>
            <w:r w:rsidRPr="00A35DE3">
              <w:t xml:space="preserve"> weekly payment 79-104 weeks + $12</w:t>
            </w:r>
            <w:r w:rsidR="00E0430C">
              <w:t>8.37</w:t>
            </w:r>
            <w:r w:rsidR="004B6C07" w:rsidRPr="00A35DE3">
              <w:t xml:space="preserve"> </w:t>
            </w:r>
            <w:r w:rsidRPr="00A35DE3">
              <w:t>pw for each dependant child</w:t>
            </w:r>
          </w:p>
        </w:tc>
        <w:tc>
          <w:tcPr>
            <w:tcW w:w="1008" w:type="dxa"/>
            <w:vMerge w:val="restart"/>
            <w:tcBorders>
              <w:top w:val="nil"/>
              <w:left w:val="dotted" w:sz="4" w:space="0" w:color="FFFFFF"/>
              <w:bottom w:val="dotted" w:sz="4" w:space="0" w:color="FFFFFF"/>
              <w:right w:val="dotted" w:sz="4" w:space="0" w:color="FFFFFF"/>
            </w:tcBorders>
            <w:shd w:val="clear" w:color="000000" w:fill="EFD3D2"/>
            <w:hideMark/>
          </w:tcPr>
          <w:p w14:paraId="55561569" w14:textId="5F1F3835" w:rsidR="00076580" w:rsidRPr="00A35DE3" w:rsidRDefault="004B6C07" w:rsidP="00A80048">
            <w:pPr>
              <w:pStyle w:val="ForTable"/>
            </w:pPr>
            <w:r w:rsidRPr="00A35DE3">
              <w:t>$</w:t>
            </w:r>
            <w:r w:rsidR="00A80048">
              <w:t>571,371</w:t>
            </w:r>
            <w:r w:rsidR="00F84459" w:rsidRPr="00A35DE3">
              <w:t xml:space="preserve"> plus $1</w:t>
            </w:r>
            <w:r w:rsidR="007D34F4">
              <w:t>5</w:t>
            </w:r>
            <w:r w:rsidR="00A80048">
              <w:t>6.97</w:t>
            </w:r>
            <w:r w:rsidR="00F84459" w:rsidRPr="00A35DE3">
              <w:t xml:space="preserve"> </w:t>
            </w:r>
            <w:r w:rsidRPr="00A35DE3">
              <w:t>pw</w:t>
            </w:r>
            <w:r w:rsidR="00F84459" w:rsidRPr="00A35DE3">
              <w:t xml:space="preserve"> for each dependant child to max of 10 children</w:t>
            </w:r>
          </w:p>
        </w:tc>
        <w:tc>
          <w:tcPr>
            <w:tcW w:w="992" w:type="dxa"/>
            <w:vMerge w:val="restart"/>
            <w:tcBorders>
              <w:top w:val="nil"/>
              <w:left w:val="dotted" w:sz="4" w:space="0" w:color="FFFFFF"/>
              <w:bottom w:val="dotted" w:sz="4" w:space="0" w:color="FFFFFF"/>
              <w:right w:val="dotted" w:sz="4" w:space="0" w:color="FFFFFF"/>
            </w:tcBorders>
            <w:shd w:val="clear" w:color="000000" w:fill="EFD3D2"/>
            <w:hideMark/>
          </w:tcPr>
          <w:p w14:paraId="62804FA2" w14:textId="686A5BDE" w:rsidR="00F84459" w:rsidRPr="00314C8A" w:rsidRDefault="00F84459" w:rsidP="00F84459">
            <w:pPr>
              <w:pStyle w:val="ForTable"/>
            </w:pPr>
            <w:r w:rsidRPr="00A35DE3">
              <w:t>$21</w:t>
            </w:r>
            <w:r w:rsidR="00314C8A">
              <w:t>3</w:t>
            </w:r>
            <w:r w:rsidRPr="00A35DE3">
              <w:t>,7</w:t>
            </w:r>
            <w:r w:rsidR="00314C8A">
              <w:t>45</w:t>
            </w:r>
            <w:r w:rsidRPr="00A35DE3">
              <w:t xml:space="preserve"> + $7</w:t>
            </w:r>
            <w:r w:rsidR="00314C8A">
              <w:t>1</w:t>
            </w:r>
            <w:r w:rsidRPr="00A35DE3">
              <w:t xml:space="preserve">.25 pw for each dependant </w:t>
            </w:r>
            <w:r w:rsidRPr="00314C8A">
              <w:t>child</w:t>
            </w:r>
            <w:r w:rsidR="00314C8A" w:rsidRPr="00314C8A">
              <w:t xml:space="preserve"> (CPI indexed</w:t>
            </w:r>
            <w:r w:rsidR="00314C8A">
              <w:t xml:space="preserve"> as of 1</w:t>
            </w:r>
            <w:r w:rsidR="00314C8A" w:rsidRPr="00314C8A">
              <w:rPr>
                <w:vertAlign w:val="superscript"/>
              </w:rPr>
              <w:t>st</w:t>
            </w:r>
            <w:r w:rsidR="00314C8A">
              <w:t xml:space="preserve"> Jan, 2017. Funeral benefits $5,620)</w:t>
            </w:r>
          </w:p>
          <w:p w14:paraId="6F7BE8AB" w14:textId="77777777" w:rsidR="00076580" w:rsidRPr="00A35DE3" w:rsidRDefault="00076580" w:rsidP="00F84459">
            <w:pPr>
              <w:pStyle w:val="ForTable"/>
            </w:pPr>
          </w:p>
        </w:tc>
        <w:tc>
          <w:tcPr>
            <w:tcW w:w="1134" w:type="dxa"/>
            <w:tcBorders>
              <w:top w:val="nil"/>
              <w:left w:val="nil"/>
              <w:bottom w:val="nil"/>
              <w:right w:val="dotted" w:sz="4" w:space="0" w:color="FFFFFF"/>
            </w:tcBorders>
            <w:shd w:val="clear" w:color="000000" w:fill="EFD3D2"/>
            <w:hideMark/>
          </w:tcPr>
          <w:p w14:paraId="7F99DAC2" w14:textId="516B3ADF" w:rsidR="00076580" w:rsidRPr="00A35DE3" w:rsidRDefault="00F84459" w:rsidP="009D48CC">
            <w:pPr>
              <w:pStyle w:val="ForTable"/>
            </w:pPr>
            <w:r w:rsidRPr="00A35DE3">
              <w:t>$5</w:t>
            </w:r>
            <w:r w:rsidR="009D48CC">
              <w:t>28</w:t>
            </w:r>
            <w:r w:rsidRPr="00A35DE3">
              <w:t>,</w:t>
            </w:r>
            <w:r w:rsidR="009D48CC">
              <w:t>43370</w:t>
            </w:r>
            <w:r w:rsidRPr="00A35DE3">
              <w:t xml:space="preserve"> lump sum + up to $11,</w:t>
            </w:r>
            <w:r w:rsidR="009D48CC">
              <w:t>654.06</w:t>
            </w:r>
            <w:r w:rsidRPr="00A35DE3">
              <w:t xml:space="preserve"> funeral + up to $14</w:t>
            </w:r>
            <w:r w:rsidR="009D48CC">
              <w:t>5</w:t>
            </w:r>
            <w:r w:rsidRPr="00A35DE3">
              <w:t>.3</w:t>
            </w:r>
            <w:r w:rsidR="009D48CC">
              <w:t>2</w:t>
            </w:r>
            <w:r w:rsidRPr="00A35DE3">
              <w:t xml:space="preserve"> pw for each dependant child</w:t>
            </w:r>
          </w:p>
        </w:tc>
      </w:tr>
      <w:tr w:rsidR="00A35DE3" w:rsidRPr="00076580" w14:paraId="55E3969F" w14:textId="77777777" w:rsidTr="00A35DE3">
        <w:trPr>
          <w:trHeight w:val="811"/>
        </w:trPr>
        <w:tc>
          <w:tcPr>
            <w:tcW w:w="1149" w:type="dxa"/>
            <w:vMerge/>
            <w:tcBorders>
              <w:top w:val="nil"/>
              <w:left w:val="dotted" w:sz="4" w:space="0" w:color="FFFFFF"/>
              <w:bottom w:val="dotted" w:sz="4" w:space="0" w:color="FFFFFF"/>
              <w:right w:val="dotted" w:sz="4" w:space="0" w:color="FFFFFF"/>
            </w:tcBorders>
            <w:hideMark/>
          </w:tcPr>
          <w:p w14:paraId="235B1EA6" w14:textId="77777777" w:rsidR="00076580" w:rsidRPr="00076580" w:rsidRDefault="00076580" w:rsidP="00076580">
            <w:pPr>
              <w:spacing w:before="0"/>
              <w:jc w:val="left"/>
              <w:rPr>
                <w:rFonts w:cs="Arial"/>
                <w:b/>
                <w:bCs/>
                <w:color w:val="000000"/>
                <w:sz w:val="16"/>
                <w:szCs w:val="16"/>
              </w:rPr>
            </w:pPr>
          </w:p>
        </w:tc>
        <w:tc>
          <w:tcPr>
            <w:tcW w:w="1276" w:type="dxa"/>
            <w:vMerge/>
            <w:tcBorders>
              <w:top w:val="nil"/>
              <w:left w:val="dotted" w:sz="4" w:space="0" w:color="FFFFFF"/>
              <w:bottom w:val="dotted" w:sz="4" w:space="0" w:color="FFFFFF"/>
              <w:right w:val="dotted" w:sz="4" w:space="0" w:color="FFFFFF"/>
            </w:tcBorders>
            <w:hideMark/>
          </w:tcPr>
          <w:p w14:paraId="79B39C2B" w14:textId="77777777" w:rsidR="00076580" w:rsidRPr="00076580" w:rsidRDefault="00076580" w:rsidP="00076580">
            <w:pPr>
              <w:spacing w:before="0"/>
              <w:jc w:val="left"/>
              <w:rPr>
                <w:rFonts w:cs="Arial"/>
                <w:color w:val="000000"/>
                <w:sz w:val="16"/>
                <w:szCs w:val="16"/>
              </w:rPr>
            </w:pPr>
          </w:p>
        </w:tc>
        <w:tc>
          <w:tcPr>
            <w:tcW w:w="1134" w:type="dxa"/>
            <w:vMerge/>
            <w:tcBorders>
              <w:top w:val="nil"/>
              <w:left w:val="dotted" w:sz="4" w:space="0" w:color="FFFFFF"/>
              <w:bottom w:val="dotted" w:sz="4" w:space="0" w:color="FFFFFF"/>
              <w:right w:val="dotted" w:sz="4" w:space="0" w:color="FFFFFF"/>
            </w:tcBorders>
            <w:hideMark/>
          </w:tcPr>
          <w:p w14:paraId="7A7B23F7" w14:textId="77777777" w:rsidR="00076580" w:rsidRPr="00076580" w:rsidRDefault="00076580" w:rsidP="00076580">
            <w:pPr>
              <w:spacing w:before="0"/>
              <w:jc w:val="left"/>
              <w:rPr>
                <w:rFonts w:cs="Arial"/>
                <w:color w:val="000000"/>
                <w:sz w:val="16"/>
                <w:szCs w:val="16"/>
              </w:rPr>
            </w:pPr>
          </w:p>
        </w:tc>
        <w:tc>
          <w:tcPr>
            <w:tcW w:w="3260" w:type="dxa"/>
            <w:vMerge/>
            <w:tcBorders>
              <w:top w:val="nil"/>
              <w:left w:val="dotted" w:sz="4" w:space="0" w:color="FFFFFF"/>
              <w:bottom w:val="dotted" w:sz="4" w:space="0" w:color="FFFFFF"/>
              <w:right w:val="dotted" w:sz="4" w:space="0" w:color="FFFFFF"/>
            </w:tcBorders>
            <w:hideMark/>
          </w:tcPr>
          <w:p w14:paraId="611FAECB" w14:textId="77777777" w:rsidR="00076580" w:rsidRPr="00076580" w:rsidRDefault="00076580" w:rsidP="00076580">
            <w:pPr>
              <w:spacing w:before="0"/>
              <w:jc w:val="left"/>
              <w:rPr>
                <w:rFonts w:cs="Arial"/>
                <w:color w:val="000000"/>
                <w:sz w:val="16"/>
                <w:szCs w:val="16"/>
              </w:rPr>
            </w:pPr>
          </w:p>
        </w:tc>
        <w:tc>
          <w:tcPr>
            <w:tcW w:w="1276" w:type="dxa"/>
            <w:vMerge/>
            <w:tcBorders>
              <w:top w:val="nil"/>
              <w:left w:val="dotted" w:sz="4" w:space="0" w:color="FFFFFF"/>
              <w:bottom w:val="dotted" w:sz="4" w:space="0" w:color="FFFFFF"/>
              <w:right w:val="dotted" w:sz="4" w:space="0" w:color="FFFFFF"/>
            </w:tcBorders>
            <w:hideMark/>
          </w:tcPr>
          <w:p w14:paraId="17818986" w14:textId="77777777" w:rsidR="00076580" w:rsidRPr="00076580" w:rsidRDefault="00076580" w:rsidP="00076580">
            <w:pPr>
              <w:spacing w:before="0"/>
              <w:jc w:val="left"/>
              <w:rPr>
                <w:rFonts w:cs="Arial"/>
                <w:color w:val="000000"/>
                <w:sz w:val="16"/>
                <w:szCs w:val="16"/>
              </w:rPr>
            </w:pPr>
          </w:p>
        </w:tc>
        <w:tc>
          <w:tcPr>
            <w:tcW w:w="1843" w:type="dxa"/>
            <w:vMerge/>
            <w:tcBorders>
              <w:top w:val="nil"/>
              <w:left w:val="dotted" w:sz="4" w:space="0" w:color="FFFFFF"/>
              <w:bottom w:val="dotted" w:sz="4" w:space="0" w:color="FFFFFF"/>
              <w:right w:val="dotted" w:sz="4" w:space="0" w:color="FFFFFF"/>
            </w:tcBorders>
            <w:hideMark/>
          </w:tcPr>
          <w:p w14:paraId="5F85A31C" w14:textId="77777777" w:rsidR="00076580" w:rsidRPr="00076580" w:rsidRDefault="00076580" w:rsidP="00076580">
            <w:pPr>
              <w:spacing w:before="0"/>
              <w:jc w:val="left"/>
              <w:rPr>
                <w:rFonts w:cs="Arial"/>
                <w:color w:val="000000"/>
                <w:sz w:val="16"/>
                <w:szCs w:val="16"/>
              </w:rPr>
            </w:pPr>
          </w:p>
        </w:tc>
        <w:tc>
          <w:tcPr>
            <w:tcW w:w="1402" w:type="dxa"/>
            <w:vMerge/>
            <w:tcBorders>
              <w:top w:val="nil"/>
              <w:left w:val="dotted" w:sz="4" w:space="0" w:color="FFFFFF"/>
              <w:bottom w:val="dotted" w:sz="4" w:space="0" w:color="FFFFFF"/>
              <w:right w:val="dotted" w:sz="4" w:space="0" w:color="FFFFFF"/>
            </w:tcBorders>
            <w:hideMark/>
          </w:tcPr>
          <w:p w14:paraId="24CF4350" w14:textId="77777777" w:rsidR="00076580" w:rsidRPr="00076580" w:rsidRDefault="00076580" w:rsidP="00076580">
            <w:pPr>
              <w:spacing w:before="0"/>
              <w:jc w:val="left"/>
              <w:rPr>
                <w:rFonts w:cs="Arial"/>
                <w:color w:val="000000"/>
                <w:sz w:val="16"/>
                <w:szCs w:val="16"/>
              </w:rPr>
            </w:pPr>
          </w:p>
        </w:tc>
        <w:tc>
          <w:tcPr>
            <w:tcW w:w="1008" w:type="dxa"/>
            <w:vMerge/>
            <w:tcBorders>
              <w:top w:val="nil"/>
              <w:left w:val="dotted" w:sz="4" w:space="0" w:color="FFFFFF"/>
              <w:bottom w:val="dotted" w:sz="4" w:space="0" w:color="FFFFFF"/>
              <w:right w:val="dotted" w:sz="4" w:space="0" w:color="FFFFFF"/>
            </w:tcBorders>
            <w:hideMark/>
          </w:tcPr>
          <w:p w14:paraId="3E561B3F" w14:textId="77777777" w:rsidR="00076580" w:rsidRPr="00076580" w:rsidRDefault="00076580" w:rsidP="00076580">
            <w:pPr>
              <w:spacing w:before="0"/>
              <w:jc w:val="left"/>
              <w:rPr>
                <w:rFonts w:cs="Arial"/>
                <w:color w:val="000000"/>
                <w:sz w:val="16"/>
                <w:szCs w:val="16"/>
              </w:rPr>
            </w:pPr>
          </w:p>
        </w:tc>
        <w:tc>
          <w:tcPr>
            <w:tcW w:w="992" w:type="dxa"/>
            <w:vMerge/>
            <w:tcBorders>
              <w:top w:val="nil"/>
              <w:left w:val="dotted" w:sz="4" w:space="0" w:color="FFFFFF"/>
              <w:bottom w:val="dotted" w:sz="4" w:space="0" w:color="FFFFFF"/>
              <w:right w:val="dotted" w:sz="4" w:space="0" w:color="FFFFFF"/>
            </w:tcBorders>
            <w:hideMark/>
          </w:tcPr>
          <w:p w14:paraId="086008CC" w14:textId="77777777" w:rsidR="00076580" w:rsidRPr="00076580" w:rsidRDefault="00076580" w:rsidP="00076580">
            <w:pPr>
              <w:spacing w:before="0"/>
              <w:jc w:val="left"/>
              <w:rPr>
                <w:rFonts w:cs="Arial"/>
                <w:color w:val="000000"/>
                <w:sz w:val="16"/>
                <w:szCs w:val="16"/>
              </w:rPr>
            </w:pPr>
          </w:p>
        </w:tc>
        <w:tc>
          <w:tcPr>
            <w:tcW w:w="1134" w:type="dxa"/>
            <w:tcBorders>
              <w:top w:val="nil"/>
              <w:left w:val="nil"/>
              <w:bottom w:val="nil"/>
              <w:right w:val="dotted" w:sz="4" w:space="0" w:color="FFFFFF"/>
            </w:tcBorders>
            <w:shd w:val="clear" w:color="000000" w:fill="EFD3D2"/>
          </w:tcPr>
          <w:p w14:paraId="673E2378" w14:textId="77777777" w:rsidR="00076580" w:rsidRPr="00076580" w:rsidRDefault="00076580" w:rsidP="00076580">
            <w:pPr>
              <w:spacing w:before="0"/>
              <w:jc w:val="left"/>
              <w:rPr>
                <w:rFonts w:cs="Arial"/>
                <w:color w:val="000000"/>
                <w:sz w:val="16"/>
                <w:szCs w:val="16"/>
              </w:rPr>
            </w:pPr>
          </w:p>
        </w:tc>
      </w:tr>
    </w:tbl>
    <w:p w14:paraId="17163E69" w14:textId="164DE193" w:rsidR="00CE00EC" w:rsidRPr="008975CD" w:rsidRDefault="008975CD" w:rsidP="004160E6">
      <w:pPr>
        <w:pStyle w:val="Footnotecompressed"/>
        <w:numPr>
          <w:ilvl w:val="0"/>
          <w:numId w:val="14"/>
        </w:numPr>
        <w:ind w:left="284" w:hanging="426"/>
        <w:rPr>
          <w:sz w:val="14"/>
          <w:szCs w:val="14"/>
        </w:rPr>
      </w:pPr>
      <w:r w:rsidRPr="0080470E">
        <w:rPr>
          <w:rFonts w:eastAsia="Times New Roman"/>
          <w:sz w:val="14"/>
          <w:szCs w:val="14"/>
          <w:lang w:eastAsia="en-AU"/>
        </w:rPr>
        <w:t xml:space="preserve">PI amounts increased as part of the </w:t>
      </w:r>
      <w:r w:rsidR="001D2906">
        <w:rPr>
          <w:rFonts w:eastAsia="Times New Roman"/>
          <w:sz w:val="14"/>
          <w:szCs w:val="14"/>
          <w:lang w:eastAsia="en-AU"/>
        </w:rPr>
        <w:t xml:space="preserve">legislative amendments in </w:t>
      </w:r>
      <w:r w:rsidRPr="0080470E">
        <w:rPr>
          <w:rFonts w:eastAsia="Times New Roman"/>
          <w:sz w:val="14"/>
          <w:szCs w:val="14"/>
          <w:lang w:eastAsia="en-AU"/>
        </w:rPr>
        <w:t>2015 reforms. For injuries on or after 5 August 2015, the maximum amount payable (for</w:t>
      </w:r>
      <w:r w:rsidRPr="008975CD">
        <w:rPr>
          <w:sz w:val="14"/>
          <w:szCs w:val="14"/>
        </w:rPr>
        <w:t xml:space="preserve"> </w:t>
      </w:r>
      <w:r w:rsidRPr="0080470E">
        <w:rPr>
          <w:rFonts w:eastAsia="Times New Roman"/>
          <w:sz w:val="14"/>
          <w:szCs w:val="14"/>
          <w:lang w:eastAsia="en-AU"/>
        </w:rPr>
        <w:t>PI 75% and above)</w:t>
      </w:r>
      <w:r w:rsidRPr="008975CD">
        <w:rPr>
          <w:rFonts w:eastAsia="Times New Roman"/>
          <w:lang w:eastAsia="en-AU"/>
        </w:rPr>
        <w:t xml:space="preserve"> </w:t>
      </w:r>
      <w:r w:rsidRPr="0080470E">
        <w:rPr>
          <w:rFonts w:eastAsia="Times New Roman"/>
          <w:lang w:eastAsia="en-AU"/>
        </w:rPr>
        <w:t xml:space="preserve">is </w:t>
      </w:r>
      <w:r w:rsidRPr="0080470E">
        <w:rPr>
          <w:rFonts w:eastAsia="Times New Roman"/>
          <w:sz w:val="14"/>
          <w:szCs w:val="14"/>
          <w:lang w:eastAsia="en-AU"/>
        </w:rPr>
        <w:t>$584,580. The amounts are subject to indexation - this is the amount applicable from 1 July 2017</w:t>
      </w:r>
      <w:r>
        <w:rPr>
          <w:rFonts w:eastAsia="Times New Roman"/>
          <w:sz w:val="14"/>
          <w:szCs w:val="14"/>
          <w:lang w:eastAsia="en-AU"/>
        </w:rPr>
        <w:t>.</w:t>
      </w:r>
      <w:r w:rsidRPr="008975CD">
        <w:rPr>
          <w:rFonts w:eastAsia="Times New Roman"/>
          <w:sz w:val="14"/>
          <w:szCs w:val="14"/>
          <w:lang w:eastAsia="en-AU"/>
        </w:rPr>
        <w:t xml:space="preserve"> </w:t>
      </w:r>
      <w:r w:rsidRPr="0080470E">
        <w:rPr>
          <w:rFonts w:eastAsia="Times New Roman"/>
          <w:sz w:val="14"/>
          <w:szCs w:val="14"/>
          <w:lang w:eastAsia="en-AU"/>
        </w:rPr>
        <w:t>Workers exempt from the June 2012 legislative changes to the NSW workers’ compensation system may also be entitled to pain and suffering lump sum compensation (max $50,000)</w:t>
      </w:r>
      <w:r w:rsidRPr="0080470E">
        <w:rPr>
          <w:rFonts w:eastAsia="Times New Roman"/>
          <w:lang w:eastAsia="en-AU"/>
        </w:rPr>
        <w:t>.</w:t>
      </w:r>
    </w:p>
    <w:p w14:paraId="4B650428" w14:textId="77777777" w:rsidR="00CE00EC" w:rsidRPr="00A35DE3" w:rsidRDefault="00CE00EC" w:rsidP="007A0E5C">
      <w:pPr>
        <w:pStyle w:val="Footnotecompressed"/>
        <w:numPr>
          <w:ilvl w:val="0"/>
          <w:numId w:val="9"/>
        </w:numPr>
        <w:ind w:left="284" w:hanging="426"/>
        <w:rPr>
          <w:sz w:val="14"/>
        </w:rPr>
      </w:pPr>
      <w:r w:rsidRPr="00A35DE3">
        <w:rPr>
          <w:sz w:val="14"/>
        </w:rPr>
        <w:t xml:space="preserve">Lump sum shared under statutory formulae between spouse and children. Pension payable to partner for 3 years and to children until age of 16 (or 21 in full-time study). </w:t>
      </w:r>
    </w:p>
    <w:p w14:paraId="7D5D4D57" w14:textId="5E824335" w:rsidR="004160E6" w:rsidRPr="00A35DE3" w:rsidRDefault="008975CD" w:rsidP="004160E6">
      <w:pPr>
        <w:pStyle w:val="Footnotecompressed"/>
        <w:numPr>
          <w:ilvl w:val="0"/>
          <w:numId w:val="9"/>
        </w:numPr>
        <w:ind w:left="284" w:hanging="426"/>
        <w:rPr>
          <w:sz w:val="14"/>
        </w:rPr>
      </w:pPr>
      <w:r w:rsidRPr="00206FF7">
        <w:rPr>
          <w:rFonts w:eastAsia="Times New Roman"/>
          <w:sz w:val="14"/>
          <w:szCs w:val="14"/>
          <w:lang w:eastAsia="en-AU"/>
        </w:rPr>
        <w:t>F</w:t>
      </w:r>
      <w:r w:rsidRPr="00F867D1">
        <w:rPr>
          <w:rFonts w:eastAsia="Times New Roman"/>
          <w:sz w:val="14"/>
          <w:szCs w:val="14"/>
          <w:lang w:eastAsia="en-AU"/>
        </w:rPr>
        <w:t>or workers with a PI between 11% and 20%, the period extends up to five years, and for workers with a PI &gt;20% entitlement to medical treatment and services for life.</w:t>
      </w:r>
      <w:r>
        <w:rPr>
          <w:rFonts w:eastAsia="Times New Roman"/>
          <w:sz w:val="14"/>
          <w:szCs w:val="14"/>
          <w:lang w:eastAsia="en-AU"/>
        </w:rPr>
        <w:t xml:space="preserve"> </w:t>
      </w:r>
      <w:r w:rsidRPr="00206FF7">
        <w:rPr>
          <w:rFonts w:eastAsia="Times New Roman"/>
          <w:sz w:val="14"/>
          <w:szCs w:val="14"/>
          <w:lang w:eastAsia="en-AU"/>
        </w:rPr>
        <w:t>S</w:t>
      </w:r>
      <w:r w:rsidRPr="00F867D1">
        <w:rPr>
          <w:rFonts w:eastAsia="Times New Roman"/>
          <w:sz w:val="14"/>
          <w:szCs w:val="14"/>
          <w:lang w:eastAsia="en-AU"/>
        </w:rPr>
        <w:t>ome entitlements continue for life, including: provision of crutches, artificial members, eyes or teeth and other artificial aids or spectacles, including hearing aids and hearing aid batteries, home or vehicle modifications for life. Secondary surgery is also available for eligible workers</w:t>
      </w:r>
      <w:r w:rsidR="004160E6" w:rsidRPr="00A35DE3">
        <w:rPr>
          <w:sz w:val="14"/>
        </w:rPr>
        <w:t xml:space="preserve">. </w:t>
      </w:r>
    </w:p>
    <w:p w14:paraId="14EC071F" w14:textId="03AD8A14" w:rsidR="008E540E" w:rsidRPr="00405BF7" w:rsidRDefault="00CE00EC" w:rsidP="00405BF7">
      <w:pPr>
        <w:pStyle w:val="Footnotecompressed"/>
        <w:numPr>
          <w:ilvl w:val="0"/>
          <w:numId w:val="9"/>
        </w:numPr>
        <w:tabs>
          <w:tab w:val="left" w:pos="2522"/>
        </w:tabs>
        <w:ind w:left="284" w:hanging="426"/>
      </w:pPr>
      <w:r w:rsidRPr="00405BF7">
        <w:rPr>
          <w:sz w:val="14"/>
        </w:rPr>
        <w:t>Except for workers who receive pecuniary loss damages, receive a statutory voluntary settlement or meet statutory requirements for ongoing entitlement.</w:t>
      </w:r>
    </w:p>
    <w:p w14:paraId="1C4BA092" w14:textId="77777777" w:rsidR="00314C8A" w:rsidRPr="006A0703" w:rsidRDefault="00314C8A" w:rsidP="006A0703">
      <w:pPr>
        <w:tabs>
          <w:tab w:val="left" w:pos="2522"/>
        </w:tabs>
        <w:rPr>
          <w:lang w:val="en-US"/>
        </w:rPr>
        <w:sectPr w:rsidR="00314C8A" w:rsidRPr="006A0703" w:rsidSect="00A747CA">
          <w:headerReference w:type="default" r:id="rId91"/>
          <w:footerReference w:type="default" r:id="rId92"/>
          <w:pgSz w:w="16838" w:h="11906" w:orient="landscape"/>
          <w:pgMar w:top="1276" w:right="1440" w:bottom="1276" w:left="1440" w:header="708" w:footer="397" w:gutter="0"/>
          <w:cols w:space="242"/>
          <w:docGrid w:linePitch="360"/>
        </w:sectPr>
      </w:pPr>
    </w:p>
    <w:p w14:paraId="3DD9E40A" w14:textId="77777777" w:rsidR="006F15AC" w:rsidRDefault="006F15AC" w:rsidP="00EB7886">
      <w:pPr>
        <w:pStyle w:val="SWASectionnumberingheading"/>
      </w:pPr>
      <w:bookmarkStart w:id="46" w:name="_Toc4508784"/>
      <w:r>
        <w:lastRenderedPageBreak/>
        <w:t xml:space="preserve">Appendix </w:t>
      </w:r>
      <w:r w:rsidR="00EB7886">
        <w:t>3</w:t>
      </w:r>
      <w:r>
        <w:t xml:space="preserve"> – Jurisdictional contact information</w:t>
      </w:r>
      <w:bookmarkStart w:id="47" w:name="_GoBack"/>
      <w:bookmarkEnd w:id="46"/>
      <w:bookmarkEnd w:id="47"/>
    </w:p>
    <w:tbl>
      <w:tblPr>
        <w:tblStyle w:val="LightShading-Accent2"/>
        <w:tblW w:w="5310" w:type="pct"/>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689"/>
        <w:gridCol w:w="3499"/>
        <w:gridCol w:w="3182"/>
      </w:tblGrid>
      <w:tr w:rsidR="0032659F" w:rsidRPr="006F15AC" w14:paraId="727E8458" w14:textId="77777777" w:rsidTr="0014356C">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435" w:type="pct"/>
            <w:vAlign w:val="center"/>
          </w:tcPr>
          <w:p w14:paraId="6B0E1AD0" w14:textId="77777777" w:rsidR="0032659F" w:rsidRPr="006F15AC" w:rsidRDefault="0032659F" w:rsidP="001A409E">
            <w:pPr>
              <w:spacing w:before="0"/>
              <w:ind w:left="113"/>
              <w:jc w:val="center"/>
              <w:rPr>
                <w:rFonts w:cs="Arial"/>
                <w:szCs w:val="20"/>
              </w:rPr>
            </w:pPr>
            <w:r w:rsidRPr="006F15AC">
              <w:rPr>
                <w:rFonts w:cs="Arial"/>
                <w:szCs w:val="20"/>
              </w:rPr>
              <w:t>Jurisdiction</w:t>
            </w:r>
          </w:p>
        </w:tc>
        <w:tc>
          <w:tcPr>
            <w:tcW w:w="1867" w:type="pct"/>
            <w:vAlign w:val="center"/>
          </w:tcPr>
          <w:p w14:paraId="17278CD5" w14:textId="77777777" w:rsidR="0032659F" w:rsidRPr="006F15AC" w:rsidRDefault="0032659F" w:rsidP="001A409E">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Organisation</w:t>
            </w:r>
          </w:p>
        </w:tc>
        <w:tc>
          <w:tcPr>
            <w:tcW w:w="1698" w:type="pct"/>
            <w:vAlign w:val="center"/>
          </w:tcPr>
          <w:p w14:paraId="6352972D" w14:textId="77777777" w:rsidR="0032659F" w:rsidRPr="006F15AC" w:rsidRDefault="0032659F" w:rsidP="001A409E">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Contact details</w:t>
            </w:r>
          </w:p>
        </w:tc>
      </w:tr>
      <w:tr w:rsidR="00797A29" w:rsidRPr="006F15AC" w14:paraId="731B91A5" w14:textId="77777777" w:rsidTr="0014356C">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435" w:type="pct"/>
          </w:tcPr>
          <w:p w14:paraId="550B424C" w14:textId="77777777" w:rsidR="00797A29" w:rsidRDefault="00797A29" w:rsidP="00797A29">
            <w:pPr>
              <w:spacing w:before="0"/>
              <w:jc w:val="left"/>
              <w:rPr>
                <w:rFonts w:cs="Arial"/>
                <w:szCs w:val="20"/>
              </w:rPr>
            </w:pPr>
            <w:r w:rsidRPr="006F15AC">
              <w:rPr>
                <w:rFonts w:cs="Arial"/>
                <w:szCs w:val="20"/>
              </w:rPr>
              <w:t>New South Wales</w:t>
            </w:r>
          </w:p>
          <w:p w14:paraId="2F3049F1" w14:textId="77777777" w:rsidR="001D2906" w:rsidRDefault="001D2906" w:rsidP="00797A29">
            <w:pPr>
              <w:spacing w:before="0"/>
              <w:jc w:val="left"/>
              <w:rPr>
                <w:rFonts w:cs="Arial"/>
                <w:szCs w:val="20"/>
              </w:rPr>
            </w:pPr>
          </w:p>
          <w:p w14:paraId="7AA80C7E" w14:textId="52F8649C" w:rsidR="001D2906" w:rsidRPr="006F15AC" w:rsidRDefault="001D2906" w:rsidP="00797A29">
            <w:pPr>
              <w:spacing w:before="0"/>
              <w:jc w:val="left"/>
              <w:rPr>
                <w:rFonts w:cs="Arial"/>
                <w:szCs w:val="20"/>
              </w:rPr>
            </w:pPr>
          </w:p>
        </w:tc>
        <w:tc>
          <w:tcPr>
            <w:tcW w:w="1867" w:type="pct"/>
          </w:tcPr>
          <w:p w14:paraId="426E4034" w14:textId="02F9F383" w:rsidR="001D2906"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State Insurance Regulatory Authority</w:t>
            </w:r>
            <w:r w:rsidR="003417B3">
              <w:rPr>
                <w:rFonts w:cs="Arial"/>
                <w:szCs w:val="20"/>
              </w:rPr>
              <w:br/>
            </w:r>
          </w:p>
          <w:p w14:paraId="2E8BAB6D" w14:textId="77777777"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2E6F413B" w14:textId="77777777"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16102EDE" w14:textId="77777777" w:rsidR="00797A29"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SafeWork NSW</w:t>
            </w:r>
          </w:p>
          <w:p w14:paraId="60BC0961" w14:textId="77777777"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7548860F" w14:textId="77777777"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NSW Workers Compensation Commission</w:t>
            </w:r>
          </w:p>
          <w:p w14:paraId="615D7A82" w14:textId="5548276C"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4C1D2DEE" w14:textId="04DFFE13"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54129A25" w14:textId="6411DF85" w:rsidR="001D2906" w:rsidRPr="006F15AC"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Icare NSW</w:t>
            </w:r>
          </w:p>
        </w:tc>
        <w:tc>
          <w:tcPr>
            <w:tcW w:w="1698" w:type="pct"/>
          </w:tcPr>
          <w:p w14:paraId="68B06C1C" w14:textId="77777777" w:rsidR="00797A29" w:rsidRPr="00405BF7" w:rsidRDefault="001A760F"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93" w:tooltip="Link to State Insurance Regulatory Authority NSW website" w:history="1">
              <w:r w:rsidR="00797A29" w:rsidRPr="00405BF7">
                <w:rPr>
                  <w:rStyle w:val="Hyperlink"/>
                  <w:rFonts w:eastAsiaTheme="majorEastAsia"/>
                  <w:color w:val="auto"/>
                </w:rPr>
                <w:t>www.sira.nsw.gov.au</w:t>
              </w:r>
            </w:hyperlink>
          </w:p>
          <w:p w14:paraId="53305E57" w14:textId="6DD26EF3" w:rsidR="00797A29" w:rsidRPr="00405BF7" w:rsidRDefault="001A760F"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94" w:history="1">
              <w:r w:rsidR="001D2906" w:rsidRPr="00405BF7">
                <w:rPr>
                  <w:rStyle w:val="Hyperlink"/>
                  <w:rFonts w:eastAsiaTheme="majorEastAsia"/>
                  <w:color w:val="auto"/>
                </w:rPr>
                <w:t>contact@sira.nsw.gov.au</w:t>
              </w:r>
            </w:hyperlink>
          </w:p>
          <w:p w14:paraId="7C447AF3" w14:textId="77777777" w:rsidR="00797A29" w:rsidRPr="00405BF7"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405BF7">
              <w:rPr>
                <w:rFonts w:eastAsiaTheme="majorEastAsia"/>
              </w:rPr>
              <w:t>13 10 50</w:t>
            </w:r>
          </w:p>
          <w:p w14:paraId="37EF3668" w14:textId="11670DDC" w:rsidR="001D2906" w:rsidRPr="00405BF7"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405BF7">
              <w:rPr>
                <w:rFonts w:eastAsiaTheme="majorEastAsia"/>
              </w:rPr>
              <w:t>contact@safework.nsw.gov.au</w:t>
            </w:r>
          </w:p>
          <w:p w14:paraId="3EA0A6E2" w14:textId="5C88E324" w:rsidR="001D2906" w:rsidRPr="00405BF7" w:rsidRDefault="001A760F"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95" w:tooltip="SafeWork NSW website" w:history="1">
              <w:r w:rsidR="001D2906" w:rsidRPr="00405BF7">
                <w:rPr>
                  <w:rStyle w:val="Hyperlink"/>
                  <w:rFonts w:eastAsiaTheme="majorEastAsia"/>
                  <w:color w:val="auto"/>
                </w:rPr>
                <w:t>www.safework.nsw.gov.au</w:t>
              </w:r>
            </w:hyperlink>
          </w:p>
          <w:p w14:paraId="31A8A571" w14:textId="77777777"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p>
          <w:p w14:paraId="6D7DF4D5" w14:textId="0A5C5DE9"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Pr>
                <w:rFonts w:eastAsiaTheme="majorEastAsia"/>
              </w:rPr>
              <w:t>1300 368 040</w:t>
            </w:r>
          </w:p>
          <w:p w14:paraId="148B6194" w14:textId="55163D1B" w:rsidR="001D2906" w:rsidRPr="00405BF7" w:rsidRDefault="001A760F"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96" w:history="1">
              <w:r w:rsidR="001D2906" w:rsidRPr="00405BF7">
                <w:rPr>
                  <w:rStyle w:val="Hyperlink"/>
                  <w:rFonts w:eastAsiaTheme="majorEastAsia"/>
                  <w:color w:val="auto"/>
                </w:rPr>
                <w:t>registry@wcc.nsw.gov.au</w:t>
              </w:r>
            </w:hyperlink>
          </w:p>
          <w:p w14:paraId="79DD76D6" w14:textId="77777777" w:rsidR="007A554C" w:rsidRPr="007A554C" w:rsidRDefault="007A554C"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7A554C">
              <w:rPr>
                <w:rFonts w:eastAsiaTheme="majorEastAsia"/>
              </w:rPr>
              <w:fldChar w:fldCharType="begin"/>
            </w:r>
            <w:r w:rsidRPr="007A554C">
              <w:rPr>
                <w:rFonts w:eastAsiaTheme="majorEastAsia"/>
              </w:rPr>
              <w:instrText xml:space="preserve"> HYPERLINK "http://www.wcc.nsw.gov.au</w:instrText>
            </w:r>
          </w:p>
          <w:p w14:paraId="4024D69E" w14:textId="77777777" w:rsidR="007A554C" w:rsidRPr="007A554C" w:rsidRDefault="007A554C"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r w:rsidRPr="007A554C">
              <w:rPr>
                <w:rFonts w:eastAsiaTheme="majorEastAsia"/>
              </w:rPr>
              <w:instrText xml:space="preserve">" </w:instrText>
            </w:r>
            <w:r w:rsidRPr="007A554C">
              <w:rPr>
                <w:rFonts w:eastAsiaTheme="majorEastAsia"/>
              </w:rPr>
              <w:fldChar w:fldCharType="separate"/>
            </w:r>
            <w:r w:rsidRPr="007A554C">
              <w:rPr>
                <w:rStyle w:val="Hyperlink"/>
                <w:rFonts w:eastAsiaTheme="majorEastAsia"/>
                <w:color w:val="auto"/>
              </w:rPr>
              <w:t>www.wcc.nsw.gov.au</w:t>
            </w:r>
          </w:p>
          <w:p w14:paraId="01A0063A" w14:textId="79E95217" w:rsidR="001D2906" w:rsidRPr="001D2906" w:rsidRDefault="007A554C"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7A554C">
              <w:rPr>
                <w:rFonts w:eastAsiaTheme="majorEastAsia"/>
              </w:rPr>
              <w:fldChar w:fldCharType="end"/>
            </w:r>
            <w:hyperlink r:id="rId97" w:tooltip="icare NSW website" w:history="1">
              <w:r w:rsidR="001D2906" w:rsidRPr="00405BF7">
                <w:rPr>
                  <w:rStyle w:val="Hyperlink"/>
                  <w:rFonts w:eastAsiaTheme="majorEastAsia"/>
                  <w:color w:val="auto"/>
                </w:rPr>
                <w:t>www.icare.nsw.gov.au</w:t>
              </w:r>
            </w:hyperlink>
          </w:p>
        </w:tc>
      </w:tr>
      <w:tr w:rsidR="00797A29" w:rsidRPr="006F15AC" w14:paraId="17A778D3" w14:textId="77777777" w:rsidTr="001D2906">
        <w:trPr>
          <w:cnfStyle w:val="000000010000" w:firstRow="0" w:lastRow="0" w:firstColumn="0" w:lastColumn="0" w:oddVBand="0" w:evenVBand="0" w:oddHBand="0" w:evenHBand="1"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435" w:type="pct"/>
          </w:tcPr>
          <w:p w14:paraId="03AF5817" w14:textId="77777777" w:rsidR="00797A29" w:rsidRPr="006F15AC" w:rsidRDefault="00797A29" w:rsidP="00797A29">
            <w:pPr>
              <w:spacing w:before="0"/>
              <w:jc w:val="left"/>
              <w:rPr>
                <w:rFonts w:cs="Arial"/>
                <w:szCs w:val="20"/>
              </w:rPr>
            </w:pPr>
            <w:r w:rsidRPr="006F15AC">
              <w:rPr>
                <w:rFonts w:cs="Arial"/>
                <w:szCs w:val="20"/>
              </w:rPr>
              <w:t>Victoria</w:t>
            </w:r>
          </w:p>
        </w:tc>
        <w:tc>
          <w:tcPr>
            <w:tcW w:w="1867" w:type="pct"/>
          </w:tcPr>
          <w:p w14:paraId="78D30DA5" w14:textId="77777777"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Victoria</w:t>
            </w:r>
          </w:p>
        </w:tc>
        <w:tc>
          <w:tcPr>
            <w:tcW w:w="1698" w:type="pct"/>
          </w:tcPr>
          <w:p w14:paraId="53BF61FC" w14:textId="77777777"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Advisory Service 1800 136 089</w:t>
            </w:r>
          </w:p>
          <w:p w14:paraId="701EE1E0" w14:textId="77777777" w:rsidR="00797A29" w:rsidRPr="00A71A8E" w:rsidRDefault="001A760F"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98" w:history="1">
              <w:r w:rsidR="00797A29" w:rsidRPr="00A71A8E">
                <w:rPr>
                  <w:rStyle w:val="Hyperlink"/>
                  <w:rFonts w:eastAsiaTheme="majorEastAsia"/>
                  <w:color w:val="auto"/>
                </w:rPr>
                <w:t>info@worksafe.vic.gov.au</w:t>
              </w:r>
            </w:hyperlink>
          </w:p>
          <w:p w14:paraId="6BCC4CB4" w14:textId="77777777" w:rsidR="00797A29" w:rsidRPr="006F15AC" w:rsidRDefault="001A760F"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99" w:tooltip="Link to WorkSafe Victoria website" w:history="1">
              <w:r w:rsidR="00797A29" w:rsidRPr="00A71A8E">
                <w:rPr>
                  <w:rStyle w:val="Hyperlink"/>
                  <w:rFonts w:eastAsiaTheme="majorEastAsia"/>
                  <w:color w:val="auto"/>
                </w:rPr>
                <w:t>www.worksafe.vic.gov.au</w:t>
              </w:r>
            </w:hyperlink>
          </w:p>
        </w:tc>
      </w:tr>
      <w:tr w:rsidR="00797A29" w:rsidRPr="006F15AC" w14:paraId="07E98E06" w14:textId="77777777" w:rsidTr="001D2906">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435" w:type="pct"/>
          </w:tcPr>
          <w:p w14:paraId="0ED2EBA1" w14:textId="77777777" w:rsidR="00797A29" w:rsidRPr="006F15AC" w:rsidRDefault="00797A29" w:rsidP="00797A29">
            <w:pPr>
              <w:spacing w:before="0"/>
              <w:jc w:val="left"/>
              <w:rPr>
                <w:rFonts w:cs="Arial"/>
                <w:szCs w:val="20"/>
              </w:rPr>
            </w:pPr>
            <w:r w:rsidRPr="006F15AC">
              <w:rPr>
                <w:rFonts w:cs="Arial"/>
                <w:szCs w:val="20"/>
              </w:rPr>
              <w:t>Queensland</w:t>
            </w:r>
          </w:p>
        </w:tc>
        <w:tc>
          <w:tcPr>
            <w:tcW w:w="1867" w:type="pct"/>
          </w:tcPr>
          <w:p w14:paraId="4CA64313" w14:textId="77777777"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 Office of Industrial Relations </w:t>
            </w:r>
          </w:p>
        </w:tc>
        <w:tc>
          <w:tcPr>
            <w:tcW w:w="1698" w:type="pct"/>
          </w:tcPr>
          <w:p w14:paraId="21680399" w14:textId="77777777"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Infoline 1300 362 128</w:t>
            </w:r>
          </w:p>
          <w:p w14:paraId="2E5EDA4D" w14:textId="77777777" w:rsidR="00797A29" w:rsidRPr="006F15AC" w:rsidRDefault="001A760F"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00" w:history="1">
              <w:r w:rsidR="00797A29" w:rsidRPr="00A71A8E">
                <w:rPr>
                  <w:rStyle w:val="Hyperlink"/>
                  <w:rFonts w:eastAsiaTheme="majorEastAsia"/>
                  <w:color w:val="auto"/>
                </w:rPr>
                <w:t>www.worksafe.qld.gov.au</w:t>
              </w:r>
            </w:hyperlink>
          </w:p>
        </w:tc>
      </w:tr>
      <w:tr w:rsidR="00797A29" w:rsidRPr="006F15AC" w14:paraId="0535E63C" w14:textId="77777777" w:rsidTr="001D2906">
        <w:trPr>
          <w:cnfStyle w:val="000000010000" w:firstRow="0" w:lastRow="0" w:firstColumn="0" w:lastColumn="0" w:oddVBand="0" w:evenVBand="0" w:oddHBand="0" w:evenHBand="1"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435" w:type="pct"/>
          </w:tcPr>
          <w:p w14:paraId="25FA2BB0" w14:textId="77777777" w:rsidR="00797A29" w:rsidRPr="006F15AC" w:rsidRDefault="00797A29" w:rsidP="00797A29">
            <w:pPr>
              <w:spacing w:before="0"/>
              <w:jc w:val="left"/>
              <w:rPr>
                <w:rFonts w:cs="Arial"/>
                <w:szCs w:val="20"/>
              </w:rPr>
            </w:pPr>
            <w:r w:rsidRPr="006F15AC">
              <w:rPr>
                <w:rFonts w:cs="Arial"/>
                <w:szCs w:val="20"/>
              </w:rPr>
              <w:t>Western Australia</w:t>
            </w:r>
          </w:p>
        </w:tc>
        <w:tc>
          <w:tcPr>
            <w:tcW w:w="1867" w:type="pct"/>
          </w:tcPr>
          <w:p w14:paraId="096AB890" w14:textId="77777777"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WorkCover WA</w:t>
            </w:r>
          </w:p>
          <w:p w14:paraId="5E371393" w14:textId="77777777"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p w14:paraId="01F6CF24" w14:textId="77777777"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Department of Mines, Industry Regulation and Safety</w:t>
            </w:r>
            <w:r>
              <w:rPr>
                <w:rFonts w:cs="Arial"/>
                <w:szCs w:val="20"/>
              </w:rPr>
              <w:t>–</w:t>
            </w:r>
            <w:r w:rsidRPr="006F15AC">
              <w:rPr>
                <w:rFonts w:cs="Arial"/>
                <w:szCs w:val="20"/>
              </w:rPr>
              <w:t xml:space="preserve"> </w:t>
            </w:r>
            <w:r>
              <w:rPr>
                <w:rFonts w:cs="Arial"/>
                <w:szCs w:val="20"/>
              </w:rPr>
              <w:t xml:space="preserve">WorkSafe </w:t>
            </w:r>
          </w:p>
        </w:tc>
        <w:tc>
          <w:tcPr>
            <w:tcW w:w="1698" w:type="pct"/>
          </w:tcPr>
          <w:p w14:paraId="7475384B" w14:textId="77777777"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(08) 9388 5555</w:t>
            </w:r>
          </w:p>
          <w:p w14:paraId="4FFD997F" w14:textId="77777777" w:rsidR="00797A29" w:rsidRPr="00A71A8E" w:rsidRDefault="001A760F"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101" w:tooltip="Link to WorkCover WA website" w:history="1">
              <w:r w:rsidR="00797A29" w:rsidRPr="00A71A8E">
                <w:rPr>
                  <w:rStyle w:val="Hyperlink"/>
                  <w:rFonts w:eastAsiaTheme="majorEastAsia"/>
                  <w:color w:val="auto"/>
                </w:rPr>
                <w:t>www.workcover.wa.gov.au</w:t>
              </w:r>
            </w:hyperlink>
          </w:p>
          <w:p w14:paraId="4EF67E78" w14:textId="77777777"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1300 307 877</w:t>
            </w:r>
          </w:p>
          <w:p w14:paraId="615E998F" w14:textId="77777777" w:rsidR="00797A29" w:rsidRPr="006F15AC" w:rsidRDefault="001A760F" w:rsidP="00797A29">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102" w:tooltip="Link to Department of Mines, Industry Regulation and Safety– WorkSafe website" w:history="1">
              <w:r w:rsidR="00797A29" w:rsidRPr="00A71A8E">
                <w:rPr>
                  <w:rStyle w:val="Hyperlink"/>
                  <w:rFonts w:eastAsiaTheme="majorEastAsia"/>
                  <w:color w:val="auto"/>
                </w:rPr>
                <w:t>www.dmirs.wa.gov.au</w:t>
              </w:r>
            </w:hyperlink>
          </w:p>
        </w:tc>
      </w:tr>
      <w:tr w:rsidR="00797A29" w:rsidRPr="006F15AC" w14:paraId="63F4775D" w14:textId="77777777" w:rsidTr="0014356C">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435" w:type="pct"/>
          </w:tcPr>
          <w:p w14:paraId="7FCE32C2" w14:textId="77777777" w:rsidR="00797A29" w:rsidRPr="006F15AC" w:rsidRDefault="00797A29" w:rsidP="00797A29">
            <w:pPr>
              <w:spacing w:before="0"/>
              <w:jc w:val="left"/>
              <w:rPr>
                <w:rFonts w:cs="Arial"/>
                <w:szCs w:val="20"/>
              </w:rPr>
            </w:pPr>
            <w:r w:rsidRPr="006F15AC">
              <w:rPr>
                <w:rFonts w:cs="Arial"/>
                <w:szCs w:val="20"/>
              </w:rPr>
              <w:t>South Australia</w:t>
            </w:r>
          </w:p>
        </w:tc>
        <w:tc>
          <w:tcPr>
            <w:tcW w:w="1867" w:type="pct"/>
          </w:tcPr>
          <w:p w14:paraId="247E27B3" w14:textId="77777777"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ReturnToWorkSA</w:t>
            </w:r>
          </w:p>
          <w:p w14:paraId="16C5D52C" w14:textId="77777777"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3E8FB5FA" w14:textId="77777777"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SafeWork SA</w:t>
            </w:r>
          </w:p>
        </w:tc>
        <w:tc>
          <w:tcPr>
            <w:tcW w:w="1698" w:type="pct"/>
          </w:tcPr>
          <w:p w14:paraId="2A450C1E" w14:textId="77777777"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13 18 55</w:t>
            </w:r>
          </w:p>
          <w:p w14:paraId="35EE9BA3" w14:textId="77777777" w:rsidR="00797A29" w:rsidRPr="00A71A8E" w:rsidRDefault="001A760F"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103" w:tooltip="Link to Return to Work SA website" w:history="1">
              <w:r w:rsidR="00797A29" w:rsidRPr="00A71A8E">
                <w:rPr>
                  <w:rStyle w:val="Hyperlink"/>
                  <w:rFonts w:eastAsiaTheme="majorEastAsia"/>
                  <w:color w:val="auto"/>
                </w:rPr>
                <w:t>www.rtwsa.com</w:t>
              </w:r>
            </w:hyperlink>
          </w:p>
          <w:p w14:paraId="1DD593A9" w14:textId="77777777"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1300 365 255</w:t>
            </w:r>
          </w:p>
          <w:p w14:paraId="258E6CE6" w14:textId="77777777" w:rsidR="00797A29" w:rsidRPr="006F15AC" w:rsidRDefault="001A760F"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04" w:tooltip="Link to SafeWork SA website" w:history="1">
              <w:r w:rsidR="00797A29" w:rsidRPr="00A71A8E">
                <w:rPr>
                  <w:rStyle w:val="Hyperlink"/>
                  <w:rFonts w:eastAsiaTheme="majorEastAsia"/>
                  <w:color w:val="auto"/>
                </w:rPr>
                <w:t>www.safework.sa.gov.au</w:t>
              </w:r>
            </w:hyperlink>
          </w:p>
        </w:tc>
      </w:tr>
      <w:tr w:rsidR="00797A29" w:rsidRPr="006F15AC" w14:paraId="2027F075" w14:textId="77777777" w:rsidTr="0014356C">
        <w:trPr>
          <w:cnfStyle w:val="000000010000" w:firstRow="0" w:lastRow="0" w:firstColumn="0" w:lastColumn="0" w:oddVBand="0" w:evenVBand="0" w:oddHBand="0" w:evenHBand="1"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1435" w:type="pct"/>
          </w:tcPr>
          <w:p w14:paraId="34941363" w14:textId="77777777" w:rsidR="00797A29" w:rsidRPr="006F15AC" w:rsidRDefault="00797A29" w:rsidP="00797A29">
            <w:pPr>
              <w:spacing w:before="0"/>
              <w:jc w:val="left"/>
              <w:rPr>
                <w:rFonts w:cs="Arial"/>
                <w:szCs w:val="20"/>
              </w:rPr>
            </w:pPr>
            <w:r w:rsidRPr="006F15AC">
              <w:rPr>
                <w:rFonts w:cs="Arial"/>
                <w:szCs w:val="20"/>
              </w:rPr>
              <w:t>Tasmania</w:t>
            </w:r>
          </w:p>
        </w:tc>
        <w:tc>
          <w:tcPr>
            <w:tcW w:w="1867" w:type="pct"/>
          </w:tcPr>
          <w:p w14:paraId="2FB88652" w14:textId="77777777"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Tasmania</w:t>
            </w:r>
          </w:p>
          <w:p w14:paraId="5505CAF5" w14:textId="77777777"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tc>
        <w:tc>
          <w:tcPr>
            <w:tcW w:w="1698" w:type="pct"/>
          </w:tcPr>
          <w:p w14:paraId="18CE3105" w14:textId="77777777"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366 322 (inside Tas)</w:t>
            </w:r>
          </w:p>
          <w:p w14:paraId="393B39B3" w14:textId="77777777"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(03) 6166 4600 (outside Tas)</w:t>
            </w:r>
          </w:p>
          <w:p w14:paraId="30215A4D" w14:textId="77777777" w:rsidR="00797A29" w:rsidRPr="00A71A8E" w:rsidRDefault="001A760F"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105" w:history="1">
              <w:r w:rsidR="00797A29" w:rsidRPr="00A71A8E">
                <w:rPr>
                  <w:rStyle w:val="Hyperlink"/>
                  <w:rFonts w:eastAsiaTheme="majorEastAsia"/>
                  <w:color w:val="auto"/>
                </w:rPr>
                <w:t>wstinfo@justice.tas.gov.au</w:t>
              </w:r>
            </w:hyperlink>
          </w:p>
          <w:p w14:paraId="0A920063" w14:textId="77777777" w:rsidR="00797A29" w:rsidRPr="00A71A8E" w:rsidRDefault="001A760F"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106" w:tooltip="Link to WorkCover Tasmania website" w:history="1">
              <w:r w:rsidR="00797A29" w:rsidRPr="00A71A8E">
                <w:rPr>
                  <w:rStyle w:val="Hyperlink"/>
                  <w:rFonts w:eastAsiaTheme="majorEastAsia"/>
                  <w:color w:val="auto"/>
                </w:rPr>
                <w:t>www.workcover.tas.gov.au</w:t>
              </w:r>
            </w:hyperlink>
          </w:p>
          <w:p w14:paraId="1E258339" w14:textId="77777777" w:rsidR="00797A29" w:rsidRPr="006F15AC" w:rsidRDefault="001A760F"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107" w:tooltip="Link to WorkSafe Tasmania website" w:history="1">
              <w:r w:rsidR="00797A29" w:rsidRPr="00A71A8E">
                <w:rPr>
                  <w:rStyle w:val="Hyperlink"/>
                  <w:rFonts w:eastAsiaTheme="majorEastAsia"/>
                  <w:color w:val="auto"/>
                </w:rPr>
                <w:t>www.worksafe.tas.gov.au</w:t>
              </w:r>
            </w:hyperlink>
          </w:p>
        </w:tc>
      </w:tr>
      <w:tr w:rsidR="00797A29" w:rsidRPr="006F15AC" w14:paraId="63D94235" w14:textId="77777777" w:rsidTr="0014356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35" w:type="pct"/>
          </w:tcPr>
          <w:p w14:paraId="37408EAC" w14:textId="77777777" w:rsidR="00797A29" w:rsidRPr="006F15AC" w:rsidRDefault="00797A29" w:rsidP="00797A29">
            <w:pPr>
              <w:spacing w:before="0"/>
              <w:jc w:val="left"/>
              <w:rPr>
                <w:rFonts w:cs="Arial"/>
                <w:szCs w:val="20"/>
              </w:rPr>
            </w:pPr>
            <w:r w:rsidRPr="006F15AC">
              <w:rPr>
                <w:rFonts w:cs="Arial"/>
                <w:szCs w:val="20"/>
              </w:rPr>
              <w:t>Northern Territory</w:t>
            </w:r>
          </w:p>
        </w:tc>
        <w:tc>
          <w:tcPr>
            <w:tcW w:w="1867" w:type="pct"/>
          </w:tcPr>
          <w:p w14:paraId="42AE31FA" w14:textId="77777777"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NT WorkSafe</w:t>
            </w:r>
          </w:p>
        </w:tc>
        <w:tc>
          <w:tcPr>
            <w:tcW w:w="1698" w:type="pct"/>
          </w:tcPr>
          <w:p w14:paraId="2FC02754" w14:textId="77777777"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A71A8E">
              <w:rPr>
                <w:rFonts w:eastAsiaTheme="majorEastAsia"/>
              </w:rPr>
              <w:t>1800 019 115</w:t>
            </w:r>
          </w:p>
          <w:p w14:paraId="79B17D61" w14:textId="77777777" w:rsidR="00797A29" w:rsidRPr="00A71A8E" w:rsidRDefault="001A760F"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108" w:history="1">
              <w:r w:rsidR="00797A29" w:rsidRPr="00A71A8E">
                <w:rPr>
                  <w:rStyle w:val="Hyperlink"/>
                  <w:rFonts w:eastAsiaTheme="majorEastAsia"/>
                  <w:color w:val="auto"/>
                </w:rPr>
                <w:t>ntworksafe@nt.gov.au</w:t>
              </w:r>
            </w:hyperlink>
          </w:p>
          <w:p w14:paraId="2923F776" w14:textId="77777777" w:rsidR="00797A29" w:rsidRPr="006F15AC" w:rsidRDefault="001A760F"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109" w:history="1">
              <w:r w:rsidR="00797A29" w:rsidRPr="00A71A8E">
                <w:rPr>
                  <w:rStyle w:val="Hyperlink"/>
                  <w:rFonts w:eastAsiaTheme="majorEastAsia"/>
                  <w:color w:val="auto"/>
                </w:rPr>
                <w:t>www.worksafe.nt.gov.au</w:t>
              </w:r>
            </w:hyperlink>
          </w:p>
        </w:tc>
      </w:tr>
      <w:tr w:rsidR="00797A29" w:rsidRPr="006F15AC" w14:paraId="2D415572" w14:textId="77777777" w:rsidTr="00050E52">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35" w:type="pct"/>
          </w:tcPr>
          <w:p w14:paraId="20CDCB04" w14:textId="77777777" w:rsidR="00797A29" w:rsidRPr="00405BF7" w:rsidRDefault="00797A29" w:rsidP="00405BF7">
            <w:pPr>
              <w:pStyle w:val="NoParagraphStyle"/>
              <w:rPr>
                <w:rFonts w:ascii="Arial" w:hAnsi="Arial" w:cs="Arial"/>
                <w:sz w:val="20"/>
                <w:szCs w:val="20"/>
              </w:rPr>
            </w:pPr>
            <w:r w:rsidRPr="00405BF7">
              <w:rPr>
                <w:rFonts w:ascii="Arial" w:hAnsi="Arial" w:cs="Arial"/>
                <w:sz w:val="20"/>
                <w:szCs w:val="20"/>
              </w:rPr>
              <w:t>Australian Capital Territory</w:t>
            </w:r>
          </w:p>
        </w:tc>
        <w:tc>
          <w:tcPr>
            <w:tcW w:w="1867" w:type="pct"/>
          </w:tcPr>
          <w:p w14:paraId="11F2112D" w14:textId="77777777" w:rsidR="00797A29" w:rsidRPr="00405BF7" w:rsidRDefault="00797A29" w:rsidP="00405BF7">
            <w:pPr>
              <w:pStyle w:val="NoParagraphStyl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05BF7">
              <w:rPr>
                <w:rFonts w:ascii="Arial" w:hAnsi="Arial" w:cs="Arial"/>
                <w:sz w:val="20"/>
                <w:szCs w:val="20"/>
              </w:rPr>
              <w:t xml:space="preserve">Access Canberra WorkSafe ACT within Chief Minister Treasury and Economic Development Directorate </w:t>
            </w:r>
          </w:p>
        </w:tc>
        <w:tc>
          <w:tcPr>
            <w:tcW w:w="1698" w:type="pct"/>
          </w:tcPr>
          <w:p w14:paraId="0E89B215" w14:textId="77777777"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(02) 6207 3000</w:t>
            </w:r>
          </w:p>
          <w:p w14:paraId="53819516" w14:textId="77777777" w:rsidR="00797A29" w:rsidRPr="006F15AC" w:rsidRDefault="001A760F" w:rsidP="00797A29">
            <w:pPr>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110" w:history="1">
              <w:r w:rsidR="00797A29" w:rsidRPr="00A71A8E">
                <w:rPr>
                  <w:rStyle w:val="Hyperlink"/>
                  <w:rFonts w:eastAsiaTheme="majorEastAsia"/>
                  <w:color w:val="auto"/>
                </w:rPr>
                <w:t>www.worksafe.act.gov.au</w:t>
              </w:r>
            </w:hyperlink>
          </w:p>
        </w:tc>
      </w:tr>
      <w:tr w:rsidR="00797A29" w:rsidRPr="006F15AC" w14:paraId="6A37612A" w14:textId="77777777" w:rsidTr="0014356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35" w:type="pct"/>
          </w:tcPr>
          <w:p w14:paraId="3E77B1D5" w14:textId="77777777" w:rsidR="00797A29" w:rsidRPr="006F15AC" w:rsidRDefault="00797A29" w:rsidP="00797A29">
            <w:pPr>
              <w:spacing w:before="0"/>
              <w:jc w:val="left"/>
              <w:rPr>
                <w:rFonts w:cs="Arial"/>
                <w:szCs w:val="20"/>
              </w:rPr>
            </w:pPr>
            <w:r w:rsidRPr="006F15AC">
              <w:rPr>
                <w:rFonts w:cs="Arial"/>
                <w:szCs w:val="20"/>
              </w:rPr>
              <w:t>Sea</w:t>
            </w:r>
            <w:r>
              <w:rPr>
                <w:rFonts w:cs="Arial"/>
                <w:szCs w:val="20"/>
              </w:rPr>
              <w:t>care</w:t>
            </w:r>
          </w:p>
        </w:tc>
        <w:tc>
          <w:tcPr>
            <w:tcW w:w="1867" w:type="pct"/>
          </w:tcPr>
          <w:p w14:paraId="10EE13CB" w14:textId="77777777"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Seacare Authority</w:t>
            </w:r>
          </w:p>
        </w:tc>
        <w:tc>
          <w:tcPr>
            <w:tcW w:w="1698" w:type="pct"/>
          </w:tcPr>
          <w:p w14:paraId="187A1D4D" w14:textId="77777777"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(02) 6275 0070</w:t>
            </w:r>
          </w:p>
          <w:p w14:paraId="1FC2E28C" w14:textId="77777777" w:rsidR="00797A29" w:rsidRPr="00A71A8E" w:rsidRDefault="001A760F"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111" w:history="1">
              <w:r w:rsidR="00797A29" w:rsidRPr="00A71A8E">
                <w:rPr>
                  <w:rStyle w:val="Hyperlink"/>
                  <w:rFonts w:eastAsiaTheme="majorEastAsia"/>
                  <w:color w:val="auto"/>
                </w:rPr>
                <w:t>seacare@comcare.gov.au</w:t>
              </w:r>
            </w:hyperlink>
          </w:p>
          <w:p w14:paraId="1279EAF5" w14:textId="77777777" w:rsidR="00797A29" w:rsidRPr="006F15AC" w:rsidRDefault="001A760F"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12" w:tooltip="Link to Seacare Authority website" w:history="1">
              <w:r w:rsidR="00797A29" w:rsidRPr="00A71A8E">
                <w:rPr>
                  <w:rStyle w:val="Hyperlink"/>
                  <w:rFonts w:eastAsiaTheme="majorEastAsia"/>
                  <w:color w:val="auto"/>
                </w:rPr>
                <w:t>www.seacare.gov.au</w:t>
              </w:r>
            </w:hyperlink>
          </w:p>
        </w:tc>
      </w:tr>
      <w:tr w:rsidR="00797A29" w:rsidRPr="006F15AC" w14:paraId="28A11FF3" w14:textId="77777777" w:rsidTr="0014356C">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35" w:type="pct"/>
          </w:tcPr>
          <w:p w14:paraId="69976FE2" w14:textId="77777777" w:rsidR="00797A29" w:rsidRPr="006F15AC" w:rsidRDefault="00797A29" w:rsidP="00797A29">
            <w:pPr>
              <w:spacing w:before="0"/>
              <w:jc w:val="left"/>
              <w:rPr>
                <w:rFonts w:cs="Arial"/>
                <w:szCs w:val="20"/>
              </w:rPr>
            </w:pPr>
            <w:r w:rsidRPr="006F15AC">
              <w:rPr>
                <w:rFonts w:cs="Arial"/>
                <w:szCs w:val="20"/>
              </w:rPr>
              <w:t>Australian Government</w:t>
            </w:r>
          </w:p>
        </w:tc>
        <w:tc>
          <w:tcPr>
            <w:tcW w:w="1867" w:type="pct"/>
          </w:tcPr>
          <w:p w14:paraId="71AC12F5" w14:textId="77777777"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Comcare</w:t>
            </w:r>
          </w:p>
        </w:tc>
        <w:tc>
          <w:tcPr>
            <w:tcW w:w="1698" w:type="pct"/>
          </w:tcPr>
          <w:p w14:paraId="71602362" w14:textId="77777777"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1300 366 979</w:t>
            </w:r>
          </w:p>
          <w:p w14:paraId="103A537A" w14:textId="77777777" w:rsidR="00797A29" w:rsidRPr="006F15AC" w:rsidRDefault="001A760F" w:rsidP="00797A29">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113" w:tooltip="Link to Comcare website" w:history="1">
              <w:r w:rsidR="00797A29" w:rsidRPr="00A71A8E">
                <w:rPr>
                  <w:rStyle w:val="Hyperlink"/>
                  <w:rFonts w:eastAsiaTheme="majorEastAsia"/>
                  <w:color w:val="auto"/>
                </w:rPr>
                <w:t>www.comcare.gov.au</w:t>
              </w:r>
            </w:hyperlink>
          </w:p>
        </w:tc>
      </w:tr>
      <w:tr w:rsidR="00797A29" w:rsidRPr="006F15AC" w14:paraId="03910D6C" w14:textId="77777777" w:rsidTr="00050E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5" w:type="pct"/>
          </w:tcPr>
          <w:p w14:paraId="485382B2" w14:textId="77777777" w:rsidR="00797A29" w:rsidRPr="006F15AC" w:rsidRDefault="00797A29" w:rsidP="00797A29">
            <w:pPr>
              <w:spacing w:before="0"/>
              <w:jc w:val="left"/>
              <w:rPr>
                <w:rFonts w:cs="Arial"/>
                <w:szCs w:val="20"/>
              </w:rPr>
            </w:pPr>
            <w:r w:rsidRPr="006F15AC">
              <w:rPr>
                <w:rFonts w:cs="Arial"/>
                <w:szCs w:val="20"/>
              </w:rPr>
              <w:t>New Zealand</w:t>
            </w:r>
          </w:p>
        </w:tc>
        <w:tc>
          <w:tcPr>
            <w:tcW w:w="1867" w:type="pct"/>
          </w:tcPr>
          <w:p w14:paraId="46C9C333" w14:textId="6FAFFBAB" w:rsidR="00050E52"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Accident Compensation Corporation</w:t>
            </w:r>
          </w:p>
          <w:p w14:paraId="4D56C1B0" w14:textId="06468536" w:rsidR="00797A29" w:rsidRPr="00050E52" w:rsidRDefault="00050E52" w:rsidP="00050E52">
            <w:pPr>
              <w:tabs>
                <w:tab w:val="left" w:pos="2445"/>
              </w:tabs>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b/>
            </w:r>
          </w:p>
        </w:tc>
        <w:tc>
          <w:tcPr>
            <w:tcW w:w="1698" w:type="pct"/>
          </w:tcPr>
          <w:p w14:paraId="455261E1" w14:textId="77777777"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64 7 848 7400</w:t>
            </w:r>
          </w:p>
          <w:p w14:paraId="0481D33A" w14:textId="77777777" w:rsidR="00797A29" w:rsidRPr="006F15AC" w:rsidRDefault="001A760F"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14" w:tooltip="Link to Accident Compensation Corporation website" w:history="1">
              <w:r w:rsidR="00797A29" w:rsidRPr="00A71A8E">
                <w:rPr>
                  <w:rStyle w:val="Hyperlink"/>
                  <w:rFonts w:eastAsiaTheme="majorEastAsia"/>
                  <w:color w:val="auto"/>
                </w:rPr>
                <w:t>www.acc.co.nz</w:t>
              </w:r>
            </w:hyperlink>
          </w:p>
        </w:tc>
      </w:tr>
    </w:tbl>
    <w:p w14:paraId="6EBCA84C" w14:textId="77777777" w:rsidR="0032659F" w:rsidRPr="0032659F" w:rsidRDefault="0032659F" w:rsidP="00050E52"/>
    <w:sectPr w:rsidR="0032659F" w:rsidRPr="0032659F" w:rsidSect="00F21CB1">
      <w:headerReference w:type="first" r:id="rId115"/>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D414E" w14:textId="77777777" w:rsidR="00B84D09" w:rsidRDefault="00B84D09" w:rsidP="003411E8">
      <w:r>
        <w:separator/>
      </w:r>
    </w:p>
  </w:endnote>
  <w:endnote w:type="continuationSeparator" w:id="0">
    <w:p w14:paraId="462A02D7" w14:textId="77777777" w:rsidR="00B84D09" w:rsidRDefault="00B84D09"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5EB50" w14:textId="77777777" w:rsidR="00493C44" w:rsidRDefault="00493C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C8DAB" w14:textId="2572CB7E" w:rsidR="00B84D09" w:rsidRPr="00483E56" w:rsidRDefault="00B84D09" w:rsidP="004019E9">
    <w:pPr>
      <w:pStyle w:val="Footer"/>
    </w:pPr>
    <w:r>
      <w:tab/>
    </w:r>
    <w:r w:rsidRPr="00FF48E0">
      <w:tab/>
    </w:r>
    <w:sdt>
      <w:sdtPr>
        <w:id w:val="-1932661542"/>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1A760F">
          <w:rPr>
            <w:noProof/>
          </w:rPr>
          <w:t>11</w:t>
        </w:r>
        <w:r w:rsidRPr="00FF48E0">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391621"/>
      <w:docPartObj>
        <w:docPartGallery w:val="Page Numbers (Bottom of Page)"/>
        <w:docPartUnique/>
      </w:docPartObj>
    </w:sdtPr>
    <w:sdtEndPr>
      <w:rPr>
        <w:noProof/>
      </w:rPr>
    </w:sdtEndPr>
    <w:sdtContent>
      <w:p w14:paraId="541E5CF3" w14:textId="77777777" w:rsidR="00B84D09" w:rsidRPr="002148A2" w:rsidRDefault="00B84D09"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tab/>
        </w:r>
        <w:r>
          <w:tab/>
        </w:r>
        <w:r>
          <w:tab/>
        </w:r>
        <w:r>
          <w:tab/>
        </w:r>
        <w:r>
          <w:tab/>
        </w:r>
        <w:r>
          <w:tab/>
        </w:r>
        <w:r>
          <w:tab/>
        </w:r>
        <w:r>
          <w:tab/>
        </w:r>
        <w:r>
          <w:fldChar w:fldCharType="begin"/>
        </w:r>
        <w:r>
          <w:instrText xml:space="preserve"> PAGE   \* MERGEFORMAT </w:instrText>
        </w:r>
        <w:r>
          <w:fldChar w:fldCharType="separate"/>
        </w:r>
        <w:r>
          <w:rPr>
            <w:noProof/>
          </w:rPr>
          <w:t>28</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44BF3" w14:textId="63BF7145" w:rsidR="00B84D09" w:rsidRPr="00FF48E0" w:rsidRDefault="00B84D09" w:rsidP="00FF6F3B">
    <w:pPr>
      <w:pStyle w:val="Footer"/>
      <w:tabs>
        <w:tab w:val="clear" w:pos="9026"/>
        <w:tab w:val="right" w:pos="14034"/>
      </w:tabs>
    </w:pPr>
    <w:r w:rsidRPr="00FF48E0">
      <w:tab/>
    </w:r>
    <w:r w:rsidRPr="00FF48E0">
      <w:tab/>
    </w:r>
    <w:sdt>
      <w:sdtPr>
        <w:id w:val="-154987089"/>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1A760F">
          <w:rPr>
            <w:noProof/>
          </w:rPr>
          <w:t>29</w:t>
        </w:r>
        <w:r w:rsidRPr="00FF48E0">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20902" w14:textId="742A0BE5" w:rsidR="00B84D09" w:rsidRPr="00782503" w:rsidRDefault="00B84D09" w:rsidP="00FF6F3B">
    <w:pPr>
      <w:pStyle w:val="Footer"/>
      <w:tabs>
        <w:tab w:val="clear" w:pos="9026"/>
        <w:tab w:val="left" w:pos="8447"/>
        <w:tab w:val="right" w:pos="14034"/>
      </w:tabs>
    </w:pPr>
    <w:r>
      <w:tab/>
    </w:r>
    <w:r>
      <w:tab/>
    </w:r>
    <w:r>
      <w:tab/>
    </w:r>
    <w:sdt>
      <w:sdtPr>
        <w:id w:val="3488389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A760F">
          <w:rPr>
            <w:noProof/>
          </w:rPr>
          <w:t>30</w:t>
        </w:r>
        <w:r>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6EAE6" w14:textId="77777777" w:rsidR="00B84D09" w:rsidRPr="009A3FE7" w:rsidRDefault="00B84D09" w:rsidP="00B94996"/>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E3E7C" w14:textId="0BA0465A" w:rsidR="00B84D09" w:rsidRPr="00782503" w:rsidRDefault="00B84D09" w:rsidP="00CF523E">
    <w:pPr>
      <w:pStyle w:val="Footer"/>
      <w:tabs>
        <w:tab w:val="clear" w:pos="9026"/>
        <w:tab w:val="left" w:pos="9072"/>
        <w:tab w:val="right" w:pos="14034"/>
      </w:tabs>
    </w:pPr>
    <w:r>
      <w:tab/>
    </w:r>
    <w:r>
      <w:tab/>
    </w:r>
    <w:sdt>
      <w:sdtPr>
        <w:id w:val="-13186527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A760F">
          <w:rPr>
            <w:noProof/>
          </w:rPr>
          <w:t>35</w:t>
        </w:r>
        <w:r>
          <w:rPr>
            <w:noProof/>
          </w:rPr>
          <w:fldChar w:fldCharType="end"/>
        </w:r>
      </w:sdtContent>
    </w:sdt>
    <w:r>
      <w:tab/>
    </w:r>
    <w:sdt>
      <w:sdtPr>
        <w:id w:val="21117652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A760F">
          <w:rPr>
            <w:noProof/>
          </w:rPr>
          <w:t>35</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678519"/>
      <w:docPartObj>
        <w:docPartGallery w:val="Page Numbers (Bottom of Page)"/>
        <w:docPartUnique/>
      </w:docPartObj>
    </w:sdtPr>
    <w:sdtEndPr>
      <w:rPr>
        <w:noProof/>
      </w:rPr>
    </w:sdtEndPr>
    <w:sdtContent>
      <w:p w14:paraId="56919CC0" w14:textId="77777777" w:rsidR="00B84D09" w:rsidRPr="00C70B72" w:rsidRDefault="00B84D09"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rsidRPr="00C70B72">
          <w:tab/>
        </w:r>
        <w:r w:rsidRPr="00C70B72">
          <w:fldChar w:fldCharType="begin"/>
        </w:r>
        <w:r w:rsidRPr="00C70B72">
          <w:instrText xml:space="preserve"> PAGE   \* MERGEFORMAT </w:instrText>
        </w:r>
        <w:r w:rsidRPr="00C70B72">
          <w:fldChar w:fldCharType="separate"/>
        </w:r>
        <w:r>
          <w:rPr>
            <w:noProof/>
          </w:rPr>
          <w:t>52</w:t>
        </w:r>
        <w:r w:rsidRPr="00C70B72">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94E0A" w14:textId="3AF30093" w:rsidR="00B84D09" w:rsidRPr="00FF48E0" w:rsidRDefault="00B84D09" w:rsidP="00CF523E">
    <w:pPr>
      <w:pStyle w:val="Footer"/>
      <w:shd w:val="clear" w:color="auto" w:fill="FFFFFF" w:themeFill="background1"/>
    </w:pPr>
    <w:r w:rsidRPr="00FF48E0">
      <w:tab/>
    </w:r>
    <w:r w:rsidRPr="00FF48E0">
      <w:tab/>
    </w:r>
    <w:sdt>
      <w:sdtPr>
        <w:id w:val="323474517"/>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1A760F">
          <w:rPr>
            <w:noProof/>
          </w:rPr>
          <w:t>42</w:t>
        </w:r>
        <w:r w:rsidRPr="00FF48E0">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AE245" w14:textId="060DA638" w:rsidR="00B84D09" w:rsidRPr="00FF48E0" w:rsidRDefault="00B84D09" w:rsidP="00CF523E">
    <w:pPr>
      <w:pStyle w:val="Footer"/>
      <w:tabs>
        <w:tab w:val="clear" w:pos="9026"/>
        <w:tab w:val="right" w:pos="9214"/>
      </w:tabs>
    </w:pPr>
    <w:r>
      <w:tab/>
    </w:r>
    <w:r w:rsidRPr="00FF48E0">
      <w:tab/>
    </w:r>
    <w:sdt>
      <w:sdtPr>
        <w:id w:val="573939017"/>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1A760F">
          <w:rPr>
            <w:noProof/>
          </w:rPr>
          <w:t>36</w:t>
        </w:r>
        <w:r w:rsidRPr="00FF48E0">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907981"/>
      <w:docPartObj>
        <w:docPartGallery w:val="Page Numbers (Bottom of Page)"/>
        <w:docPartUnique/>
      </w:docPartObj>
    </w:sdtPr>
    <w:sdtEndPr>
      <w:rPr>
        <w:noProof/>
      </w:rPr>
    </w:sdtEndPr>
    <w:sdtContent>
      <w:p w14:paraId="68B7D8BD" w14:textId="77777777" w:rsidR="00B84D09" w:rsidRPr="002148A2" w:rsidRDefault="00B84D09" w:rsidP="00B94996">
        <w:pPr>
          <w:pStyle w:val="Footer"/>
        </w:pPr>
        <w:r>
          <w:t>Safe Work Australia</w:t>
        </w:r>
        <w:r>
          <w:tab/>
        </w:r>
        <w:r>
          <w:tab/>
        </w:r>
        <w:r>
          <w:tab/>
        </w:r>
        <w:r>
          <w:tab/>
        </w:r>
        <w:r>
          <w:tab/>
        </w:r>
        <w:r>
          <w:tab/>
        </w:r>
        <w:r>
          <w:tab/>
        </w:r>
        <w:r>
          <w:tab/>
        </w:r>
        <w:r>
          <w:tab/>
        </w:r>
        <w:r>
          <w:fldChar w:fldCharType="begin"/>
        </w:r>
        <w:r>
          <w:instrText xml:space="preserve"> PAGE   \* MERGEFORMAT </w:instrText>
        </w:r>
        <w:r>
          <w:fldChar w:fldCharType="separate"/>
        </w:r>
        <w:r>
          <w:rPr>
            <w:noProof/>
          </w:rPr>
          <w:t>52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944112"/>
      <w:docPartObj>
        <w:docPartGallery w:val="Page Numbers (Bottom of Page)"/>
        <w:docPartUnique/>
      </w:docPartObj>
    </w:sdtPr>
    <w:sdtEndPr>
      <w:rPr>
        <w:noProof/>
      </w:rPr>
    </w:sdtEndPr>
    <w:sdtContent>
      <w:p w14:paraId="47D41429" w14:textId="282B2307" w:rsidR="00B84D09" w:rsidRDefault="00B84D09" w:rsidP="00E754C1">
        <w:pPr>
          <w:pStyle w:val="Footer"/>
          <w:jc w:val="right"/>
        </w:pPr>
        <w:r>
          <w:fldChar w:fldCharType="begin"/>
        </w:r>
        <w:r>
          <w:instrText xml:space="preserve"> PAGE   \* MERGEFORMAT </w:instrText>
        </w:r>
        <w:r>
          <w:fldChar w:fldCharType="separate"/>
        </w:r>
        <w:r w:rsidR="001A760F">
          <w:rPr>
            <w:noProof/>
          </w:rPr>
          <w:t>7</w:t>
        </w:r>
        <w:r>
          <w:rPr>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383AD" w14:textId="28307326" w:rsidR="00B84D09" w:rsidRPr="00C70B72" w:rsidRDefault="00B84D09" w:rsidP="00CF523E">
    <w:pPr>
      <w:pStyle w:val="Footer"/>
      <w:tabs>
        <w:tab w:val="clear" w:pos="9026"/>
        <w:tab w:val="left" w:pos="7485"/>
        <w:tab w:val="right" w:pos="13892"/>
      </w:tabs>
    </w:pPr>
    <w:r w:rsidRPr="00C70B72">
      <w:tab/>
    </w:r>
    <w:r w:rsidRPr="00C70B72">
      <w:tab/>
    </w:r>
    <w:r w:rsidRPr="00C70B72">
      <w:tab/>
    </w:r>
    <w:sdt>
      <w:sdtPr>
        <w:id w:val="-1018847466"/>
        <w:docPartObj>
          <w:docPartGallery w:val="Page Numbers (Bottom of Page)"/>
          <w:docPartUnique/>
        </w:docPartObj>
      </w:sdtPr>
      <w:sdtEndPr>
        <w:rPr>
          <w:noProof/>
        </w:rPr>
      </w:sdtEndPr>
      <w:sdtContent>
        <w:r w:rsidRPr="00C70B72">
          <w:fldChar w:fldCharType="begin"/>
        </w:r>
        <w:r w:rsidRPr="00C70B72">
          <w:instrText xml:space="preserve"> PAGE   \* MERGEFORMAT </w:instrText>
        </w:r>
        <w:r w:rsidRPr="00C70B72">
          <w:fldChar w:fldCharType="separate"/>
        </w:r>
        <w:r w:rsidR="001A760F">
          <w:rPr>
            <w:noProof/>
          </w:rPr>
          <w:t>43</w:t>
        </w:r>
        <w:r w:rsidRPr="00C70B72">
          <w:rPr>
            <w:noProof/>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424966"/>
      <w:docPartObj>
        <w:docPartGallery w:val="Page Numbers (Bottom of Page)"/>
        <w:docPartUnique/>
      </w:docPartObj>
    </w:sdtPr>
    <w:sdtEndPr>
      <w:rPr>
        <w:noProof/>
      </w:rPr>
    </w:sdtEndPr>
    <w:sdtContent>
      <w:p w14:paraId="5900F929" w14:textId="77777777" w:rsidR="00B84D09" w:rsidRPr="00C70B72" w:rsidRDefault="00B84D09" w:rsidP="00B94996">
        <w:pPr>
          <w:pStyle w:val="Footer"/>
        </w:pPr>
        <w:r w:rsidRPr="00C70B72">
          <w:t>Safe Work Australia</w:t>
        </w:r>
        <w:r w:rsidRPr="00C70B72">
          <w:tab/>
        </w:r>
        <w:r w:rsidRPr="00C70B72">
          <w:tab/>
        </w:r>
        <w:r w:rsidRPr="00C70B72">
          <w:tab/>
        </w:r>
        <w:r w:rsidRPr="00C70B72">
          <w:tab/>
        </w:r>
        <w:r w:rsidRPr="00C70B72">
          <w:tab/>
        </w:r>
        <w:r w:rsidRPr="00C70B72">
          <w:tab/>
        </w:r>
        <w:r w:rsidRPr="00C70B72">
          <w:tab/>
        </w:r>
        <w:r w:rsidRPr="00C70B72">
          <w:tab/>
        </w:r>
        <w:r w:rsidRPr="00C70B72">
          <w:tab/>
        </w:r>
        <w:r w:rsidRPr="00C70B72">
          <w:fldChar w:fldCharType="begin"/>
        </w:r>
        <w:r w:rsidRPr="00C70B72">
          <w:instrText xml:space="preserve"> PAGE   \* MERGEFORMAT </w:instrText>
        </w:r>
        <w:r w:rsidRPr="00C70B72">
          <w:fldChar w:fldCharType="separate"/>
        </w:r>
        <w:r>
          <w:rPr>
            <w:noProof/>
          </w:rPr>
          <w:t>54</w:t>
        </w:r>
        <w:r w:rsidRPr="00C70B72">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22673" w14:textId="25636D61" w:rsidR="00B84D09" w:rsidRPr="00782503" w:rsidRDefault="00B84D09" w:rsidP="00CF523E">
    <w:pPr>
      <w:pStyle w:val="Footer"/>
      <w:tabs>
        <w:tab w:val="clear" w:pos="9026"/>
        <w:tab w:val="right" w:pos="13892"/>
      </w:tabs>
    </w:pPr>
    <w:r>
      <w:tab/>
    </w:r>
    <w:r>
      <w:tab/>
    </w:r>
    <w:sdt>
      <w:sdtPr>
        <w:id w:val="20594338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A760F">
          <w:rPr>
            <w:noProof/>
          </w:rPr>
          <w:t>44</w:t>
        </w:r>
        <w:r>
          <w:rPr>
            <w:noProof/>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9D7F8" w14:textId="159B325A" w:rsidR="00B84D09" w:rsidRPr="00782503" w:rsidRDefault="00B84D09" w:rsidP="00CF523E">
    <w:pPr>
      <w:pStyle w:val="Footer"/>
      <w:tabs>
        <w:tab w:val="clear" w:pos="9026"/>
        <w:tab w:val="right" w:pos="13892"/>
      </w:tabs>
    </w:pPr>
    <w:r>
      <w:tab/>
    </w:r>
    <w:r>
      <w:tab/>
    </w:r>
    <w:sdt>
      <w:sdtPr>
        <w:id w:val="-16702546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A760F">
          <w:rPr>
            <w:noProof/>
          </w:rPr>
          <w:t>45</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B8F4E" w14:textId="77777777" w:rsidR="00B84D09" w:rsidRDefault="00B84D09">
    <w:pPr>
      <w:pStyle w:val="Footer"/>
      <w:jc w:val="right"/>
    </w:pPr>
  </w:p>
  <w:p w14:paraId="47457528" w14:textId="77777777" w:rsidR="00B84D09" w:rsidRPr="00510E89" w:rsidRDefault="00B84D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388820"/>
      <w:docPartObj>
        <w:docPartGallery w:val="Page Numbers (Bottom of Page)"/>
        <w:docPartUnique/>
      </w:docPartObj>
    </w:sdtPr>
    <w:sdtEndPr>
      <w:rPr>
        <w:noProof/>
      </w:rPr>
    </w:sdtEndPr>
    <w:sdtContent>
      <w:p w14:paraId="745296F3" w14:textId="415E50B6" w:rsidR="00B84D09" w:rsidRPr="00510E89" w:rsidRDefault="00B84D09" w:rsidP="004D5E09">
        <w:pPr>
          <w:pStyle w:val="Footer"/>
          <w:jc w:val="right"/>
        </w:pPr>
        <w:r>
          <w:fldChar w:fldCharType="begin"/>
        </w:r>
        <w:r>
          <w:instrText xml:space="preserve"> PAGE   \* MERGEFORMAT </w:instrText>
        </w:r>
        <w:r>
          <w:fldChar w:fldCharType="separate"/>
        </w:r>
        <w:r w:rsidR="001A760F">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876494"/>
      <w:docPartObj>
        <w:docPartGallery w:val="Page Numbers (Bottom of Page)"/>
        <w:docPartUnique/>
      </w:docPartObj>
    </w:sdtPr>
    <w:sdtEndPr>
      <w:rPr>
        <w:noProof/>
      </w:rPr>
    </w:sdtEndPr>
    <w:sdtContent>
      <w:p w14:paraId="285CC858" w14:textId="77777777" w:rsidR="00B84D09" w:rsidRPr="00FF48E0" w:rsidRDefault="00B84D09"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rsidRPr="00FF48E0">
          <w:tab/>
        </w:r>
        <w:r w:rsidRPr="00FF48E0">
          <w:fldChar w:fldCharType="begin"/>
        </w:r>
        <w:r w:rsidRPr="00FF48E0">
          <w:instrText xml:space="preserve"> PAGE   \* MERGEFORMAT </w:instrText>
        </w:r>
        <w:r w:rsidRPr="00FF48E0">
          <w:fldChar w:fldCharType="separate"/>
        </w:r>
        <w:r>
          <w:rPr>
            <w:noProof/>
          </w:rPr>
          <w:t>26</w:t>
        </w:r>
        <w:r w:rsidRPr="00FF48E0">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48128" w14:textId="10271A94" w:rsidR="00B84D09" w:rsidRPr="00FF48E0" w:rsidRDefault="00B84D09" w:rsidP="00B94996">
    <w:pPr>
      <w:pStyle w:val="Footer"/>
    </w:pPr>
    <w:r w:rsidRPr="00FF48E0">
      <w:tab/>
    </w:r>
    <w:r w:rsidRPr="00FF48E0">
      <w:tab/>
    </w:r>
    <w:sdt>
      <w:sdtPr>
        <w:id w:val="-530271001"/>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1A760F">
          <w:rPr>
            <w:noProof/>
          </w:rPr>
          <w:t>9</w:t>
        </w:r>
        <w:r w:rsidRPr="00FF48E0">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12AC" w14:textId="3EC4D807" w:rsidR="00B84D09" w:rsidRPr="00483E56" w:rsidRDefault="00B84D09" w:rsidP="004019E9">
    <w:pPr>
      <w:pStyle w:val="Footer"/>
    </w:pPr>
    <w:r>
      <w:tab/>
    </w:r>
    <w:r w:rsidRPr="00FF48E0">
      <w:tab/>
    </w:r>
    <w:sdt>
      <w:sdtPr>
        <w:id w:val="1412509842"/>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1A760F">
          <w:rPr>
            <w:noProof/>
          </w:rPr>
          <w:t>8</w:t>
        </w:r>
        <w:r w:rsidRPr="00FF48E0">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D3ED" w14:textId="56B013E7" w:rsidR="00B84D09" w:rsidRPr="00483E56" w:rsidRDefault="00B84D09" w:rsidP="000F6210">
    <w:pPr>
      <w:pStyle w:val="Footer"/>
      <w:tabs>
        <w:tab w:val="clear" w:pos="4513"/>
        <w:tab w:val="clear" w:pos="9026"/>
        <w:tab w:val="center" w:pos="14175"/>
      </w:tabs>
    </w:pPr>
    <w:r>
      <w:tab/>
    </w:r>
    <w:sdt>
      <w:sdtPr>
        <w:id w:val="-1404912367"/>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1A760F">
          <w:rPr>
            <w:noProof/>
          </w:rPr>
          <w:t>10</w:t>
        </w:r>
        <w:r w:rsidRPr="00FF48E0">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883" w14:textId="3BA1C87A" w:rsidR="00B84D09" w:rsidRPr="00FF48E0" w:rsidRDefault="00B84D09" w:rsidP="00B94996">
    <w:pPr>
      <w:pStyle w:val="Footer"/>
    </w:pPr>
    <w:r w:rsidRPr="00FF48E0">
      <w:tab/>
    </w:r>
    <w:r w:rsidRPr="00FF48E0">
      <w:tab/>
    </w:r>
    <w:sdt>
      <w:sdtPr>
        <w:id w:val="2031758845"/>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1A760F">
          <w:rPr>
            <w:noProof/>
          </w:rPr>
          <w:t>28</w:t>
        </w:r>
        <w:r w:rsidRPr="00FF48E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5D88B" w14:textId="77777777" w:rsidR="00B84D09" w:rsidRDefault="00B84D09" w:rsidP="003411E8">
      <w:r>
        <w:separator/>
      </w:r>
    </w:p>
  </w:footnote>
  <w:footnote w:type="continuationSeparator" w:id="0">
    <w:p w14:paraId="727BDF29" w14:textId="77777777" w:rsidR="00B84D09" w:rsidRDefault="00B84D09" w:rsidP="003411E8">
      <w:r>
        <w:continuationSeparator/>
      </w:r>
    </w:p>
  </w:footnote>
  <w:footnote w:id="1">
    <w:p w14:paraId="542CAE24" w14:textId="641AA86E" w:rsidR="00B84D09" w:rsidRDefault="00B84D09">
      <w:pPr>
        <w:pStyle w:val="FootnoteText"/>
      </w:pPr>
      <w:r>
        <w:rPr>
          <w:rStyle w:val="FootnoteReference"/>
        </w:rPr>
        <w:footnoteRef/>
      </w:r>
      <w:r>
        <w:t xml:space="preserve"> Low ($950 pw), medium ($1,600 pw) and high ($2,200 pw) incomes are indicative amounts selected to show differences in entitlements for injured employees between jurisdictions based on income during selected periods of temporary impairment.</w:t>
      </w:r>
    </w:p>
  </w:footnote>
  <w:footnote w:id="2">
    <w:p w14:paraId="48422444" w14:textId="77777777" w:rsidR="00B84D09" w:rsidRDefault="00B84D09">
      <w:pPr>
        <w:pStyle w:val="FootnoteText"/>
      </w:pPr>
      <w:r>
        <w:rPr>
          <w:rStyle w:val="FootnoteReference"/>
        </w:rPr>
        <w:footnoteRef/>
      </w:r>
      <w:r>
        <w:t xml:space="preserve"> Step-down denotes the proportionate reduction in the entitlements paid to an injured worker to the increase in time lost (in weeks) from 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5611B" w14:textId="77777777" w:rsidR="00493C44" w:rsidRDefault="00493C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68A58" w14:textId="77777777" w:rsidR="00B84D09" w:rsidRPr="002148A2" w:rsidRDefault="00B84D09" w:rsidP="00B9499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A3073" w14:textId="77777777" w:rsidR="00B84D09" w:rsidRPr="00D23512" w:rsidRDefault="00B84D09" w:rsidP="00B94996">
    <w:pPr>
      <w:pStyle w:val="HeaderChapterStar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E3C8" w14:textId="77777777" w:rsidR="00B84D09" w:rsidRPr="002148A2" w:rsidRDefault="00B84D09" w:rsidP="00B94996">
    <w:pPr>
      <w:pStyle w:val="HeaderChapterStar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42B57" w14:textId="77777777" w:rsidR="00B84D09" w:rsidRPr="007E63ED" w:rsidRDefault="00B84D09" w:rsidP="00B94996">
    <w:pPr>
      <w:pStyle w:val="Header"/>
    </w:pPr>
    <w:r>
      <w:t>Appendix 1 – Explanatory notes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1B110" w14:textId="77777777" w:rsidR="00B84D09" w:rsidRPr="00100856" w:rsidRDefault="00B84D09" w:rsidP="00B9499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12307" w14:textId="77777777" w:rsidR="00B84D09" w:rsidRPr="000D6079" w:rsidRDefault="00B84D09" w:rsidP="00B94996">
    <w:pPr>
      <w:pStyle w:val="HeaderChapterStar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36B7" w14:textId="77777777" w:rsidR="00B84D09" w:rsidRPr="007E63ED" w:rsidRDefault="00B84D09" w:rsidP="00B94996">
    <w:pPr>
      <w:pStyle w:val="HeaderChapterStar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763D" w14:textId="77777777" w:rsidR="00B84D09" w:rsidRPr="002148A2" w:rsidRDefault="00B84D09" w:rsidP="00B94996">
    <w:pPr>
      <w:pStyle w:val="HeaderChapterStar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ACE03" w14:textId="77777777" w:rsidR="00B84D09" w:rsidRPr="00C70B72" w:rsidRDefault="00B84D09" w:rsidP="00B94996">
    <w:pPr>
      <w:pStyle w:val="Header"/>
    </w:pPr>
    <w:r w:rsidRPr="00C70B72">
      <w:t>Appendix 2 – Key features of Australian Workers’ Compensation Schemes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4919F" w14:textId="77777777" w:rsidR="00B84D09" w:rsidRPr="00FC39D8" w:rsidRDefault="00B84D09" w:rsidP="00FC3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6A63E" w14:textId="77777777" w:rsidR="00493C44" w:rsidRDefault="00493C4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74E20" w14:textId="77777777" w:rsidR="00B84D09" w:rsidRDefault="00B84D0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319AD" w14:textId="77777777" w:rsidR="00B84D09" w:rsidRDefault="00B84D09"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E83FD" w14:textId="77777777" w:rsidR="00493C44" w:rsidRDefault="00493C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2CBE8" w14:textId="77777777" w:rsidR="00B84D09" w:rsidRDefault="00B84D09" w:rsidP="00C07BFE">
    <w:pPr>
      <w:pStyle w:val="Header"/>
      <w:tabs>
        <w:tab w:val="left" w:pos="284"/>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8131" w14:textId="77777777" w:rsidR="00B84D09" w:rsidRDefault="00B84D09" w:rsidP="00C07BFE">
    <w:pPr>
      <w:pStyle w:val="Header"/>
      <w:tabs>
        <w:tab w:val="left" w:pos="284"/>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3D340" w14:textId="77777777" w:rsidR="00B84D09" w:rsidRPr="00FF48E0" w:rsidRDefault="00B84D09" w:rsidP="00B94996">
    <w:pPr>
      <w:pStyle w:val="Header"/>
    </w:pPr>
    <w:r w:rsidRPr="00FF48E0">
      <w:t>Workers’ compensation scheme performance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7FD02" w14:textId="77777777" w:rsidR="00B84D09" w:rsidRPr="002148A2" w:rsidRDefault="00B84D09" w:rsidP="00B949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000E8" w14:textId="77777777" w:rsidR="00B84D09" w:rsidRPr="000D6079" w:rsidRDefault="00B84D09" w:rsidP="00B94996">
    <w:pPr>
      <w:pStyle w:val="HeaderChapterStar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0E2EE" w14:textId="77777777" w:rsidR="00B84D09" w:rsidRPr="00FF48E0" w:rsidRDefault="00B84D09" w:rsidP="00B94996">
    <w:pPr>
      <w:pStyle w:val="Header"/>
    </w:pPr>
    <w:r w:rsidRPr="00FF48E0">
      <w:t>Workers’ compensation scheme performance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3B85"/>
    <w:multiLevelType w:val="hybridMultilevel"/>
    <w:tmpl w:val="34FC2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45421"/>
    <w:multiLevelType w:val="hybridMultilevel"/>
    <w:tmpl w:val="9CE8E8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7661204"/>
    <w:multiLevelType w:val="hybridMultilevel"/>
    <w:tmpl w:val="A330D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67BE7"/>
    <w:multiLevelType w:val="hybridMultilevel"/>
    <w:tmpl w:val="D200D580"/>
    <w:lvl w:ilvl="0" w:tplc="1976034C">
      <w:start w:val="1"/>
      <w:numFmt w:val="lowerLetter"/>
      <w:pStyle w:val="Footnotecompress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CF910DB"/>
    <w:multiLevelType w:val="hybridMultilevel"/>
    <w:tmpl w:val="91004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8841FF"/>
    <w:multiLevelType w:val="multilevel"/>
    <w:tmpl w:val="306E4E4C"/>
    <w:lvl w:ilvl="0">
      <w:start w:val="1"/>
      <w:numFmt w:val="bullet"/>
      <w:pStyle w:val="Bullets1"/>
      <w:lvlText w:val=""/>
      <w:lvlJc w:val="left"/>
      <w:pPr>
        <w:tabs>
          <w:tab w:val="num" w:pos="568"/>
        </w:tabs>
        <w:ind w:left="994" w:hanging="426"/>
      </w:pPr>
      <w:rPr>
        <w:rFonts w:ascii="Symbol" w:hAnsi="Symbol" w:hint="default"/>
        <w:u w:color="1C365F"/>
      </w:rPr>
    </w:lvl>
    <w:lvl w:ilvl="1">
      <w:start w:val="1"/>
      <w:numFmt w:val="bullet"/>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40C3A64"/>
    <w:multiLevelType w:val="hybridMultilevel"/>
    <w:tmpl w:val="9D16F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6B137DFE"/>
    <w:multiLevelType w:val="multilevel"/>
    <w:tmpl w:val="4BDA3DC4"/>
    <w:numStyleLink w:val="SecNumb"/>
  </w:abstractNum>
  <w:abstractNum w:abstractNumId="11" w15:restartNumberingAfterBreak="0">
    <w:nsid w:val="779B3FAF"/>
    <w:multiLevelType w:val="hybridMultilevel"/>
    <w:tmpl w:val="DD3289C0"/>
    <w:lvl w:ilvl="0" w:tplc="6A3E4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7F786E96"/>
    <w:multiLevelType w:val="hybridMultilevel"/>
    <w:tmpl w:val="65C6C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2"/>
  </w:num>
  <w:num w:numId="5">
    <w:abstractNumId w:val="10"/>
    <w:lvlOverride w:ilvl="1">
      <w:lvl w:ilvl="1">
        <w:start w:val="1"/>
        <w:numFmt w:val="decimal"/>
        <w:pStyle w:val="SWASectionnum2"/>
        <w:lvlText w:val="%1.%2"/>
        <w:lvlJc w:val="left"/>
        <w:pPr>
          <w:ind w:left="0" w:firstLine="0"/>
        </w:pPr>
        <w:rPr>
          <w:rFonts w:hint="default"/>
          <w:i w:val="0"/>
          <w:color w:val="C00000"/>
          <w:sz w:val="32"/>
          <w:szCs w:val="32"/>
        </w:rPr>
      </w:lvl>
    </w:lvlOverride>
  </w:num>
  <w:num w:numId="6">
    <w:abstractNumId w:val="2"/>
  </w:num>
  <w:num w:numId="7">
    <w:abstractNumId w:val="11"/>
  </w:num>
  <w:num w:numId="8">
    <w:abstractNumId w:val="3"/>
  </w:num>
  <w:num w:numId="9">
    <w:abstractNumId w:val="3"/>
    <w:lvlOverride w:ilvl="0">
      <w:startOverride w:val="1"/>
    </w:lvlOverride>
  </w:num>
  <w:num w:numId="10">
    <w:abstractNumId w:val="1"/>
  </w:num>
  <w:num w:numId="11">
    <w:abstractNumId w:val="13"/>
  </w:num>
  <w:num w:numId="12">
    <w:abstractNumId w:val="8"/>
  </w:num>
  <w:num w:numId="13">
    <w:abstractNumId w:val="5"/>
  </w:num>
  <w:num w:numId="14">
    <w:abstractNumId w:val="3"/>
    <w:lvlOverride w:ilvl="0">
      <w:startOverride w:val="1"/>
    </w:lvlOverride>
  </w:num>
  <w:num w:numId="15">
    <w:abstractNumId w:val="7"/>
  </w:num>
  <w:num w:numId="1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9331a8ac-b95f-4b87-aa30-720e89f286c6"/>
  </w:docVars>
  <w:rsids>
    <w:rsidRoot w:val="00077368"/>
    <w:rsid w:val="00002A2E"/>
    <w:rsid w:val="00005424"/>
    <w:rsid w:val="000071CC"/>
    <w:rsid w:val="00007583"/>
    <w:rsid w:val="00010AEC"/>
    <w:rsid w:val="00010AF8"/>
    <w:rsid w:val="0001290D"/>
    <w:rsid w:val="00013EDF"/>
    <w:rsid w:val="00016364"/>
    <w:rsid w:val="00020DBC"/>
    <w:rsid w:val="000234ED"/>
    <w:rsid w:val="000267EE"/>
    <w:rsid w:val="00031D5C"/>
    <w:rsid w:val="00032DFA"/>
    <w:rsid w:val="0003376C"/>
    <w:rsid w:val="00034C08"/>
    <w:rsid w:val="00035ED1"/>
    <w:rsid w:val="00036775"/>
    <w:rsid w:val="0003756A"/>
    <w:rsid w:val="00041D87"/>
    <w:rsid w:val="00042A57"/>
    <w:rsid w:val="0004361B"/>
    <w:rsid w:val="000452DF"/>
    <w:rsid w:val="00046257"/>
    <w:rsid w:val="00047850"/>
    <w:rsid w:val="00050E52"/>
    <w:rsid w:val="0005126F"/>
    <w:rsid w:val="00053A68"/>
    <w:rsid w:val="00056A93"/>
    <w:rsid w:val="00057827"/>
    <w:rsid w:val="000604A5"/>
    <w:rsid w:val="00063228"/>
    <w:rsid w:val="00064D46"/>
    <w:rsid w:val="00065C06"/>
    <w:rsid w:val="00070430"/>
    <w:rsid w:val="00072117"/>
    <w:rsid w:val="0007618B"/>
    <w:rsid w:val="00076580"/>
    <w:rsid w:val="00077148"/>
    <w:rsid w:val="0007727D"/>
    <w:rsid w:val="00077368"/>
    <w:rsid w:val="00077BDA"/>
    <w:rsid w:val="00086275"/>
    <w:rsid w:val="00086EAB"/>
    <w:rsid w:val="00087E20"/>
    <w:rsid w:val="00092037"/>
    <w:rsid w:val="000A2834"/>
    <w:rsid w:val="000A34EC"/>
    <w:rsid w:val="000A3B0D"/>
    <w:rsid w:val="000A3E4B"/>
    <w:rsid w:val="000A504C"/>
    <w:rsid w:val="000A76CB"/>
    <w:rsid w:val="000A7E83"/>
    <w:rsid w:val="000B211B"/>
    <w:rsid w:val="000B3499"/>
    <w:rsid w:val="000B53FF"/>
    <w:rsid w:val="000B5A03"/>
    <w:rsid w:val="000B5B63"/>
    <w:rsid w:val="000C14D3"/>
    <w:rsid w:val="000C1B52"/>
    <w:rsid w:val="000C47CC"/>
    <w:rsid w:val="000C5031"/>
    <w:rsid w:val="000C79F4"/>
    <w:rsid w:val="000D051B"/>
    <w:rsid w:val="000D1EDA"/>
    <w:rsid w:val="000D34EF"/>
    <w:rsid w:val="000D49B9"/>
    <w:rsid w:val="000D7590"/>
    <w:rsid w:val="000D7DA8"/>
    <w:rsid w:val="000E0E7C"/>
    <w:rsid w:val="000E0F9F"/>
    <w:rsid w:val="000E109F"/>
    <w:rsid w:val="000E20AE"/>
    <w:rsid w:val="000E634D"/>
    <w:rsid w:val="000F0EC5"/>
    <w:rsid w:val="000F307F"/>
    <w:rsid w:val="000F40B9"/>
    <w:rsid w:val="000F6210"/>
    <w:rsid w:val="000F74D0"/>
    <w:rsid w:val="001025F1"/>
    <w:rsid w:val="001051D0"/>
    <w:rsid w:val="00105DE2"/>
    <w:rsid w:val="001072B4"/>
    <w:rsid w:val="001109DA"/>
    <w:rsid w:val="001151AD"/>
    <w:rsid w:val="00117CAF"/>
    <w:rsid w:val="0012134D"/>
    <w:rsid w:val="00121487"/>
    <w:rsid w:val="00124A12"/>
    <w:rsid w:val="00126416"/>
    <w:rsid w:val="00130A8A"/>
    <w:rsid w:val="0013431C"/>
    <w:rsid w:val="0014102D"/>
    <w:rsid w:val="00141437"/>
    <w:rsid w:val="0014173C"/>
    <w:rsid w:val="001428DD"/>
    <w:rsid w:val="00142B5E"/>
    <w:rsid w:val="0014356C"/>
    <w:rsid w:val="001461B4"/>
    <w:rsid w:val="0015143C"/>
    <w:rsid w:val="00152A62"/>
    <w:rsid w:val="00154183"/>
    <w:rsid w:val="00155389"/>
    <w:rsid w:val="0015627E"/>
    <w:rsid w:val="00156A97"/>
    <w:rsid w:val="00160B79"/>
    <w:rsid w:val="00162AE2"/>
    <w:rsid w:val="001640C3"/>
    <w:rsid w:val="00164531"/>
    <w:rsid w:val="001649A1"/>
    <w:rsid w:val="00166316"/>
    <w:rsid w:val="001665F1"/>
    <w:rsid w:val="00166732"/>
    <w:rsid w:val="001669C8"/>
    <w:rsid w:val="001737DD"/>
    <w:rsid w:val="0018113B"/>
    <w:rsid w:val="00187D32"/>
    <w:rsid w:val="00191111"/>
    <w:rsid w:val="00192F65"/>
    <w:rsid w:val="001941A3"/>
    <w:rsid w:val="0019511C"/>
    <w:rsid w:val="001952AD"/>
    <w:rsid w:val="00195D58"/>
    <w:rsid w:val="001A1261"/>
    <w:rsid w:val="001A162F"/>
    <w:rsid w:val="001A409E"/>
    <w:rsid w:val="001A760F"/>
    <w:rsid w:val="001B00BF"/>
    <w:rsid w:val="001B03D9"/>
    <w:rsid w:val="001B0AE7"/>
    <w:rsid w:val="001B1C72"/>
    <w:rsid w:val="001B5929"/>
    <w:rsid w:val="001B5B9B"/>
    <w:rsid w:val="001B67B4"/>
    <w:rsid w:val="001B75CF"/>
    <w:rsid w:val="001C0F1E"/>
    <w:rsid w:val="001C38FD"/>
    <w:rsid w:val="001C4FF0"/>
    <w:rsid w:val="001C71AC"/>
    <w:rsid w:val="001D2906"/>
    <w:rsid w:val="001D69AD"/>
    <w:rsid w:val="001D7C48"/>
    <w:rsid w:val="001E1343"/>
    <w:rsid w:val="001E24DE"/>
    <w:rsid w:val="001E4110"/>
    <w:rsid w:val="001E4FAD"/>
    <w:rsid w:val="001E66DC"/>
    <w:rsid w:val="001F273F"/>
    <w:rsid w:val="001F2AB9"/>
    <w:rsid w:val="001F2DC1"/>
    <w:rsid w:val="001F35A3"/>
    <w:rsid w:val="001F617E"/>
    <w:rsid w:val="002029BF"/>
    <w:rsid w:val="00203217"/>
    <w:rsid w:val="00205AA0"/>
    <w:rsid w:val="002062EB"/>
    <w:rsid w:val="002072F8"/>
    <w:rsid w:val="00210A4A"/>
    <w:rsid w:val="00210E9F"/>
    <w:rsid w:val="0021287F"/>
    <w:rsid w:val="00212E87"/>
    <w:rsid w:val="0021715C"/>
    <w:rsid w:val="00217DBB"/>
    <w:rsid w:val="00220412"/>
    <w:rsid w:val="00221810"/>
    <w:rsid w:val="00221EB8"/>
    <w:rsid w:val="002225E4"/>
    <w:rsid w:val="00222F0C"/>
    <w:rsid w:val="00223D84"/>
    <w:rsid w:val="0022512F"/>
    <w:rsid w:val="002260EB"/>
    <w:rsid w:val="00230F63"/>
    <w:rsid w:val="00231598"/>
    <w:rsid w:val="00233910"/>
    <w:rsid w:val="00236323"/>
    <w:rsid w:val="0024317C"/>
    <w:rsid w:val="002437A3"/>
    <w:rsid w:val="002440B4"/>
    <w:rsid w:val="0024441D"/>
    <w:rsid w:val="002454D1"/>
    <w:rsid w:val="00253BA6"/>
    <w:rsid w:val="00256BB5"/>
    <w:rsid w:val="00257198"/>
    <w:rsid w:val="0026558F"/>
    <w:rsid w:val="002659E9"/>
    <w:rsid w:val="00271646"/>
    <w:rsid w:val="00271C3A"/>
    <w:rsid w:val="0027245B"/>
    <w:rsid w:val="00272A89"/>
    <w:rsid w:val="00280EEA"/>
    <w:rsid w:val="00283A14"/>
    <w:rsid w:val="00283D45"/>
    <w:rsid w:val="002840C9"/>
    <w:rsid w:val="00290691"/>
    <w:rsid w:val="002912A1"/>
    <w:rsid w:val="0029290B"/>
    <w:rsid w:val="00293003"/>
    <w:rsid w:val="00294F2B"/>
    <w:rsid w:val="00296DAC"/>
    <w:rsid w:val="002A43DF"/>
    <w:rsid w:val="002A7969"/>
    <w:rsid w:val="002B1A51"/>
    <w:rsid w:val="002B30DC"/>
    <w:rsid w:val="002B7DAE"/>
    <w:rsid w:val="002C0906"/>
    <w:rsid w:val="002C2153"/>
    <w:rsid w:val="002C352A"/>
    <w:rsid w:val="002C3997"/>
    <w:rsid w:val="002C3BD8"/>
    <w:rsid w:val="002C66E8"/>
    <w:rsid w:val="002C72E2"/>
    <w:rsid w:val="002C7832"/>
    <w:rsid w:val="002C7AAB"/>
    <w:rsid w:val="002C7D82"/>
    <w:rsid w:val="002D0BDE"/>
    <w:rsid w:val="002D214D"/>
    <w:rsid w:val="002D4192"/>
    <w:rsid w:val="002D4A73"/>
    <w:rsid w:val="002E0BB4"/>
    <w:rsid w:val="002E1600"/>
    <w:rsid w:val="002E2CE5"/>
    <w:rsid w:val="002F254F"/>
    <w:rsid w:val="002F2CF9"/>
    <w:rsid w:val="002F4F30"/>
    <w:rsid w:val="002F7D78"/>
    <w:rsid w:val="00301906"/>
    <w:rsid w:val="00302338"/>
    <w:rsid w:val="00305BEA"/>
    <w:rsid w:val="00306E33"/>
    <w:rsid w:val="003070A9"/>
    <w:rsid w:val="003079A2"/>
    <w:rsid w:val="00312CFA"/>
    <w:rsid w:val="00313829"/>
    <w:rsid w:val="00314C8A"/>
    <w:rsid w:val="003162E3"/>
    <w:rsid w:val="00317076"/>
    <w:rsid w:val="00317C4A"/>
    <w:rsid w:val="00320F10"/>
    <w:rsid w:val="003212A1"/>
    <w:rsid w:val="00322C50"/>
    <w:rsid w:val="00324224"/>
    <w:rsid w:val="00325C69"/>
    <w:rsid w:val="00325E37"/>
    <w:rsid w:val="0032659F"/>
    <w:rsid w:val="003323C1"/>
    <w:rsid w:val="003330CA"/>
    <w:rsid w:val="00333A32"/>
    <w:rsid w:val="00336171"/>
    <w:rsid w:val="0033744E"/>
    <w:rsid w:val="003411E8"/>
    <w:rsid w:val="003417B3"/>
    <w:rsid w:val="003427D2"/>
    <w:rsid w:val="00345C5E"/>
    <w:rsid w:val="00347116"/>
    <w:rsid w:val="00347B69"/>
    <w:rsid w:val="00350E0B"/>
    <w:rsid w:val="003535BF"/>
    <w:rsid w:val="0035464B"/>
    <w:rsid w:val="00355FA0"/>
    <w:rsid w:val="003579C6"/>
    <w:rsid w:val="00361E38"/>
    <w:rsid w:val="0036373C"/>
    <w:rsid w:val="00363C14"/>
    <w:rsid w:val="00365B5C"/>
    <w:rsid w:val="00367885"/>
    <w:rsid w:val="00367D96"/>
    <w:rsid w:val="00373889"/>
    <w:rsid w:val="0037713C"/>
    <w:rsid w:val="00377464"/>
    <w:rsid w:val="00381735"/>
    <w:rsid w:val="00381AA1"/>
    <w:rsid w:val="00382027"/>
    <w:rsid w:val="003900BD"/>
    <w:rsid w:val="00390BEA"/>
    <w:rsid w:val="00390CE5"/>
    <w:rsid w:val="00391418"/>
    <w:rsid w:val="00396555"/>
    <w:rsid w:val="003A0CFF"/>
    <w:rsid w:val="003A1680"/>
    <w:rsid w:val="003A2DEB"/>
    <w:rsid w:val="003A3BBE"/>
    <w:rsid w:val="003A54E2"/>
    <w:rsid w:val="003B035B"/>
    <w:rsid w:val="003B4903"/>
    <w:rsid w:val="003B6462"/>
    <w:rsid w:val="003B65F7"/>
    <w:rsid w:val="003B7215"/>
    <w:rsid w:val="003B7BB3"/>
    <w:rsid w:val="003C1502"/>
    <w:rsid w:val="003C639E"/>
    <w:rsid w:val="003C675C"/>
    <w:rsid w:val="003C7F69"/>
    <w:rsid w:val="003D26B4"/>
    <w:rsid w:val="003D613F"/>
    <w:rsid w:val="003D7317"/>
    <w:rsid w:val="003E0A80"/>
    <w:rsid w:val="003E2022"/>
    <w:rsid w:val="003E4CC3"/>
    <w:rsid w:val="003E58E2"/>
    <w:rsid w:val="003E63B2"/>
    <w:rsid w:val="003F051B"/>
    <w:rsid w:val="003F23F2"/>
    <w:rsid w:val="003F47A7"/>
    <w:rsid w:val="003F4BAB"/>
    <w:rsid w:val="003F7FF7"/>
    <w:rsid w:val="004014F4"/>
    <w:rsid w:val="004019E9"/>
    <w:rsid w:val="004046BE"/>
    <w:rsid w:val="004047FC"/>
    <w:rsid w:val="00405BF7"/>
    <w:rsid w:val="00407777"/>
    <w:rsid w:val="004102FB"/>
    <w:rsid w:val="00411127"/>
    <w:rsid w:val="00414ABB"/>
    <w:rsid w:val="00414EB5"/>
    <w:rsid w:val="0041511B"/>
    <w:rsid w:val="004160E6"/>
    <w:rsid w:val="0041666F"/>
    <w:rsid w:val="004171A8"/>
    <w:rsid w:val="00424A9C"/>
    <w:rsid w:val="00426D88"/>
    <w:rsid w:val="0042738D"/>
    <w:rsid w:val="00431260"/>
    <w:rsid w:val="00434D7F"/>
    <w:rsid w:val="004364D2"/>
    <w:rsid w:val="00436EAD"/>
    <w:rsid w:val="00437375"/>
    <w:rsid w:val="00443F1E"/>
    <w:rsid w:val="00443F37"/>
    <w:rsid w:val="004452FB"/>
    <w:rsid w:val="0044769B"/>
    <w:rsid w:val="0044793D"/>
    <w:rsid w:val="004502B3"/>
    <w:rsid w:val="004503C0"/>
    <w:rsid w:val="00450D85"/>
    <w:rsid w:val="00455F9A"/>
    <w:rsid w:val="004603DC"/>
    <w:rsid w:val="004627D8"/>
    <w:rsid w:val="00464DAA"/>
    <w:rsid w:val="00465BAE"/>
    <w:rsid w:val="004679F5"/>
    <w:rsid w:val="0047089E"/>
    <w:rsid w:val="004711BD"/>
    <w:rsid w:val="0047156B"/>
    <w:rsid w:val="00471635"/>
    <w:rsid w:val="004743A5"/>
    <w:rsid w:val="00474952"/>
    <w:rsid w:val="0047734B"/>
    <w:rsid w:val="00477BE3"/>
    <w:rsid w:val="00483879"/>
    <w:rsid w:val="00484773"/>
    <w:rsid w:val="004848FD"/>
    <w:rsid w:val="00484FD7"/>
    <w:rsid w:val="00485D92"/>
    <w:rsid w:val="00485F5D"/>
    <w:rsid w:val="004912D3"/>
    <w:rsid w:val="004919C9"/>
    <w:rsid w:val="00491E98"/>
    <w:rsid w:val="004923DE"/>
    <w:rsid w:val="0049260A"/>
    <w:rsid w:val="00492659"/>
    <w:rsid w:val="00492C37"/>
    <w:rsid w:val="00493C44"/>
    <w:rsid w:val="00493F82"/>
    <w:rsid w:val="004978FE"/>
    <w:rsid w:val="004A2646"/>
    <w:rsid w:val="004A4239"/>
    <w:rsid w:val="004A772B"/>
    <w:rsid w:val="004A7A01"/>
    <w:rsid w:val="004B0B9A"/>
    <w:rsid w:val="004B4806"/>
    <w:rsid w:val="004B6A8E"/>
    <w:rsid w:val="004B6C07"/>
    <w:rsid w:val="004B79B6"/>
    <w:rsid w:val="004C173D"/>
    <w:rsid w:val="004C1ACE"/>
    <w:rsid w:val="004C4108"/>
    <w:rsid w:val="004C53F3"/>
    <w:rsid w:val="004C5CFB"/>
    <w:rsid w:val="004D00A1"/>
    <w:rsid w:val="004D3614"/>
    <w:rsid w:val="004D5E09"/>
    <w:rsid w:val="004E015D"/>
    <w:rsid w:val="004E44B8"/>
    <w:rsid w:val="004E61EF"/>
    <w:rsid w:val="004E7AD5"/>
    <w:rsid w:val="004F02BC"/>
    <w:rsid w:val="004F1816"/>
    <w:rsid w:val="004F30E8"/>
    <w:rsid w:val="004F6215"/>
    <w:rsid w:val="004F69FE"/>
    <w:rsid w:val="004F7AAA"/>
    <w:rsid w:val="00500F06"/>
    <w:rsid w:val="0050228A"/>
    <w:rsid w:val="00504F8F"/>
    <w:rsid w:val="00506048"/>
    <w:rsid w:val="00506CEB"/>
    <w:rsid w:val="00510E89"/>
    <w:rsid w:val="00516ADB"/>
    <w:rsid w:val="00516DF2"/>
    <w:rsid w:val="00520315"/>
    <w:rsid w:val="005204FA"/>
    <w:rsid w:val="005225D2"/>
    <w:rsid w:val="00522A78"/>
    <w:rsid w:val="00522E61"/>
    <w:rsid w:val="005233AD"/>
    <w:rsid w:val="005263CE"/>
    <w:rsid w:val="005269D9"/>
    <w:rsid w:val="005272E7"/>
    <w:rsid w:val="00530931"/>
    <w:rsid w:val="005328B6"/>
    <w:rsid w:val="0053393D"/>
    <w:rsid w:val="005342F6"/>
    <w:rsid w:val="005346BD"/>
    <w:rsid w:val="00535035"/>
    <w:rsid w:val="005350BE"/>
    <w:rsid w:val="005354A4"/>
    <w:rsid w:val="00536BDD"/>
    <w:rsid w:val="00537D5A"/>
    <w:rsid w:val="00540AC8"/>
    <w:rsid w:val="0054162A"/>
    <w:rsid w:val="00541CC4"/>
    <w:rsid w:val="00542532"/>
    <w:rsid w:val="00542E0D"/>
    <w:rsid w:val="00544142"/>
    <w:rsid w:val="00544941"/>
    <w:rsid w:val="00546165"/>
    <w:rsid w:val="005469D0"/>
    <w:rsid w:val="00546B67"/>
    <w:rsid w:val="00550D0D"/>
    <w:rsid w:val="005522CD"/>
    <w:rsid w:val="0055327E"/>
    <w:rsid w:val="005532AB"/>
    <w:rsid w:val="00553741"/>
    <w:rsid w:val="00556C1E"/>
    <w:rsid w:val="00557027"/>
    <w:rsid w:val="00563583"/>
    <w:rsid w:val="0056552E"/>
    <w:rsid w:val="0056595D"/>
    <w:rsid w:val="005677DC"/>
    <w:rsid w:val="00571636"/>
    <w:rsid w:val="00571C59"/>
    <w:rsid w:val="00574441"/>
    <w:rsid w:val="005745D3"/>
    <w:rsid w:val="005820B5"/>
    <w:rsid w:val="00582F30"/>
    <w:rsid w:val="005832FC"/>
    <w:rsid w:val="00584E3E"/>
    <w:rsid w:val="005865B9"/>
    <w:rsid w:val="005866E2"/>
    <w:rsid w:val="005871D9"/>
    <w:rsid w:val="005878C7"/>
    <w:rsid w:val="0059184D"/>
    <w:rsid w:val="0059508B"/>
    <w:rsid w:val="0059540B"/>
    <w:rsid w:val="00595CCD"/>
    <w:rsid w:val="00596DAD"/>
    <w:rsid w:val="005973C5"/>
    <w:rsid w:val="005A29F5"/>
    <w:rsid w:val="005A553F"/>
    <w:rsid w:val="005A64C8"/>
    <w:rsid w:val="005A79F2"/>
    <w:rsid w:val="005B03F2"/>
    <w:rsid w:val="005B07D1"/>
    <w:rsid w:val="005B202C"/>
    <w:rsid w:val="005B7708"/>
    <w:rsid w:val="005C1488"/>
    <w:rsid w:val="005C2223"/>
    <w:rsid w:val="005C2E0B"/>
    <w:rsid w:val="005C4874"/>
    <w:rsid w:val="005C5B24"/>
    <w:rsid w:val="005D0128"/>
    <w:rsid w:val="005D0AE4"/>
    <w:rsid w:val="005E0079"/>
    <w:rsid w:val="005E05A1"/>
    <w:rsid w:val="005F1601"/>
    <w:rsid w:val="005F2ED9"/>
    <w:rsid w:val="005F2FC4"/>
    <w:rsid w:val="005F4D25"/>
    <w:rsid w:val="005F5559"/>
    <w:rsid w:val="005F591D"/>
    <w:rsid w:val="005F5FD2"/>
    <w:rsid w:val="005F70C2"/>
    <w:rsid w:val="005F7FE9"/>
    <w:rsid w:val="00603B54"/>
    <w:rsid w:val="006062C2"/>
    <w:rsid w:val="00610941"/>
    <w:rsid w:val="00615DD6"/>
    <w:rsid w:val="00621272"/>
    <w:rsid w:val="00621C5A"/>
    <w:rsid w:val="00630B7A"/>
    <w:rsid w:val="0063210B"/>
    <w:rsid w:val="00634509"/>
    <w:rsid w:val="00640245"/>
    <w:rsid w:val="006417F6"/>
    <w:rsid w:val="00643564"/>
    <w:rsid w:val="00643AB8"/>
    <w:rsid w:val="00650003"/>
    <w:rsid w:val="00651D51"/>
    <w:rsid w:val="00652B50"/>
    <w:rsid w:val="00656AF6"/>
    <w:rsid w:val="006614CC"/>
    <w:rsid w:val="00661819"/>
    <w:rsid w:val="00662152"/>
    <w:rsid w:val="006642D8"/>
    <w:rsid w:val="00664DEE"/>
    <w:rsid w:val="00665F9C"/>
    <w:rsid w:val="006670E5"/>
    <w:rsid w:val="006705DB"/>
    <w:rsid w:val="006710E7"/>
    <w:rsid w:val="00671BB0"/>
    <w:rsid w:val="006737C8"/>
    <w:rsid w:val="00673D5C"/>
    <w:rsid w:val="00687239"/>
    <w:rsid w:val="00690CEB"/>
    <w:rsid w:val="006926E8"/>
    <w:rsid w:val="00693312"/>
    <w:rsid w:val="00694A71"/>
    <w:rsid w:val="0069604F"/>
    <w:rsid w:val="006A0703"/>
    <w:rsid w:val="006A1FE9"/>
    <w:rsid w:val="006A264B"/>
    <w:rsid w:val="006A3CBF"/>
    <w:rsid w:val="006A3D58"/>
    <w:rsid w:val="006A4F84"/>
    <w:rsid w:val="006A572B"/>
    <w:rsid w:val="006A671C"/>
    <w:rsid w:val="006A7092"/>
    <w:rsid w:val="006B1DC6"/>
    <w:rsid w:val="006B29EE"/>
    <w:rsid w:val="006B78A1"/>
    <w:rsid w:val="006C21B2"/>
    <w:rsid w:val="006C2470"/>
    <w:rsid w:val="006C3107"/>
    <w:rsid w:val="006C3741"/>
    <w:rsid w:val="006C4BFF"/>
    <w:rsid w:val="006C5AE4"/>
    <w:rsid w:val="006C7041"/>
    <w:rsid w:val="006C7599"/>
    <w:rsid w:val="006C77CF"/>
    <w:rsid w:val="006D2E61"/>
    <w:rsid w:val="006D31F5"/>
    <w:rsid w:val="006E1372"/>
    <w:rsid w:val="006E2105"/>
    <w:rsid w:val="006E3796"/>
    <w:rsid w:val="006E3DED"/>
    <w:rsid w:val="006E51F1"/>
    <w:rsid w:val="006E7BC5"/>
    <w:rsid w:val="006F13D9"/>
    <w:rsid w:val="006F15AC"/>
    <w:rsid w:val="006F446E"/>
    <w:rsid w:val="006F7573"/>
    <w:rsid w:val="00701028"/>
    <w:rsid w:val="0070122E"/>
    <w:rsid w:val="00702CE2"/>
    <w:rsid w:val="00704855"/>
    <w:rsid w:val="00712C2A"/>
    <w:rsid w:val="0071424A"/>
    <w:rsid w:val="00720C28"/>
    <w:rsid w:val="00722956"/>
    <w:rsid w:val="007231AE"/>
    <w:rsid w:val="00723715"/>
    <w:rsid w:val="00723768"/>
    <w:rsid w:val="00726C74"/>
    <w:rsid w:val="00726F3C"/>
    <w:rsid w:val="00727B25"/>
    <w:rsid w:val="00727DDC"/>
    <w:rsid w:val="0073098F"/>
    <w:rsid w:val="00732870"/>
    <w:rsid w:val="00736659"/>
    <w:rsid w:val="00736F5B"/>
    <w:rsid w:val="00746222"/>
    <w:rsid w:val="0075034A"/>
    <w:rsid w:val="00750CB1"/>
    <w:rsid w:val="0075208F"/>
    <w:rsid w:val="00752860"/>
    <w:rsid w:val="007607EC"/>
    <w:rsid w:val="00761602"/>
    <w:rsid w:val="00762385"/>
    <w:rsid w:val="00762F4A"/>
    <w:rsid w:val="0076319E"/>
    <w:rsid w:val="00763976"/>
    <w:rsid w:val="0076648D"/>
    <w:rsid w:val="00766510"/>
    <w:rsid w:val="00766ABA"/>
    <w:rsid w:val="00767032"/>
    <w:rsid w:val="0077099E"/>
    <w:rsid w:val="007716D7"/>
    <w:rsid w:val="0077238D"/>
    <w:rsid w:val="007744ED"/>
    <w:rsid w:val="00774F11"/>
    <w:rsid w:val="00774F84"/>
    <w:rsid w:val="00781310"/>
    <w:rsid w:val="00784225"/>
    <w:rsid w:val="00784A83"/>
    <w:rsid w:val="007858B2"/>
    <w:rsid w:val="00785A91"/>
    <w:rsid w:val="00787A6B"/>
    <w:rsid w:val="0079022A"/>
    <w:rsid w:val="007913A4"/>
    <w:rsid w:val="007938AC"/>
    <w:rsid w:val="007946C1"/>
    <w:rsid w:val="0079710D"/>
    <w:rsid w:val="00797A29"/>
    <w:rsid w:val="007A0E5C"/>
    <w:rsid w:val="007A0E78"/>
    <w:rsid w:val="007A554C"/>
    <w:rsid w:val="007B2ED7"/>
    <w:rsid w:val="007B4BFE"/>
    <w:rsid w:val="007C15C6"/>
    <w:rsid w:val="007C1728"/>
    <w:rsid w:val="007C1AD1"/>
    <w:rsid w:val="007C5F76"/>
    <w:rsid w:val="007C79C4"/>
    <w:rsid w:val="007D049E"/>
    <w:rsid w:val="007D179E"/>
    <w:rsid w:val="007D1A00"/>
    <w:rsid w:val="007D34F4"/>
    <w:rsid w:val="007D629E"/>
    <w:rsid w:val="007E1207"/>
    <w:rsid w:val="007E20A5"/>
    <w:rsid w:val="007E601B"/>
    <w:rsid w:val="007E7EB0"/>
    <w:rsid w:val="007F03B6"/>
    <w:rsid w:val="007F2464"/>
    <w:rsid w:val="007F6B25"/>
    <w:rsid w:val="00800B80"/>
    <w:rsid w:val="008023FC"/>
    <w:rsid w:val="00802871"/>
    <w:rsid w:val="008066E3"/>
    <w:rsid w:val="00806835"/>
    <w:rsid w:val="008118AD"/>
    <w:rsid w:val="00811E0C"/>
    <w:rsid w:val="00812078"/>
    <w:rsid w:val="00812A53"/>
    <w:rsid w:val="00816022"/>
    <w:rsid w:val="008162A9"/>
    <w:rsid w:val="008221DF"/>
    <w:rsid w:val="008258B8"/>
    <w:rsid w:val="00826689"/>
    <w:rsid w:val="00831272"/>
    <w:rsid w:val="00832514"/>
    <w:rsid w:val="00832AB0"/>
    <w:rsid w:val="00836CBF"/>
    <w:rsid w:val="00837AD7"/>
    <w:rsid w:val="00840E39"/>
    <w:rsid w:val="00841238"/>
    <w:rsid w:val="00841974"/>
    <w:rsid w:val="008430D0"/>
    <w:rsid w:val="0084327E"/>
    <w:rsid w:val="00844845"/>
    <w:rsid w:val="008450EE"/>
    <w:rsid w:val="00846D66"/>
    <w:rsid w:val="00846E7A"/>
    <w:rsid w:val="00850392"/>
    <w:rsid w:val="00852B6C"/>
    <w:rsid w:val="00854242"/>
    <w:rsid w:val="00854CA9"/>
    <w:rsid w:val="008557AA"/>
    <w:rsid w:val="00855F0A"/>
    <w:rsid w:val="00863205"/>
    <w:rsid w:val="00863BDF"/>
    <w:rsid w:val="00866F67"/>
    <w:rsid w:val="00870837"/>
    <w:rsid w:val="0087693A"/>
    <w:rsid w:val="0088163B"/>
    <w:rsid w:val="00883890"/>
    <w:rsid w:val="00884561"/>
    <w:rsid w:val="00885CE5"/>
    <w:rsid w:val="008902C4"/>
    <w:rsid w:val="00890899"/>
    <w:rsid w:val="008926EB"/>
    <w:rsid w:val="00892C80"/>
    <w:rsid w:val="00893152"/>
    <w:rsid w:val="00894F25"/>
    <w:rsid w:val="008975CD"/>
    <w:rsid w:val="0089798C"/>
    <w:rsid w:val="008A1593"/>
    <w:rsid w:val="008A59D1"/>
    <w:rsid w:val="008A6791"/>
    <w:rsid w:val="008A7E8C"/>
    <w:rsid w:val="008B1C44"/>
    <w:rsid w:val="008B2D12"/>
    <w:rsid w:val="008B5639"/>
    <w:rsid w:val="008B5FCE"/>
    <w:rsid w:val="008B77E6"/>
    <w:rsid w:val="008C0531"/>
    <w:rsid w:val="008C49BA"/>
    <w:rsid w:val="008C5442"/>
    <w:rsid w:val="008D1699"/>
    <w:rsid w:val="008D1E7A"/>
    <w:rsid w:val="008D2D27"/>
    <w:rsid w:val="008D367D"/>
    <w:rsid w:val="008D5788"/>
    <w:rsid w:val="008E013C"/>
    <w:rsid w:val="008E04B2"/>
    <w:rsid w:val="008E3886"/>
    <w:rsid w:val="008E540E"/>
    <w:rsid w:val="008E63C4"/>
    <w:rsid w:val="008E7668"/>
    <w:rsid w:val="008F1615"/>
    <w:rsid w:val="008F17CC"/>
    <w:rsid w:val="008F2964"/>
    <w:rsid w:val="008F302C"/>
    <w:rsid w:val="008F3ABB"/>
    <w:rsid w:val="008F4219"/>
    <w:rsid w:val="008F42A9"/>
    <w:rsid w:val="008F659A"/>
    <w:rsid w:val="00900114"/>
    <w:rsid w:val="009018DF"/>
    <w:rsid w:val="00903D2F"/>
    <w:rsid w:val="00903EEF"/>
    <w:rsid w:val="00904A71"/>
    <w:rsid w:val="00907762"/>
    <w:rsid w:val="00910C47"/>
    <w:rsid w:val="00914A57"/>
    <w:rsid w:val="009158AF"/>
    <w:rsid w:val="00920521"/>
    <w:rsid w:val="00920ECB"/>
    <w:rsid w:val="00920F27"/>
    <w:rsid w:val="00921410"/>
    <w:rsid w:val="00921709"/>
    <w:rsid w:val="00921F08"/>
    <w:rsid w:val="009223C9"/>
    <w:rsid w:val="00922C0F"/>
    <w:rsid w:val="009233A2"/>
    <w:rsid w:val="00925644"/>
    <w:rsid w:val="009304F0"/>
    <w:rsid w:val="00930669"/>
    <w:rsid w:val="00931926"/>
    <w:rsid w:val="00931E67"/>
    <w:rsid w:val="00932888"/>
    <w:rsid w:val="00933288"/>
    <w:rsid w:val="0093484A"/>
    <w:rsid w:val="00935795"/>
    <w:rsid w:val="00937113"/>
    <w:rsid w:val="00937370"/>
    <w:rsid w:val="00937CA0"/>
    <w:rsid w:val="00942D30"/>
    <w:rsid w:val="009506E0"/>
    <w:rsid w:val="009509CB"/>
    <w:rsid w:val="00951506"/>
    <w:rsid w:val="00953BB8"/>
    <w:rsid w:val="00963657"/>
    <w:rsid w:val="00964DF8"/>
    <w:rsid w:val="00977671"/>
    <w:rsid w:val="009776D9"/>
    <w:rsid w:val="0098183E"/>
    <w:rsid w:val="00985CEB"/>
    <w:rsid w:val="00986439"/>
    <w:rsid w:val="00986780"/>
    <w:rsid w:val="009879C3"/>
    <w:rsid w:val="009A01C5"/>
    <w:rsid w:val="009A1DB6"/>
    <w:rsid w:val="009A436A"/>
    <w:rsid w:val="009A45E0"/>
    <w:rsid w:val="009A4D9D"/>
    <w:rsid w:val="009A63AF"/>
    <w:rsid w:val="009A6460"/>
    <w:rsid w:val="009A6950"/>
    <w:rsid w:val="009B07AF"/>
    <w:rsid w:val="009B18BA"/>
    <w:rsid w:val="009B1BD1"/>
    <w:rsid w:val="009B52CD"/>
    <w:rsid w:val="009B5A4D"/>
    <w:rsid w:val="009B6F6C"/>
    <w:rsid w:val="009B7192"/>
    <w:rsid w:val="009B7D1D"/>
    <w:rsid w:val="009B7F51"/>
    <w:rsid w:val="009C0824"/>
    <w:rsid w:val="009C1651"/>
    <w:rsid w:val="009C171A"/>
    <w:rsid w:val="009C2B3D"/>
    <w:rsid w:val="009C7741"/>
    <w:rsid w:val="009D19F9"/>
    <w:rsid w:val="009D48CC"/>
    <w:rsid w:val="009D5A54"/>
    <w:rsid w:val="009E30FD"/>
    <w:rsid w:val="009E3D90"/>
    <w:rsid w:val="009E5586"/>
    <w:rsid w:val="009E60AA"/>
    <w:rsid w:val="009F084C"/>
    <w:rsid w:val="009F34EA"/>
    <w:rsid w:val="009F59E5"/>
    <w:rsid w:val="009F6D58"/>
    <w:rsid w:val="009F70C1"/>
    <w:rsid w:val="009F722E"/>
    <w:rsid w:val="00A00279"/>
    <w:rsid w:val="00A01821"/>
    <w:rsid w:val="00A02157"/>
    <w:rsid w:val="00A021E2"/>
    <w:rsid w:val="00A0229E"/>
    <w:rsid w:val="00A051D9"/>
    <w:rsid w:val="00A061A7"/>
    <w:rsid w:val="00A06BB6"/>
    <w:rsid w:val="00A079D0"/>
    <w:rsid w:val="00A10C3B"/>
    <w:rsid w:val="00A123C0"/>
    <w:rsid w:val="00A123E1"/>
    <w:rsid w:val="00A12628"/>
    <w:rsid w:val="00A12BF8"/>
    <w:rsid w:val="00A12ED3"/>
    <w:rsid w:val="00A13563"/>
    <w:rsid w:val="00A13926"/>
    <w:rsid w:val="00A15DFB"/>
    <w:rsid w:val="00A16C46"/>
    <w:rsid w:val="00A17051"/>
    <w:rsid w:val="00A200D7"/>
    <w:rsid w:val="00A2052F"/>
    <w:rsid w:val="00A212BD"/>
    <w:rsid w:val="00A212D5"/>
    <w:rsid w:val="00A226E4"/>
    <w:rsid w:val="00A27C10"/>
    <w:rsid w:val="00A3468A"/>
    <w:rsid w:val="00A35DE3"/>
    <w:rsid w:val="00A35F81"/>
    <w:rsid w:val="00A36F08"/>
    <w:rsid w:val="00A37A4F"/>
    <w:rsid w:val="00A407DF"/>
    <w:rsid w:val="00A43848"/>
    <w:rsid w:val="00A47105"/>
    <w:rsid w:val="00A47D8D"/>
    <w:rsid w:val="00A50EE4"/>
    <w:rsid w:val="00A51ECA"/>
    <w:rsid w:val="00A541BB"/>
    <w:rsid w:val="00A5432F"/>
    <w:rsid w:val="00A6167F"/>
    <w:rsid w:val="00A66A32"/>
    <w:rsid w:val="00A66B0B"/>
    <w:rsid w:val="00A71AD9"/>
    <w:rsid w:val="00A72790"/>
    <w:rsid w:val="00A7292D"/>
    <w:rsid w:val="00A72B7E"/>
    <w:rsid w:val="00A738C5"/>
    <w:rsid w:val="00A739CA"/>
    <w:rsid w:val="00A747CA"/>
    <w:rsid w:val="00A754FD"/>
    <w:rsid w:val="00A76113"/>
    <w:rsid w:val="00A7620F"/>
    <w:rsid w:val="00A76AA8"/>
    <w:rsid w:val="00A77918"/>
    <w:rsid w:val="00A80048"/>
    <w:rsid w:val="00A83426"/>
    <w:rsid w:val="00A8653F"/>
    <w:rsid w:val="00A86D33"/>
    <w:rsid w:val="00A87A93"/>
    <w:rsid w:val="00A9216A"/>
    <w:rsid w:val="00A92C52"/>
    <w:rsid w:val="00A93189"/>
    <w:rsid w:val="00A944F2"/>
    <w:rsid w:val="00A954FB"/>
    <w:rsid w:val="00A95714"/>
    <w:rsid w:val="00A95CA2"/>
    <w:rsid w:val="00A95FAE"/>
    <w:rsid w:val="00A97AF4"/>
    <w:rsid w:val="00AA227F"/>
    <w:rsid w:val="00AA495B"/>
    <w:rsid w:val="00AA666F"/>
    <w:rsid w:val="00AB20B9"/>
    <w:rsid w:val="00AB2237"/>
    <w:rsid w:val="00AB770F"/>
    <w:rsid w:val="00AB7CCC"/>
    <w:rsid w:val="00AC0A9D"/>
    <w:rsid w:val="00AC45AD"/>
    <w:rsid w:val="00AC522A"/>
    <w:rsid w:val="00AC729C"/>
    <w:rsid w:val="00AC7933"/>
    <w:rsid w:val="00AD11A7"/>
    <w:rsid w:val="00AD18AF"/>
    <w:rsid w:val="00AD1AC6"/>
    <w:rsid w:val="00AD23FF"/>
    <w:rsid w:val="00AD3593"/>
    <w:rsid w:val="00AD4195"/>
    <w:rsid w:val="00AD42DC"/>
    <w:rsid w:val="00AD4680"/>
    <w:rsid w:val="00AD5D3E"/>
    <w:rsid w:val="00AD7C8B"/>
    <w:rsid w:val="00AE231D"/>
    <w:rsid w:val="00AE320E"/>
    <w:rsid w:val="00AE3C8B"/>
    <w:rsid w:val="00AE4952"/>
    <w:rsid w:val="00AE579C"/>
    <w:rsid w:val="00AE73FC"/>
    <w:rsid w:val="00AE787E"/>
    <w:rsid w:val="00AF080C"/>
    <w:rsid w:val="00AF0B5E"/>
    <w:rsid w:val="00AF128A"/>
    <w:rsid w:val="00AF1525"/>
    <w:rsid w:val="00AF6A93"/>
    <w:rsid w:val="00AF7730"/>
    <w:rsid w:val="00AF7807"/>
    <w:rsid w:val="00AF78A7"/>
    <w:rsid w:val="00B00589"/>
    <w:rsid w:val="00B03023"/>
    <w:rsid w:val="00B12A03"/>
    <w:rsid w:val="00B12E1D"/>
    <w:rsid w:val="00B23E81"/>
    <w:rsid w:val="00B2430D"/>
    <w:rsid w:val="00B275FE"/>
    <w:rsid w:val="00B27863"/>
    <w:rsid w:val="00B305A6"/>
    <w:rsid w:val="00B311C7"/>
    <w:rsid w:val="00B324B4"/>
    <w:rsid w:val="00B33B27"/>
    <w:rsid w:val="00B370BD"/>
    <w:rsid w:val="00B376D0"/>
    <w:rsid w:val="00B45EC1"/>
    <w:rsid w:val="00B47075"/>
    <w:rsid w:val="00B47A83"/>
    <w:rsid w:val="00B53B92"/>
    <w:rsid w:val="00B56549"/>
    <w:rsid w:val="00B62EA1"/>
    <w:rsid w:val="00B63A6C"/>
    <w:rsid w:val="00B63AD0"/>
    <w:rsid w:val="00B63E9C"/>
    <w:rsid w:val="00B656D0"/>
    <w:rsid w:val="00B660B9"/>
    <w:rsid w:val="00B6630A"/>
    <w:rsid w:val="00B67E09"/>
    <w:rsid w:val="00B7074D"/>
    <w:rsid w:val="00B7083D"/>
    <w:rsid w:val="00B734CC"/>
    <w:rsid w:val="00B747C9"/>
    <w:rsid w:val="00B747D9"/>
    <w:rsid w:val="00B755AA"/>
    <w:rsid w:val="00B773DE"/>
    <w:rsid w:val="00B80F5A"/>
    <w:rsid w:val="00B84D09"/>
    <w:rsid w:val="00B8755E"/>
    <w:rsid w:val="00B87886"/>
    <w:rsid w:val="00B87EF7"/>
    <w:rsid w:val="00B92A5B"/>
    <w:rsid w:val="00B92A7E"/>
    <w:rsid w:val="00B94982"/>
    <w:rsid w:val="00B94996"/>
    <w:rsid w:val="00B94DB8"/>
    <w:rsid w:val="00B95C7F"/>
    <w:rsid w:val="00BA10FF"/>
    <w:rsid w:val="00BA1642"/>
    <w:rsid w:val="00BA2783"/>
    <w:rsid w:val="00BA413D"/>
    <w:rsid w:val="00BA46FE"/>
    <w:rsid w:val="00BA4A9B"/>
    <w:rsid w:val="00BB3365"/>
    <w:rsid w:val="00BB434F"/>
    <w:rsid w:val="00BB4726"/>
    <w:rsid w:val="00BC3D66"/>
    <w:rsid w:val="00BC5757"/>
    <w:rsid w:val="00BC6D23"/>
    <w:rsid w:val="00BD0130"/>
    <w:rsid w:val="00BD2316"/>
    <w:rsid w:val="00BD385D"/>
    <w:rsid w:val="00BD4480"/>
    <w:rsid w:val="00BD569B"/>
    <w:rsid w:val="00BD6081"/>
    <w:rsid w:val="00BD66D2"/>
    <w:rsid w:val="00BD72EF"/>
    <w:rsid w:val="00BE2EA9"/>
    <w:rsid w:val="00BE5E1F"/>
    <w:rsid w:val="00BF156B"/>
    <w:rsid w:val="00BF2E13"/>
    <w:rsid w:val="00BF4B55"/>
    <w:rsid w:val="00BF66C7"/>
    <w:rsid w:val="00BF6788"/>
    <w:rsid w:val="00BF79D7"/>
    <w:rsid w:val="00C00338"/>
    <w:rsid w:val="00C01B18"/>
    <w:rsid w:val="00C03800"/>
    <w:rsid w:val="00C062D0"/>
    <w:rsid w:val="00C0691C"/>
    <w:rsid w:val="00C0691E"/>
    <w:rsid w:val="00C06A5F"/>
    <w:rsid w:val="00C07BFE"/>
    <w:rsid w:val="00C10E67"/>
    <w:rsid w:val="00C147F8"/>
    <w:rsid w:val="00C1632A"/>
    <w:rsid w:val="00C17086"/>
    <w:rsid w:val="00C20257"/>
    <w:rsid w:val="00C221DD"/>
    <w:rsid w:val="00C277C9"/>
    <w:rsid w:val="00C306EC"/>
    <w:rsid w:val="00C357DF"/>
    <w:rsid w:val="00C36AB5"/>
    <w:rsid w:val="00C37543"/>
    <w:rsid w:val="00C37906"/>
    <w:rsid w:val="00C37F17"/>
    <w:rsid w:val="00C40B73"/>
    <w:rsid w:val="00C40C57"/>
    <w:rsid w:val="00C4139C"/>
    <w:rsid w:val="00C41E45"/>
    <w:rsid w:val="00C4681E"/>
    <w:rsid w:val="00C50144"/>
    <w:rsid w:val="00C504FC"/>
    <w:rsid w:val="00C55252"/>
    <w:rsid w:val="00C561CB"/>
    <w:rsid w:val="00C567C1"/>
    <w:rsid w:val="00C57EFE"/>
    <w:rsid w:val="00C61757"/>
    <w:rsid w:val="00C61C0B"/>
    <w:rsid w:val="00C63B88"/>
    <w:rsid w:val="00C63FF4"/>
    <w:rsid w:val="00C65B7C"/>
    <w:rsid w:val="00C6705A"/>
    <w:rsid w:val="00C7073D"/>
    <w:rsid w:val="00C70DA3"/>
    <w:rsid w:val="00C73357"/>
    <w:rsid w:val="00C8195B"/>
    <w:rsid w:val="00C822E8"/>
    <w:rsid w:val="00C82D5F"/>
    <w:rsid w:val="00C85DF5"/>
    <w:rsid w:val="00C87C32"/>
    <w:rsid w:val="00C9153F"/>
    <w:rsid w:val="00C92473"/>
    <w:rsid w:val="00C93598"/>
    <w:rsid w:val="00C95878"/>
    <w:rsid w:val="00C95D56"/>
    <w:rsid w:val="00C96AF9"/>
    <w:rsid w:val="00C97937"/>
    <w:rsid w:val="00CA11BD"/>
    <w:rsid w:val="00CA1E70"/>
    <w:rsid w:val="00CA2B01"/>
    <w:rsid w:val="00CA6916"/>
    <w:rsid w:val="00CB108E"/>
    <w:rsid w:val="00CB1DC2"/>
    <w:rsid w:val="00CB4022"/>
    <w:rsid w:val="00CB5C8E"/>
    <w:rsid w:val="00CC1458"/>
    <w:rsid w:val="00CC620E"/>
    <w:rsid w:val="00CC72BC"/>
    <w:rsid w:val="00CD071D"/>
    <w:rsid w:val="00CD1360"/>
    <w:rsid w:val="00CD15AB"/>
    <w:rsid w:val="00CD1B0B"/>
    <w:rsid w:val="00CD2002"/>
    <w:rsid w:val="00CD39F9"/>
    <w:rsid w:val="00CD5072"/>
    <w:rsid w:val="00CD5E99"/>
    <w:rsid w:val="00CD5FDB"/>
    <w:rsid w:val="00CD7B0B"/>
    <w:rsid w:val="00CE00EC"/>
    <w:rsid w:val="00CE2F35"/>
    <w:rsid w:val="00CE49CB"/>
    <w:rsid w:val="00CE5167"/>
    <w:rsid w:val="00CE5647"/>
    <w:rsid w:val="00CE5E41"/>
    <w:rsid w:val="00CE5EEE"/>
    <w:rsid w:val="00CF0315"/>
    <w:rsid w:val="00CF24E7"/>
    <w:rsid w:val="00CF523E"/>
    <w:rsid w:val="00CF75E8"/>
    <w:rsid w:val="00CF7A9F"/>
    <w:rsid w:val="00CF7AFB"/>
    <w:rsid w:val="00D07DF2"/>
    <w:rsid w:val="00D10D6A"/>
    <w:rsid w:val="00D12EC5"/>
    <w:rsid w:val="00D13B53"/>
    <w:rsid w:val="00D150EE"/>
    <w:rsid w:val="00D15638"/>
    <w:rsid w:val="00D20EC9"/>
    <w:rsid w:val="00D2103A"/>
    <w:rsid w:val="00D2167B"/>
    <w:rsid w:val="00D22302"/>
    <w:rsid w:val="00D27A4E"/>
    <w:rsid w:val="00D30D61"/>
    <w:rsid w:val="00D32BDA"/>
    <w:rsid w:val="00D33763"/>
    <w:rsid w:val="00D36409"/>
    <w:rsid w:val="00D404BC"/>
    <w:rsid w:val="00D5567A"/>
    <w:rsid w:val="00D56022"/>
    <w:rsid w:val="00D60313"/>
    <w:rsid w:val="00D61220"/>
    <w:rsid w:val="00D62C46"/>
    <w:rsid w:val="00D641FF"/>
    <w:rsid w:val="00D64E89"/>
    <w:rsid w:val="00D65777"/>
    <w:rsid w:val="00D66E7E"/>
    <w:rsid w:val="00D713AA"/>
    <w:rsid w:val="00D71973"/>
    <w:rsid w:val="00D7210C"/>
    <w:rsid w:val="00D725B1"/>
    <w:rsid w:val="00D73D0A"/>
    <w:rsid w:val="00D766A2"/>
    <w:rsid w:val="00D77BBA"/>
    <w:rsid w:val="00D8013D"/>
    <w:rsid w:val="00D829A3"/>
    <w:rsid w:val="00D85E08"/>
    <w:rsid w:val="00D863DF"/>
    <w:rsid w:val="00D86E05"/>
    <w:rsid w:val="00D91BB2"/>
    <w:rsid w:val="00D934F5"/>
    <w:rsid w:val="00D95BA1"/>
    <w:rsid w:val="00DA0FD1"/>
    <w:rsid w:val="00DA15A7"/>
    <w:rsid w:val="00DA2118"/>
    <w:rsid w:val="00DA3153"/>
    <w:rsid w:val="00DA3D3B"/>
    <w:rsid w:val="00DA54FA"/>
    <w:rsid w:val="00DB2A21"/>
    <w:rsid w:val="00DB30BC"/>
    <w:rsid w:val="00DB435A"/>
    <w:rsid w:val="00DB4BB1"/>
    <w:rsid w:val="00DB7658"/>
    <w:rsid w:val="00DC29FE"/>
    <w:rsid w:val="00DC47F8"/>
    <w:rsid w:val="00DC4801"/>
    <w:rsid w:val="00DC5FCF"/>
    <w:rsid w:val="00DC7630"/>
    <w:rsid w:val="00DD1DAB"/>
    <w:rsid w:val="00DD5797"/>
    <w:rsid w:val="00DD5C37"/>
    <w:rsid w:val="00DD5DB1"/>
    <w:rsid w:val="00DD660E"/>
    <w:rsid w:val="00DD7209"/>
    <w:rsid w:val="00DE1198"/>
    <w:rsid w:val="00DE358B"/>
    <w:rsid w:val="00DE7A90"/>
    <w:rsid w:val="00DF086E"/>
    <w:rsid w:val="00DF36F9"/>
    <w:rsid w:val="00DF7579"/>
    <w:rsid w:val="00DF7E9F"/>
    <w:rsid w:val="00E0430C"/>
    <w:rsid w:val="00E04E2E"/>
    <w:rsid w:val="00E05254"/>
    <w:rsid w:val="00E05D0C"/>
    <w:rsid w:val="00E0674A"/>
    <w:rsid w:val="00E112F5"/>
    <w:rsid w:val="00E16C87"/>
    <w:rsid w:val="00E206F9"/>
    <w:rsid w:val="00E20A17"/>
    <w:rsid w:val="00E20CEA"/>
    <w:rsid w:val="00E21FCD"/>
    <w:rsid w:val="00E22C81"/>
    <w:rsid w:val="00E2314B"/>
    <w:rsid w:val="00E23470"/>
    <w:rsid w:val="00E2507D"/>
    <w:rsid w:val="00E25CB7"/>
    <w:rsid w:val="00E300B9"/>
    <w:rsid w:val="00E40D55"/>
    <w:rsid w:val="00E40F5A"/>
    <w:rsid w:val="00E42637"/>
    <w:rsid w:val="00E47689"/>
    <w:rsid w:val="00E546B2"/>
    <w:rsid w:val="00E622BD"/>
    <w:rsid w:val="00E62C7F"/>
    <w:rsid w:val="00E657D0"/>
    <w:rsid w:val="00E701E8"/>
    <w:rsid w:val="00E73466"/>
    <w:rsid w:val="00E738BD"/>
    <w:rsid w:val="00E73CC2"/>
    <w:rsid w:val="00E754C1"/>
    <w:rsid w:val="00E75CC3"/>
    <w:rsid w:val="00E83119"/>
    <w:rsid w:val="00E85147"/>
    <w:rsid w:val="00E90AFF"/>
    <w:rsid w:val="00E9292C"/>
    <w:rsid w:val="00E9320F"/>
    <w:rsid w:val="00E93C3D"/>
    <w:rsid w:val="00E95C18"/>
    <w:rsid w:val="00E97B57"/>
    <w:rsid w:val="00EA0981"/>
    <w:rsid w:val="00EA1A4F"/>
    <w:rsid w:val="00EA37E9"/>
    <w:rsid w:val="00EA3F3B"/>
    <w:rsid w:val="00EA6A36"/>
    <w:rsid w:val="00EB0733"/>
    <w:rsid w:val="00EB0FEE"/>
    <w:rsid w:val="00EB28DF"/>
    <w:rsid w:val="00EB3876"/>
    <w:rsid w:val="00EB4D6D"/>
    <w:rsid w:val="00EB6A23"/>
    <w:rsid w:val="00EB7280"/>
    <w:rsid w:val="00EB7886"/>
    <w:rsid w:val="00EC30A0"/>
    <w:rsid w:val="00EC3899"/>
    <w:rsid w:val="00EC51D3"/>
    <w:rsid w:val="00ED4039"/>
    <w:rsid w:val="00ED47E7"/>
    <w:rsid w:val="00EE0FC0"/>
    <w:rsid w:val="00EE3D50"/>
    <w:rsid w:val="00EE5E59"/>
    <w:rsid w:val="00EF05F1"/>
    <w:rsid w:val="00EF5168"/>
    <w:rsid w:val="00EF5DBF"/>
    <w:rsid w:val="00EF6FC3"/>
    <w:rsid w:val="00F000BB"/>
    <w:rsid w:val="00F042AA"/>
    <w:rsid w:val="00F066F6"/>
    <w:rsid w:val="00F074EC"/>
    <w:rsid w:val="00F11DDC"/>
    <w:rsid w:val="00F15709"/>
    <w:rsid w:val="00F17473"/>
    <w:rsid w:val="00F2080A"/>
    <w:rsid w:val="00F20A88"/>
    <w:rsid w:val="00F21CB1"/>
    <w:rsid w:val="00F2409A"/>
    <w:rsid w:val="00F301C4"/>
    <w:rsid w:val="00F31C4C"/>
    <w:rsid w:val="00F35188"/>
    <w:rsid w:val="00F42172"/>
    <w:rsid w:val="00F448AA"/>
    <w:rsid w:val="00F457B0"/>
    <w:rsid w:val="00F457E3"/>
    <w:rsid w:val="00F45D7E"/>
    <w:rsid w:val="00F47F9D"/>
    <w:rsid w:val="00F51194"/>
    <w:rsid w:val="00F51E0A"/>
    <w:rsid w:val="00F51F06"/>
    <w:rsid w:val="00F52651"/>
    <w:rsid w:val="00F529C8"/>
    <w:rsid w:val="00F53CA6"/>
    <w:rsid w:val="00F55FA1"/>
    <w:rsid w:val="00F601C3"/>
    <w:rsid w:val="00F605B3"/>
    <w:rsid w:val="00F60D57"/>
    <w:rsid w:val="00F63775"/>
    <w:rsid w:val="00F649BF"/>
    <w:rsid w:val="00F64B2A"/>
    <w:rsid w:val="00F66616"/>
    <w:rsid w:val="00F71BCC"/>
    <w:rsid w:val="00F7275E"/>
    <w:rsid w:val="00F730A8"/>
    <w:rsid w:val="00F77C48"/>
    <w:rsid w:val="00F80F83"/>
    <w:rsid w:val="00F81B48"/>
    <w:rsid w:val="00F823C4"/>
    <w:rsid w:val="00F84459"/>
    <w:rsid w:val="00F84C39"/>
    <w:rsid w:val="00F85DFF"/>
    <w:rsid w:val="00F869D3"/>
    <w:rsid w:val="00F86A04"/>
    <w:rsid w:val="00F92B7F"/>
    <w:rsid w:val="00F9529C"/>
    <w:rsid w:val="00F96B97"/>
    <w:rsid w:val="00FA1486"/>
    <w:rsid w:val="00FA40C9"/>
    <w:rsid w:val="00FA5999"/>
    <w:rsid w:val="00FA641B"/>
    <w:rsid w:val="00FA7C21"/>
    <w:rsid w:val="00FB0257"/>
    <w:rsid w:val="00FB183A"/>
    <w:rsid w:val="00FB2003"/>
    <w:rsid w:val="00FB3309"/>
    <w:rsid w:val="00FB48FD"/>
    <w:rsid w:val="00FB4C0A"/>
    <w:rsid w:val="00FB7267"/>
    <w:rsid w:val="00FC01D2"/>
    <w:rsid w:val="00FC1450"/>
    <w:rsid w:val="00FC23B4"/>
    <w:rsid w:val="00FC340E"/>
    <w:rsid w:val="00FC39D8"/>
    <w:rsid w:val="00FC3DA6"/>
    <w:rsid w:val="00FC3DB4"/>
    <w:rsid w:val="00FC486D"/>
    <w:rsid w:val="00FC4F8B"/>
    <w:rsid w:val="00FC7F4C"/>
    <w:rsid w:val="00FD6F6E"/>
    <w:rsid w:val="00FD7DD1"/>
    <w:rsid w:val="00FE1183"/>
    <w:rsid w:val="00FE2367"/>
    <w:rsid w:val="00FE386E"/>
    <w:rsid w:val="00FE66CA"/>
    <w:rsid w:val="00FF028E"/>
    <w:rsid w:val="00FF1A89"/>
    <w:rsid w:val="00FF6F3B"/>
    <w:rsid w:val="00FF776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D94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C61C0B"/>
    <w:pPr>
      <w:spacing w:before="200" w:after="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9"/>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semiHidden/>
    <w:unhideWhenUsed/>
    <w:qFormat/>
    <w:rsid w:val="00A8653F"/>
    <w:pPr>
      <w:keepNext/>
      <w:keepLines/>
      <w:spacing w:line="276" w:lineRule="auto"/>
      <w:jc w:val="left"/>
      <w:outlineLvl w:val="4"/>
    </w:pPr>
    <w:rPr>
      <w:rFonts w:asciiTheme="majorHAnsi" w:eastAsiaTheme="majorEastAsia" w:hAnsiTheme="majorHAnsi" w:cstheme="majorBidi"/>
      <w:color w:val="5E563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9"/>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693312"/>
    <w:pPr>
      <w:spacing w:after="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spacing w:after="120"/>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tabs>
        <w:tab w:val="clear" w:pos="284"/>
        <w:tab w:val="num" w:pos="426"/>
      </w:tabs>
      <w:spacing w:before="360"/>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5865B9"/>
    <w:pPr>
      <w:spacing w:after="120"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spacing w:before="0" w:after="120"/>
      <w:ind w:left="1077" w:hanging="357"/>
    </w:pPr>
  </w:style>
  <w:style w:type="paragraph" w:styleId="Caption">
    <w:name w:val="caption"/>
    <w:basedOn w:val="Normal"/>
    <w:next w:val="Normal"/>
    <w:uiPriority w:val="35"/>
    <w:unhideWhenUsed/>
    <w:qFormat/>
    <w:rsid w:val="00D10D6A"/>
    <w:pPr>
      <w:spacing w:before="0"/>
    </w:pPr>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unhideWhenUsed/>
    <w:rsid w:val="00D10D6A"/>
    <w:pPr>
      <w:spacing w:after="120"/>
    </w:pPr>
  </w:style>
  <w:style w:type="character" w:customStyle="1" w:styleId="BodyTextChar">
    <w:name w:val="Body Text Char"/>
    <w:basedOn w:val="DefaultParagraphFont"/>
    <w:link w:val="BodyText"/>
    <w:uiPriority w:val="99"/>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20AE"/>
    <w:pPr>
      <w:suppressAutoHyphens/>
      <w:spacing w:before="120" w:after="120" w:line="276" w:lineRule="auto"/>
      <w:textboxTightWrap w:val="firstLineOnly"/>
    </w:pPr>
    <w:rPr>
      <w:rFonts w:eastAsiaTheme="minorHAnsi" w:cs="Arial"/>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character" w:customStyle="1" w:styleId="Heading5Char">
    <w:name w:val="Heading 5 Char"/>
    <w:basedOn w:val="DefaultParagraphFont"/>
    <w:link w:val="Heading5"/>
    <w:uiPriority w:val="9"/>
    <w:semiHidden/>
    <w:rsid w:val="00A8653F"/>
    <w:rPr>
      <w:rFonts w:asciiTheme="majorHAnsi" w:eastAsiaTheme="majorEastAsia" w:hAnsiTheme="majorHAnsi" w:cstheme="majorBidi"/>
      <w:color w:val="5E563A"/>
    </w:rPr>
  </w:style>
  <w:style w:type="paragraph" w:customStyle="1" w:styleId="NoParagraphStyle">
    <w:name w:val="[No Paragraph Style]"/>
    <w:rsid w:val="00A8653F"/>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DotPoints">
    <w:name w:val="Dot Points"/>
    <w:basedOn w:val="BodyText"/>
    <w:uiPriority w:val="99"/>
    <w:rsid w:val="00A8653F"/>
    <w:pPr>
      <w:suppressAutoHyphens/>
      <w:autoSpaceDE w:val="0"/>
      <w:autoSpaceDN w:val="0"/>
      <w:adjustRightInd w:val="0"/>
      <w:spacing w:before="0" w:after="57" w:line="288" w:lineRule="auto"/>
      <w:ind w:left="567" w:hanging="283"/>
      <w:jc w:val="left"/>
      <w:textAlignment w:val="center"/>
    </w:pPr>
    <w:rPr>
      <w:rFonts w:eastAsiaTheme="minorHAnsi" w:cs="Arial"/>
      <w:color w:val="000000"/>
      <w:sz w:val="22"/>
      <w:szCs w:val="22"/>
      <w:lang w:val="en-US" w:eastAsia="en-US"/>
    </w:rPr>
  </w:style>
  <w:style w:type="paragraph" w:customStyle="1" w:styleId="BodyTextindented">
    <w:name w:val="Body Text indented"/>
    <w:basedOn w:val="BodyText"/>
    <w:uiPriority w:val="99"/>
    <w:rsid w:val="00FC23B4"/>
    <w:pPr>
      <w:suppressAutoHyphens/>
      <w:autoSpaceDE w:val="0"/>
      <w:autoSpaceDN w:val="0"/>
      <w:adjustRightInd w:val="0"/>
      <w:spacing w:before="0" w:after="113" w:line="288" w:lineRule="auto"/>
      <w:ind w:left="851"/>
      <w:textAlignment w:val="center"/>
    </w:pPr>
    <w:rPr>
      <w:rFonts w:eastAsiaTheme="minorHAnsi" w:cs="Arial"/>
      <w:color w:val="000000"/>
      <w:szCs w:val="22"/>
      <w:lang w:val="en-US" w:eastAsia="en-US"/>
    </w:rPr>
  </w:style>
  <w:style w:type="character" w:customStyle="1" w:styleId="Italics">
    <w:name w:val="Italics"/>
    <w:uiPriority w:val="99"/>
    <w:rsid w:val="00A8653F"/>
    <w:rPr>
      <w:i/>
      <w:iCs/>
    </w:rPr>
  </w:style>
  <w:style w:type="paragraph" w:customStyle="1" w:styleId="Heading1TOCheadings">
    <w:name w:val="Heading 1 TOC headings"/>
    <w:basedOn w:val="Heading1"/>
    <w:uiPriority w:val="99"/>
    <w:rsid w:val="00A8653F"/>
    <w:pPr>
      <w:keepNext w:val="0"/>
      <w:suppressAutoHyphens/>
      <w:autoSpaceDE w:val="0"/>
      <w:autoSpaceDN w:val="0"/>
      <w:adjustRightInd w:val="0"/>
      <w:spacing w:before="0" w:after="227" w:line="288" w:lineRule="auto"/>
      <w:jc w:val="left"/>
      <w:textAlignment w:val="center"/>
      <w:outlineLvl w:val="9"/>
    </w:pPr>
    <w:rPr>
      <w:rFonts w:ascii="Arial" w:eastAsiaTheme="minorHAnsi" w:hAnsi="Arial"/>
      <w:bCs/>
      <w:color w:val="145B85"/>
      <w:kern w:val="0"/>
      <w:sz w:val="40"/>
      <w:szCs w:val="48"/>
      <w:lang w:val="en-GB" w:eastAsia="en-US"/>
    </w:rPr>
  </w:style>
  <w:style w:type="paragraph" w:customStyle="1" w:styleId="Figureheading">
    <w:name w:val="Figure heading"/>
    <w:basedOn w:val="NoParagraphStyle"/>
    <w:uiPriority w:val="99"/>
    <w:rsid w:val="00A8653F"/>
    <w:pPr>
      <w:suppressAutoHyphens/>
      <w:spacing w:before="100" w:after="100" w:line="220" w:lineRule="atLeast"/>
      <w:ind w:left="1134" w:hanging="1134"/>
    </w:pPr>
    <w:rPr>
      <w:rFonts w:ascii="Arial" w:hAnsi="Arial" w:cs="Arial"/>
      <w:b/>
      <w:bCs/>
      <w:sz w:val="20"/>
      <w:szCs w:val="20"/>
    </w:rPr>
  </w:style>
  <w:style w:type="paragraph" w:customStyle="1" w:styleId="TableName">
    <w:name w:val="Table Name"/>
    <w:basedOn w:val="Figureheading"/>
    <w:uiPriority w:val="99"/>
    <w:rsid w:val="00A8653F"/>
  </w:style>
  <w:style w:type="paragraph" w:customStyle="1" w:styleId="Tablenumber">
    <w:name w:val="Table number"/>
    <w:basedOn w:val="BodyText"/>
    <w:autoRedefine/>
    <w:uiPriority w:val="99"/>
    <w:rsid w:val="00A8653F"/>
    <w:pPr>
      <w:suppressAutoHyphens/>
      <w:autoSpaceDE w:val="0"/>
      <w:autoSpaceDN w:val="0"/>
      <w:adjustRightInd w:val="0"/>
      <w:spacing w:before="80" w:after="80" w:line="160" w:lineRule="atLeast"/>
      <w:jc w:val="left"/>
      <w:textAlignment w:val="center"/>
    </w:pPr>
    <w:rPr>
      <w:rFonts w:eastAsiaTheme="minorHAnsi" w:cs="Arial"/>
      <w:color w:val="000000"/>
      <w:sz w:val="16"/>
      <w:szCs w:val="16"/>
      <w:lang w:val="en-GB" w:eastAsia="en-US"/>
    </w:rPr>
  </w:style>
  <w:style w:type="paragraph" w:customStyle="1" w:styleId="Tablecolumnheadings">
    <w:name w:val="Table column headings"/>
    <w:basedOn w:val="Tablenumber"/>
    <w:autoRedefine/>
    <w:uiPriority w:val="99"/>
    <w:rsid w:val="00A8653F"/>
    <w:pPr>
      <w:jc w:val="center"/>
    </w:pPr>
    <w:rPr>
      <w:b/>
      <w:bCs/>
      <w:sz w:val="18"/>
      <w:szCs w:val="18"/>
    </w:rPr>
  </w:style>
  <w:style w:type="paragraph" w:customStyle="1" w:styleId="Tablestubheadings">
    <w:name w:val="Table stub headings"/>
    <w:basedOn w:val="Tablecolumnheadings"/>
    <w:uiPriority w:val="99"/>
    <w:rsid w:val="00A8653F"/>
    <w:pPr>
      <w:jc w:val="left"/>
    </w:pPr>
  </w:style>
  <w:style w:type="paragraph" w:customStyle="1" w:styleId="Tablesubheadingsbold">
    <w:name w:val="Table sub headings bold"/>
    <w:basedOn w:val="Tablestubheadings"/>
    <w:autoRedefine/>
    <w:uiPriority w:val="99"/>
    <w:rsid w:val="00A8653F"/>
  </w:style>
  <w:style w:type="paragraph" w:customStyle="1" w:styleId="Tablenumberbold">
    <w:name w:val="Table number bold"/>
    <w:basedOn w:val="Tablenumber"/>
    <w:uiPriority w:val="99"/>
    <w:rsid w:val="00A8653F"/>
    <w:rPr>
      <w:b/>
      <w:bCs/>
    </w:rPr>
  </w:style>
  <w:style w:type="character" w:customStyle="1" w:styleId="Classificationitalics">
    <w:name w:val="Classification italics"/>
    <w:uiPriority w:val="99"/>
    <w:rsid w:val="00A8653F"/>
    <w:rPr>
      <w:rFonts w:ascii="Arial" w:hAnsi="Arial" w:cs="Arial"/>
      <w:i/>
      <w:iCs/>
      <w:sz w:val="22"/>
      <w:szCs w:val="22"/>
    </w:rPr>
  </w:style>
  <w:style w:type="paragraph" w:customStyle="1" w:styleId="Tablewafer">
    <w:name w:val="Table wafer"/>
    <w:basedOn w:val="Tablestubheadings"/>
    <w:autoRedefine/>
    <w:uiPriority w:val="99"/>
    <w:rsid w:val="00A8653F"/>
    <w:pPr>
      <w:jc w:val="center"/>
    </w:pPr>
  </w:style>
  <w:style w:type="paragraph" w:styleId="NormalWeb">
    <w:name w:val="Normal (Web)"/>
    <w:basedOn w:val="Normal"/>
    <w:uiPriority w:val="99"/>
    <w:semiHidden/>
    <w:unhideWhenUsed/>
    <w:rsid w:val="00A8653F"/>
    <w:pPr>
      <w:spacing w:before="100" w:beforeAutospacing="1" w:after="100" w:afterAutospacing="1"/>
      <w:jc w:val="left"/>
    </w:pPr>
    <w:rPr>
      <w:rFonts w:ascii="Times New Roman" w:eastAsiaTheme="minorEastAsia" w:hAnsi="Times New Roman"/>
      <w:sz w:val="24"/>
    </w:rPr>
  </w:style>
  <w:style w:type="character" w:customStyle="1" w:styleId="Colouredsection">
    <w:name w:val="Coloured section"/>
    <w:uiPriority w:val="99"/>
    <w:rsid w:val="00A8653F"/>
    <w:rPr>
      <w:rFonts w:ascii="Arial" w:hAnsi="Arial" w:cs="Arial"/>
      <w:color w:val="009EA0"/>
      <w:sz w:val="22"/>
      <w:szCs w:val="22"/>
    </w:rPr>
  </w:style>
  <w:style w:type="character" w:styleId="CommentReference">
    <w:name w:val="annotation reference"/>
    <w:basedOn w:val="DefaultParagraphFont"/>
    <w:uiPriority w:val="99"/>
    <w:semiHidden/>
    <w:unhideWhenUsed/>
    <w:rsid w:val="00A8653F"/>
    <w:rPr>
      <w:sz w:val="16"/>
      <w:szCs w:val="16"/>
    </w:rPr>
  </w:style>
  <w:style w:type="paragraph" w:styleId="CommentText">
    <w:name w:val="annotation text"/>
    <w:basedOn w:val="Normal"/>
    <w:link w:val="CommentTextChar"/>
    <w:uiPriority w:val="99"/>
    <w:semiHidden/>
    <w:unhideWhenUsed/>
    <w:rsid w:val="00A8653F"/>
    <w:pPr>
      <w:spacing w:before="0" w:after="200"/>
      <w:jc w:val="left"/>
    </w:pPr>
    <w:rPr>
      <w:rFonts w:eastAsiaTheme="minorHAnsi" w:cs="Arial"/>
      <w:szCs w:val="20"/>
      <w:lang w:eastAsia="en-US"/>
    </w:rPr>
  </w:style>
  <w:style w:type="character" w:customStyle="1" w:styleId="CommentTextChar">
    <w:name w:val="Comment Text Char"/>
    <w:basedOn w:val="DefaultParagraphFont"/>
    <w:link w:val="CommentText"/>
    <w:uiPriority w:val="99"/>
    <w:semiHidden/>
    <w:rsid w:val="00A865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653F"/>
    <w:rPr>
      <w:b/>
      <w:bCs/>
    </w:rPr>
  </w:style>
  <w:style w:type="character" w:customStyle="1" w:styleId="CommentSubjectChar">
    <w:name w:val="Comment Subject Char"/>
    <w:basedOn w:val="CommentTextChar"/>
    <w:link w:val="CommentSubject"/>
    <w:uiPriority w:val="99"/>
    <w:semiHidden/>
    <w:rsid w:val="00A8653F"/>
    <w:rPr>
      <w:rFonts w:ascii="Arial" w:hAnsi="Arial" w:cs="Arial"/>
      <w:b/>
      <w:bCs/>
      <w:sz w:val="20"/>
      <w:szCs w:val="20"/>
    </w:rPr>
  </w:style>
  <w:style w:type="paragraph" w:customStyle="1" w:styleId="Appendixtablehead">
    <w:name w:val="Appendix table head"/>
    <w:basedOn w:val="Normal"/>
    <w:qFormat/>
    <w:rsid w:val="00A8653F"/>
    <w:pPr>
      <w:spacing w:before="0" w:after="200" w:line="276" w:lineRule="auto"/>
      <w:ind w:left="567" w:hanging="283"/>
      <w:jc w:val="left"/>
    </w:pPr>
    <w:rPr>
      <w:rFonts w:eastAsiaTheme="minorHAnsi" w:cs="Arial"/>
      <w:b/>
      <w:szCs w:val="20"/>
      <w:lang w:eastAsia="en-US"/>
    </w:rPr>
  </w:style>
  <w:style w:type="paragraph" w:customStyle="1" w:styleId="Tableheader">
    <w:name w:val="Table header"/>
    <w:basedOn w:val="Appendixtablehead"/>
    <w:qFormat/>
    <w:rsid w:val="00A8653F"/>
    <w:pPr>
      <w:suppressAutoHyphens/>
      <w:autoSpaceDE w:val="0"/>
      <w:autoSpaceDN w:val="0"/>
      <w:adjustRightInd w:val="0"/>
      <w:spacing w:after="113" w:line="288" w:lineRule="auto"/>
      <w:ind w:left="284" w:firstLine="0"/>
      <w:textAlignment w:val="center"/>
    </w:pPr>
    <w:rPr>
      <w:bCs/>
      <w:color w:val="000000"/>
      <w:lang w:val="en-GB"/>
    </w:rPr>
  </w:style>
  <w:style w:type="paragraph" w:customStyle="1" w:styleId="Sub-heading">
    <w:name w:val="Sub-heading"/>
    <w:basedOn w:val="Normal"/>
    <w:autoRedefine/>
    <w:qFormat/>
    <w:rsid w:val="00A8653F"/>
    <w:pPr>
      <w:suppressAutoHyphens/>
      <w:autoSpaceDE w:val="0"/>
      <w:autoSpaceDN w:val="0"/>
      <w:adjustRightInd w:val="0"/>
      <w:spacing w:before="120" w:after="120" w:line="288" w:lineRule="auto"/>
      <w:jc w:val="left"/>
      <w:textAlignment w:val="center"/>
    </w:pPr>
    <w:rPr>
      <w:rFonts w:eastAsiaTheme="minorHAnsi" w:cs="Arial"/>
      <w:color w:val="145B85"/>
      <w:sz w:val="28"/>
      <w:lang w:val="en-GB" w:eastAsia="en-US"/>
    </w:rPr>
  </w:style>
  <w:style w:type="paragraph" w:customStyle="1" w:styleId="Foreword">
    <w:name w:val="Foreword"/>
    <w:basedOn w:val="Normal"/>
    <w:qFormat/>
    <w:rsid w:val="00A8653F"/>
    <w:pPr>
      <w:suppressAutoHyphens/>
      <w:autoSpaceDE w:val="0"/>
      <w:autoSpaceDN w:val="0"/>
      <w:adjustRightInd w:val="0"/>
      <w:spacing w:before="0" w:after="227" w:line="288" w:lineRule="auto"/>
      <w:jc w:val="left"/>
      <w:textAlignment w:val="center"/>
      <w:outlineLvl w:val="0"/>
    </w:pPr>
    <w:rPr>
      <w:rFonts w:eastAsiaTheme="minorHAnsi" w:cs="Arial"/>
      <w:b/>
      <w:bCs/>
      <w:color w:val="145B85"/>
      <w:sz w:val="48"/>
      <w:szCs w:val="48"/>
      <w:lang w:val="en-GB" w:eastAsia="en-US"/>
    </w:rPr>
  </w:style>
  <w:style w:type="paragraph" w:customStyle="1" w:styleId="Summary">
    <w:name w:val="Summary"/>
    <w:qFormat/>
    <w:rsid w:val="00A8653F"/>
    <w:pPr>
      <w:spacing w:after="0"/>
      <w:jc w:val="right"/>
    </w:pPr>
    <w:rPr>
      <w:rFonts w:ascii="Arial" w:hAnsi="Arial" w:cs="Arial"/>
      <w:b/>
      <w:color w:val="145B85"/>
      <w:sz w:val="32"/>
      <w:szCs w:val="32"/>
      <w:lang w:val="en-GB"/>
    </w:rPr>
  </w:style>
  <w:style w:type="paragraph" w:customStyle="1" w:styleId="Tablecontents">
    <w:name w:val="Table contents"/>
    <w:basedOn w:val="Tablestubheadings"/>
    <w:qFormat/>
    <w:rsid w:val="00A8653F"/>
    <w:rPr>
      <w:b w:val="0"/>
    </w:rPr>
  </w:style>
  <w:style w:type="paragraph" w:customStyle="1" w:styleId="Footnotecompressed">
    <w:name w:val="Footnote compressed"/>
    <w:basedOn w:val="Footnote"/>
    <w:qFormat/>
    <w:rsid w:val="00A8653F"/>
    <w:pPr>
      <w:numPr>
        <w:numId w:val="8"/>
      </w:numPr>
      <w:spacing w:before="0" w:line="240" w:lineRule="auto"/>
      <w:ind w:left="284" w:hanging="284"/>
    </w:pPr>
  </w:style>
  <w:style w:type="character" w:customStyle="1" w:styleId="tgc">
    <w:name w:val="_tgc"/>
    <w:basedOn w:val="DefaultParagraphFont"/>
    <w:rsid w:val="00A8653F"/>
  </w:style>
  <w:style w:type="paragraph" w:customStyle="1" w:styleId="swa">
    <w:name w:val="swa"/>
    <w:basedOn w:val="Heading3"/>
    <w:qFormat/>
    <w:rsid w:val="00A8653F"/>
    <w:pPr>
      <w:keepLines/>
      <w:overflowPunct/>
      <w:autoSpaceDE/>
      <w:autoSpaceDN/>
      <w:adjustRightInd/>
      <w:spacing w:before="200" w:after="200" w:line="276" w:lineRule="auto"/>
      <w:jc w:val="center"/>
      <w:textAlignment w:val="auto"/>
    </w:pPr>
    <w:rPr>
      <w:rFonts w:ascii="Arial" w:hAnsi="Arial" w:cs="Arial"/>
      <w:bCs/>
      <w:color w:val="145B85"/>
      <w:sz w:val="36"/>
      <w:szCs w:val="22"/>
      <w:lang w:val="en-GB"/>
    </w:rPr>
  </w:style>
  <w:style w:type="paragraph" w:customStyle="1" w:styleId="HeaderChapterStart">
    <w:name w:val="Header Chapter Start"/>
    <w:basedOn w:val="Header"/>
    <w:qFormat/>
    <w:rsid w:val="00A8653F"/>
    <w:pPr>
      <w:spacing w:before="0"/>
      <w:jc w:val="left"/>
    </w:pPr>
    <w:rPr>
      <w:rFonts w:eastAsiaTheme="minorHAnsi" w:cs="Arial"/>
      <w:i/>
      <w:color w:val="145B85"/>
      <w:szCs w:val="22"/>
      <w:lang w:eastAsia="en-US"/>
    </w:rPr>
  </w:style>
  <w:style w:type="paragraph" w:customStyle="1" w:styleId="Body">
    <w:name w:val="Body"/>
    <w:basedOn w:val="Normal"/>
    <w:link w:val="BodyChar"/>
    <w:qFormat/>
    <w:rsid w:val="00A8653F"/>
    <w:pPr>
      <w:spacing w:before="120" w:after="120" w:line="300" w:lineRule="auto"/>
      <w:jc w:val="left"/>
    </w:pPr>
    <w:rPr>
      <w:szCs w:val="20"/>
      <w:lang w:eastAsia="en-US"/>
    </w:rPr>
  </w:style>
  <w:style w:type="character" w:customStyle="1" w:styleId="BodyChar">
    <w:name w:val="Body Char"/>
    <w:link w:val="Body"/>
    <w:rsid w:val="00A8653F"/>
    <w:rPr>
      <w:rFonts w:ascii="Arial" w:eastAsia="Times New Roman" w:hAnsi="Arial" w:cs="Times New Roman"/>
      <w:sz w:val="20"/>
      <w:szCs w:val="20"/>
    </w:rPr>
  </w:style>
  <w:style w:type="paragraph" w:styleId="Subtitle">
    <w:name w:val="Subtitle"/>
    <w:basedOn w:val="NoParagraphStyle"/>
    <w:next w:val="Body"/>
    <w:link w:val="SubtitleChar"/>
    <w:uiPriority w:val="11"/>
    <w:qFormat/>
    <w:rsid w:val="00A8653F"/>
    <w:pPr>
      <w:spacing w:before="2268"/>
      <w:contextualSpacing/>
      <w:jc w:val="right"/>
    </w:pPr>
    <w:rPr>
      <w:rFonts w:ascii="Arial" w:hAnsi="Arial" w:cs="Arial"/>
      <w:color w:val="145B85"/>
      <w:sz w:val="50"/>
      <w:szCs w:val="50"/>
    </w:rPr>
  </w:style>
  <w:style w:type="character" w:customStyle="1" w:styleId="SubtitleChar">
    <w:name w:val="Subtitle Char"/>
    <w:basedOn w:val="DefaultParagraphFont"/>
    <w:link w:val="Subtitle"/>
    <w:uiPriority w:val="11"/>
    <w:rsid w:val="00A8653F"/>
    <w:rPr>
      <w:rFonts w:ascii="Arial" w:hAnsi="Arial" w:cs="Arial"/>
      <w:color w:val="145B85"/>
      <w:sz w:val="50"/>
      <w:szCs w:val="50"/>
      <w:lang w:val="en-GB"/>
    </w:rPr>
  </w:style>
  <w:style w:type="paragraph" w:customStyle="1" w:styleId="Default">
    <w:name w:val="Default"/>
    <w:rsid w:val="00A8653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8653F"/>
    <w:pPr>
      <w:spacing w:after="0" w:line="240" w:lineRule="auto"/>
    </w:pPr>
    <w:rPr>
      <w:rFonts w:ascii="Arial" w:hAnsi="Arial" w:cs="Arial"/>
    </w:rPr>
  </w:style>
  <w:style w:type="table" w:styleId="LightShading">
    <w:name w:val="Light Shading"/>
    <w:basedOn w:val="TableNormal"/>
    <w:uiPriority w:val="60"/>
    <w:rsid w:val="0069331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9331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ForTable">
    <w:name w:val="For Table"/>
    <w:basedOn w:val="Normal"/>
    <w:qFormat/>
    <w:rsid w:val="00693312"/>
    <w:pPr>
      <w:spacing w:before="0"/>
      <w:jc w:val="left"/>
    </w:pPr>
    <w:rPr>
      <w:bCs/>
      <w:sz w:val="16"/>
      <w:szCs w:val="16"/>
    </w:rPr>
  </w:style>
  <w:style w:type="paragraph" w:styleId="FootnoteText">
    <w:name w:val="footnote text"/>
    <w:basedOn w:val="Normal"/>
    <w:link w:val="FootnoteTextChar"/>
    <w:uiPriority w:val="99"/>
    <w:semiHidden/>
    <w:unhideWhenUsed/>
    <w:rsid w:val="005C2223"/>
    <w:pPr>
      <w:spacing w:before="0"/>
    </w:pPr>
    <w:rPr>
      <w:szCs w:val="20"/>
    </w:rPr>
  </w:style>
  <w:style w:type="character" w:customStyle="1" w:styleId="FootnoteTextChar">
    <w:name w:val="Footnote Text Char"/>
    <w:basedOn w:val="DefaultParagraphFont"/>
    <w:link w:val="FootnoteText"/>
    <w:uiPriority w:val="99"/>
    <w:semiHidden/>
    <w:rsid w:val="005C2223"/>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5C2223"/>
    <w:rPr>
      <w:vertAlign w:val="superscript"/>
    </w:rPr>
  </w:style>
  <w:style w:type="paragraph" w:customStyle="1" w:styleId="Bullets1">
    <w:name w:val="Bullets 1"/>
    <w:basedOn w:val="Normal"/>
    <w:qFormat/>
    <w:rsid w:val="007E7EB0"/>
    <w:pPr>
      <w:numPr>
        <w:numId w:val="15"/>
      </w:numPr>
      <w:spacing w:before="120" w:after="120" w:line="300" w:lineRule="auto"/>
      <w:jc w:val="left"/>
    </w:pPr>
    <w:rPr>
      <w:szCs w:val="20"/>
      <w:lang w:eastAsia="en-US"/>
    </w:rPr>
  </w:style>
  <w:style w:type="paragraph" w:customStyle="1" w:styleId="Bullets3">
    <w:name w:val="Bullets 3"/>
    <w:basedOn w:val="Normal"/>
    <w:qFormat/>
    <w:rsid w:val="007E7EB0"/>
    <w:pPr>
      <w:numPr>
        <w:ilvl w:val="2"/>
        <w:numId w:val="15"/>
      </w:numPr>
      <w:spacing w:before="120" w:after="120" w:line="300" w:lineRule="auto"/>
    </w:pPr>
    <w:rPr>
      <w:szCs w:val="20"/>
      <w:lang w:eastAsia="en-US"/>
    </w:rPr>
  </w:style>
  <w:style w:type="table" w:customStyle="1" w:styleId="GridTable7Colorful-Accent21">
    <w:name w:val="Grid Table 7 Colorful - Accent 21"/>
    <w:basedOn w:val="TableNormal"/>
    <w:uiPriority w:val="52"/>
    <w:rsid w:val="007E7EB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EndnoteText">
    <w:name w:val="endnote text"/>
    <w:basedOn w:val="Normal"/>
    <w:link w:val="EndnoteTextChar"/>
    <w:uiPriority w:val="99"/>
    <w:semiHidden/>
    <w:unhideWhenUsed/>
    <w:rsid w:val="00615DD6"/>
    <w:pPr>
      <w:spacing w:before="0"/>
    </w:pPr>
    <w:rPr>
      <w:szCs w:val="20"/>
    </w:rPr>
  </w:style>
  <w:style w:type="character" w:customStyle="1" w:styleId="EndnoteTextChar">
    <w:name w:val="Endnote Text Char"/>
    <w:basedOn w:val="DefaultParagraphFont"/>
    <w:link w:val="EndnoteText"/>
    <w:uiPriority w:val="99"/>
    <w:semiHidden/>
    <w:rsid w:val="00615DD6"/>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615D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013">
      <w:bodyDiv w:val="1"/>
      <w:marLeft w:val="0"/>
      <w:marRight w:val="0"/>
      <w:marTop w:val="0"/>
      <w:marBottom w:val="0"/>
      <w:divBdr>
        <w:top w:val="none" w:sz="0" w:space="0" w:color="auto"/>
        <w:left w:val="none" w:sz="0" w:space="0" w:color="auto"/>
        <w:bottom w:val="none" w:sz="0" w:space="0" w:color="auto"/>
        <w:right w:val="none" w:sz="0" w:space="0" w:color="auto"/>
      </w:divBdr>
    </w:div>
    <w:div w:id="72237884">
      <w:bodyDiv w:val="1"/>
      <w:marLeft w:val="0"/>
      <w:marRight w:val="0"/>
      <w:marTop w:val="0"/>
      <w:marBottom w:val="0"/>
      <w:divBdr>
        <w:top w:val="none" w:sz="0" w:space="0" w:color="auto"/>
        <w:left w:val="none" w:sz="0" w:space="0" w:color="auto"/>
        <w:bottom w:val="none" w:sz="0" w:space="0" w:color="auto"/>
        <w:right w:val="none" w:sz="0" w:space="0" w:color="auto"/>
      </w:divBdr>
    </w:div>
    <w:div w:id="94520526">
      <w:bodyDiv w:val="1"/>
      <w:marLeft w:val="0"/>
      <w:marRight w:val="0"/>
      <w:marTop w:val="0"/>
      <w:marBottom w:val="0"/>
      <w:divBdr>
        <w:top w:val="none" w:sz="0" w:space="0" w:color="auto"/>
        <w:left w:val="none" w:sz="0" w:space="0" w:color="auto"/>
        <w:bottom w:val="none" w:sz="0" w:space="0" w:color="auto"/>
        <w:right w:val="none" w:sz="0" w:space="0" w:color="auto"/>
      </w:divBdr>
    </w:div>
    <w:div w:id="150216786">
      <w:bodyDiv w:val="1"/>
      <w:marLeft w:val="0"/>
      <w:marRight w:val="0"/>
      <w:marTop w:val="0"/>
      <w:marBottom w:val="0"/>
      <w:divBdr>
        <w:top w:val="none" w:sz="0" w:space="0" w:color="auto"/>
        <w:left w:val="none" w:sz="0" w:space="0" w:color="auto"/>
        <w:bottom w:val="none" w:sz="0" w:space="0" w:color="auto"/>
        <w:right w:val="none" w:sz="0" w:space="0" w:color="auto"/>
      </w:divBdr>
    </w:div>
    <w:div w:id="159002292">
      <w:bodyDiv w:val="1"/>
      <w:marLeft w:val="0"/>
      <w:marRight w:val="0"/>
      <w:marTop w:val="0"/>
      <w:marBottom w:val="0"/>
      <w:divBdr>
        <w:top w:val="none" w:sz="0" w:space="0" w:color="auto"/>
        <w:left w:val="none" w:sz="0" w:space="0" w:color="auto"/>
        <w:bottom w:val="none" w:sz="0" w:space="0" w:color="auto"/>
        <w:right w:val="none" w:sz="0" w:space="0" w:color="auto"/>
      </w:divBdr>
    </w:div>
    <w:div w:id="191457314">
      <w:bodyDiv w:val="1"/>
      <w:marLeft w:val="0"/>
      <w:marRight w:val="0"/>
      <w:marTop w:val="0"/>
      <w:marBottom w:val="0"/>
      <w:divBdr>
        <w:top w:val="none" w:sz="0" w:space="0" w:color="auto"/>
        <w:left w:val="none" w:sz="0" w:space="0" w:color="auto"/>
        <w:bottom w:val="none" w:sz="0" w:space="0" w:color="auto"/>
        <w:right w:val="none" w:sz="0" w:space="0" w:color="auto"/>
      </w:divBdr>
    </w:div>
    <w:div w:id="199635076">
      <w:bodyDiv w:val="1"/>
      <w:marLeft w:val="0"/>
      <w:marRight w:val="0"/>
      <w:marTop w:val="0"/>
      <w:marBottom w:val="0"/>
      <w:divBdr>
        <w:top w:val="none" w:sz="0" w:space="0" w:color="auto"/>
        <w:left w:val="none" w:sz="0" w:space="0" w:color="auto"/>
        <w:bottom w:val="none" w:sz="0" w:space="0" w:color="auto"/>
        <w:right w:val="none" w:sz="0" w:space="0" w:color="auto"/>
      </w:divBdr>
    </w:div>
    <w:div w:id="261382807">
      <w:bodyDiv w:val="1"/>
      <w:marLeft w:val="0"/>
      <w:marRight w:val="0"/>
      <w:marTop w:val="0"/>
      <w:marBottom w:val="0"/>
      <w:divBdr>
        <w:top w:val="none" w:sz="0" w:space="0" w:color="auto"/>
        <w:left w:val="none" w:sz="0" w:space="0" w:color="auto"/>
        <w:bottom w:val="none" w:sz="0" w:space="0" w:color="auto"/>
        <w:right w:val="none" w:sz="0" w:space="0" w:color="auto"/>
      </w:divBdr>
    </w:div>
    <w:div w:id="339086452">
      <w:bodyDiv w:val="1"/>
      <w:marLeft w:val="0"/>
      <w:marRight w:val="0"/>
      <w:marTop w:val="0"/>
      <w:marBottom w:val="0"/>
      <w:divBdr>
        <w:top w:val="none" w:sz="0" w:space="0" w:color="auto"/>
        <w:left w:val="none" w:sz="0" w:space="0" w:color="auto"/>
        <w:bottom w:val="none" w:sz="0" w:space="0" w:color="auto"/>
        <w:right w:val="none" w:sz="0" w:space="0" w:color="auto"/>
      </w:divBdr>
    </w:div>
    <w:div w:id="355084022">
      <w:bodyDiv w:val="1"/>
      <w:marLeft w:val="0"/>
      <w:marRight w:val="0"/>
      <w:marTop w:val="0"/>
      <w:marBottom w:val="0"/>
      <w:divBdr>
        <w:top w:val="none" w:sz="0" w:space="0" w:color="auto"/>
        <w:left w:val="none" w:sz="0" w:space="0" w:color="auto"/>
        <w:bottom w:val="none" w:sz="0" w:space="0" w:color="auto"/>
        <w:right w:val="none" w:sz="0" w:space="0" w:color="auto"/>
      </w:divBdr>
    </w:div>
    <w:div w:id="382950710">
      <w:bodyDiv w:val="1"/>
      <w:marLeft w:val="0"/>
      <w:marRight w:val="0"/>
      <w:marTop w:val="0"/>
      <w:marBottom w:val="0"/>
      <w:divBdr>
        <w:top w:val="none" w:sz="0" w:space="0" w:color="auto"/>
        <w:left w:val="none" w:sz="0" w:space="0" w:color="auto"/>
        <w:bottom w:val="none" w:sz="0" w:space="0" w:color="auto"/>
        <w:right w:val="none" w:sz="0" w:space="0" w:color="auto"/>
      </w:divBdr>
    </w:div>
    <w:div w:id="470367121">
      <w:bodyDiv w:val="1"/>
      <w:marLeft w:val="0"/>
      <w:marRight w:val="0"/>
      <w:marTop w:val="0"/>
      <w:marBottom w:val="0"/>
      <w:divBdr>
        <w:top w:val="none" w:sz="0" w:space="0" w:color="auto"/>
        <w:left w:val="none" w:sz="0" w:space="0" w:color="auto"/>
        <w:bottom w:val="none" w:sz="0" w:space="0" w:color="auto"/>
        <w:right w:val="none" w:sz="0" w:space="0" w:color="auto"/>
      </w:divBdr>
    </w:div>
    <w:div w:id="491027518">
      <w:bodyDiv w:val="1"/>
      <w:marLeft w:val="0"/>
      <w:marRight w:val="0"/>
      <w:marTop w:val="0"/>
      <w:marBottom w:val="0"/>
      <w:divBdr>
        <w:top w:val="none" w:sz="0" w:space="0" w:color="auto"/>
        <w:left w:val="none" w:sz="0" w:space="0" w:color="auto"/>
        <w:bottom w:val="none" w:sz="0" w:space="0" w:color="auto"/>
        <w:right w:val="none" w:sz="0" w:space="0" w:color="auto"/>
      </w:divBdr>
    </w:div>
    <w:div w:id="532421777">
      <w:bodyDiv w:val="1"/>
      <w:marLeft w:val="0"/>
      <w:marRight w:val="0"/>
      <w:marTop w:val="0"/>
      <w:marBottom w:val="0"/>
      <w:divBdr>
        <w:top w:val="none" w:sz="0" w:space="0" w:color="auto"/>
        <w:left w:val="none" w:sz="0" w:space="0" w:color="auto"/>
        <w:bottom w:val="none" w:sz="0" w:space="0" w:color="auto"/>
        <w:right w:val="none" w:sz="0" w:space="0" w:color="auto"/>
      </w:divBdr>
    </w:div>
    <w:div w:id="542136801">
      <w:bodyDiv w:val="1"/>
      <w:marLeft w:val="0"/>
      <w:marRight w:val="0"/>
      <w:marTop w:val="0"/>
      <w:marBottom w:val="0"/>
      <w:divBdr>
        <w:top w:val="none" w:sz="0" w:space="0" w:color="auto"/>
        <w:left w:val="none" w:sz="0" w:space="0" w:color="auto"/>
        <w:bottom w:val="none" w:sz="0" w:space="0" w:color="auto"/>
        <w:right w:val="none" w:sz="0" w:space="0" w:color="auto"/>
      </w:divBdr>
    </w:div>
    <w:div w:id="547498583">
      <w:bodyDiv w:val="1"/>
      <w:marLeft w:val="0"/>
      <w:marRight w:val="0"/>
      <w:marTop w:val="0"/>
      <w:marBottom w:val="0"/>
      <w:divBdr>
        <w:top w:val="none" w:sz="0" w:space="0" w:color="auto"/>
        <w:left w:val="none" w:sz="0" w:space="0" w:color="auto"/>
        <w:bottom w:val="none" w:sz="0" w:space="0" w:color="auto"/>
        <w:right w:val="none" w:sz="0" w:space="0" w:color="auto"/>
      </w:divBdr>
    </w:div>
    <w:div w:id="564337135">
      <w:bodyDiv w:val="1"/>
      <w:marLeft w:val="0"/>
      <w:marRight w:val="0"/>
      <w:marTop w:val="0"/>
      <w:marBottom w:val="0"/>
      <w:divBdr>
        <w:top w:val="none" w:sz="0" w:space="0" w:color="auto"/>
        <w:left w:val="none" w:sz="0" w:space="0" w:color="auto"/>
        <w:bottom w:val="none" w:sz="0" w:space="0" w:color="auto"/>
        <w:right w:val="none" w:sz="0" w:space="0" w:color="auto"/>
      </w:divBdr>
    </w:div>
    <w:div w:id="570695198">
      <w:bodyDiv w:val="1"/>
      <w:marLeft w:val="0"/>
      <w:marRight w:val="0"/>
      <w:marTop w:val="0"/>
      <w:marBottom w:val="0"/>
      <w:divBdr>
        <w:top w:val="none" w:sz="0" w:space="0" w:color="auto"/>
        <w:left w:val="none" w:sz="0" w:space="0" w:color="auto"/>
        <w:bottom w:val="none" w:sz="0" w:space="0" w:color="auto"/>
        <w:right w:val="none" w:sz="0" w:space="0" w:color="auto"/>
      </w:divBdr>
    </w:div>
    <w:div w:id="615215309">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40365995">
      <w:bodyDiv w:val="1"/>
      <w:marLeft w:val="0"/>
      <w:marRight w:val="0"/>
      <w:marTop w:val="0"/>
      <w:marBottom w:val="0"/>
      <w:divBdr>
        <w:top w:val="none" w:sz="0" w:space="0" w:color="auto"/>
        <w:left w:val="none" w:sz="0" w:space="0" w:color="auto"/>
        <w:bottom w:val="none" w:sz="0" w:space="0" w:color="auto"/>
        <w:right w:val="none" w:sz="0" w:space="0" w:color="auto"/>
      </w:divBdr>
    </w:div>
    <w:div w:id="748309992">
      <w:bodyDiv w:val="1"/>
      <w:marLeft w:val="0"/>
      <w:marRight w:val="0"/>
      <w:marTop w:val="0"/>
      <w:marBottom w:val="0"/>
      <w:divBdr>
        <w:top w:val="none" w:sz="0" w:space="0" w:color="auto"/>
        <w:left w:val="none" w:sz="0" w:space="0" w:color="auto"/>
        <w:bottom w:val="none" w:sz="0" w:space="0" w:color="auto"/>
        <w:right w:val="none" w:sz="0" w:space="0" w:color="auto"/>
      </w:divBdr>
    </w:div>
    <w:div w:id="819346782">
      <w:bodyDiv w:val="1"/>
      <w:marLeft w:val="0"/>
      <w:marRight w:val="0"/>
      <w:marTop w:val="0"/>
      <w:marBottom w:val="0"/>
      <w:divBdr>
        <w:top w:val="none" w:sz="0" w:space="0" w:color="auto"/>
        <w:left w:val="none" w:sz="0" w:space="0" w:color="auto"/>
        <w:bottom w:val="none" w:sz="0" w:space="0" w:color="auto"/>
        <w:right w:val="none" w:sz="0" w:space="0" w:color="auto"/>
      </w:divBdr>
    </w:div>
    <w:div w:id="874463417">
      <w:bodyDiv w:val="1"/>
      <w:marLeft w:val="0"/>
      <w:marRight w:val="0"/>
      <w:marTop w:val="0"/>
      <w:marBottom w:val="0"/>
      <w:divBdr>
        <w:top w:val="none" w:sz="0" w:space="0" w:color="auto"/>
        <w:left w:val="none" w:sz="0" w:space="0" w:color="auto"/>
        <w:bottom w:val="none" w:sz="0" w:space="0" w:color="auto"/>
        <w:right w:val="none" w:sz="0" w:space="0" w:color="auto"/>
      </w:divBdr>
    </w:div>
    <w:div w:id="1034769679">
      <w:bodyDiv w:val="1"/>
      <w:marLeft w:val="0"/>
      <w:marRight w:val="0"/>
      <w:marTop w:val="0"/>
      <w:marBottom w:val="0"/>
      <w:divBdr>
        <w:top w:val="none" w:sz="0" w:space="0" w:color="auto"/>
        <w:left w:val="none" w:sz="0" w:space="0" w:color="auto"/>
        <w:bottom w:val="none" w:sz="0" w:space="0" w:color="auto"/>
        <w:right w:val="none" w:sz="0" w:space="0" w:color="auto"/>
      </w:divBdr>
    </w:div>
    <w:div w:id="1065298855">
      <w:bodyDiv w:val="1"/>
      <w:marLeft w:val="0"/>
      <w:marRight w:val="0"/>
      <w:marTop w:val="0"/>
      <w:marBottom w:val="0"/>
      <w:divBdr>
        <w:top w:val="none" w:sz="0" w:space="0" w:color="auto"/>
        <w:left w:val="none" w:sz="0" w:space="0" w:color="auto"/>
        <w:bottom w:val="none" w:sz="0" w:space="0" w:color="auto"/>
        <w:right w:val="none" w:sz="0" w:space="0" w:color="auto"/>
      </w:divBdr>
    </w:div>
    <w:div w:id="1206210295">
      <w:bodyDiv w:val="1"/>
      <w:marLeft w:val="0"/>
      <w:marRight w:val="0"/>
      <w:marTop w:val="0"/>
      <w:marBottom w:val="0"/>
      <w:divBdr>
        <w:top w:val="none" w:sz="0" w:space="0" w:color="auto"/>
        <w:left w:val="none" w:sz="0" w:space="0" w:color="auto"/>
        <w:bottom w:val="none" w:sz="0" w:space="0" w:color="auto"/>
        <w:right w:val="none" w:sz="0" w:space="0" w:color="auto"/>
      </w:divBdr>
    </w:div>
    <w:div w:id="1222981525">
      <w:bodyDiv w:val="1"/>
      <w:marLeft w:val="0"/>
      <w:marRight w:val="0"/>
      <w:marTop w:val="0"/>
      <w:marBottom w:val="0"/>
      <w:divBdr>
        <w:top w:val="none" w:sz="0" w:space="0" w:color="auto"/>
        <w:left w:val="none" w:sz="0" w:space="0" w:color="auto"/>
        <w:bottom w:val="none" w:sz="0" w:space="0" w:color="auto"/>
        <w:right w:val="none" w:sz="0" w:space="0" w:color="auto"/>
      </w:divBdr>
    </w:div>
    <w:div w:id="1225407628">
      <w:bodyDiv w:val="1"/>
      <w:marLeft w:val="0"/>
      <w:marRight w:val="0"/>
      <w:marTop w:val="0"/>
      <w:marBottom w:val="0"/>
      <w:divBdr>
        <w:top w:val="none" w:sz="0" w:space="0" w:color="auto"/>
        <w:left w:val="none" w:sz="0" w:space="0" w:color="auto"/>
        <w:bottom w:val="none" w:sz="0" w:space="0" w:color="auto"/>
        <w:right w:val="none" w:sz="0" w:space="0" w:color="auto"/>
      </w:divBdr>
    </w:div>
    <w:div w:id="1272317467">
      <w:bodyDiv w:val="1"/>
      <w:marLeft w:val="0"/>
      <w:marRight w:val="0"/>
      <w:marTop w:val="0"/>
      <w:marBottom w:val="0"/>
      <w:divBdr>
        <w:top w:val="none" w:sz="0" w:space="0" w:color="auto"/>
        <w:left w:val="none" w:sz="0" w:space="0" w:color="auto"/>
        <w:bottom w:val="none" w:sz="0" w:space="0" w:color="auto"/>
        <w:right w:val="none" w:sz="0" w:space="0" w:color="auto"/>
      </w:divBdr>
    </w:div>
    <w:div w:id="1278835612">
      <w:bodyDiv w:val="1"/>
      <w:marLeft w:val="0"/>
      <w:marRight w:val="0"/>
      <w:marTop w:val="0"/>
      <w:marBottom w:val="0"/>
      <w:divBdr>
        <w:top w:val="none" w:sz="0" w:space="0" w:color="auto"/>
        <w:left w:val="none" w:sz="0" w:space="0" w:color="auto"/>
        <w:bottom w:val="none" w:sz="0" w:space="0" w:color="auto"/>
        <w:right w:val="none" w:sz="0" w:space="0" w:color="auto"/>
      </w:divBdr>
    </w:div>
    <w:div w:id="1377780000">
      <w:bodyDiv w:val="1"/>
      <w:marLeft w:val="0"/>
      <w:marRight w:val="0"/>
      <w:marTop w:val="0"/>
      <w:marBottom w:val="0"/>
      <w:divBdr>
        <w:top w:val="none" w:sz="0" w:space="0" w:color="auto"/>
        <w:left w:val="none" w:sz="0" w:space="0" w:color="auto"/>
        <w:bottom w:val="none" w:sz="0" w:space="0" w:color="auto"/>
        <w:right w:val="none" w:sz="0" w:space="0" w:color="auto"/>
      </w:divBdr>
    </w:div>
    <w:div w:id="1390570422">
      <w:bodyDiv w:val="1"/>
      <w:marLeft w:val="0"/>
      <w:marRight w:val="0"/>
      <w:marTop w:val="0"/>
      <w:marBottom w:val="0"/>
      <w:divBdr>
        <w:top w:val="none" w:sz="0" w:space="0" w:color="auto"/>
        <w:left w:val="none" w:sz="0" w:space="0" w:color="auto"/>
        <w:bottom w:val="none" w:sz="0" w:space="0" w:color="auto"/>
        <w:right w:val="none" w:sz="0" w:space="0" w:color="auto"/>
      </w:divBdr>
    </w:div>
    <w:div w:id="1436710275">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636834751">
      <w:bodyDiv w:val="1"/>
      <w:marLeft w:val="0"/>
      <w:marRight w:val="0"/>
      <w:marTop w:val="0"/>
      <w:marBottom w:val="0"/>
      <w:divBdr>
        <w:top w:val="none" w:sz="0" w:space="0" w:color="auto"/>
        <w:left w:val="none" w:sz="0" w:space="0" w:color="auto"/>
        <w:bottom w:val="none" w:sz="0" w:space="0" w:color="auto"/>
        <w:right w:val="none" w:sz="0" w:space="0" w:color="auto"/>
      </w:divBdr>
    </w:div>
    <w:div w:id="1643267428">
      <w:bodyDiv w:val="1"/>
      <w:marLeft w:val="0"/>
      <w:marRight w:val="0"/>
      <w:marTop w:val="0"/>
      <w:marBottom w:val="0"/>
      <w:divBdr>
        <w:top w:val="none" w:sz="0" w:space="0" w:color="auto"/>
        <w:left w:val="none" w:sz="0" w:space="0" w:color="auto"/>
        <w:bottom w:val="none" w:sz="0" w:space="0" w:color="auto"/>
        <w:right w:val="none" w:sz="0" w:space="0" w:color="auto"/>
      </w:divBdr>
    </w:div>
    <w:div w:id="1724937973">
      <w:bodyDiv w:val="1"/>
      <w:marLeft w:val="0"/>
      <w:marRight w:val="0"/>
      <w:marTop w:val="0"/>
      <w:marBottom w:val="0"/>
      <w:divBdr>
        <w:top w:val="none" w:sz="0" w:space="0" w:color="auto"/>
        <w:left w:val="none" w:sz="0" w:space="0" w:color="auto"/>
        <w:bottom w:val="none" w:sz="0" w:space="0" w:color="auto"/>
        <w:right w:val="none" w:sz="0" w:space="0" w:color="auto"/>
      </w:divBdr>
    </w:div>
    <w:div w:id="1868712926">
      <w:bodyDiv w:val="1"/>
      <w:marLeft w:val="0"/>
      <w:marRight w:val="0"/>
      <w:marTop w:val="0"/>
      <w:marBottom w:val="0"/>
      <w:divBdr>
        <w:top w:val="none" w:sz="0" w:space="0" w:color="auto"/>
        <w:left w:val="none" w:sz="0" w:space="0" w:color="auto"/>
        <w:bottom w:val="none" w:sz="0" w:space="0" w:color="auto"/>
        <w:right w:val="none" w:sz="0" w:space="0" w:color="auto"/>
      </w:divBdr>
    </w:div>
    <w:div w:id="1903321031">
      <w:bodyDiv w:val="1"/>
      <w:marLeft w:val="0"/>
      <w:marRight w:val="0"/>
      <w:marTop w:val="0"/>
      <w:marBottom w:val="0"/>
      <w:divBdr>
        <w:top w:val="none" w:sz="0" w:space="0" w:color="auto"/>
        <w:left w:val="none" w:sz="0" w:space="0" w:color="auto"/>
        <w:bottom w:val="none" w:sz="0" w:space="0" w:color="auto"/>
        <w:right w:val="none" w:sz="0" w:space="0" w:color="auto"/>
      </w:divBdr>
    </w:div>
    <w:div w:id="19381710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1990019364">
      <w:bodyDiv w:val="1"/>
      <w:marLeft w:val="0"/>
      <w:marRight w:val="0"/>
      <w:marTop w:val="0"/>
      <w:marBottom w:val="0"/>
      <w:divBdr>
        <w:top w:val="none" w:sz="0" w:space="0" w:color="auto"/>
        <w:left w:val="none" w:sz="0" w:space="0" w:color="auto"/>
        <w:bottom w:val="none" w:sz="0" w:space="0" w:color="auto"/>
        <w:right w:val="none" w:sz="0" w:space="0" w:color="auto"/>
      </w:divBdr>
    </w:div>
    <w:div w:id="2001348753">
      <w:bodyDiv w:val="1"/>
      <w:marLeft w:val="0"/>
      <w:marRight w:val="0"/>
      <w:marTop w:val="0"/>
      <w:marBottom w:val="0"/>
      <w:divBdr>
        <w:top w:val="none" w:sz="0" w:space="0" w:color="auto"/>
        <w:left w:val="none" w:sz="0" w:space="0" w:color="auto"/>
        <w:bottom w:val="none" w:sz="0" w:space="0" w:color="auto"/>
        <w:right w:val="none" w:sz="0" w:space="0" w:color="auto"/>
      </w:divBdr>
    </w:div>
    <w:div w:id="2007048886">
      <w:bodyDiv w:val="1"/>
      <w:marLeft w:val="0"/>
      <w:marRight w:val="0"/>
      <w:marTop w:val="0"/>
      <w:marBottom w:val="0"/>
      <w:divBdr>
        <w:top w:val="none" w:sz="0" w:space="0" w:color="auto"/>
        <w:left w:val="none" w:sz="0" w:space="0" w:color="auto"/>
        <w:bottom w:val="none" w:sz="0" w:space="0" w:color="auto"/>
        <w:right w:val="none" w:sz="0" w:space="0" w:color="auto"/>
      </w:divBdr>
    </w:div>
    <w:div w:id="206144279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1493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theme" Target="theme/theme1.xml"/><Relationship Id="rId21" Type="http://schemas.openxmlformats.org/officeDocument/2006/relationships/hyperlink" Target="https://www.safeworkaustralia.gov.au/doc/comparison-workers-compensation-arrangements-australia-and-new-zealand-2016"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footer" Target="footer10.xml"/><Relationship Id="rId68" Type="http://schemas.openxmlformats.org/officeDocument/2006/relationships/footer" Target="footer13.xml"/><Relationship Id="rId84" Type="http://schemas.openxmlformats.org/officeDocument/2006/relationships/header" Target="header17.xml"/><Relationship Id="rId89" Type="http://schemas.openxmlformats.org/officeDocument/2006/relationships/footer" Target="footer21.xml"/><Relationship Id="rId112" Type="http://schemas.openxmlformats.org/officeDocument/2006/relationships/hyperlink" Target="http://www.seacare.gov.au/" TargetMode="External"/><Relationship Id="rId16" Type="http://schemas.openxmlformats.org/officeDocument/2006/relationships/hyperlink" Target="http://creativecommons.org/licenses/by/3.0/au/deed.enhttps://creativecommons.org/licenses/by/4.0/" TargetMode="External"/><Relationship Id="rId107" Type="http://schemas.openxmlformats.org/officeDocument/2006/relationships/hyperlink" Target="http://www.worksafe.tas.gov.au/" TargetMode="External"/><Relationship Id="rId11" Type="http://schemas.openxmlformats.org/officeDocument/2006/relationships/footer" Target="footer1.xml"/><Relationship Id="rId24" Type="http://schemas.openxmlformats.org/officeDocument/2006/relationships/hyperlink" Target="https://www.safeworkaustralia.gov.au/subject-topics/return-work" TargetMode="External"/><Relationship Id="rId32" Type="http://schemas.openxmlformats.org/officeDocument/2006/relationships/header" Target="header6.xml"/><Relationship Id="rId37" Type="http://schemas.openxmlformats.org/officeDocument/2006/relationships/footer" Target="footer7.xm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footer" Target="footer12.xml"/><Relationship Id="rId74" Type="http://schemas.openxmlformats.org/officeDocument/2006/relationships/footer" Target="footer14.xml"/><Relationship Id="rId79" Type="http://schemas.openxmlformats.org/officeDocument/2006/relationships/footer" Target="footer16.xml"/><Relationship Id="rId87" Type="http://schemas.openxmlformats.org/officeDocument/2006/relationships/header" Target="header18.xml"/><Relationship Id="rId102" Type="http://schemas.openxmlformats.org/officeDocument/2006/relationships/hyperlink" Target="http://www.dmirs.wa.gov.au/" TargetMode="External"/><Relationship Id="rId110" Type="http://schemas.openxmlformats.org/officeDocument/2006/relationships/hyperlink" Target="http://www.worksafe.act.gov.au/health_safety" TargetMode="External"/><Relationship Id="rId115"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footer" Target="footer18.xml"/><Relationship Id="rId90" Type="http://schemas.openxmlformats.org/officeDocument/2006/relationships/footer" Target="footer22.xml"/><Relationship Id="rId95" Type="http://schemas.openxmlformats.org/officeDocument/2006/relationships/hyperlink" Target="http://www.safework.nsw.gov.au/" TargetMode="External"/><Relationship Id="rId19" Type="http://schemas.openxmlformats.org/officeDocument/2006/relationships/hyperlink" Target="https://www.safeworkaustralia.gov.au/doc/comparative-performance-monitoring-report-19th-edition-part-2" TargetMode="External"/><Relationship Id="rId14" Type="http://schemas.openxmlformats.org/officeDocument/2006/relationships/footer" Target="footer3.xml"/><Relationship Id="rId22" Type="http://schemas.openxmlformats.org/officeDocument/2006/relationships/hyperlink" Target="http://www.swa.gov.au/"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footer" Target="footer6.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header" Target="header9.xml"/><Relationship Id="rId69" Type="http://schemas.openxmlformats.org/officeDocument/2006/relationships/image" Target="media/image27.png"/><Relationship Id="rId77" Type="http://schemas.openxmlformats.org/officeDocument/2006/relationships/header" Target="header13.xml"/><Relationship Id="rId100" Type="http://schemas.openxmlformats.org/officeDocument/2006/relationships/hyperlink" Target="https://www.worksafe.qld.gov.au/" TargetMode="External"/><Relationship Id="rId105" Type="http://schemas.openxmlformats.org/officeDocument/2006/relationships/hyperlink" Target="mailto:wstinfo@justice.tas.gov.au" TargetMode="External"/><Relationship Id="rId113" Type="http://schemas.openxmlformats.org/officeDocument/2006/relationships/hyperlink" Target="http://www.comcare.gov.au/" TargetMode="External"/><Relationship Id="rId8" Type="http://schemas.openxmlformats.org/officeDocument/2006/relationships/image" Target="media/image1.jpg"/><Relationship Id="rId51" Type="http://schemas.openxmlformats.org/officeDocument/2006/relationships/image" Target="media/image18.png"/><Relationship Id="rId72" Type="http://schemas.openxmlformats.org/officeDocument/2006/relationships/header" Target="header11.xml"/><Relationship Id="rId80" Type="http://schemas.openxmlformats.org/officeDocument/2006/relationships/footer" Target="footer17.xml"/><Relationship Id="rId85" Type="http://schemas.openxmlformats.org/officeDocument/2006/relationships/footer" Target="footer19.xml"/><Relationship Id="rId93" Type="http://schemas.openxmlformats.org/officeDocument/2006/relationships/hyperlink" Target="http://www.sira.nsw.gov.au/" TargetMode="External"/><Relationship Id="rId98" Type="http://schemas.openxmlformats.org/officeDocument/2006/relationships/hyperlink" Target="mailto:info@worksafe.vic.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swa.gov.au" TargetMode="Externa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hyperlink" Target="https://www.safeworkaustralia.gov.au/doc/comparison-workers-compensation-arrangements-australia-and-new-zealand-2016" TargetMode="External"/><Relationship Id="rId67" Type="http://schemas.openxmlformats.org/officeDocument/2006/relationships/header" Target="header10.xml"/><Relationship Id="rId103" Type="http://schemas.openxmlformats.org/officeDocument/2006/relationships/hyperlink" Target="http://www.rtwsa.com/" TargetMode="External"/><Relationship Id="rId108" Type="http://schemas.openxmlformats.org/officeDocument/2006/relationships/hyperlink" Target="mailto:ntworksafe@nt.gov.au" TargetMode="External"/><Relationship Id="rId116" Type="http://schemas.openxmlformats.org/officeDocument/2006/relationships/fontTable" Target="fontTable.xml"/><Relationship Id="rId20" Type="http://schemas.openxmlformats.org/officeDocument/2006/relationships/hyperlink" Target="https://www.safeworkaustralia.gov.au/collection/australian-workers-compensation-statistics"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footer" Target="footer9.xml"/><Relationship Id="rId70" Type="http://schemas.openxmlformats.org/officeDocument/2006/relationships/image" Target="media/image28.png"/><Relationship Id="rId75" Type="http://schemas.openxmlformats.org/officeDocument/2006/relationships/footer" Target="footer15.xml"/><Relationship Id="rId83" Type="http://schemas.openxmlformats.org/officeDocument/2006/relationships/header" Target="header16.xml"/><Relationship Id="rId88" Type="http://schemas.openxmlformats.org/officeDocument/2006/relationships/header" Target="header19.xml"/><Relationship Id="rId91" Type="http://schemas.openxmlformats.org/officeDocument/2006/relationships/header" Target="header20.xml"/><Relationship Id="rId96" Type="http://schemas.openxmlformats.org/officeDocument/2006/relationships/hyperlink" Target="mailto:registry@wcc.nsw.gov.au" TargetMode="External"/><Relationship Id="rId111" Type="http://schemas.openxmlformats.org/officeDocument/2006/relationships/hyperlink" Target="mailto:seacare@comcare.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safeworkaustralia.gov.au/statistics-and-research/statistics/statistics" TargetMode="External"/><Relationship Id="rId28" Type="http://schemas.openxmlformats.org/officeDocument/2006/relationships/image" Target="media/image4.jpg"/><Relationship Id="rId36" Type="http://schemas.openxmlformats.org/officeDocument/2006/relationships/header" Target="header8.xml"/><Relationship Id="rId49" Type="http://schemas.openxmlformats.org/officeDocument/2006/relationships/image" Target="media/image16.png"/><Relationship Id="rId57" Type="http://schemas.openxmlformats.org/officeDocument/2006/relationships/hyperlink" Target="https://www.safeworkaustralia.gov.au/doc/comparison-workers-compensation-arrangements-australia-and-new-zealand-2018" TargetMode="External"/><Relationship Id="rId106" Type="http://schemas.openxmlformats.org/officeDocument/2006/relationships/hyperlink" Target="http://www.workcover.tas.gov.au/" TargetMode="External"/><Relationship Id="rId114" Type="http://schemas.openxmlformats.org/officeDocument/2006/relationships/hyperlink" Target="http://www.acc.co.nz/" TargetMode="External"/><Relationship Id="rId10" Type="http://schemas.openxmlformats.org/officeDocument/2006/relationships/header" Target="header2.xml"/><Relationship Id="rId31" Type="http://schemas.openxmlformats.org/officeDocument/2006/relationships/hyperlink" Target="https://www.safeworkaustralia.gov.au/doc/comparison-workers-compensation-arrangements-australia-and-new-zealand-2018"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footer" Target="footer11.xml"/><Relationship Id="rId73" Type="http://schemas.openxmlformats.org/officeDocument/2006/relationships/header" Target="header12.xml"/><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footer" Target="footer20.xml"/><Relationship Id="rId94" Type="http://schemas.openxmlformats.org/officeDocument/2006/relationships/hyperlink" Target="mailto:contact@sira.nsw.gov.au" TargetMode="External"/><Relationship Id="rId99" Type="http://schemas.openxmlformats.org/officeDocument/2006/relationships/hyperlink" Target="http://www.worksafe.vic.gov.au/" TargetMode="External"/><Relationship Id="rId101" Type="http://schemas.openxmlformats.org/officeDocument/2006/relationships/hyperlink" Target="http://www.workcover.w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safeworkaustralia.gov.au/doc/comparative-performance-monitoring-report-19th-edition-part-1" TargetMode="External"/><Relationship Id="rId39" Type="http://schemas.openxmlformats.org/officeDocument/2006/relationships/footer" Target="footer8.xml"/><Relationship Id="rId109" Type="http://schemas.openxmlformats.org/officeDocument/2006/relationships/hyperlink" Target="http://www.worksafe.nt.gov.au/Pages/default.aspx" TargetMode="External"/><Relationship Id="rId34" Type="http://schemas.openxmlformats.org/officeDocument/2006/relationships/footer" Target="footer5.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yperlink" Target="https://www.safeworkaustralia.gov.au/subject-topics/return-work" TargetMode="External"/><Relationship Id="rId97" Type="http://schemas.openxmlformats.org/officeDocument/2006/relationships/hyperlink" Target="http://www.icare.nsw.gov.au/" TargetMode="External"/><Relationship Id="rId104" Type="http://schemas.openxmlformats.org/officeDocument/2006/relationships/hyperlink" Target="http://www.safework.sa.gov.au/"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DA14D-EB7C-42BA-831E-99AD77FB8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7EF289D1.dotm</Template>
  <TotalTime>0</TotalTime>
  <Pages>46</Pages>
  <Words>15833</Words>
  <Characters>90253</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2019-04-23T21:57:00Z</dcterms:created>
  <dcterms:modified xsi:type="dcterms:W3CDTF">2019-05-01T00:16:00Z</dcterms:modified>
</cp:coreProperties>
</file>