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3.xml" ContentType="application/vnd.openxmlformats-officedocument.themeOverrid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5.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6.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7.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8.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9.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0.xml" ContentType="application/vnd.openxmlformats-officedocument.drawingml.chart+xml"/>
  <Override PartName="/word/charts/style28.xml" ContentType="application/vnd.ms-office.chartstyle+xml"/>
  <Override PartName="/word/charts/colors28.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62BB77" w14:textId="012D308A" w:rsidR="00846D7C" w:rsidRDefault="00F81A56" w:rsidP="00783A35">
      <w:pPr>
        <w:pStyle w:val="Title"/>
      </w:pPr>
      <w:r>
        <w:t>N</w:t>
      </w:r>
      <w:r w:rsidR="00CD39CA">
        <w:t xml:space="preserve">ational </w:t>
      </w:r>
      <w:r>
        <w:t>R</w:t>
      </w:r>
      <w:r w:rsidR="00CD39CA">
        <w:t>eturn to Work Survey</w:t>
      </w:r>
      <w:r w:rsidR="0014167C">
        <w:t xml:space="preserve"> </w:t>
      </w:r>
      <w:r w:rsidR="00846D7C">
        <w:t>2018</w:t>
      </w:r>
    </w:p>
    <w:p w14:paraId="393D29BC" w14:textId="3DABCAB7" w:rsidR="00783A35" w:rsidRPr="00916DD7" w:rsidRDefault="0014167C" w:rsidP="00916DD7">
      <w:pPr>
        <w:pStyle w:val="Title"/>
        <w:spacing w:before="120" w:after="120"/>
        <w:rPr>
          <w:sz w:val="36"/>
          <w:szCs w:val="36"/>
        </w:rPr>
      </w:pPr>
      <w:r w:rsidRPr="00916DD7">
        <w:rPr>
          <w:sz w:val="36"/>
          <w:szCs w:val="36"/>
        </w:rPr>
        <w:t>S</w:t>
      </w:r>
      <w:r w:rsidR="00F81A56" w:rsidRPr="00916DD7">
        <w:rPr>
          <w:sz w:val="36"/>
          <w:szCs w:val="36"/>
        </w:rPr>
        <w:t>ummary Report</w:t>
      </w:r>
    </w:p>
    <w:p w14:paraId="393D29BD" w14:textId="77777777" w:rsidR="00783A35" w:rsidRDefault="00783A35" w:rsidP="00783A35">
      <w:pPr>
        <w:pStyle w:val="Body"/>
        <w:spacing w:before="0" w:after="0"/>
      </w:pPr>
    </w:p>
    <w:p w14:paraId="393D29C3" w14:textId="70289A3C" w:rsidR="00E55E0F" w:rsidRDefault="006F6B4F" w:rsidP="004A4217">
      <w:pPr>
        <w:pStyle w:val="Subtitle"/>
        <w:spacing w:before="0"/>
      </w:pPr>
      <w:r>
        <w:t>September</w:t>
      </w:r>
      <w:r w:rsidR="004A4217">
        <w:t xml:space="preserve"> 2018</w:t>
      </w:r>
    </w:p>
    <w:sdt>
      <w:sdtPr>
        <w:id w:val="-2048589223"/>
        <w:lock w:val="sdtContentLocked"/>
        <w:picture/>
      </w:sdtPr>
      <w:sdtEndPr/>
      <w:sdtContent>
        <w:p w14:paraId="393D29C4" w14:textId="77777777" w:rsidR="00E55E0F" w:rsidRDefault="005B4845" w:rsidP="00E55E0F">
          <w:pPr>
            <w:pStyle w:val="Body"/>
          </w:pPr>
        </w:p>
      </w:sdtContent>
    </w:sdt>
    <w:p w14:paraId="393D29C5" w14:textId="4A159B3E" w:rsidR="00C77103" w:rsidRDefault="00C77103" w:rsidP="00E55E0F">
      <w:pPr>
        <w:pStyle w:val="Body"/>
      </w:pPr>
    </w:p>
    <w:p w14:paraId="39F1644D" w14:textId="4C41EC52" w:rsidR="00BE4DBA" w:rsidRDefault="00BE4DBA" w:rsidP="00E55E0F">
      <w:pPr>
        <w:pStyle w:val="Body"/>
      </w:pPr>
    </w:p>
    <w:p w14:paraId="1813F06A" w14:textId="77777777" w:rsidR="00BE4DBA" w:rsidRDefault="00BE4DBA" w:rsidP="00E55E0F">
      <w:pPr>
        <w:pStyle w:val="Body"/>
      </w:pPr>
    </w:p>
    <w:p w14:paraId="393D29C6" w14:textId="29B1C4F4" w:rsidR="00C77103" w:rsidRDefault="00BE4DBA" w:rsidP="00BE4DBA">
      <w:pPr>
        <w:pStyle w:val="Body"/>
        <w:ind w:hanging="1418"/>
      </w:pPr>
      <w:r>
        <w:rPr>
          <w:noProof/>
          <w:lang w:eastAsia="en-AU"/>
        </w:rPr>
        <w:drawing>
          <wp:inline distT="0" distB="0" distL="0" distR="0" wp14:anchorId="34508039" wp14:editId="39C7ED76">
            <wp:extent cx="7600950" cy="2952750"/>
            <wp:effectExtent l="0" t="0" r="0" b="0"/>
            <wp:docPr id="1" name="Picture 1" descr="People milling around."/>
            <wp:cNvGraphicFramePr/>
            <a:graphic xmlns:a="http://schemas.openxmlformats.org/drawingml/2006/main">
              <a:graphicData uri="http://schemas.openxmlformats.org/drawingml/2006/picture">
                <pic:pic xmlns:pic="http://schemas.openxmlformats.org/drawingml/2006/picture">
                  <pic:nvPicPr>
                    <pic:cNvPr id="1" name="Picture 1" descr="People milling around."/>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650640" cy="2972053"/>
                    </a:xfrm>
                    <a:prstGeom prst="rect">
                      <a:avLst/>
                    </a:prstGeom>
                    <a:noFill/>
                    <a:ln>
                      <a:noFill/>
                    </a:ln>
                  </pic:spPr>
                </pic:pic>
              </a:graphicData>
            </a:graphic>
          </wp:inline>
        </w:drawing>
      </w:r>
    </w:p>
    <w:p w14:paraId="393D29D6" w14:textId="70EBBA34" w:rsidR="00DF4C24" w:rsidRDefault="00BE4DBA" w:rsidP="004A4217">
      <w:pPr>
        <w:pStyle w:val="Body"/>
        <w:spacing w:before="1920"/>
        <w:jc w:val="right"/>
      </w:pPr>
      <w:r>
        <w:rPr>
          <w:noProof/>
          <w:lang w:eastAsia="en-AU"/>
        </w:rPr>
        <w:drawing>
          <wp:inline distT="0" distB="0" distL="0" distR="0" wp14:anchorId="1E534DE3" wp14:editId="7CDFADA4">
            <wp:extent cx="1799590" cy="925195"/>
            <wp:effectExtent l="0" t="0" r="0" b="8255"/>
            <wp:docPr id="2" name="Picture 2" descr="Social Research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RC Logo MS Office 50mm RG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9590" cy="925195"/>
                    </a:xfrm>
                    <a:prstGeom prst="rect">
                      <a:avLst/>
                    </a:prstGeom>
                  </pic:spPr>
                </pic:pic>
              </a:graphicData>
            </a:graphic>
          </wp:inline>
        </w:drawing>
      </w:r>
      <w:r w:rsidR="00DF4C24">
        <w:br w:type="page"/>
      </w:r>
    </w:p>
    <w:p w14:paraId="393D29D7" w14:textId="77777777" w:rsidR="00783A35" w:rsidRPr="00724335" w:rsidRDefault="00783A35" w:rsidP="00783A35">
      <w:pPr>
        <w:pStyle w:val="CentreSubHeading2"/>
      </w:pPr>
      <w:bookmarkStart w:id="0" w:name="_Toc75230961"/>
      <w:r>
        <w:lastRenderedPageBreak/>
        <w:t xml:space="preserve">Report </w:t>
      </w:r>
      <w:r w:rsidRPr="00724335">
        <w:t>prepared for:</w:t>
      </w:r>
      <w:bookmarkEnd w:id="0"/>
      <w:r w:rsidRPr="00724335">
        <w:t xml:space="preserve"> </w:t>
      </w:r>
    </w:p>
    <w:p w14:paraId="393D29DA" w14:textId="5AA87891" w:rsidR="00783A35" w:rsidRDefault="00E92B2B" w:rsidP="00783A35">
      <w:pPr>
        <w:tabs>
          <w:tab w:val="center" w:pos="4678"/>
          <w:tab w:val="left" w:pos="6804"/>
        </w:tabs>
        <w:spacing w:after="60" w:line="300" w:lineRule="auto"/>
        <w:jc w:val="center"/>
      </w:pPr>
      <w:r>
        <w:t>Safe Work Australia</w:t>
      </w:r>
    </w:p>
    <w:p w14:paraId="5BC35EBE" w14:textId="77777777" w:rsidR="006A2841" w:rsidRPr="006A2841" w:rsidRDefault="006A2841" w:rsidP="006A2841">
      <w:pPr>
        <w:tabs>
          <w:tab w:val="center" w:pos="4678"/>
          <w:tab w:val="left" w:pos="6804"/>
        </w:tabs>
        <w:spacing w:after="60" w:line="300" w:lineRule="auto"/>
        <w:jc w:val="center"/>
        <w:rPr>
          <w:rFonts w:cs="Arial"/>
        </w:rPr>
      </w:pPr>
      <w:r w:rsidRPr="006A2841">
        <w:rPr>
          <w:rFonts w:cs="Arial"/>
        </w:rPr>
        <w:t>GPO Box 641</w:t>
      </w:r>
    </w:p>
    <w:p w14:paraId="684EA421" w14:textId="77777777" w:rsidR="006A2841" w:rsidRDefault="006A2841" w:rsidP="00783A35">
      <w:pPr>
        <w:spacing w:after="60" w:line="300" w:lineRule="auto"/>
        <w:jc w:val="center"/>
        <w:rPr>
          <w:rFonts w:cs="Arial"/>
        </w:rPr>
      </w:pPr>
      <w:r w:rsidRPr="006A2841">
        <w:rPr>
          <w:rFonts w:cs="Arial"/>
        </w:rPr>
        <w:t>Canberra ACT 2601</w:t>
      </w:r>
    </w:p>
    <w:p w14:paraId="393D29DC" w14:textId="77777777" w:rsidR="00783A35" w:rsidRDefault="00783A35" w:rsidP="00783A35">
      <w:pPr>
        <w:spacing w:after="60" w:line="300" w:lineRule="auto"/>
        <w:jc w:val="center"/>
        <w:rPr>
          <w:rFonts w:cs="Arial"/>
        </w:rPr>
      </w:pPr>
    </w:p>
    <w:p w14:paraId="393D29DD" w14:textId="77777777" w:rsidR="00783A35" w:rsidRPr="001411F3" w:rsidRDefault="00783A35" w:rsidP="00783A35">
      <w:pPr>
        <w:pStyle w:val="CentreSubHeading2"/>
      </w:pPr>
      <w:r>
        <w:t xml:space="preserve">Report </w:t>
      </w:r>
      <w:r w:rsidRPr="001411F3">
        <w:t>prepared by:</w:t>
      </w:r>
    </w:p>
    <w:p w14:paraId="393D29E0" w14:textId="77777777" w:rsidR="00783A35" w:rsidRDefault="00783A35" w:rsidP="00783A35">
      <w:pPr>
        <w:spacing w:after="60" w:line="300" w:lineRule="auto"/>
        <w:jc w:val="center"/>
        <w:rPr>
          <w:rFonts w:cs="Arial"/>
          <w:color w:val="000000"/>
        </w:rPr>
      </w:pPr>
      <w:r>
        <w:rPr>
          <w:rFonts w:cs="Arial"/>
          <w:color w:val="000000"/>
        </w:rPr>
        <w:t>The Social Research Centre</w:t>
      </w:r>
    </w:p>
    <w:p w14:paraId="393D29E1" w14:textId="77777777" w:rsidR="00783A35" w:rsidRDefault="00783A35" w:rsidP="00783A35">
      <w:pPr>
        <w:spacing w:after="60" w:line="300" w:lineRule="auto"/>
        <w:jc w:val="center"/>
        <w:rPr>
          <w:rFonts w:cs="Arial"/>
          <w:color w:val="000000"/>
        </w:rPr>
      </w:pPr>
      <w:r>
        <w:rPr>
          <w:rFonts w:cs="Arial"/>
          <w:color w:val="000000"/>
        </w:rPr>
        <w:t>Level 9, 277 William Street</w:t>
      </w:r>
    </w:p>
    <w:p w14:paraId="393D29E2" w14:textId="77777777" w:rsidR="00783A35" w:rsidRDefault="00783A35" w:rsidP="00783A35">
      <w:pPr>
        <w:spacing w:after="60" w:line="300" w:lineRule="auto"/>
        <w:jc w:val="center"/>
        <w:rPr>
          <w:rFonts w:cs="Arial"/>
          <w:color w:val="000000"/>
        </w:rPr>
      </w:pPr>
      <w:r>
        <w:rPr>
          <w:rFonts w:cs="Arial"/>
          <w:color w:val="000000"/>
        </w:rPr>
        <w:t>MELBOURNE VIC. 3000</w:t>
      </w:r>
    </w:p>
    <w:p w14:paraId="393D29E3" w14:textId="6B8E1438" w:rsidR="00783A35" w:rsidRDefault="00783A35" w:rsidP="00783A35">
      <w:pPr>
        <w:spacing w:after="60" w:line="300" w:lineRule="auto"/>
        <w:jc w:val="center"/>
        <w:rPr>
          <w:rFonts w:cs="Arial"/>
          <w:color w:val="000000"/>
        </w:rPr>
      </w:pPr>
      <w:r>
        <w:rPr>
          <w:rFonts w:cs="Arial"/>
          <w:color w:val="000000"/>
        </w:rPr>
        <w:t>Tel: (613) 9236 8500</w:t>
      </w:r>
    </w:p>
    <w:p w14:paraId="393D29E4" w14:textId="77777777" w:rsidR="00783A35" w:rsidRDefault="00783A35" w:rsidP="00783A35">
      <w:pPr>
        <w:spacing w:after="60" w:line="300" w:lineRule="auto"/>
        <w:jc w:val="center"/>
        <w:rPr>
          <w:rFonts w:cs="Arial"/>
          <w:color w:val="000000"/>
        </w:rPr>
      </w:pPr>
      <w:r>
        <w:rPr>
          <w:rFonts w:cs="Arial"/>
          <w:color w:val="000000"/>
        </w:rPr>
        <w:t>Fax: (613) 9602 5422</w:t>
      </w:r>
    </w:p>
    <w:p w14:paraId="393D29E5" w14:textId="63D69455" w:rsidR="00E07C58" w:rsidRDefault="00783A35" w:rsidP="006E19C7">
      <w:pPr>
        <w:spacing w:line="276" w:lineRule="auto"/>
        <w:jc w:val="center"/>
        <w:rPr>
          <w:rFonts w:cs="Arial"/>
          <w:color w:val="000000"/>
        </w:rPr>
      </w:pPr>
      <w:r>
        <w:rPr>
          <w:rFonts w:cs="Arial"/>
          <w:color w:val="000000"/>
        </w:rPr>
        <w:t xml:space="preserve">Email: </w:t>
      </w:r>
      <w:r w:rsidR="00F81A56">
        <w:rPr>
          <w:rFonts w:cs="Arial"/>
          <w:color w:val="000000"/>
        </w:rPr>
        <w:t>info@srcentre.com.au</w:t>
      </w:r>
    </w:p>
    <w:p w14:paraId="393D29E6" w14:textId="77777777" w:rsidR="005A2E56" w:rsidRDefault="005A2E56" w:rsidP="006E19C7">
      <w:pPr>
        <w:spacing w:line="276" w:lineRule="auto"/>
        <w:jc w:val="center"/>
        <w:rPr>
          <w:rFonts w:cs="Arial"/>
          <w:color w:val="000000"/>
        </w:rPr>
      </w:pPr>
    </w:p>
    <w:p w14:paraId="393D29E7" w14:textId="77777777" w:rsidR="005A2E56" w:rsidRDefault="005A2E56" w:rsidP="006E19C7">
      <w:pPr>
        <w:spacing w:line="276" w:lineRule="auto"/>
        <w:jc w:val="center"/>
        <w:rPr>
          <w:rFonts w:cs="Arial"/>
          <w:color w:val="000000"/>
        </w:rPr>
      </w:pPr>
      <w:r>
        <w:rPr>
          <w:rFonts w:cs="Arial"/>
          <w:color w:val="000000"/>
        </w:rPr>
        <w:t>www.srcentre.com.au</w:t>
      </w:r>
    </w:p>
    <w:p w14:paraId="393D29E8" w14:textId="77777777" w:rsidR="005902A8" w:rsidRDefault="005902A8" w:rsidP="006E19C7">
      <w:pPr>
        <w:spacing w:line="276" w:lineRule="auto"/>
        <w:jc w:val="center"/>
        <w:rPr>
          <w:rFonts w:cs="Arial"/>
          <w:color w:val="000000"/>
        </w:rPr>
      </w:pPr>
    </w:p>
    <w:p w14:paraId="3CA406E5" w14:textId="30303A2F" w:rsidR="007B757E" w:rsidRDefault="005902A8" w:rsidP="00BA30CF">
      <w:pPr>
        <w:spacing w:line="276" w:lineRule="auto"/>
        <w:jc w:val="center"/>
        <w:rPr>
          <w:rFonts w:cs="Arial"/>
          <w:color w:val="000000"/>
        </w:rPr>
      </w:pPr>
      <w:r>
        <w:rPr>
          <w:rFonts w:cs="Arial"/>
          <w:color w:val="000000"/>
        </w:rPr>
        <w:t xml:space="preserve">Version: </w:t>
      </w:r>
      <w:r w:rsidR="00846D7C">
        <w:rPr>
          <w:rFonts w:cs="Arial"/>
          <w:color w:val="000000"/>
        </w:rPr>
        <w:t>23 October</w:t>
      </w:r>
      <w:r w:rsidR="008E6918">
        <w:rPr>
          <w:rFonts w:cs="Arial"/>
          <w:color w:val="000000"/>
        </w:rPr>
        <w:t xml:space="preserve"> 2018</w:t>
      </w:r>
    </w:p>
    <w:p w14:paraId="3376AE57" w14:textId="77777777" w:rsidR="00BE4DBA" w:rsidRDefault="00BE4DBA" w:rsidP="004A4217">
      <w:pPr>
        <w:spacing w:before="4560" w:after="240"/>
      </w:pPr>
    </w:p>
    <w:p w14:paraId="33B0863F" w14:textId="209EA8F0" w:rsidR="004A4217" w:rsidRDefault="004A4217" w:rsidP="005B4845">
      <w:pPr>
        <w:spacing w:line="276" w:lineRule="auto"/>
        <w:ind w:left="1134" w:hanging="1276"/>
        <w:rPr>
          <w:rFonts w:cs="Arial"/>
          <w:color w:val="000000"/>
        </w:rPr>
      </w:pPr>
      <w:r>
        <w:rPr>
          <w:noProof/>
          <w:lang w:eastAsia="en-AU"/>
        </w:rPr>
        <w:drawing>
          <wp:inline distT="0" distB="0" distL="0" distR="0" wp14:anchorId="76E78ED8" wp14:editId="2C5FDDD2">
            <wp:extent cx="774962" cy="1461729"/>
            <wp:effectExtent l="0" t="0" r="6350" b="5715"/>
            <wp:docPr id="11" name="Picture 11" descr="ISO20252 certifi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SO20252 certification logo."/>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4962" cy="1461729"/>
                    </a:xfrm>
                    <a:prstGeom prst="rect">
                      <a:avLst/>
                    </a:prstGeom>
                    <a:noFill/>
                    <a:ln>
                      <a:noFill/>
                    </a:ln>
                  </pic:spPr>
                </pic:pic>
              </a:graphicData>
            </a:graphic>
          </wp:inline>
        </w:drawing>
      </w:r>
      <w:r w:rsidR="005B4845">
        <w:rPr>
          <w:rFonts w:cs="Arial"/>
          <w:color w:val="000000"/>
        </w:rPr>
        <w:tab/>
      </w:r>
      <w:r w:rsidR="005B4845">
        <w:rPr>
          <w:rFonts w:cs="Arial"/>
          <w:color w:val="000000"/>
        </w:rPr>
        <w:tab/>
      </w:r>
      <w:r>
        <w:rPr>
          <w:rFonts w:cs="Arial"/>
          <w:color w:val="000000"/>
        </w:rPr>
        <w:t xml:space="preserve"> </w:t>
      </w:r>
      <w:r>
        <w:rPr>
          <w:noProof/>
          <w:lang w:eastAsia="en-AU"/>
        </w:rPr>
        <w:drawing>
          <wp:inline distT="0" distB="0" distL="0" distR="0" wp14:anchorId="12C9137F" wp14:editId="46FDA5D6">
            <wp:extent cx="1305745" cy="353266"/>
            <wp:effectExtent l="0" t="0" r="8890" b="8890"/>
            <wp:docPr id="5" name="Picture 10" descr="Australian Market ans SOcial Research Soci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descr="Australian Market ans SOcial Research Society logo."/>
                    <pic:cNvPicPr>
                      <a:picLocks noChangeAspect="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05745" cy="353266"/>
                    </a:xfrm>
                    <a:prstGeom prst="rect">
                      <a:avLst/>
                    </a:prstGeom>
                    <a:noFill/>
                    <a:extLst/>
                  </pic:spPr>
                </pic:pic>
              </a:graphicData>
            </a:graphic>
          </wp:inline>
        </w:drawing>
      </w:r>
      <w:r w:rsidR="005B4845">
        <w:rPr>
          <w:rFonts w:cs="Arial"/>
          <w:color w:val="000000"/>
        </w:rPr>
        <w:tab/>
      </w:r>
      <w:r w:rsidR="005B4845">
        <w:rPr>
          <w:rFonts w:cs="Arial"/>
          <w:color w:val="000000"/>
        </w:rPr>
        <w:tab/>
      </w:r>
      <w:r w:rsidR="005B4845">
        <w:rPr>
          <w:noProof/>
          <w:lang w:eastAsia="en-AU"/>
        </w:rPr>
        <w:drawing>
          <wp:inline distT="0" distB="0" distL="0" distR="0" wp14:anchorId="01C3C074" wp14:editId="4DBADDA2">
            <wp:extent cx="1404926" cy="587945"/>
            <wp:effectExtent l="0" t="0" r="5080" b="3175"/>
            <wp:docPr id="12" name="Picture 12" descr="AMS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MSRO logo."/>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4926" cy="587945"/>
                    </a:xfrm>
                    <a:prstGeom prst="rect">
                      <a:avLst/>
                    </a:prstGeom>
                  </pic:spPr>
                </pic:pic>
              </a:graphicData>
            </a:graphic>
          </wp:inline>
        </w:drawing>
      </w:r>
      <w:r w:rsidR="005B4845">
        <w:rPr>
          <w:rFonts w:cs="Arial"/>
          <w:color w:val="000000"/>
        </w:rPr>
        <w:tab/>
      </w:r>
      <w:r>
        <w:rPr>
          <w:rFonts w:cs="Arial"/>
          <w:color w:val="000000"/>
        </w:rPr>
        <w:t xml:space="preserve"> </w:t>
      </w:r>
      <w:r>
        <w:rPr>
          <w:noProof/>
          <w:lang w:eastAsia="en-AU"/>
        </w:rPr>
        <w:drawing>
          <wp:inline distT="0" distB="0" distL="0" distR="0" wp14:anchorId="2A810312" wp14:editId="325FA195">
            <wp:extent cx="785578" cy="728752"/>
            <wp:effectExtent l="0" t="0" r="0" b="0"/>
            <wp:docPr id="192" name="Picture 192" descr="RICA Award 201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ICA Award 2014 logo."/>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5578" cy="728752"/>
                    </a:xfrm>
                    <a:prstGeom prst="rect">
                      <a:avLst/>
                    </a:prstGeom>
                    <a:noFill/>
                    <a:ln>
                      <a:noFill/>
                    </a:ln>
                  </pic:spPr>
                </pic:pic>
              </a:graphicData>
            </a:graphic>
          </wp:inline>
        </w:drawing>
      </w:r>
      <w:bookmarkStart w:id="1" w:name="_GoBack"/>
      <w:bookmarkEnd w:id="1"/>
    </w:p>
    <w:p w14:paraId="2552D062" w14:textId="5A2129B7" w:rsidR="004A4217" w:rsidRDefault="004A4217">
      <w:pPr>
        <w:rPr>
          <w:rFonts w:cs="Arial"/>
          <w:color w:val="000000"/>
        </w:rPr>
      </w:pPr>
      <w:r>
        <w:rPr>
          <w:rFonts w:cs="Arial"/>
          <w:color w:val="000000"/>
        </w:rPr>
        <w:br w:type="page"/>
      </w:r>
    </w:p>
    <w:p w14:paraId="79821AF7" w14:textId="39E1C517" w:rsidR="007B757E" w:rsidRDefault="007B757E" w:rsidP="00916DD7">
      <w:pPr>
        <w:spacing w:line="276" w:lineRule="auto"/>
        <w:rPr>
          <w:rFonts w:cs="Arial"/>
          <w:color w:val="000000"/>
        </w:rPr>
      </w:pPr>
      <w:r>
        <w:rPr>
          <w:noProof/>
          <w:lang w:eastAsia="en-AU"/>
        </w:rPr>
        <w:lastRenderedPageBreak/>
        <w:drawing>
          <wp:inline distT="0" distB="0" distL="0" distR="0" wp14:anchorId="05AD1FDB" wp14:editId="6FDACB9F">
            <wp:extent cx="1763395" cy="350520"/>
            <wp:effectExtent l="0" t="0" r="8255" b="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3395" cy="350520"/>
                    </a:xfrm>
                    <a:prstGeom prst="rect">
                      <a:avLst/>
                    </a:prstGeom>
                    <a:noFill/>
                    <a:ln>
                      <a:noFill/>
                    </a:ln>
                  </pic:spPr>
                </pic:pic>
              </a:graphicData>
            </a:graphic>
          </wp:inline>
        </w:drawing>
      </w:r>
    </w:p>
    <w:p w14:paraId="71F06859" w14:textId="77777777" w:rsidR="007B757E" w:rsidRPr="00916DD7" w:rsidRDefault="007B757E" w:rsidP="00916DD7">
      <w:pPr>
        <w:pStyle w:val="NormalWeb"/>
        <w:shd w:val="clear" w:color="auto" w:fill="FFFFFF"/>
        <w:spacing w:before="120" w:beforeAutospacing="0" w:after="120" w:afterAutospacing="0" w:line="25" w:lineRule="atLeast"/>
        <w:rPr>
          <w:rFonts w:ascii="Arial" w:hAnsi="Arial" w:cs="Arial"/>
          <w:sz w:val="20"/>
          <w:szCs w:val="20"/>
          <w:lang w:val="en"/>
        </w:rPr>
      </w:pPr>
    </w:p>
    <w:p w14:paraId="68AB26D9" w14:textId="3DB55E53" w:rsidR="007B757E" w:rsidRPr="00916DD7" w:rsidRDefault="007B757E" w:rsidP="00916DD7">
      <w:pPr>
        <w:pStyle w:val="NormalWeb"/>
        <w:shd w:val="clear" w:color="auto" w:fill="FFFFFF"/>
        <w:spacing w:before="120" w:beforeAutospacing="0" w:after="120" w:afterAutospacing="0" w:line="300" w:lineRule="auto"/>
        <w:rPr>
          <w:rFonts w:ascii="Arial" w:hAnsi="Arial" w:cs="Arial"/>
          <w:sz w:val="20"/>
          <w:szCs w:val="20"/>
          <w:lang w:val="en"/>
        </w:rPr>
      </w:pPr>
      <w:r w:rsidRPr="00916DD7">
        <w:rPr>
          <w:rFonts w:ascii="Arial" w:hAnsi="Arial" w:cs="Arial"/>
          <w:sz w:val="20"/>
          <w:szCs w:val="20"/>
          <w:lang w:val="en"/>
        </w:rPr>
        <w:t xml:space="preserve">This report was commissioned by Safe Work Australia. </w:t>
      </w:r>
    </w:p>
    <w:p w14:paraId="08FE3DC2" w14:textId="77777777" w:rsidR="007B757E" w:rsidRPr="00916DD7" w:rsidRDefault="007B757E" w:rsidP="00916DD7">
      <w:pPr>
        <w:pStyle w:val="NormalWeb"/>
        <w:shd w:val="clear" w:color="auto" w:fill="FFFFFF"/>
        <w:spacing w:before="120" w:beforeAutospacing="0" w:after="120" w:afterAutospacing="0" w:line="300" w:lineRule="auto"/>
        <w:rPr>
          <w:rFonts w:ascii="Arial" w:hAnsi="Arial" w:cs="Arial"/>
          <w:sz w:val="20"/>
          <w:szCs w:val="20"/>
          <w:lang w:val="en"/>
        </w:rPr>
      </w:pPr>
      <w:r w:rsidRPr="00916DD7">
        <w:rPr>
          <w:rFonts w:ascii="Arial" w:hAnsi="Arial" w:cs="Arial"/>
          <w:b/>
          <w:bCs/>
          <w:sz w:val="20"/>
          <w:szCs w:val="20"/>
          <w:lang w:val="en"/>
        </w:rPr>
        <w:t>Disclaimer</w:t>
      </w:r>
      <w:r w:rsidRPr="00916DD7">
        <w:rPr>
          <w:rFonts w:ascii="Arial" w:hAnsi="Arial" w:cs="Arial"/>
          <w:sz w:val="20"/>
          <w:szCs w:val="20"/>
          <w:lang w:val="en"/>
        </w:rPr>
        <w:t xml:space="preserve"> </w:t>
      </w:r>
    </w:p>
    <w:p w14:paraId="1C93F6AC" w14:textId="72CD4A95" w:rsidR="007B757E" w:rsidRPr="00916DD7" w:rsidRDefault="007B757E" w:rsidP="00916DD7">
      <w:pPr>
        <w:pStyle w:val="NormalWeb"/>
        <w:shd w:val="clear" w:color="auto" w:fill="FFFFFF"/>
        <w:spacing w:before="120" w:beforeAutospacing="0" w:after="120" w:afterAutospacing="0" w:line="300" w:lineRule="auto"/>
        <w:rPr>
          <w:rFonts w:ascii="Arial" w:hAnsi="Arial" w:cs="Arial"/>
          <w:sz w:val="20"/>
          <w:szCs w:val="20"/>
          <w:lang w:val="en"/>
        </w:rPr>
      </w:pPr>
      <w:r w:rsidRPr="00916DD7">
        <w:rPr>
          <w:rFonts w:ascii="Arial" w:hAnsi="Arial" w:cs="Arial"/>
          <w:sz w:val="20"/>
          <w:szCs w:val="20"/>
          <w:lang w:val="en"/>
        </w:rPr>
        <w:t xml:space="preserve">The information provided in this document can only assist you in the most general way. This document does not replace any statutory requirements under any relevant state </w:t>
      </w:r>
      <w:r w:rsidR="00273DFF" w:rsidRPr="008448E5">
        <w:rPr>
          <w:rFonts w:ascii="Arial" w:hAnsi="Arial" w:cs="Arial"/>
          <w:sz w:val="20"/>
          <w:szCs w:val="20"/>
          <w:lang w:val="en"/>
        </w:rPr>
        <w:t>and territory legislation. Safe </w:t>
      </w:r>
      <w:r w:rsidRPr="00916DD7">
        <w:rPr>
          <w:rFonts w:ascii="Arial" w:hAnsi="Arial" w:cs="Arial"/>
          <w:sz w:val="20"/>
          <w:szCs w:val="20"/>
          <w:lang w:val="en"/>
        </w:rPr>
        <w:t xml:space="preserve">Work Australia is not liable for any loss resulting from any action taken or reliance made by you on the information or material contained on this document. Before relying on the material, users should carefully make their own assessment as to its accuracy, currency, completeness and relevance for their purposes, and should obtain any appropriate professional advice relevant to their particular circumstances. The views in this report should not be taken to represent the views of Safe Work Australia unless otherwise expressly stated. </w:t>
      </w:r>
    </w:p>
    <w:p w14:paraId="736AEAFD" w14:textId="77777777" w:rsidR="007B757E" w:rsidRPr="00916DD7" w:rsidRDefault="007B757E" w:rsidP="00916DD7">
      <w:pPr>
        <w:pStyle w:val="NormalWeb"/>
        <w:shd w:val="clear" w:color="auto" w:fill="FFFFFF"/>
        <w:spacing w:before="120" w:beforeAutospacing="0" w:after="120" w:afterAutospacing="0" w:line="300" w:lineRule="auto"/>
        <w:rPr>
          <w:rFonts w:ascii="Arial" w:hAnsi="Arial" w:cs="Arial"/>
          <w:sz w:val="20"/>
          <w:szCs w:val="20"/>
          <w:lang w:val="en"/>
        </w:rPr>
      </w:pPr>
      <w:r w:rsidRPr="00916DD7">
        <w:rPr>
          <w:rFonts w:ascii="Arial" w:hAnsi="Arial" w:cs="Arial"/>
          <w:b/>
          <w:bCs/>
          <w:sz w:val="20"/>
          <w:szCs w:val="20"/>
          <w:lang w:val="en"/>
        </w:rPr>
        <w:t>Creative Commons</w:t>
      </w:r>
      <w:r w:rsidRPr="00916DD7">
        <w:rPr>
          <w:rFonts w:ascii="Arial" w:hAnsi="Arial" w:cs="Arial"/>
          <w:sz w:val="20"/>
          <w:szCs w:val="20"/>
          <w:lang w:val="en"/>
        </w:rPr>
        <w:t xml:space="preserve"> </w:t>
      </w:r>
    </w:p>
    <w:p w14:paraId="67C5E930" w14:textId="3F561A7E" w:rsidR="007B757E" w:rsidRPr="00916DD7" w:rsidRDefault="007B757E" w:rsidP="00916DD7">
      <w:pPr>
        <w:pStyle w:val="NormalWeb"/>
        <w:shd w:val="clear" w:color="auto" w:fill="FFFFFF"/>
        <w:spacing w:before="120" w:beforeAutospacing="0" w:after="120" w:afterAutospacing="0" w:line="300" w:lineRule="auto"/>
        <w:rPr>
          <w:rFonts w:ascii="Arial" w:hAnsi="Arial" w:cs="Arial"/>
          <w:sz w:val="20"/>
          <w:szCs w:val="20"/>
          <w:lang w:val="en"/>
        </w:rPr>
      </w:pPr>
      <w:r w:rsidRPr="00916DD7">
        <w:rPr>
          <w:rFonts w:ascii="Arial" w:hAnsi="Arial" w:cs="Arial"/>
          <w:noProof/>
          <w:sz w:val="20"/>
          <w:szCs w:val="20"/>
        </w:rPr>
        <w:drawing>
          <wp:inline distT="0" distB="0" distL="0" distR="0" wp14:anchorId="6CC8A692" wp14:editId="1776B04C">
            <wp:extent cx="1525905" cy="522605"/>
            <wp:effectExtent l="0" t="0" r="0" b="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5905" cy="522605"/>
                    </a:xfrm>
                    <a:prstGeom prst="rect">
                      <a:avLst/>
                    </a:prstGeom>
                    <a:noFill/>
                    <a:ln>
                      <a:noFill/>
                    </a:ln>
                  </pic:spPr>
                </pic:pic>
              </a:graphicData>
            </a:graphic>
          </wp:inline>
        </w:drawing>
      </w:r>
    </w:p>
    <w:p w14:paraId="6DFC38AF" w14:textId="6DBA5E94" w:rsidR="007B757E" w:rsidRDefault="007B757E" w:rsidP="00916DD7">
      <w:pPr>
        <w:pStyle w:val="NormalWeb"/>
        <w:shd w:val="clear" w:color="auto" w:fill="FFFFFF"/>
        <w:spacing w:before="120" w:beforeAutospacing="0" w:after="120" w:afterAutospacing="0" w:line="300" w:lineRule="auto"/>
        <w:rPr>
          <w:rFonts w:ascii="Arial" w:hAnsi="Arial" w:cs="Arial"/>
          <w:sz w:val="20"/>
          <w:szCs w:val="20"/>
          <w:lang w:val="en"/>
        </w:rPr>
      </w:pPr>
      <w:r w:rsidRPr="00916DD7">
        <w:rPr>
          <w:rFonts w:ascii="Arial" w:hAnsi="Arial" w:cs="Arial"/>
          <w:sz w:val="20"/>
          <w:szCs w:val="20"/>
          <w:lang w:val="en"/>
        </w:rPr>
        <w:t xml:space="preserve">With the exception of the Safe Work Australia and the Social Research Centre logo this report is licensed by Safe Work Australia under a Creative Commons 3.0 Australia Licence. To view a copy of this licence, visit </w:t>
      </w:r>
      <w:hyperlink r:id="rId20" w:tooltip="Creative Common Licence website" w:history="1">
        <w:r w:rsidRPr="00916DD7">
          <w:rPr>
            <w:rStyle w:val="Hyperlink"/>
            <w:rFonts w:ascii="Arial" w:hAnsi="Arial" w:cs="Arial"/>
            <w:color w:val="auto"/>
            <w:sz w:val="20"/>
            <w:szCs w:val="20"/>
            <w:lang w:val="en"/>
          </w:rPr>
          <w:t>http://creativecommons.org/licenses/by/3.0/au/deed.en</w:t>
        </w:r>
      </w:hyperlink>
    </w:p>
    <w:p w14:paraId="5D7536E8" w14:textId="0A9AC174" w:rsidR="007B757E" w:rsidRPr="00916DD7" w:rsidRDefault="007B757E" w:rsidP="00916DD7">
      <w:pPr>
        <w:pStyle w:val="NormalWeb"/>
        <w:shd w:val="clear" w:color="auto" w:fill="FFFFFF"/>
        <w:spacing w:before="120" w:beforeAutospacing="0" w:after="120" w:afterAutospacing="0" w:line="300" w:lineRule="auto"/>
        <w:rPr>
          <w:rFonts w:ascii="Arial" w:hAnsi="Arial" w:cs="Arial"/>
          <w:sz w:val="20"/>
          <w:szCs w:val="20"/>
          <w:lang w:val="en"/>
        </w:rPr>
      </w:pPr>
      <w:r w:rsidRPr="00916DD7">
        <w:rPr>
          <w:rFonts w:ascii="Arial" w:hAnsi="Arial" w:cs="Arial"/>
          <w:sz w:val="20"/>
          <w:szCs w:val="20"/>
          <w:lang w:val="en"/>
        </w:rPr>
        <w:t xml:space="preserve">Enquiries regarding the licence and any use of the report are welcome at: </w:t>
      </w:r>
    </w:p>
    <w:p w14:paraId="74C84841" w14:textId="37B0A299" w:rsidR="007B757E" w:rsidRPr="00916DD7" w:rsidRDefault="007B757E" w:rsidP="00916DD7">
      <w:pPr>
        <w:pStyle w:val="NormalWeb"/>
        <w:shd w:val="clear" w:color="auto" w:fill="FFFFFF"/>
        <w:spacing w:before="120" w:beforeAutospacing="0" w:after="120" w:afterAutospacing="0" w:line="300" w:lineRule="auto"/>
        <w:rPr>
          <w:rFonts w:ascii="Arial" w:hAnsi="Arial" w:cs="Arial"/>
          <w:sz w:val="20"/>
          <w:szCs w:val="20"/>
          <w:lang w:val="en"/>
        </w:rPr>
      </w:pPr>
      <w:r w:rsidRPr="00916DD7">
        <w:rPr>
          <w:rFonts w:ascii="Arial" w:hAnsi="Arial" w:cs="Arial"/>
          <w:sz w:val="20"/>
          <w:szCs w:val="20"/>
          <w:lang w:val="en"/>
        </w:rPr>
        <w:t xml:space="preserve">Copyright Officer </w:t>
      </w:r>
      <w:r w:rsidRPr="00916DD7">
        <w:rPr>
          <w:rFonts w:ascii="Arial" w:hAnsi="Arial" w:cs="Arial"/>
          <w:sz w:val="20"/>
          <w:szCs w:val="20"/>
          <w:lang w:val="en"/>
        </w:rPr>
        <w:br/>
        <w:t xml:space="preserve">Safe Work Australia </w:t>
      </w:r>
      <w:r w:rsidRPr="00916DD7">
        <w:rPr>
          <w:rFonts w:ascii="Arial" w:hAnsi="Arial" w:cs="Arial"/>
          <w:sz w:val="20"/>
          <w:szCs w:val="20"/>
          <w:lang w:val="en"/>
        </w:rPr>
        <w:br/>
        <w:t xml:space="preserve">GPO Box 641 Canberra ACT 2601 </w:t>
      </w:r>
      <w:r w:rsidRPr="00916DD7">
        <w:rPr>
          <w:rFonts w:ascii="Arial" w:hAnsi="Arial" w:cs="Arial"/>
          <w:sz w:val="20"/>
          <w:szCs w:val="20"/>
          <w:lang w:val="en"/>
        </w:rPr>
        <w:br/>
        <w:t xml:space="preserve">Email: </w:t>
      </w:r>
      <w:hyperlink r:id="rId21" w:history="1">
        <w:r w:rsidRPr="00916DD7">
          <w:rPr>
            <w:rStyle w:val="Hyperlink"/>
            <w:rFonts w:ascii="Arial" w:hAnsi="Arial" w:cs="Arial"/>
            <w:color w:val="auto"/>
            <w:sz w:val="20"/>
            <w:szCs w:val="20"/>
            <w:lang w:val="en"/>
          </w:rPr>
          <w:t>copyrightrequests@swa.gov.au</w:t>
        </w:r>
      </w:hyperlink>
    </w:p>
    <w:p w14:paraId="4288EDFC" w14:textId="72C635F6" w:rsidR="007B757E" w:rsidRPr="00916DD7" w:rsidRDefault="007B757E" w:rsidP="00916DD7">
      <w:pPr>
        <w:pStyle w:val="NormalWeb"/>
        <w:shd w:val="clear" w:color="auto" w:fill="FFFFFF"/>
        <w:spacing w:before="120" w:beforeAutospacing="0" w:after="120" w:afterAutospacing="0" w:line="300" w:lineRule="auto"/>
        <w:rPr>
          <w:rFonts w:ascii="Arial" w:hAnsi="Arial" w:cs="Arial"/>
          <w:sz w:val="20"/>
          <w:szCs w:val="20"/>
          <w:lang w:val="en"/>
        </w:rPr>
      </w:pPr>
      <w:r w:rsidRPr="00916DD7">
        <w:rPr>
          <w:rFonts w:ascii="Arial" w:hAnsi="Arial" w:cs="Arial"/>
          <w:sz w:val="20"/>
          <w:szCs w:val="20"/>
          <w:lang w:val="en"/>
        </w:rPr>
        <w:t xml:space="preserve">ISBN </w:t>
      </w:r>
      <w:r w:rsidR="006338B5" w:rsidRPr="006338B5">
        <w:rPr>
          <w:rFonts w:ascii="Arial" w:hAnsi="Arial" w:cs="Arial"/>
          <w:sz w:val="20"/>
          <w:szCs w:val="20"/>
          <w:lang w:val="en"/>
        </w:rPr>
        <w:t>978-1-76051-588-1</w:t>
      </w:r>
      <w:r w:rsidR="009B68A7">
        <w:rPr>
          <w:rFonts w:ascii="Arial" w:hAnsi="Arial" w:cs="Arial"/>
          <w:sz w:val="20"/>
          <w:szCs w:val="20"/>
          <w:lang w:val="en"/>
        </w:rPr>
        <w:t xml:space="preserve"> </w:t>
      </w:r>
      <w:r w:rsidRPr="00916DD7">
        <w:rPr>
          <w:rFonts w:ascii="Arial" w:hAnsi="Arial" w:cs="Arial"/>
          <w:sz w:val="20"/>
          <w:szCs w:val="20"/>
          <w:lang w:val="en"/>
        </w:rPr>
        <w:t xml:space="preserve">[PDF] </w:t>
      </w:r>
    </w:p>
    <w:p w14:paraId="1A1EA681" w14:textId="0A1042EB" w:rsidR="007B757E" w:rsidRPr="00916DD7" w:rsidRDefault="007B757E" w:rsidP="00916DD7">
      <w:pPr>
        <w:pStyle w:val="NormalWeb"/>
        <w:shd w:val="clear" w:color="auto" w:fill="FFFFFF"/>
        <w:spacing w:before="120" w:beforeAutospacing="0" w:after="120" w:afterAutospacing="0" w:line="300" w:lineRule="auto"/>
        <w:rPr>
          <w:rFonts w:ascii="Arial" w:hAnsi="Arial" w:cs="Arial"/>
          <w:sz w:val="20"/>
          <w:szCs w:val="20"/>
          <w:lang w:val="en"/>
        </w:rPr>
      </w:pPr>
      <w:r w:rsidRPr="00916DD7">
        <w:rPr>
          <w:rFonts w:ascii="Arial" w:hAnsi="Arial" w:cs="Arial"/>
          <w:sz w:val="20"/>
          <w:szCs w:val="20"/>
          <w:lang w:val="en"/>
        </w:rPr>
        <w:t xml:space="preserve">ISBN </w:t>
      </w:r>
      <w:r w:rsidR="006338B5" w:rsidRPr="006338B5">
        <w:rPr>
          <w:rFonts w:ascii="Arial" w:hAnsi="Arial" w:cs="Arial"/>
          <w:sz w:val="20"/>
          <w:szCs w:val="20"/>
          <w:lang w:val="en"/>
        </w:rPr>
        <w:t>978-1-76051-589-8</w:t>
      </w:r>
      <w:r w:rsidRPr="00916DD7">
        <w:rPr>
          <w:rFonts w:ascii="Arial" w:hAnsi="Arial" w:cs="Arial"/>
          <w:sz w:val="20"/>
          <w:szCs w:val="20"/>
          <w:lang w:val="en"/>
        </w:rPr>
        <w:t xml:space="preserve"> [DOCX]</w:t>
      </w:r>
    </w:p>
    <w:p w14:paraId="1A42CEB3" w14:textId="77777777" w:rsidR="007B757E" w:rsidRDefault="007B757E" w:rsidP="00916DD7">
      <w:pPr>
        <w:spacing w:line="276" w:lineRule="auto"/>
        <w:rPr>
          <w:rFonts w:cs="Arial"/>
          <w:color w:val="000000"/>
        </w:rPr>
      </w:pPr>
    </w:p>
    <w:p w14:paraId="393D29EA" w14:textId="6CCE063A" w:rsidR="0086398A" w:rsidRDefault="0086398A" w:rsidP="00CD39CA">
      <w:pPr>
        <w:spacing w:line="276" w:lineRule="auto"/>
        <w:jc w:val="center"/>
        <w:sectPr w:rsidR="0086398A" w:rsidSect="0079237A">
          <w:headerReference w:type="even" r:id="rId22"/>
          <w:footerReference w:type="default" r:id="rId23"/>
          <w:pgSz w:w="11906" w:h="16838" w:code="9"/>
          <w:pgMar w:top="1701" w:right="1418" w:bottom="1418" w:left="1418" w:header="454" w:footer="454" w:gutter="0"/>
          <w:pgNumType w:fmt="lowerRoman" w:start="1"/>
          <w:cols w:space="708"/>
          <w:titlePg/>
          <w:docGrid w:linePitch="360"/>
        </w:sectPr>
      </w:pPr>
    </w:p>
    <w:p w14:paraId="393D2A00" w14:textId="77777777" w:rsidR="00E07C58" w:rsidRPr="006D7605" w:rsidRDefault="00E07C58" w:rsidP="006D7605">
      <w:pPr>
        <w:spacing w:after="240"/>
        <w:rPr>
          <w:b/>
          <w:color w:val="1F688D"/>
          <w:sz w:val="40"/>
          <w:szCs w:val="40"/>
        </w:rPr>
      </w:pPr>
      <w:r w:rsidRPr="006D7605">
        <w:rPr>
          <w:b/>
          <w:color w:val="1F688D"/>
          <w:sz w:val="40"/>
          <w:szCs w:val="40"/>
        </w:rPr>
        <w:lastRenderedPageBreak/>
        <w:t>Contents</w:t>
      </w:r>
    </w:p>
    <w:p w14:paraId="0F441248" w14:textId="28E13659" w:rsidR="008D0932" w:rsidRDefault="00641E10" w:rsidP="008D0932">
      <w:pPr>
        <w:pStyle w:val="TOC1"/>
        <w:rPr>
          <w:rFonts w:asciiTheme="minorHAnsi" w:eastAsiaTheme="minorEastAsia" w:hAnsiTheme="minorHAnsi" w:cstheme="minorBidi"/>
          <w:sz w:val="22"/>
          <w:szCs w:val="22"/>
          <w:lang w:eastAsia="en-AU"/>
        </w:rPr>
      </w:pPr>
      <w:r>
        <w:fldChar w:fldCharType="begin"/>
      </w:r>
      <w:r>
        <w:instrText xml:space="preserve"> TOC \o "1-3" \h \z \u </w:instrText>
      </w:r>
      <w:r>
        <w:fldChar w:fldCharType="separate"/>
      </w:r>
      <w:hyperlink w:anchor="_Toc528055995" w:history="1">
        <w:r w:rsidR="008D0932" w:rsidRPr="00EE7769">
          <w:rPr>
            <w:rStyle w:val="Hyperlink"/>
          </w:rPr>
          <w:t>List of figures</w:t>
        </w:r>
        <w:r w:rsidR="008D0932">
          <w:rPr>
            <w:webHidden/>
          </w:rPr>
          <w:tab/>
        </w:r>
        <w:r w:rsidR="008D0932">
          <w:rPr>
            <w:webHidden/>
          </w:rPr>
          <w:fldChar w:fldCharType="begin"/>
        </w:r>
        <w:r w:rsidR="008D0932">
          <w:rPr>
            <w:webHidden/>
          </w:rPr>
          <w:instrText xml:space="preserve"> PAGEREF _Toc528055995 \h </w:instrText>
        </w:r>
        <w:r w:rsidR="008D0932">
          <w:rPr>
            <w:webHidden/>
          </w:rPr>
        </w:r>
        <w:r w:rsidR="008D0932">
          <w:rPr>
            <w:webHidden/>
          </w:rPr>
          <w:fldChar w:fldCharType="separate"/>
        </w:r>
        <w:r w:rsidR="008D0932">
          <w:rPr>
            <w:webHidden/>
          </w:rPr>
          <w:t>v</w:t>
        </w:r>
        <w:r w:rsidR="008D0932">
          <w:rPr>
            <w:webHidden/>
          </w:rPr>
          <w:fldChar w:fldCharType="end"/>
        </w:r>
      </w:hyperlink>
    </w:p>
    <w:p w14:paraId="417E08FB" w14:textId="5113C4A3" w:rsidR="008D0932" w:rsidRDefault="005B4845" w:rsidP="008D0932">
      <w:pPr>
        <w:pStyle w:val="TOC1"/>
        <w:rPr>
          <w:rFonts w:asciiTheme="minorHAnsi" w:eastAsiaTheme="minorEastAsia" w:hAnsiTheme="minorHAnsi" w:cstheme="minorBidi"/>
          <w:sz w:val="22"/>
          <w:szCs w:val="22"/>
          <w:lang w:eastAsia="en-AU"/>
        </w:rPr>
      </w:pPr>
      <w:hyperlink w:anchor="_Toc528055996" w:history="1">
        <w:r w:rsidR="008D0932" w:rsidRPr="00EE7769">
          <w:rPr>
            <w:rStyle w:val="Hyperlink"/>
          </w:rPr>
          <w:t>List of tables</w:t>
        </w:r>
        <w:r w:rsidR="008D0932">
          <w:rPr>
            <w:webHidden/>
          </w:rPr>
          <w:tab/>
        </w:r>
        <w:r w:rsidR="008D0932">
          <w:rPr>
            <w:webHidden/>
          </w:rPr>
          <w:fldChar w:fldCharType="begin"/>
        </w:r>
        <w:r w:rsidR="008D0932">
          <w:rPr>
            <w:webHidden/>
          </w:rPr>
          <w:instrText xml:space="preserve"> PAGEREF _Toc528055996 \h </w:instrText>
        </w:r>
        <w:r w:rsidR="008D0932">
          <w:rPr>
            <w:webHidden/>
          </w:rPr>
        </w:r>
        <w:r w:rsidR="008D0932">
          <w:rPr>
            <w:webHidden/>
          </w:rPr>
          <w:fldChar w:fldCharType="separate"/>
        </w:r>
        <w:r w:rsidR="008D0932">
          <w:rPr>
            <w:webHidden/>
          </w:rPr>
          <w:t>vi</w:t>
        </w:r>
        <w:r w:rsidR="008D0932">
          <w:rPr>
            <w:webHidden/>
          </w:rPr>
          <w:fldChar w:fldCharType="end"/>
        </w:r>
      </w:hyperlink>
    </w:p>
    <w:p w14:paraId="1B2B6133" w14:textId="150911DD" w:rsidR="008D0932" w:rsidRDefault="005B4845" w:rsidP="008D0932">
      <w:pPr>
        <w:pStyle w:val="TOC1"/>
        <w:rPr>
          <w:rFonts w:asciiTheme="minorHAnsi" w:eastAsiaTheme="minorEastAsia" w:hAnsiTheme="minorHAnsi" w:cstheme="minorBidi"/>
          <w:sz w:val="22"/>
          <w:szCs w:val="22"/>
          <w:lang w:eastAsia="en-AU"/>
        </w:rPr>
      </w:pPr>
      <w:hyperlink w:anchor="_Toc528055997" w:history="1">
        <w:r w:rsidR="008D0932" w:rsidRPr="00EE7769">
          <w:rPr>
            <w:rStyle w:val="Hyperlink"/>
          </w:rPr>
          <w:t>Foreword</w:t>
        </w:r>
        <w:r w:rsidR="008D0932">
          <w:rPr>
            <w:webHidden/>
          </w:rPr>
          <w:tab/>
        </w:r>
        <w:r w:rsidR="008D0932">
          <w:rPr>
            <w:webHidden/>
          </w:rPr>
          <w:fldChar w:fldCharType="begin"/>
        </w:r>
        <w:r w:rsidR="008D0932">
          <w:rPr>
            <w:webHidden/>
          </w:rPr>
          <w:instrText xml:space="preserve"> PAGEREF _Toc528055997 \h </w:instrText>
        </w:r>
        <w:r w:rsidR="008D0932">
          <w:rPr>
            <w:webHidden/>
          </w:rPr>
        </w:r>
        <w:r w:rsidR="008D0932">
          <w:rPr>
            <w:webHidden/>
          </w:rPr>
          <w:fldChar w:fldCharType="separate"/>
        </w:r>
        <w:r w:rsidR="008D0932">
          <w:rPr>
            <w:webHidden/>
          </w:rPr>
          <w:t>vii</w:t>
        </w:r>
        <w:r w:rsidR="008D0932">
          <w:rPr>
            <w:webHidden/>
          </w:rPr>
          <w:fldChar w:fldCharType="end"/>
        </w:r>
      </w:hyperlink>
    </w:p>
    <w:p w14:paraId="6A3C9719" w14:textId="71D8888E" w:rsidR="008D0932" w:rsidRDefault="005B4845" w:rsidP="008D0932">
      <w:pPr>
        <w:pStyle w:val="TOC1"/>
        <w:rPr>
          <w:rFonts w:asciiTheme="minorHAnsi" w:eastAsiaTheme="minorEastAsia" w:hAnsiTheme="minorHAnsi" w:cstheme="minorBidi"/>
          <w:sz w:val="22"/>
          <w:szCs w:val="22"/>
          <w:lang w:eastAsia="en-AU"/>
        </w:rPr>
      </w:pPr>
      <w:hyperlink w:anchor="_Toc528055998" w:history="1">
        <w:r w:rsidR="008D0932" w:rsidRPr="00EE7769">
          <w:rPr>
            <w:rStyle w:val="Hyperlink"/>
          </w:rPr>
          <w:t>Executive Summary</w:t>
        </w:r>
        <w:r w:rsidR="008D0932">
          <w:rPr>
            <w:webHidden/>
          </w:rPr>
          <w:tab/>
        </w:r>
        <w:r w:rsidR="008D0932">
          <w:rPr>
            <w:webHidden/>
          </w:rPr>
          <w:fldChar w:fldCharType="begin"/>
        </w:r>
        <w:r w:rsidR="008D0932">
          <w:rPr>
            <w:webHidden/>
          </w:rPr>
          <w:instrText xml:space="preserve"> PAGEREF _Toc528055998 \h </w:instrText>
        </w:r>
        <w:r w:rsidR="008D0932">
          <w:rPr>
            <w:webHidden/>
          </w:rPr>
        </w:r>
        <w:r w:rsidR="008D0932">
          <w:rPr>
            <w:webHidden/>
          </w:rPr>
          <w:fldChar w:fldCharType="separate"/>
        </w:r>
        <w:r w:rsidR="008D0932">
          <w:rPr>
            <w:webHidden/>
          </w:rPr>
          <w:t>1</w:t>
        </w:r>
        <w:r w:rsidR="008D0932">
          <w:rPr>
            <w:webHidden/>
          </w:rPr>
          <w:fldChar w:fldCharType="end"/>
        </w:r>
      </w:hyperlink>
    </w:p>
    <w:p w14:paraId="317D956A" w14:textId="62A67C05" w:rsidR="008D0932" w:rsidRDefault="005B4845" w:rsidP="008D0932">
      <w:pPr>
        <w:pStyle w:val="TOC1"/>
        <w:rPr>
          <w:rFonts w:asciiTheme="minorHAnsi" w:eastAsiaTheme="minorEastAsia" w:hAnsiTheme="minorHAnsi" w:cstheme="minorBidi"/>
          <w:sz w:val="22"/>
          <w:szCs w:val="22"/>
          <w:lang w:eastAsia="en-AU"/>
        </w:rPr>
      </w:pPr>
      <w:hyperlink w:anchor="_Toc528055999" w:history="1">
        <w:r w:rsidR="008D0932" w:rsidRPr="00EE7769">
          <w:rPr>
            <w:rStyle w:val="Hyperlink"/>
          </w:rPr>
          <w:t>1.</w:t>
        </w:r>
        <w:r w:rsidR="008D0932">
          <w:rPr>
            <w:rFonts w:asciiTheme="minorHAnsi" w:eastAsiaTheme="minorEastAsia" w:hAnsiTheme="minorHAnsi" w:cstheme="minorBidi"/>
            <w:sz w:val="22"/>
            <w:szCs w:val="22"/>
            <w:lang w:eastAsia="en-AU"/>
          </w:rPr>
          <w:tab/>
        </w:r>
        <w:r w:rsidR="008D0932" w:rsidRPr="00EE7769">
          <w:rPr>
            <w:rStyle w:val="Hyperlink"/>
          </w:rPr>
          <w:t>Introduction</w:t>
        </w:r>
        <w:r w:rsidR="008D0932">
          <w:rPr>
            <w:webHidden/>
          </w:rPr>
          <w:tab/>
        </w:r>
        <w:r w:rsidR="008D0932">
          <w:rPr>
            <w:webHidden/>
          </w:rPr>
          <w:fldChar w:fldCharType="begin"/>
        </w:r>
        <w:r w:rsidR="008D0932">
          <w:rPr>
            <w:webHidden/>
          </w:rPr>
          <w:instrText xml:space="preserve"> PAGEREF _Toc528055999 \h </w:instrText>
        </w:r>
        <w:r w:rsidR="008D0932">
          <w:rPr>
            <w:webHidden/>
          </w:rPr>
        </w:r>
        <w:r w:rsidR="008D0932">
          <w:rPr>
            <w:webHidden/>
          </w:rPr>
          <w:fldChar w:fldCharType="separate"/>
        </w:r>
        <w:r w:rsidR="008D0932">
          <w:rPr>
            <w:webHidden/>
          </w:rPr>
          <w:t>4</w:t>
        </w:r>
        <w:r w:rsidR="008D0932">
          <w:rPr>
            <w:webHidden/>
          </w:rPr>
          <w:fldChar w:fldCharType="end"/>
        </w:r>
      </w:hyperlink>
    </w:p>
    <w:p w14:paraId="39D9DC99" w14:textId="7B172916" w:rsidR="008D0932" w:rsidRDefault="005B4845">
      <w:pPr>
        <w:pStyle w:val="TOC2"/>
        <w:tabs>
          <w:tab w:val="left" w:pos="1418"/>
        </w:tabs>
        <w:rPr>
          <w:rFonts w:asciiTheme="minorHAnsi" w:eastAsiaTheme="minorEastAsia" w:hAnsiTheme="minorHAnsi" w:cstheme="minorBidi"/>
          <w:noProof/>
          <w:sz w:val="22"/>
          <w:szCs w:val="22"/>
          <w:lang w:eastAsia="en-AU"/>
        </w:rPr>
      </w:pPr>
      <w:hyperlink w:anchor="_Toc528056000" w:history="1">
        <w:r w:rsidR="008D0932" w:rsidRPr="00EE7769">
          <w:rPr>
            <w:rStyle w:val="Hyperlink"/>
            <w:noProof/>
          </w:rPr>
          <w:t>1.1.</w:t>
        </w:r>
        <w:r w:rsidR="008D0932">
          <w:rPr>
            <w:rFonts w:asciiTheme="minorHAnsi" w:eastAsiaTheme="minorEastAsia" w:hAnsiTheme="minorHAnsi" w:cstheme="minorBidi"/>
            <w:noProof/>
            <w:sz w:val="22"/>
            <w:szCs w:val="22"/>
            <w:lang w:eastAsia="en-AU"/>
          </w:rPr>
          <w:tab/>
        </w:r>
        <w:r w:rsidR="008D0932" w:rsidRPr="00EE7769">
          <w:rPr>
            <w:rStyle w:val="Hyperlink"/>
            <w:noProof/>
          </w:rPr>
          <w:t>Background</w:t>
        </w:r>
        <w:r w:rsidR="008D0932">
          <w:rPr>
            <w:noProof/>
            <w:webHidden/>
          </w:rPr>
          <w:tab/>
        </w:r>
        <w:r w:rsidR="008D0932">
          <w:rPr>
            <w:noProof/>
            <w:webHidden/>
          </w:rPr>
          <w:fldChar w:fldCharType="begin"/>
        </w:r>
        <w:r w:rsidR="008D0932">
          <w:rPr>
            <w:noProof/>
            <w:webHidden/>
          </w:rPr>
          <w:instrText xml:space="preserve"> PAGEREF _Toc528056000 \h </w:instrText>
        </w:r>
        <w:r w:rsidR="008D0932">
          <w:rPr>
            <w:noProof/>
            <w:webHidden/>
          </w:rPr>
        </w:r>
        <w:r w:rsidR="008D0932">
          <w:rPr>
            <w:noProof/>
            <w:webHidden/>
          </w:rPr>
          <w:fldChar w:fldCharType="separate"/>
        </w:r>
        <w:r w:rsidR="008D0932">
          <w:rPr>
            <w:noProof/>
            <w:webHidden/>
          </w:rPr>
          <w:t>4</w:t>
        </w:r>
        <w:r w:rsidR="008D0932">
          <w:rPr>
            <w:noProof/>
            <w:webHidden/>
          </w:rPr>
          <w:fldChar w:fldCharType="end"/>
        </w:r>
      </w:hyperlink>
    </w:p>
    <w:p w14:paraId="75F0B24B" w14:textId="0592BD09" w:rsidR="008D0932" w:rsidRDefault="005B4845">
      <w:pPr>
        <w:pStyle w:val="TOC2"/>
        <w:tabs>
          <w:tab w:val="left" w:pos="1418"/>
        </w:tabs>
        <w:rPr>
          <w:rFonts w:asciiTheme="minorHAnsi" w:eastAsiaTheme="minorEastAsia" w:hAnsiTheme="minorHAnsi" w:cstheme="minorBidi"/>
          <w:noProof/>
          <w:sz w:val="22"/>
          <w:szCs w:val="22"/>
          <w:lang w:eastAsia="en-AU"/>
        </w:rPr>
      </w:pPr>
      <w:hyperlink w:anchor="_Toc528056001" w:history="1">
        <w:r w:rsidR="008D0932" w:rsidRPr="00EE7769">
          <w:rPr>
            <w:rStyle w:val="Hyperlink"/>
            <w:noProof/>
          </w:rPr>
          <w:t>1.2.</w:t>
        </w:r>
        <w:r w:rsidR="008D0932">
          <w:rPr>
            <w:rFonts w:asciiTheme="minorHAnsi" w:eastAsiaTheme="minorEastAsia" w:hAnsiTheme="minorHAnsi" w:cstheme="minorBidi"/>
            <w:noProof/>
            <w:sz w:val="22"/>
            <w:szCs w:val="22"/>
            <w:lang w:eastAsia="en-AU"/>
          </w:rPr>
          <w:tab/>
        </w:r>
        <w:r w:rsidR="008D0932" w:rsidRPr="00EE7769">
          <w:rPr>
            <w:rStyle w:val="Hyperlink"/>
            <w:noProof/>
          </w:rPr>
          <w:t>Research objectives</w:t>
        </w:r>
        <w:r w:rsidR="008D0932">
          <w:rPr>
            <w:noProof/>
            <w:webHidden/>
          </w:rPr>
          <w:tab/>
        </w:r>
        <w:r w:rsidR="008D0932">
          <w:rPr>
            <w:noProof/>
            <w:webHidden/>
          </w:rPr>
          <w:fldChar w:fldCharType="begin"/>
        </w:r>
        <w:r w:rsidR="008D0932">
          <w:rPr>
            <w:noProof/>
            <w:webHidden/>
          </w:rPr>
          <w:instrText xml:space="preserve"> PAGEREF _Toc528056001 \h </w:instrText>
        </w:r>
        <w:r w:rsidR="008D0932">
          <w:rPr>
            <w:noProof/>
            <w:webHidden/>
          </w:rPr>
        </w:r>
        <w:r w:rsidR="008D0932">
          <w:rPr>
            <w:noProof/>
            <w:webHidden/>
          </w:rPr>
          <w:fldChar w:fldCharType="separate"/>
        </w:r>
        <w:r w:rsidR="008D0932">
          <w:rPr>
            <w:noProof/>
            <w:webHidden/>
          </w:rPr>
          <w:t>4</w:t>
        </w:r>
        <w:r w:rsidR="008D0932">
          <w:rPr>
            <w:noProof/>
            <w:webHidden/>
          </w:rPr>
          <w:fldChar w:fldCharType="end"/>
        </w:r>
      </w:hyperlink>
    </w:p>
    <w:p w14:paraId="2DF4E9D9" w14:textId="0CAF3B1D" w:rsidR="008D0932" w:rsidRDefault="005B4845">
      <w:pPr>
        <w:pStyle w:val="TOC2"/>
        <w:tabs>
          <w:tab w:val="left" w:pos="1418"/>
        </w:tabs>
        <w:rPr>
          <w:rFonts w:asciiTheme="minorHAnsi" w:eastAsiaTheme="minorEastAsia" w:hAnsiTheme="minorHAnsi" w:cstheme="minorBidi"/>
          <w:noProof/>
          <w:sz w:val="22"/>
          <w:szCs w:val="22"/>
          <w:lang w:eastAsia="en-AU"/>
        </w:rPr>
      </w:pPr>
      <w:hyperlink w:anchor="_Toc528056002" w:history="1">
        <w:r w:rsidR="008D0932" w:rsidRPr="00EE7769">
          <w:rPr>
            <w:rStyle w:val="Hyperlink"/>
            <w:noProof/>
          </w:rPr>
          <w:t>1.3.</w:t>
        </w:r>
        <w:r w:rsidR="008D0932">
          <w:rPr>
            <w:rFonts w:asciiTheme="minorHAnsi" w:eastAsiaTheme="minorEastAsia" w:hAnsiTheme="minorHAnsi" w:cstheme="minorBidi"/>
            <w:noProof/>
            <w:sz w:val="22"/>
            <w:szCs w:val="22"/>
            <w:lang w:eastAsia="en-AU"/>
          </w:rPr>
          <w:tab/>
        </w:r>
        <w:r w:rsidR="008D0932" w:rsidRPr="00EE7769">
          <w:rPr>
            <w:rStyle w:val="Hyperlink"/>
            <w:noProof/>
          </w:rPr>
          <w:t>Participating jurisdictions</w:t>
        </w:r>
        <w:r w:rsidR="008D0932">
          <w:rPr>
            <w:noProof/>
            <w:webHidden/>
          </w:rPr>
          <w:tab/>
        </w:r>
        <w:r w:rsidR="008D0932">
          <w:rPr>
            <w:noProof/>
            <w:webHidden/>
          </w:rPr>
          <w:fldChar w:fldCharType="begin"/>
        </w:r>
        <w:r w:rsidR="008D0932">
          <w:rPr>
            <w:noProof/>
            <w:webHidden/>
          </w:rPr>
          <w:instrText xml:space="preserve"> PAGEREF _Toc528056002 \h </w:instrText>
        </w:r>
        <w:r w:rsidR="008D0932">
          <w:rPr>
            <w:noProof/>
            <w:webHidden/>
          </w:rPr>
        </w:r>
        <w:r w:rsidR="008D0932">
          <w:rPr>
            <w:noProof/>
            <w:webHidden/>
          </w:rPr>
          <w:fldChar w:fldCharType="separate"/>
        </w:r>
        <w:r w:rsidR="008D0932">
          <w:rPr>
            <w:noProof/>
            <w:webHidden/>
          </w:rPr>
          <w:t>5</w:t>
        </w:r>
        <w:r w:rsidR="008D0932">
          <w:rPr>
            <w:noProof/>
            <w:webHidden/>
          </w:rPr>
          <w:fldChar w:fldCharType="end"/>
        </w:r>
      </w:hyperlink>
    </w:p>
    <w:p w14:paraId="27BBF463" w14:textId="7A886C45" w:rsidR="008D0932" w:rsidRDefault="005B4845">
      <w:pPr>
        <w:pStyle w:val="TOC2"/>
        <w:tabs>
          <w:tab w:val="left" w:pos="1418"/>
        </w:tabs>
        <w:rPr>
          <w:rFonts w:asciiTheme="minorHAnsi" w:eastAsiaTheme="minorEastAsia" w:hAnsiTheme="minorHAnsi" w:cstheme="minorBidi"/>
          <w:noProof/>
          <w:sz w:val="22"/>
          <w:szCs w:val="22"/>
          <w:lang w:eastAsia="en-AU"/>
        </w:rPr>
      </w:pPr>
      <w:hyperlink w:anchor="_Toc528056003" w:history="1">
        <w:r w:rsidR="008D0932" w:rsidRPr="00EE7769">
          <w:rPr>
            <w:rStyle w:val="Hyperlink"/>
            <w:noProof/>
          </w:rPr>
          <w:t>1.4.</w:t>
        </w:r>
        <w:r w:rsidR="008D0932">
          <w:rPr>
            <w:rFonts w:asciiTheme="minorHAnsi" w:eastAsiaTheme="minorEastAsia" w:hAnsiTheme="minorHAnsi" w:cstheme="minorBidi"/>
            <w:noProof/>
            <w:sz w:val="22"/>
            <w:szCs w:val="22"/>
            <w:lang w:eastAsia="en-AU"/>
          </w:rPr>
          <w:tab/>
        </w:r>
        <w:r w:rsidR="008D0932" w:rsidRPr="00EE7769">
          <w:rPr>
            <w:rStyle w:val="Hyperlink"/>
            <w:noProof/>
          </w:rPr>
          <w:t>Methodology overview</w:t>
        </w:r>
        <w:r w:rsidR="008D0932">
          <w:rPr>
            <w:noProof/>
            <w:webHidden/>
          </w:rPr>
          <w:tab/>
        </w:r>
        <w:r w:rsidR="008D0932">
          <w:rPr>
            <w:noProof/>
            <w:webHidden/>
          </w:rPr>
          <w:fldChar w:fldCharType="begin"/>
        </w:r>
        <w:r w:rsidR="008D0932">
          <w:rPr>
            <w:noProof/>
            <w:webHidden/>
          </w:rPr>
          <w:instrText xml:space="preserve"> PAGEREF _Toc528056003 \h </w:instrText>
        </w:r>
        <w:r w:rsidR="008D0932">
          <w:rPr>
            <w:noProof/>
            <w:webHidden/>
          </w:rPr>
        </w:r>
        <w:r w:rsidR="008D0932">
          <w:rPr>
            <w:noProof/>
            <w:webHidden/>
          </w:rPr>
          <w:fldChar w:fldCharType="separate"/>
        </w:r>
        <w:r w:rsidR="008D0932">
          <w:rPr>
            <w:noProof/>
            <w:webHidden/>
          </w:rPr>
          <w:t>5</w:t>
        </w:r>
        <w:r w:rsidR="008D0932">
          <w:rPr>
            <w:noProof/>
            <w:webHidden/>
          </w:rPr>
          <w:fldChar w:fldCharType="end"/>
        </w:r>
      </w:hyperlink>
    </w:p>
    <w:p w14:paraId="709B4989" w14:textId="04A2890B" w:rsidR="008D0932" w:rsidRDefault="005B4845">
      <w:pPr>
        <w:pStyle w:val="TOC3"/>
        <w:rPr>
          <w:rFonts w:asciiTheme="minorHAnsi" w:eastAsiaTheme="minorEastAsia" w:hAnsiTheme="minorHAnsi" w:cstheme="minorBidi"/>
          <w:sz w:val="22"/>
          <w:szCs w:val="22"/>
          <w:lang w:eastAsia="en-AU"/>
        </w:rPr>
      </w:pPr>
      <w:hyperlink w:anchor="_Toc528056004" w:history="1">
        <w:r w:rsidR="008D0932" w:rsidRPr="00EE7769">
          <w:rPr>
            <w:rStyle w:val="Hyperlink"/>
          </w:rPr>
          <w:t>1.4.1.</w:t>
        </w:r>
        <w:r w:rsidR="008D0932">
          <w:rPr>
            <w:rFonts w:asciiTheme="minorHAnsi" w:eastAsiaTheme="minorEastAsia" w:hAnsiTheme="minorHAnsi" w:cstheme="minorBidi"/>
            <w:sz w:val="22"/>
            <w:szCs w:val="22"/>
            <w:lang w:eastAsia="en-AU"/>
          </w:rPr>
          <w:tab/>
        </w:r>
        <w:r w:rsidR="008D0932" w:rsidRPr="00EE7769">
          <w:rPr>
            <w:rStyle w:val="Hyperlink"/>
          </w:rPr>
          <w:t>Questionnaire</w:t>
        </w:r>
        <w:r w:rsidR="008D0932">
          <w:rPr>
            <w:webHidden/>
          </w:rPr>
          <w:tab/>
        </w:r>
        <w:r w:rsidR="008D0932">
          <w:rPr>
            <w:webHidden/>
          </w:rPr>
          <w:fldChar w:fldCharType="begin"/>
        </w:r>
        <w:r w:rsidR="008D0932">
          <w:rPr>
            <w:webHidden/>
          </w:rPr>
          <w:instrText xml:space="preserve"> PAGEREF _Toc528056004 \h </w:instrText>
        </w:r>
        <w:r w:rsidR="008D0932">
          <w:rPr>
            <w:webHidden/>
          </w:rPr>
        </w:r>
        <w:r w:rsidR="008D0932">
          <w:rPr>
            <w:webHidden/>
          </w:rPr>
          <w:fldChar w:fldCharType="separate"/>
        </w:r>
        <w:r w:rsidR="008D0932">
          <w:rPr>
            <w:webHidden/>
          </w:rPr>
          <w:t>5</w:t>
        </w:r>
        <w:r w:rsidR="008D0932">
          <w:rPr>
            <w:webHidden/>
          </w:rPr>
          <w:fldChar w:fldCharType="end"/>
        </w:r>
      </w:hyperlink>
    </w:p>
    <w:p w14:paraId="1061093B" w14:textId="495D8A40" w:rsidR="008D0932" w:rsidRDefault="005B4845">
      <w:pPr>
        <w:pStyle w:val="TOC3"/>
        <w:rPr>
          <w:rFonts w:asciiTheme="minorHAnsi" w:eastAsiaTheme="minorEastAsia" w:hAnsiTheme="minorHAnsi" w:cstheme="minorBidi"/>
          <w:sz w:val="22"/>
          <w:szCs w:val="22"/>
          <w:lang w:eastAsia="en-AU"/>
        </w:rPr>
      </w:pPr>
      <w:hyperlink w:anchor="_Toc528056005" w:history="1">
        <w:r w:rsidR="008D0932" w:rsidRPr="00EE7769">
          <w:rPr>
            <w:rStyle w:val="Hyperlink"/>
          </w:rPr>
          <w:t>1.4.2.</w:t>
        </w:r>
        <w:r w:rsidR="008D0932">
          <w:rPr>
            <w:rFonts w:asciiTheme="minorHAnsi" w:eastAsiaTheme="minorEastAsia" w:hAnsiTheme="minorHAnsi" w:cstheme="minorBidi"/>
            <w:sz w:val="22"/>
            <w:szCs w:val="22"/>
            <w:lang w:eastAsia="en-AU"/>
          </w:rPr>
          <w:tab/>
        </w:r>
        <w:r w:rsidR="008D0932" w:rsidRPr="00EE7769">
          <w:rPr>
            <w:rStyle w:val="Hyperlink"/>
          </w:rPr>
          <w:t>Sample design and selection</w:t>
        </w:r>
        <w:r w:rsidR="008D0932">
          <w:rPr>
            <w:webHidden/>
          </w:rPr>
          <w:tab/>
        </w:r>
        <w:r w:rsidR="008D0932">
          <w:rPr>
            <w:webHidden/>
          </w:rPr>
          <w:fldChar w:fldCharType="begin"/>
        </w:r>
        <w:r w:rsidR="008D0932">
          <w:rPr>
            <w:webHidden/>
          </w:rPr>
          <w:instrText xml:space="preserve"> PAGEREF _Toc528056005 \h </w:instrText>
        </w:r>
        <w:r w:rsidR="008D0932">
          <w:rPr>
            <w:webHidden/>
          </w:rPr>
        </w:r>
        <w:r w:rsidR="008D0932">
          <w:rPr>
            <w:webHidden/>
          </w:rPr>
          <w:fldChar w:fldCharType="separate"/>
        </w:r>
        <w:r w:rsidR="008D0932">
          <w:rPr>
            <w:webHidden/>
          </w:rPr>
          <w:t>6</w:t>
        </w:r>
        <w:r w:rsidR="008D0932">
          <w:rPr>
            <w:webHidden/>
          </w:rPr>
          <w:fldChar w:fldCharType="end"/>
        </w:r>
      </w:hyperlink>
    </w:p>
    <w:p w14:paraId="75ABC4AB" w14:textId="14F7C564" w:rsidR="008D0932" w:rsidRDefault="005B4845">
      <w:pPr>
        <w:pStyle w:val="TOC3"/>
        <w:rPr>
          <w:rFonts w:asciiTheme="minorHAnsi" w:eastAsiaTheme="minorEastAsia" w:hAnsiTheme="minorHAnsi" w:cstheme="minorBidi"/>
          <w:sz w:val="22"/>
          <w:szCs w:val="22"/>
          <w:lang w:eastAsia="en-AU"/>
        </w:rPr>
      </w:pPr>
      <w:hyperlink w:anchor="_Toc528056006" w:history="1">
        <w:r w:rsidR="008D0932" w:rsidRPr="00EE7769">
          <w:rPr>
            <w:rStyle w:val="Hyperlink"/>
          </w:rPr>
          <w:t>1.4.3.</w:t>
        </w:r>
        <w:r w:rsidR="008D0932">
          <w:rPr>
            <w:rFonts w:asciiTheme="minorHAnsi" w:eastAsiaTheme="minorEastAsia" w:hAnsiTheme="minorHAnsi" w:cstheme="minorBidi"/>
            <w:sz w:val="22"/>
            <w:szCs w:val="22"/>
            <w:lang w:eastAsia="en-AU"/>
          </w:rPr>
          <w:tab/>
        </w:r>
        <w:r w:rsidR="008D0932" w:rsidRPr="00EE7769">
          <w:rPr>
            <w:rStyle w:val="Hyperlink"/>
          </w:rPr>
          <w:t>Data collection</w:t>
        </w:r>
        <w:r w:rsidR="008D0932">
          <w:rPr>
            <w:webHidden/>
          </w:rPr>
          <w:tab/>
        </w:r>
        <w:r w:rsidR="008D0932">
          <w:rPr>
            <w:webHidden/>
          </w:rPr>
          <w:fldChar w:fldCharType="begin"/>
        </w:r>
        <w:r w:rsidR="008D0932">
          <w:rPr>
            <w:webHidden/>
          </w:rPr>
          <w:instrText xml:space="preserve"> PAGEREF _Toc528056006 \h </w:instrText>
        </w:r>
        <w:r w:rsidR="008D0932">
          <w:rPr>
            <w:webHidden/>
          </w:rPr>
        </w:r>
        <w:r w:rsidR="008D0932">
          <w:rPr>
            <w:webHidden/>
          </w:rPr>
          <w:fldChar w:fldCharType="separate"/>
        </w:r>
        <w:r w:rsidR="008D0932">
          <w:rPr>
            <w:webHidden/>
          </w:rPr>
          <w:t>7</w:t>
        </w:r>
        <w:r w:rsidR="008D0932">
          <w:rPr>
            <w:webHidden/>
          </w:rPr>
          <w:fldChar w:fldCharType="end"/>
        </w:r>
      </w:hyperlink>
    </w:p>
    <w:p w14:paraId="59A4C2B7" w14:textId="04FF5BF0" w:rsidR="008D0932" w:rsidRDefault="005B4845">
      <w:pPr>
        <w:pStyle w:val="TOC3"/>
        <w:rPr>
          <w:rFonts w:asciiTheme="minorHAnsi" w:eastAsiaTheme="minorEastAsia" w:hAnsiTheme="minorHAnsi" w:cstheme="minorBidi"/>
          <w:sz w:val="22"/>
          <w:szCs w:val="22"/>
          <w:lang w:eastAsia="en-AU"/>
        </w:rPr>
      </w:pPr>
      <w:hyperlink w:anchor="_Toc528056007" w:history="1">
        <w:r w:rsidR="008D0932" w:rsidRPr="00EE7769">
          <w:rPr>
            <w:rStyle w:val="Hyperlink"/>
          </w:rPr>
          <w:t>1.4.4.</w:t>
        </w:r>
        <w:r w:rsidR="008D0932">
          <w:rPr>
            <w:rFonts w:asciiTheme="minorHAnsi" w:eastAsiaTheme="minorEastAsia" w:hAnsiTheme="minorHAnsi" w:cstheme="minorBidi"/>
            <w:sz w:val="22"/>
            <w:szCs w:val="22"/>
            <w:lang w:eastAsia="en-AU"/>
          </w:rPr>
          <w:tab/>
        </w:r>
        <w:r w:rsidR="008D0932" w:rsidRPr="00EE7769">
          <w:rPr>
            <w:rStyle w:val="Hyperlink"/>
          </w:rPr>
          <w:t>Weighting</w:t>
        </w:r>
        <w:r w:rsidR="008D0932">
          <w:rPr>
            <w:webHidden/>
          </w:rPr>
          <w:tab/>
        </w:r>
        <w:r w:rsidR="008D0932">
          <w:rPr>
            <w:webHidden/>
          </w:rPr>
          <w:fldChar w:fldCharType="begin"/>
        </w:r>
        <w:r w:rsidR="008D0932">
          <w:rPr>
            <w:webHidden/>
          </w:rPr>
          <w:instrText xml:space="preserve"> PAGEREF _Toc528056007 \h </w:instrText>
        </w:r>
        <w:r w:rsidR="008D0932">
          <w:rPr>
            <w:webHidden/>
          </w:rPr>
        </w:r>
        <w:r w:rsidR="008D0932">
          <w:rPr>
            <w:webHidden/>
          </w:rPr>
          <w:fldChar w:fldCharType="separate"/>
        </w:r>
        <w:r w:rsidR="008D0932">
          <w:rPr>
            <w:webHidden/>
          </w:rPr>
          <w:t>7</w:t>
        </w:r>
        <w:r w:rsidR="008D0932">
          <w:rPr>
            <w:webHidden/>
          </w:rPr>
          <w:fldChar w:fldCharType="end"/>
        </w:r>
      </w:hyperlink>
    </w:p>
    <w:p w14:paraId="20CEC438" w14:textId="6CD1F2FD" w:rsidR="008D0932" w:rsidRDefault="005B4845">
      <w:pPr>
        <w:pStyle w:val="TOC3"/>
        <w:rPr>
          <w:rFonts w:asciiTheme="minorHAnsi" w:eastAsiaTheme="minorEastAsia" w:hAnsiTheme="minorHAnsi" w:cstheme="minorBidi"/>
          <w:sz w:val="22"/>
          <w:szCs w:val="22"/>
          <w:lang w:eastAsia="en-AU"/>
        </w:rPr>
      </w:pPr>
      <w:hyperlink w:anchor="_Toc528056008" w:history="1">
        <w:r w:rsidR="008D0932" w:rsidRPr="00EE7769">
          <w:rPr>
            <w:rStyle w:val="Hyperlink"/>
          </w:rPr>
          <w:t>1.4.5.</w:t>
        </w:r>
        <w:r w:rsidR="008D0932">
          <w:rPr>
            <w:rFonts w:asciiTheme="minorHAnsi" w:eastAsiaTheme="minorEastAsia" w:hAnsiTheme="minorHAnsi" w:cstheme="minorBidi"/>
            <w:sz w:val="22"/>
            <w:szCs w:val="22"/>
            <w:lang w:eastAsia="en-AU"/>
          </w:rPr>
          <w:tab/>
        </w:r>
        <w:r w:rsidR="008D0932" w:rsidRPr="00EE7769">
          <w:rPr>
            <w:rStyle w:val="Hyperlink"/>
          </w:rPr>
          <w:t>Quality standards</w:t>
        </w:r>
        <w:r w:rsidR="008D0932">
          <w:rPr>
            <w:webHidden/>
          </w:rPr>
          <w:tab/>
        </w:r>
        <w:r w:rsidR="008D0932">
          <w:rPr>
            <w:webHidden/>
          </w:rPr>
          <w:fldChar w:fldCharType="begin"/>
        </w:r>
        <w:r w:rsidR="008D0932">
          <w:rPr>
            <w:webHidden/>
          </w:rPr>
          <w:instrText xml:space="preserve"> PAGEREF _Toc528056008 \h </w:instrText>
        </w:r>
        <w:r w:rsidR="008D0932">
          <w:rPr>
            <w:webHidden/>
          </w:rPr>
        </w:r>
        <w:r w:rsidR="008D0932">
          <w:rPr>
            <w:webHidden/>
          </w:rPr>
          <w:fldChar w:fldCharType="separate"/>
        </w:r>
        <w:r w:rsidR="008D0932">
          <w:rPr>
            <w:webHidden/>
          </w:rPr>
          <w:t>8</w:t>
        </w:r>
        <w:r w:rsidR="008D0932">
          <w:rPr>
            <w:webHidden/>
          </w:rPr>
          <w:fldChar w:fldCharType="end"/>
        </w:r>
      </w:hyperlink>
    </w:p>
    <w:p w14:paraId="374A54BD" w14:textId="1F1260B8" w:rsidR="008D0932" w:rsidRDefault="005B4845">
      <w:pPr>
        <w:pStyle w:val="TOC2"/>
        <w:tabs>
          <w:tab w:val="left" w:pos="1418"/>
        </w:tabs>
        <w:rPr>
          <w:rFonts w:asciiTheme="minorHAnsi" w:eastAsiaTheme="minorEastAsia" w:hAnsiTheme="minorHAnsi" w:cstheme="minorBidi"/>
          <w:noProof/>
          <w:sz w:val="22"/>
          <w:szCs w:val="22"/>
          <w:lang w:eastAsia="en-AU"/>
        </w:rPr>
      </w:pPr>
      <w:hyperlink w:anchor="_Toc528056009" w:history="1">
        <w:r w:rsidR="008D0932" w:rsidRPr="00EE7769">
          <w:rPr>
            <w:rStyle w:val="Hyperlink"/>
            <w:noProof/>
          </w:rPr>
          <w:t>1.5.</w:t>
        </w:r>
        <w:r w:rsidR="008D0932">
          <w:rPr>
            <w:rFonts w:asciiTheme="minorHAnsi" w:eastAsiaTheme="minorEastAsia" w:hAnsiTheme="minorHAnsi" w:cstheme="minorBidi"/>
            <w:noProof/>
            <w:sz w:val="22"/>
            <w:szCs w:val="22"/>
            <w:lang w:eastAsia="en-AU"/>
          </w:rPr>
          <w:tab/>
        </w:r>
        <w:r w:rsidR="008D0932" w:rsidRPr="00EE7769">
          <w:rPr>
            <w:rStyle w:val="Hyperlink"/>
            <w:noProof/>
          </w:rPr>
          <w:t>About this report</w:t>
        </w:r>
        <w:r w:rsidR="008D0932">
          <w:rPr>
            <w:noProof/>
            <w:webHidden/>
          </w:rPr>
          <w:tab/>
        </w:r>
        <w:r w:rsidR="008D0932">
          <w:rPr>
            <w:noProof/>
            <w:webHidden/>
          </w:rPr>
          <w:fldChar w:fldCharType="begin"/>
        </w:r>
        <w:r w:rsidR="008D0932">
          <w:rPr>
            <w:noProof/>
            <w:webHidden/>
          </w:rPr>
          <w:instrText xml:space="preserve"> PAGEREF _Toc528056009 \h </w:instrText>
        </w:r>
        <w:r w:rsidR="008D0932">
          <w:rPr>
            <w:noProof/>
            <w:webHidden/>
          </w:rPr>
        </w:r>
        <w:r w:rsidR="008D0932">
          <w:rPr>
            <w:noProof/>
            <w:webHidden/>
          </w:rPr>
          <w:fldChar w:fldCharType="separate"/>
        </w:r>
        <w:r w:rsidR="008D0932">
          <w:rPr>
            <w:noProof/>
            <w:webHidden/>
          </w:rPr>
          <w:t>8</w:t>
        </w:r>
        <w:r w:rsidR="008D0932">
          <w:rPr>
            <w:noProof/>
            <w:webHidden/>
          </w:rPr>
          <w:fldChar w:fldCharType="end"/>
        </w:r>
      </w:hyperlink>
    </w:p>
    <w:p w14:paraId="39A19992" w14:textId="53EBD771" w:rsidR="008D0932" w:rsidRDefault="005B4845">
      <w:pPr>
        <w:pStyle w:val="TOC3"/>
        <w:rPr>
          <w:rFonts w:asciiTheme="minorHAnsi" w:eastAsiaTheme="minorEastAsia" w:hAnsiTheme="minorHAnsi" w:cstheme="minorBidi"/>
          <w:sz w:val="22"/>
          <w:szCs w:val="22"/>
          <w:lang w:eastAsia="en-AU"/>
        </w:rPr>
      </w:pPr>
      <w:hyperlink w:anchor="_Toc528056010" w:history="1">
        <w:r w:rsidR="008D0932" w:rsidRPr="00EE7769">
          <w:rPr>
            <w:rStyle w:val="Hyperlink"/>
          </w:rPr>
          <w:t>1.5.1.</w:t>
        </w:r>
        <w:r w:rsidR="008D0932">
          <w:rPr>
            <w:rFonts w:asciiTheme="minorHAnsi" w:eastAsiaTheme="minorEastAsia" w:hAnsiTheme="minorHAnsi" w:cstheme="minorBidi"/>
            <w:sz w:val="22"/>
            <w:szCs w:val="22"/>
            <w:lang w:eastAsia="en-AU"/>
          </w:rPr>
          <w:tab/>
        </w:r>
        <w:r w:rsidR="008D0932" w:rsidRPr="00EE7769">
          <w:rPr>
            <w:rStyle w:val="Hyperlink"/>
          </w:rPr>
          <w:t>Time series analysis</w:t>
        </w:r>
        <w:r w:rsidR="008D0932">
          <w:rPr>
            <w:webHidden/>
          </w:rPr>
          <w:tab/>
        </w:r>
        <w:r w:rsidR="008D0932">
          <w:rPr>
            <w:webHidden/>
          </w:rPr>
          <w:fldChar w:fldCharType="begin"/>
        </w:r>
        <w:r w:rsidR="008D0932">
          <w:rPr>
            <w:webHidden/>
          </w:rPr>
          <w:instrText xml:space="preserve"> PAGEREF _Toc528056010 \h </w:instrText>
        </w:r>
        <w:r w:rsidR="008D0932">
          <w:rPr>
            <w:webHidden/>
          </w:rPr>
        </w:r>
        <w:r w:rsidR="008D0932">
          <w:rPr>
            <w:webHidden/>
          </w:rPr>
          <w:fldChar w:fldCharType="separate"/>
        </w:r>
        <w:r w:rsidR="008D0932">
          <w:rPr>
            <w:webHidden/>
          </w:rPr>
          <w:t>8</w:t>
        </w:r>
        <w:r w:rsidR="008D0932">
          <w:rPr>
            <w:webHidden/>
          </w:rPr>
          <w:fldChar w:fldCharType="end"/>
        </w:r>
      </w:hyperlink>
    </w:p>
    <w:p w14:paraId="078D57C0" w14:textId="1991512B" w:rsidR="008D0932" w:rsidRDefault="005B4845">
      <w:pPr>
        <w:pStyle w:val="TOC3"/>
        <w:rPr>
          <w:rFonts w:asciiTheme="minorHAnsi" w:eastAsiaTheme="minorEastAsia" w:hAnsiTheme="minorHAnsi" w:cstheme="minorBidi"/>
          <w:sz w:val="22"/>
          <w:szCs w:val="22"/>
          <w:lang w:eastAsia="en-AU"/>
        </w:rPr>
      </w:pPr>
      <w:hyperlink w:anchor="_Toc528056011" w:history="1">
        <w:r w:rsidR="008D0932" w:rsidRPr="00EE7769">
          <w:rPr>
            <w:rStyle w:val="Hyperlink"/>
          </w:rPr>
          <w:t>1.5.2.</w:t>
        </w:r>
        <w:r w:rsidR="008D0932">
          <w:rPr>
            <w:rFonts w:asciiTheme="minorHAnsi" w:eastAsiaTheme="minorEastAsia" w:hAnsiTheme="minorHAnsi" w:cstheme="minorBidi"/>
            <w:sz w:val="22"/>
            <w:szCs w:val="22"/>
            <w:lang w:eastAsia="en-AU"/>
          </w:rPr>
          <w:tab/>
        </w:r>
        <w:r w:rsidR="008D0932" w:rsidRPr="00EE7769">
          <w:rPr>
            <w:rStyle w:val="Hyperlink"/>
          </w:rPr>
          <w:t>Sub-group analysis</w:t>
        </w:r>
        <w:r w:rsidR="008D0932">
          <w:rPr>
            <w:webHidden/>
          </w:rPr>
          <w:tab/>
        </w:r>
        <w:r w:rsidR="008D0932">
          <w:rPr>
            <w:webHidden/>
          </w:rPr>
          <w:fldChar w:fldCharType="begin"/>
        </w:r>
        <w:r w:rsidR="008D0932">
          <w:rPr>
            <w:webHidden/>
          </w:rPr>
          <w:instrText xml:space="preserve"> PAGEREF _Toc528056011 \h </w:instrText>
        </w:r>
        <w:r w:rsidR="008D0932">
          <w:rPr>
            <w:webHidden/>
          </w:rPr>
        </w:r>
        <w:r w:rsidR="008D0932">
          <w:rPr>
            <w:webHidden/>
          </w:rPr>
          <w:fldChar w:fldCharType="separate"/>
        </w:r>
        <w:r w:rsidR="008D0932">
          <w:rPr>
            <w:webHidden/>
          </w:rPr>
          <w:t>8</w:t>
        </w:r>
        <w:r w:rsidR="008D0932">
          <w:rPr>
            <w:webHidden/>
          </w:rPr>
          <w:fldChar w:fldCharType="end"/>
        </w:r>
      </w:hyperlink>
    </w:p>
    <w:p w14:paraId="546C0ED4" w14:textId="3AFCDA24" w:rsidR="008D0932" w:rsidRDefault="005B4845">
      <w:pPr>
        <w:pStyle w:val="TOC3"/>
        <w:rPr>
          <w:rFonts w:asciiTheme="minorHAnsi" w:eastAsiaTheme="minorEastAsia" w:hAnsiTheme="minorHAnsi" w:cstheme="minorBidi"/>
          <w:sz w:val="22"/>
          <w:szCs w:val="22"/>
          <w:lang w:eastAsia="en-AU"/>
        </w:rPr>
      </w:pPr>
      <w:hyperlink w:anchor="_Toc528056012" w:history="1">
        <w:r w:rsidR="008D0932" w:rsidRPr="00EE7769">
          <w:rPr>
            <w:rStyle w:val="Hyperlink"/>
          </w:rPr>
          <w:t>1.5.3.</w:t>
        </w:r>
        <w:r w:rsidR="008D0932">
          <w:rPr>
            <w:rFonts w:asciiTheme="minorHAnsi" w:eastAsiaTheme="minorEastAsia" w:hAnsiTheme="minorHAnsi" w:cstheme="minorBidi"/>
            <w:sz w:val="22"/>
            <w:szCs w:val="22"/>
            <w:lang w:eastAsia="en-AU"/>
          </w:rPr>
          <w:tab/>
        </w:r>
        <w:r w:rsidR="008D0932" w:rsidRPr="00EE7769">
          <w:rPr>
            <w:rStyle w:val="Hyperlink"/>
          </w:rPr>
          <w:t>Responses of ‘Prefer not to say’ and ‘Don’t know’</w:t>
        </w:r>
        <w:r w:rsidR="008D0932">
          <w:rPr>
            <w:webHidden/>
          </w:rPr>
          <w:tab/>
        </w:r>
        <w:r w:rsidR="008D0932">
          <w:rPr>
            <w:webHidden/>
          </w:rPr>
          <w:fldChar w:fldCharType="begin"/>
        </w:r>
        <w:r w:rsidR="008D0932">
          <w:rPr>
            <w:webHidden/>
          </w:rPr>
          <w:instrText xml:space="preserve"> PAGEREF _Toc528056012 \h </w:instrText>
        </w:r>
        <w:r w:rsidR="008D0932">
          <w:rPr>
            <w:webHidden/>
          </w:rPr>
        </w:r>
        <w:r w:rsidR="008D0932">
          <w:rPr>
            <w:webHidden/>
          </w:rPr>
          <w:fldChar w:fldCharType="separate"/>
        </w:r>
        <w:r w:rsidR="008D0932">
          <w:rPr>
            <w:webHidden/>
          </w:rPr>
          <w:t>9</w:t>
        </w:r>
        <w:r w:rsidR="008D0932">
          <w:rPr>
            <w:webHidden/>
          </w:rPr>
          <w:fldChar w:fldCharType="end"/>
        </w:r>
      </w:hyperlink>
    </w:p>
    <w:p w14:paraId="5081D00E" w14:textId="28F0793C" w:rsidR="008D0932" w:rsidRDefault="005B4845">
      <w:pPr>
        <w:pStyle w:val="TOC3"/>
        <w:rPr>
          <w:rFonts w:asciiTheme="minorHAnsi" w:eastAsiaTheme="minorEastAsia" w:hAnsiTheme="minorHAnsi" w:cstheme="minorBidi"/>
          <w:sz w:val="22"/>
          <w:szCs w:val="22"/>
          <w:lang w:eastAsia="en-AU"/>
        </w:rPr>
      </w:pPr>
      <w:hyperlink w:anchor="_Toc528056013" w:history="1">
        <w:r w:rsidR="008D0932" w:rsidRPr="00EE7769">
          <w:rPr>
            <w:rStyle w:val="Hyperlink"/>
          </w:rPr>
          <w:t>1.5.4.</w:t>
        </w:r>
        <w:r w:rsidR="008D0932">
          <w:rPr>
            <w:rFonts w:asciiTheme="minorHAnsi" w:eastAsiaTheme="minorEastAsia" w:hAnsiTheme="minorHAnsi" w:cstheme="minorBidi"/>
            <w:sz w:val="22"/>
            <w:szCs w:val="22"/>
            <w:lang w:eastAsia="en-AU"/>
          </w:rPr>
          <w:tab/>
        </w:r>
        <w:r w:rsidR="008D0932" w:rsidRPr="00EE7769">
          <w:rPr>
            <w:rStyle w:val="Hyperlink"/>
          </w:rPr>
          <w:t>Significance testing</w:t>
        </w:r>
        <w:r w:rsidR="008D0932">
          <w:rPr>
            <w:webHidden/>
          </w:rPr>
          <w:tab/>
        </w:r>
        <w:r w:rsidR="008D0932">
          <w:rPr>
            <w:webHidden/>
          </w:rPr>
          <w:fldChar w:fldCharType="begin"/>
        </w:r>
        <w:r w:rsidR="008D0932">
          <w:rPr>
            <w:webHidden/>
          </w:rPr>
          <w:instrText xml:space="preserve"> PAGEREF _Toc528056013 \h </w:instrText>
        </w:r>
        <w:r w:rsidR="008D0932">
          <w:rPr>
            <w:webHidden/>
          </w:rPr>
        </w:r>
        <w:r w:rsidR="008D0932">
          <w:rPr>
            <w:webHidden/>
          </w:rPr>
          <w:fldChar w:fldCharType="separate"/>
        </w:r>
        <w:r w:rsidR="008D0932">
          <w:rPr>
            <w:webHidden/>
          </w:rPr>
          <w:t>9</w:t>
        </w:r>
        <w:r w:rsidR="008D0932">
          <w:rPr>
            <w:webHidden/>
          </w:rPr>
          <w:fldChar w:fldCharType="end"/>
        </w:r>
      </w:hyperlink>
    </w:p>
    <w:p w14:paraId="1F17784A" w14:textId="54A4CF24" w:rsidR="008D0932" w:rsidRDefault="005B4845" w:rsidP="008D0932">
      <w:pPr>
        <w:pStyle w:val="TOC1"/>
        <w:rPr>
          <w:rFonts w:asciiTheme="minorHAnsi" w:eastAsiaTheme="minorEastAsia" w:hAnsiTheme="minorHAnsi" w:cstheme="minorBidi"/>
          <w:sz w:val="22"/>
          <w:szCs w:val="22"/>
          <w:lang w:eastAsia="en-AU"/>
        </w:rPr>
      </w:pPr>
      <w:hyperlink w:anchor="_Toc528056014" w:history="1">
        <w:r w:rsidR="008D0932" w:rsidRPr="00EE7769">
          <w:rPr>
            <w:rStyle w:val="Hyperlink"/>
          </w:rPr>
          <w:t>2.</w:t>
        </w:r>
        <w:r w:rsidR="008D0932">
          <w:rPr>
            <w:rFonts w:asciiTheme="minorHAnsi" w:eastAsiaTheme="minorEastAsia" w:hAnsiTheme="minorHAnsi" w:cstheme="minorBidi"/>
            <w:sz w:val="22"/>
            <w:szCs w:val="22"/>
            <w:lang w:eastAsia="en-AU"/>
          </w:rPr>
          <w:tab/>
        </w:r>
        <w:r w:rsidR="008D0932" w:rsidRPr="00EE7769">
          <w:rPr>
            <w:rStyle w:val="Hyperlink"/>
          </w:rPr>
          <w:t>Sample Characteristics</w:t>
        </w:r>
        <w:r w:rsidR="008D0932">
          <w:rPr>
            <w:webHidden/>
          </w:rPr>
          <w:tab/>
        </w:r>
        <w:r w:rsidR="008D0932">
          <w:rPr>
            <w:webHidden/>
          </w:rPr>
          <w:fldChar w:fldCharType="begin"/>
        </w:r>
        <w:r w:rsidR="008D0932">
          <w:rPr>
            <w:webHidden/>
          </w:rPr>
          <w:instrText xml:space="preserve"> PAGEREF _Toc528056014 \h </w:instrText>
        </w:r>
        <w:r w:rsidR="008D0932">
          <w:rPr>
            <w:webHidden/>
          </w:rPr>
        </w:r>
        <w:r w:rsidR="008D0932">
          <w:rPr>
            <w:webHidden/>
          </w:rPr>
          <w:fldChar w:fldCharType="separate"/>
        </w:r>
        <w:r w:rsidR="008D0932">
          <w:rPr>
            <w:webHidden/>
          </w:rPr>
          <w:t>10</w:t>
        </w:r>
        <w:r w:rsidR="008D0932">
          <w:rPr>
            <w:webHidden/>
          </w:rPr>
          <w:fldChar w:fldCharType="end"/>
        </w:r>
      </w:hyperlink>
    </w:p>
    <w:p w14:paraId="626E6222" w14:textId="3CBD5FE8" w:rsidR="008D0932" w:rsidRDefault="005B4845">
      <w:pPr>
        <w:pStyle w:val="TOC2"/>
        <w:tabs>
          <w:tab w:val="left" w:pos="1418"/>
        </w:tabs>
        <w:rPr>
          <w:rFonts w:asciiTheme="minorHAnsi" w:eastAsiaTheme="minorEastAsia" w:hAnsiTheme="minorHAnsi" w:cstheme="minorBidi"/>
          <w:noProof/>
          <w:sz w:val="22"/>
          <w:szCs w:val="22"/>
          <w:lang w:eastAsia="en-AU"/>
        </w:rPr>
      </w:pPr>
      <w:hyperlink w:anchor="_Toc528056015" w:history="1">
        <w:r w:rsidR="008D0932" w:rsidRPr="00EE7769">
          <w:rPr>
            <w:rStyle w:val="Hyperlink"/>
            <w:noProof/>
          </w:rPr>
          <w:t>2.1.</w:t>
        </w:r>
        <w:r w:rsidR="008D0932">
          <w:rPr>
            <w:rFonts w:asciiTheme="minorHAnsi" w:eastAsiaTheme="minorEastAsia" w:hAnsiTheme="minorHAnsi" w:cstheme="minorBidi"/>
            <w:noProof/>
            <w:sz w:val="22"/>
            <w:szCs w:val="22"/>
            <w:lang w:eastAsia="en-AU"/>
          </w:rPr>
          <w:tab/>
        </w:r>
        <w:r w:rsidR="008D0932" w:rsidRPr="00EE7769">
          <w:rPr>
            <w:rStyle w:val="Hyperlink"/>
            <w:noProof/>
          </w:rPr>
          <w:t>Notable differences in the 2018 sample</w:t>
        </w:r>
        <w:r w:rsidR="008D0932">
          <w:rPr>
            <w:noProof/>
            <w:webHidden/>
          </w:rPr>
          <w:tab/>
        </w:r>
        <w:r w:rsidR="008D0932">
          <w:rPr>
            <w:noProof/>
            <w:webHidden/>
          </w:rPr>
          <w:fldChar w:fldCharType="begin"/>
        </w:r>
        <w:r w:rsidR="008D0932">
          <w:rPr>
            <w:noProof/>
            <w:webHidden/>
          </w:rPr>
          <w:instrText xml:space="preserve"> PAGEREF _Toc528056015 \h </w:instrText>
        </w:r>
        <w:r w:rsidR="008D0932">
          <w:rPr>
            <w:noProof/>
            <w:webHidden/>
          </w:rPr>
        </w:r>
        <w:r w:rsidR="008D0932">
          <w:rPr>
            <w:noProof/>
            <w:webHidden/>
          </w:rPr>
          <w:fldChar w:fldCharType="separate"/>
        </w:r>
        <w:r w:rsidR="008D0932">
          <w:rPr>
            <w:noProof/>
            <w:webHidden/>
          </w:rPr>
          <w:t>11</w:t>
        </w:r>
        <w:r w:rsidR="008D0932">
          <w:rPr>
            <w:noProof/>
            <w:webHidden/>
          </w:rPr>
          <w:fldChar w:fldCharType="end"/>
        </w:r>
      </w:hyperlink>
    </w:p>
    <w:p w14:paraId="3FB7957B" w14:textId="372C8882" w:rsidR="008D0932" w:rsidRDefault="005B4845">
      <w:pPr>
        <w:pStyle w:val="TOC2"/>
        <w:tabs>
          <w:tab w:val="left" w:pos="1418"/>
        </w:tabs>
        <w:rPr>
          <w:rFonts w:asciiTheme="minorHAnsi" w:eastAsiaTheme="minorEastAsia" w:hAnsiTheme="minorHAnsi" w:cstheme="minorBidi"/>
          <w:noProof/>
          <w:sz w:val="22"/>
          <w:szCs w:val="22"/>
          <w:lang w:eastAsia="en-AU"/>
        </w:rPr>
      </w:pPr>
      <w:hyperlink w:anchor="_Toc528056016" w:history="1">
        <w:r w:rsidR="008D0932" w:rsidRPr="00EE7769">
          <w:rPr>
            <w:rStyle w:val="Hyperlink"/>
            <w:noProof/>
          </w:rPr>
          <w:t>2.2.</w:t>
        </w:r>
        <w:r w:rsidR="008D0932">
          <w:rPr>
            <w:rFonts w:asciiTheme="minorHAnsi" w:eastAsiaTheme="minorEastAsia" w:hAnsiTheme="minorHAnsi" w:cstheme="minorBidi"/>
            <w:noProof/>
            <w:sz w:val="22"/>
            <w:szCs w:val="22"/>
            <w:lang w:eastAsia="en-AU"/>
          </w:rPr>
          <w:tab/>
        </w:r>
        <w:r w:rsidR="008D0932" w:rsidRPr="00EE7769">
          <w:rPr>
            <w:rStyle w:val="Hyperlink"/>
            <w:noProof/>
          </w:rPr>
          <w:t>Injury/illness type by jurisdiction</w:t>
        </w:r>
        <w:r w:rsidR="008D0932">
          <w:rPr>
            <w:noProof/>
            <w:webHidden/>
          </w:rPr>
          <w:tab/>
        </w:r>
        <w:r w:rsidR="008D0932">
          <w:rPr>
            <w:noProof/>
            <w:webHidden/>
          </w:rPr>
          <w:fldChar w:fldCharType="begin"/>
        </w:r>
        <w:r w:rsidR="008D0932">
          <w:rPr>
            <w:noProof/>
            <w:webHidden/>
          </w:rPr>
          <w:instrText xml:space="preserve"> PAGEREF _Toc528056016 \h </w:instrText>
        </w:r>
        <w:r w:rsidR="008D0932">
          <w:rPr>
            <w:noProof/>
            <w:webHidden/>
          </w:rPr>
        </w:r>
        <w:r w:rsidR="008D0932">
          <w:rPr>
            <w:noProof/>
            <w:webHidden/>
          </w:rPr>
          <w:fldChar w:fldCharType="separate"/>
        </w:r>
        <w:r w:rsidR="008D0932">
          <w:rPr>
            <w:noProof/>
            <w:webHidden/>
          </w:rPr>
          <w:t>12</w:t>
        </w:r>
        <w:r w:rsidR="008D0932">
          <w:rPr>
            <w:noProof/>
            <w:webHidden/>
          </w:rPr>
          <w:fldChar w:fldCharType="end"/>
        </w:r>
      </w:hyperlink>
    </w:p>
    <w:p w14:paraId="00EE7571" w14:textId="3C597F97" w:rsidR="008D0932" w:rsidRDefault="005B4845" w:rsidP="008D0932">
      <w:pPr>
        <w:pStyle w:val="TOC1"/>
        <w:rPr>
          <w:rFonts w:asciiTheme="minorHAnsi" w:eastAsiaTheme="minorEastAsia" w:hAnsiTheme="minorHAnsi" w:cstheme="minorBidi"/>
          <w:sz w:val="22"/>
          <w:szCs w:val="22"/>
          <w:lang w:eastAsia="en-AU"/>
        </w:rPr>
      </w:pPr>
      <w:hyperlink w:anchor="_Toc528056017" w:history="1">
        <w:r w:rsidR="008D0932" w:rsidRPr="00EE7769">
          <w:rPr>
            <w:rStyle w:val="Hyperlink"/>
          </w:rPr>
          <w:t>3.</w:t>
        </w:r>
        <w:r w:rsidR="008D0932">
          <w:rPr>
            <w:rFonts w:asciiTheme="minorHAnsi" w:eastAsiaTheme="minorEastAsia" w:hAnsiTheme="minorHAnsi" w:cstheme="minorBidi"/>
            <w:sz w:val="22"/>
            <w:szCs w:val="22"/>
            <w:lang w:eastAsia="en-AU"/>
          </w:rPr>
          <w:tab/>
        </w:r>
        <w:r w:rsidR="008D0932" w:rsidRPr="00EE7769">
          <w:rPr>
            <w:rStyle w:val="Hyperlink"/>
          </w:rPr>
          <w:t>Return to Work Measures</w:t>
        </w:r>
        <w:r w:rsidR="008D0932">
          <w:rPr>
            <w:webHidden/>
          </w:rPr>
          <w:tab/>
        </w:r>
        <w:r w:rsidR="008D0932">
          <w:rPr>
            <w:webHidden/>
          </w:rPr>
          <w:fldChar w:fldCharType="begin"/>
        </w:r>
        <w:r w:rsidR="008D0932">
          <w:rPr>
            <w:webHidden/>
          </w:rPr>
          <w:instrText xml:space="preserve"> PAGEREF _Toc528056017 \h </w:instrText>
        </w:r>
        <w:r w:rsidR="008D0932">
          <w:rPr>
            <w:webHidden/>
          </w:rPr>
        </w:r>
        <w:r w:rsidR="008D0932">
          <w:rPr>
            <w:webHidden/>
          </w:rPr>
          <w:fldChar w:fldCharType="separate"/>
        </w:r>
        <w:r w:rsidR="008D0932">
          <w:rPr>
            <w:webHidden/>
          </w:rPr>
          <w:t>13</w:t>
        </w:r>
        <w:r w:rsidR="008D0932">
          <w:rPr>
            <w:webHidden/>
          </w:rPr>
          <w:fldChar w:fldCharType="end"/>
        </w:r>
      </w:hyperlink>
    </w:p>
    <w:p w14:paraId="571C16CA" w14:textId="36E37640" w:rsidR="008D0932" w:rsidRDefault="005B4845">
      <w:pPr>
        <w:pStyle w:val="TOC2"/>
        <w:tabs>
          <w:tab w:val="left" w:pos="1418"/>
        </w:tabs>
        <w:rPr>
          <w:rFonts w:asciiTheme="minorHAnsi" w:eastAsiaTheme="minorEastAsia" w:hAnsiTheme="minorHAnsi" w:cstheme="minorBidi"/>
          <w:noProof/>
          <w:sz w:val="22"/>
          <w:szCs w:val="22"/>
          <w:lang w:eastAsia="en-AU"/>
        </w:rPr>
      </w:pPr>
      <w:hyperlink w:anchor="_Toc528056018" w:history="1">
        <w:r w:rsidR="008D0932" w:rsidRPr="00EE7769">
          <w:rPr>
            <w:rStyle w:val="Hyperlink"/>
            <w:noProof/>
          </w:rPr>
          <w:t>3.1.</w:t>
        </w:r>
        <w:r w:rsidR="008D0932">
          <w:rPr>
            <w:rFonts w:asciiTheme="minorHAnsi" w:eastAsiaTheme="minorEastAsia" w:hAnsiTheme="minorHAnsi" w:cstheme="minorBidi"/>
            <w:noProof/>
            <w:sz w:val="22"/>
            <w:szCs w:val="22"/>
            <w:lang w:eastAsia="en-AU"/>
          </w:rPr>
          <w:tab/>
        </w:r>
        <w:r w:rsidR="008D0932" w:rsidRPr="00EE7769">
          <w:rPr>
            <w:rStyle w:val="Hyperlink"/>
            <w:noProof/>
          </w:rPr>
          <w:t>Return to Work Headline Measures</w:t>
        </w:r>
        <w:r w:rsidR="008D0932">
          <w:rPr>
            <w:noProof/>
            <w:webHidden/>
          </w:rPr>
          <w:tab/>
        </w:r>
        <w:r w:rsidR="008D0932">
          <w:rPr>
            <w:noProof/>
            <w:webHidden/>
          </w:rPr>
          <w:fldChar w:fldCharType="begin"/>
        </w:r>
        <w:r w:rsidR="008D0932">
          <w:rPr>
            <w:noProof/>
            <w:webHidden/>
          </w:rPr>
          <w:instrText xml:space="preserve"> PAGEREF _Toc528056018 \h </w:instrText>
        </w:r>
        <w:r w:rsidR="008D0932">
          <w:rPr>
            <w:noProof/>
            <w:webHidden/>
          </w:rPr>
        </w:r>
        <w:r w:rsidR="008D0932">
          <w:rPr>
            <w:noProof/>
            <w:webHidden/>
          </w:rPr>
          <w:fldChar w:fldCharType="separate"/>
        </w:r>
        <w:r w:rsidR="008D0932">
          <w:rPr>
            <w:noProof/>
            <w:webHidden/>
          </w:rPr>
          <w:t>13</w:t>
        </w:r>
        <w:r w:rsidR="008D0932">
          <w:rPr>
            <w:noProof/>
            <w:webHidden/>
          </w:rPr>
          <w:fldChar w:fldCharType="end"/>
        </w:r>
      </w:hyperlink>
    </w:p>
    <w:p w14:paraId="6BA319B3" w14:textId="1DCE491F" w:rsidR="008D0932" w:rsidRDefault="005B4845">
      <w:pPr>
        <w:pStyle w:val="TOC3"/>
        <w:rPr>
          <w:rFonts w:asciiTheme="minorHAnsi" w:eastAsiaTheme="minorEastAsia" w:hAnsiTheme="minorHAnsi" w:cstheme="minorBidi"/>
          <w:sz w:val="22"/>
          <w:szCs w:val="22"/>
          <w:lang w:eastAsia="en-AU"/>
        </w:rPr>
      </w:pPr>
      <w:hyperlink w:anchor="_Toc528056019" w:history="1">
        <w:r w:rsidR="008D0932" w:rsidRPr="00EE7769">
          <w:rPr>
            <w:rStyle w:val="Hyperlink"/>
          </w:rPr>
          <w:t>3.1.1.</w:t>
        </w:r>
        <w:r w:rsidR="008D0932">
          <w:rPr>
            <w:rFonts w:asciiTheme="minorHAnsi" w:eastAsiaTheme="minorEastAsia" w:hAnsiTheme="minorHAnsi" w:cstheme="minorBidi"/>
            <w:sz w:val="22"/>
            <w:szCs w:val="22"/>
            <w:lang w:eastAsia="en-AU"/>
          </w:rPr>
          <w:tab/>
        </w:r>
        <w:r w:rsidR="008D0932" w:rsidRPr="00EE7769">
          <w:rPr>
            <w:rStyle w:val="Hyperlink"/>
          </w:rPr>
          <w:t>Return to work headline measures – total</w:t>
        </w:r>
        <w:r w:rsidR="008D0932">
          <w:rPr>
            <w:webHidden/>
          </w:rPr>
          <w:tab/>
        </w:r>
        <w:r w:rsidR="008D0932">
          <w:rPr>
            <w:webHidden/>
          </w:rPr>
          <w:fldChar w:fldCharType="begin"/>
        </w:r>
        <w:r w:rsidR="008D0932">
          <w:rPr>
            <w:webHidden/>
          </w:rPr>
          <w:instrText xml:space="preserve"> PAGEREF _Toc528056019 \h </w:instrText>
        </w:r>
        <w:r w:rsidR="008D0932">
          <w:rPr>
            <w:webHidden/>
          </w:rPr>
        </w:r>
        <w:r w:rsidR="008D0932">
          <w:rPr>
            <w:webHidden/>
          </w:rPr>
          <w:fldChar w:fldCharType="separate"/>
        </w:r>
        <w:r w:rsidR="008D0932">
          <w:rPr>
            <w:webHidden/>
          </w:rPr>
          <w:t>13</w:t>
        </w:r>
        <w:r w:rsidR="008D0932">
          <w:rPr>
            <w:webHidden/>
          </w:rPr>
          <w:fldChar w:fldCharType="end"/>
        </w:r>
      </w:hyperlink>
    </w:p>
    <w:p w14:paraId="6B1DD6EB" w14:textId="080EB4E1" w:rsidR="008D0932" w:rsidRDefault="005B4845">
      <w:pPr>
        <w:pStyle w:val="TOC3"/>
        <w:rPr>
          <w:rFonts w:asciiTheme="minorHAnsi" w:eastAsiaTheme="minorEastAsia" w:hAnsiTheme="minorHAnsi" w:cstheme="minorBidi"/>
          <w:sz w:val="22"/>
          <w:szCs w:val="22"/>
          <w:lang w:eastAsia="en-AU"/>
        </w:rPr>
      </w:pPr>
      <w:hyperlink w:anchor="_Toc528056020" w:history="1">
        <w:r w:rsidR="008D0932" w:rsidRPr="00EE7769">
          <w:rPr>
            <w:rStyle w:val="Hyperlink"/>
          </w:rPr>
          <w:t>3.1.2.</w:t>
        </w:r>
        <w:r w:rsidR="008D0932">
          <w:rPr>
            <w:rFonts w:asciiTheme="minorHAnsi" w:eastAsiaTheme="minorEastAsia" w:hAnsiTheme="minorHAnsi" w:cstheme="minorBidi"/>
            <w:sz w:val="22"/>
            <w:szCs w:val="22"/>
            <w:lang w:eastAsia="en-AU"/>
          </w:rPr>
          <w:tab/>
        </w:r>
        <w:r w:rsidR="008D0932" w:rsidRPr="00EE7769">
          <w:rPr>
            <w:rStyle w:val="Hyperlink"/>
          </w:rPr>
          <w:t>Return to Work headline measures – historic</w:t>
        </w:r>
        <w:r w:rsidR="008D0932">
          <w:rPr>
            <w:webHidden/>
          </w:rPr>
          <w:tab/>
        </w:r>
        <w:r w:rsidR="008D0932">
          <w:rPr>
            <w:webHidden/>
          </w:rPr>
          <w:fldChar w:fldCharType="begin"/>
        </w:r>
        <w:r w:rsidR="008D0932">
          <w:rPr>
            <w:webHidden/>
          </w:rPr>
          <w:instrText xml:space="preserve"> PAGEREF _Toc528056020 \h </w:instrText>
        </w:r>
        <w:r w:rsidR="008D0932">
          <w:rPr>
            <w:webHidden/>
          </w:rPr>
        </w:r>
        <w:r w:rsidR="008D0932">
          <w:rPr>
            <w:webHidden/>
          </w:rPr>
          <w:fldChar w:fldCharType="separate"/>
        </w:r>
        <w:r w:rsidR="008D0932">
          <w:rPr>
            <w:webHidden/>
          </w:rPr>
          <w:t>16</w:t>
        </w:r>
        <w:r w:rsidR="008D0932">
          <w:rPr>
            <w:webHidden/>
          </w:rPr>
          <w:fldChar w:fldCharType="end"/>
        </w:r>
      </w:hyperlink>
    </w:p>
    <w:p w14:paraId="72CAEEFA" w14:textId="0F460E43" w:rsidR="008D0932" w:rsidRDefault="005B4845">
      <w:pPr>
        <w:pStyle w:val="TOC2"/>
        <w:tabs>
          <w:tab w:val="left" w:pos="1418"/>
        </w:tabs>
        <w:rPr>
          <w:rFonts w:asciiTheme="minorHAnsi" w:eastAsiaTheme="minorEastAsia" w:hAnsiTheme="minorHAnsi" w:cstheme="minorBidi"/>
          <w:noProof/>
          <w:sz w:val="22"/>
          <w:szCs w:val="22"/>
          <w:lang w:eastAsia="en-AU"/>
        </w:rPr>
      </w:pPr>
      <w:hyperlink w:anchor="_Toc528056021" w:history="1">
        <w:r w:rsidR="008D0932" w:rsidRPr="00EE7769">
          <w:rPr>
            <w:rStyle w:val="Hyperlink"/>
            <w:noProof/>
          </w:rPr>
          <w:t>3.2.</w:t>
        </w:r>
        <w:r w:rsidR="008D0932">
          <w:rPr>
            <w:rFonts w:asciiTheme="minorHAnsi" w:eastAsiaTheme="minorEastAsia" w:hAnsiTheme="minorHAnsi" w:cstheme="minorBidi"/>
            <w:noProof/>
            <w:sz w:val="22"/>
            <w:szCs w:val="22"/>
            <w:lang w:eastAsia="en-AU"/>
          </w:rPr>
          <w:tab/>
        </w:r>
        <w:r w:rsidR="008D0932" w:rsidRPr="00EE7769">
          <w:rPr>
            <w:rStyle w:val="Hyperlink"/>
            <w:noProof/>
          </w:rPr>
          <w:t>Return to work attempts</w:t>
        </w:r>
        <w:r w:rsidR="008D0932">
          <w:rPr>
            <w:noProof/>
            <w:webHidden/>
          </w:rPr>
          <w:tab/>
        </w:r>
        <w:r w:rsidR="008D0932">
          <w:rPr>
            <w:noProof/>
            <w:webHidden/>
          </w:rPr>
          <w:fldChar w:fldCharType="begin"/>
        </w:r>
        <w:r w:rsidR="008D0932">
          <w:rPr>
            <w:noProof/>
            <w:webHidden/>
          </w:rPr>
          <w:instrText xml:space="preserve"> PAGEREF _Toc528056021 \h </w:instrText>
        </w:r>
        <w:r w:rsidR="008D0932">
          <w:rPr>
            <w:noProof/>
            <w:webHidden/>
          </w:rPr>
        </w:r>
        <w:r w:rsidR="008D0932">
          <w:rPr>
            <w:noProof/>
            <w:webHidden/>
          </w:rPr>
          <w:fldChar w:fldCharType="separate"/>
        </w:r>
        <w:r w:rsidR="008D0932">
          <w:rPr>
            <w:noProof/>
            <w:webHidden/>
          </w:rPr>
          <w:t>18</w:t>
        </w:r>
        <w:r w:rsidR="008D0932">
          <w:rPr>
            <w:noProof/>
            <w:webHidden/>
          </w:rPr>
          <w:fldChar w:fldCharType="end"/>
        </w:r>
      </w:hyperlink>
    </w:p>
    <w:p w14:paraId="6E3EE587" w14:textId="3D2A3B2D" w:rsidR="008D0932" w:rsidRDefault="005B4845">
      <w:pPr>
        <w:pStyle w:val="TOC2"/>
        <w:tabs>
          <w:tab w:val="left" w:pos="1418"/>
        </w:tabs>
        <w:rPr>
          <w:rFonts w:asciiTheme="minorHAnsi" w:eastAsiaTheme="minorEastAsia" w:hAnsiTheme="minorHAnsi" w:cstheme="minorBidi"/>
          <w:noProof/>
          <w:sz w:val="22"/>
          <w:szCs w:val="22"/>
          <w:lang w:eastAsia="en-AU"/>
        </w:rPr>
      </w:pPr>
      <w:hyperlink w:anchor="_Toc528056022" w:history="1">
        <w:r w:rsidR="008D0932" w:rsidRPr="00EE7769">
          <w:rPr>
            <w:rStyle w:val="Hyperlink"/>
            <w:noProof/>
          </w:rPr>
          <w:t>3.3.</w:t>
        </w:r>
        <w:r w:rsidR="008D0932">
          <w:rPr>
            <w:rFonts w:asciiTheme="minorHAnsi" w:eastAsiaTheme="minorEastAsia" w:hAnsiTheme="minorHAnsi" w:cstheme="minorBidi"/>
            <w:noProof/>
            <w:sz w:val="22"/>
            <w:szCs w:val="22"/>
            <w:lang w:eastAsia="en-AU"/>
          </w:rPr>
          <w:tab/>
        </w:r>
        <w:r w:rsidR="008D0932" w:rsidRPr="00EE7769">
          <w:rPr>
            <w:rStyle w:val="Hyperlink"/>
            <w:noProof/>
          </w:rPr>
          <w:t>Work Ability</w:t>
        </w:r>
        <w:r w:rsidR="008D0932">
          <w:rPr>
            <w:noProof/>
            <w:webHidden/>
          </w:rPr>
          <w:tab/>
        </w:r>
        <w:r w:rsidR="008D0932">
          <w:rPr>
            <w:noProof/>
            <w:webHidden/>
          </w:rPr>
          <w:fldChar w:fldCharType="begin"/>
        </w:r>
        <w:r w:rsidR="008D0932">
          <w:rPr>
            <w:noProof/>
            <w:webHidden/>
          </w:rPr>
          <w:instrText xml:space="preserve"> PAGEREF _Toc528056022 \h </w:instrText>
        </w:r>
        <w:r w:rsidR="008D0932">
          <w:rPr>
            <w:noProof/>
            <w:webHidden/>
          </w:rPr>
        </w:r>
        <w:r w:rsidR="008D0932">
          <w:rPr>
            <w:noProof/>
            <w:webHidden/>
          </w:rPr>
          <w:fldChar w:fldCharType="separate"/>
        </w:r>
        <w:r w:rsidR="008D0932">
          <w:rPr>
            <w:noProof/>
            <w:webHidden/>
          </w:rPr>
          <w:t>19</w:t>
        </w:r>
        <w:r w:rsidR="008D0932">
          <w:rPr>
            <w:noProof/>
            <w:webHidden/>
          </w:rPr>
          <w:fldChar w:fldCharType="end"/>
        </w:r>
      </w:hyperlink>
    </w:p>
    <w:p w14:paraId="7DF85DDB" w14:textId="32223FF7" w:rsidR="008D0932" w:rsidRDefault="005B4845">
      <w:pPr>
        <w:pStyle w:val="TOC2"/>
        <w:tabs>
          <w:tab w:val="left" w:pos="1418"/>
        </w:tabs>
        <w:rPr>
          <w:rFonts w:asciiTheme="minorHAnsi" w:eastAsiaTheme="minorEastAsia" w:hAnsiTheme="minorHAnsi" w:cstheme="minorBidi"/>
          <w:noProof/>
          <w:sz w:val="22"/>
          <w:szCs w:val="22"/>
          <w:lang w:eastAsia="en-AU"/>
        </w:rPr>
      </w:pPr>
      <w:hyperlink w:anchor="_Toc528056023" w:history="1">
        <w:r w:rsidR="008D0932" w:rsidRPr="00EE7769">
          <w:rPr>
            <w:rStyle w:val="Hyperlink"/>
            <w:noProof/>
          </w:rPr>
          <w:t>3.4.</w:t>
        </w:r>
        <w:r w:rsidR="008D0932">
          <w:rPr>
            <w:rFonts w:asciiTheme="minorHAnsi" w:eastAsiaTheme="minorEastAsia" w:hAnsiTheme="minorHAnsi" w:cstheme="minorBidi"/>
            <w:noProof/>
            <w:sz w:val="22"/>
            <w:szCs w:val="22"/>
            <w:lang w:eastAsia="en-AU"/>
          </w:rPr>
          <w:tab/>
        </w:r>
        <w:r w:rsidR="008D0932" w:rsidRPr="00EE7769">
          <w:rPr>
            <w:rStyle w:val="Hyperlink"/>
            <w:noProof/>
          </w:rPr>
          <w:t>Work limitations</w:t>
        </w:r>
        <w:r w:rsidR="008D0932">
          <w:rPr>
            <w:noProof/>
            <w:webHidden/>
          </w:rPr>
          <w:tab/>
        </w:r>
        <w:r w:rsidR="008D0932">
          <w:rPr>
            <w:noProof/>
            <w:webHidden/>
          </w:rPr>
          <w:fldChar w:fldCharType="begin"/>
        </w:r>
        <w:r w:rsidR="008D0932">
          <w:rPr>
            <w:noProof/>
            <w:webHidden/>
          </w:rPr>
          <w:instrText xml:space="preserve"> PAGEREF _Toc528056023 \h </w:instrText>
        </w:r>
        <w:r w:rsidR="008D0932">
          <w:rPr>
            <w:noProof/>
            <w:webHidden/>
          </w:rPr>
        </w:r>
        <w:r w:rsidR="008D0932">
          <w:rPr>
            <w:noProof/>
            <w:webHidden/>
          </w:rPr>
          <w:fldChar w:fldCharType="separate"/>
        </w:r>
        <w:r w:rsidR="008D0932">
          <w:rPr>
            <w:noProof/>
            <w:webHidden/>
          </w:rPr>
          <w:t>21</w:t>
        </w:r>
        <w:r w:rsidR="008D0932">
          <w:rPr>
            <w:noProof/>
            <w:webHidden/>
          </w:rPr>
          <w:fldChar w:fldCharType="end"/>
        </w:r>
      </w:hyperlink>
    </w:p>
    <w:p w14:paraId="3C359777" w14:textId="7879E6A9" w:rsidR="008D0932" w:rsidRDefault="005B4845">
      <w:pPr>
        <w:pStyle w:val="TOC2"/>
        <w:tabs>
          <w:tab w:val="left" w:pos="1418"/>
        </w:tabs>
        <w:rPr>
          <w:rFonts w:asciiTheme="minorHAnsi" w:eastAsiaTheme="minorEastAsia" w:hAnsiTheme="minorHAnsi" w:cstheme="minorBidi"/>
          <w:noProof/>
          <w:sz w:val="22"/>
          <w:szCs w:val="22"/>
          <w:lang w:eastAsia="en-AU"/>
        </w:rPr>
      </w:pPr>
      <w:hyperlink w:anchor="_Toc528056024" w:history="1">
        <w:r w:rsidR="008D0932" w:rsidRPr="00EE7769">
          <w:rPr>
            <w:rStyle w:val="Hyperlink"/>
            <w:noProof/>
          </w:rPr>
          <w:t>3.5.</w:t>
        </w:r>
        <w:r w:rsidR="008D0932">
          <w:rPr>
            <w:rFonts w:asciiTheme="minorHAnsi" w:eastAsiaTheme="minorEastAsia" w:hAnsiTheme="minorHAnsi" w:cstheme="minorBidi"/>
            <w:noProof/>
            <w:sz w:val="22"/>
            <w:szCs w:val="22"/>
            <w:lang w:eastAsia="en-AU"/>
          </w:rPr>
          <w:tab/>
        </w:r>
        <w:r w:rsidR="008D0932" w:rsidRPr="00EE7769">
          <w:rPr>
            <w:rStyle w:val="Hyperlink"/>
            <w:noProof/>
          </w:rPr>
          <w:t>Modified hours/duties</w:t>
        </w:r>
        <w:r w:rsidR="008D0932">
          <w:rPr>
            <w:noProof/>
            <w:webHidden/>
          </w:rPr>
          <w:tab/>
        </w:r>
        <w:r w:rsidR="008D0932">
          <w:rPr>
            <w:noProof/>
            <w:webHidden/>
          </w:rPr>
          <w:fldChar w:fldCharType="begin"/>
        </w:r>
        <w:r w:rsidR="008D0932">
          <w:rPr>
            <w:noProof/>
            <w:webHidden/>
          </w:rPr>
          <w:instrText xml:space="preserve"> PAGEREF _Toc528056024 \h </w:instrText>
        </w:r>
        <w:r w:rsidR="008D0932">
          <w:rPr>
            <w:noProof/>
            <w:webHidden/>
          </w:rPr>
        </w:r>
        <w:r w:rsidR="008D0932">
          <w:rPr>
            <w:noProof/>
            <w:webHidden/>
          </w:rPr>
          <w:fldChar w:fldCharType="separate"/>
        </w:r>
        <w:r w:rsidR="008D0932">
          <w:rPr>
            <w:noProof/>
            <w:webHidden/>
          </w:rPr>
          <w:t>22</w:t>
        </w:r>
        <w:r w:rsidR="008D0932">
          <w:rPr>
            <w:noProof/>
            <w:webHidden/>
          </w:rPr>
          <w:fldChar w:fldCharType="end"/>
        </w:r>
      </w:hyperlink>
    </w:p>
    <w:p w14:paraId="6F008246" w14:textId="74DFE61B" w:rsidR="008D0932" w:rsidRDefault="005B4845">
      <w:pPr>
        <w:pStyle w:val="TOC3"/>
        <w:rPr>
          <w:rFonts w:asciiTheme="minorHAnsi" w:eastAsiaTheme="minorEastAsia" w:hAnsiTheme="minorHAnsi" w:cstheme="minorBidi"/>
          <w:sz w:val="22"/>
          <w:szCs w:val="22"/>
          <w:lang w:eastAsia="en-AU"/>
        </w:rPr>
      </w:pPr>
      <w:hyperlink w:anchor="_Toc528056025" w:history="1">
        <w:r w:rsidR="008D0932" w:rsidRPr="00EE7769">
          <w:rPr>
            <w:rStyle w:val="Hyperlink"/>
          </w:rPr>
          <w:t>3.5.1.</w:t>
        </w:r>
        <w:r w:rsidR="008D0932">
          <w:rPr>
            <w:rFonts w:asciiTheme="minorHAnsi" w:eastAsiaTheme="minorEastAsia" w:hAnsiTheme="minorHAnsi" w:cstheme="minorBidi"/>
            <w:sz w:val="22"/>
            <w:szCs w:val="22"/>
            <w:lang w:eastAsia="en-AU"/>
          </w:rPr>
          <w:tab/>
        </w:r>
        <w:r w:rsidR="008D0932" w:rsidRPr="00EE7769">
          <w:rPr>
            <w:rStyle w:val="Hyperlink"/>
          </w:rPr>
          <w:t>Hours upon returning to work</w:t>
        </w:r>
        <w:r w:rsidR="008D0932">
          <w:rPr>
            <w:webHidden/>
          </w:rPr>
          <w:tab/>
        </w:r>
        <w:r w:rsidR="008D0932">
          <w:rPr>
            <w:webHidden/>
          </w:rPr>
          <w:fldChar w:fldCharType="begin"/>
        </w:r>
        <w:r w:rsidR="008D0932">
          <w:rPr>
            <w:webHidden/>
          </w:rPr>
          <w:instrText xml:space="preserve"> PAGEREF _Toc528056025 \h </w:instrText>
        </w:r>
        <w:r w:rsidR="008D0932">
          <w:rPr>
            <w:webHidden/>
          </w:rPr>
        </w:r>
        <w:r w:rsidR="008D0932">
          <w:rPr>
            <w:webHidden/>
          </w:rPr>
          <w:fldChar w:fldCharType="separate"/>
        </w:r>
        <w:r w:rsidR="008D0932">
          <w:rPr>
            <w:webHidden/>
          </w:rPr>
          <w:t>22</w:t>
        </w:r>
        <w:r w:rsidR="008D0932">
          <w:rPr>
            <w:webHidden/>
          </w:rPr>
          <w:fldChar w:fldCharType="end"/>
        </w:r>
      </w:hyperlink>
    </w:p>
    <w:p w14:paraId="0192B3AA" w14:textId="01CEC33A" w:rsidR="008D0932" w:rsidRDefault="005B4845">
      <w:pPr>
        <w:pStyle w:val="TOC3"/>
        <w:rPr>
          <w:rFonts w:asciiTheme="minorHAnsi" w:eastAsiaTheme="minorEastAsia" w:hAnsiTheme="minorHAnsi" w:cstheme="minorBidi"/>
          <w:sz w:val="22"/>
          <w:szCs w:val="22"/>
          <w:lang w:eastAsia="en-AU"/>
        </w:rPr>
      </w:pPr>
      <w:hyperlink w:anchor="_Toc528056026" w:history="1">
        <w:r w:rsidR="008D0932" w:rsidRPr="00EE7769">
          <w:rPr>
            <w:rStyle w:val="Hyperlink"/>
          </w:rPr>
          <w:t>3.5.2.</w:t>
        </w:r>
        <w:r w:rsidR="008D0932">
          <w:rPr>
            <w:rFonts w:asciiTheme="minorHAnsi" w:eastAsiaTheme="minorEastAsia" w:hAnsiTheme="minorHAnsi" w:cstheme="minorBidi"/>
            <w:sz w:val="22"/>
            <w:szCs w:val="22"/>
            <w:lang w:eastAsia="en-AU"/>
          </w:rPr>
          <w:tab/>
        </w:r>
        <w:r w:rsidR="008D0932" w:rsidRPr="00EE7769">
          <w:rPr>
            <w:rStyle w:val="Hyperlink"/>
          </w:rPr>
          <w:t>Duties upon returning to work</w:t>
        </w:r>
        <w:r w:rsidR="008D0932">
          <w:rPr>
            <w:webHidden/>
          </w:rPr>
          <w:tab/>
        </w:r>
        <w:r w:rsidR="008D0932">
          <w:rPr>
            <w:webHidden/>
          </w:rPr>
          <w:fldChar w:fldCharType="begin"/>
        </w:r>
        <w:r w:rsidR="008D0932">
          <w:rPr>
            <w:webHidden/>
          </w:rPr>
          <w:instrText xml:space="preserve"> PAGEREF _Toc528056026 \h </w:instrText>
        </w:r>
        <w:r w:rsidR="008D0932">
          <w:rPr>
            <w:webHidden/>
          </w:rPr>
        </w:r>
        <w:r w:rsidR="008D0932">
          <w:rPr>
            <w:webHidden/>
          </w:rPr>
          <w:fldChar w:fldCharType="separate"/>
        </w:r>
        <w:r w:rsidR="008D0932">
          <w:rPr>
            <w:webHidden/>
          </w:rPr>
          <w:t>23</w:t>
        </w:r>
        <w:r w:rsidR="008D0932">
          <w:rPr>
            <w:webHidden/>
          </w:rPr>
          <w:fldChar w:fldCharType="end"/>
        </w:r>
      </w:hyperlink>
    </w:p>
    <w:p w14:paraId="74033A86" w14:textId="2351AA9A" w:rsidR="008D0932" w:rsidRDefault="005B4845" w:rsidP="008D0932">
      <w:pPr>
        <w:pStyle w:val="TOC1"/>
        <w:rPr>
          <w:rFonts w:asciiTheme="minorHAnsi" w:eastAsiaTheme="minorEastAsia" w:hAnsiTheme="minorHAnsi" w:cstheme="minorBidi"/>
          <w:sz w:val="22"/>
          <w:szCs w:val="22"/>
          <w:lang w:eastAsia="en-AU"/>
        </w:rPr>
      </w:pPr>
      <w:hyperlink w:anchor="_Toc528056027" w:history="1">
        <w:r w:rsidR="008D0932" w:rsidRPr="00EE7769">
          <w:rPr>
            <w:rStyle w:val="Hyperlink"/>
          </w:rPr>
          <w:t>4.</w:t>
        </w:r>
        <w:r w:rsidR="008D0932">
          <w:rPr>
            <w:rFonts w:asciiTheme="minorHAnsi" w:eastAsiaTheme="minorEastAsia" w:hAnsiTheme="minorHAnsi" w:cstheme="minorBidi"/>
            <w:sz w:val="22"/>
            <w:szCs w:val="22"/>
            <w:lang w:eastAsia="en-AU"/>
          </w:rPr>
          <w:tab/>
        </w:r>
        <w:r w:rsidR="008D0932" w:rsidRPr="00EE7769">
          <w:rPr>
            <w:rStyle w:val="Hyperlink"/>
          </w:rPr>
          <w:t>Personal Domain Measures</w:t>
        </w:r>
        <w:r w:rsidR="008D0932">
          <w:rPr>
            <w:webHidden/>
          </w:rPr>
          <w:tab/>
        </w:r>
        <w:r w:rsidR="008D0932">
          <w:rPr>
            <w:webHidden/>
          </w:rPr>
          <w:fldChar w:fldCharType="begin"/>
        </w:r>
        <w:r w:rsidR="008D0932">
          <w:rPr>
            <w:webHidden/>
          </w:rPr>
          <w:instrText xml:space="preserve"> PAGEREF _Toc528056027 \h </w:instrText>
        </w:r>
        <w:r w:rsidR="008D0932">
          <w:rPr>
            <w:webHidden/>
          </w:rPr>
        </w:r>
        <w:r w:rsidR="008D0932">
          <w:rPr>
            <w:webHidden/>
          </w:rPr>
          <w:fldChar w:fldCharType="separate"/>
        </w:r>
        <w:r w:rsidR="008D0932">
          <w:rPr>
            <w:webHidden/>
          </w:rPr>
          <w:t>25</w:t>
        </w:r>
        <w:r w:rsidR="008D0932">
          <w:rPr>
            <w:webHidden/>
          </w:rPr>
          <w:fldChar w:fldCharType="end"/>
        </w:r>
      </w:hyperlink>
    </w:p>
    <w:p w14:paraId="3AE9289B" w14:textId="326F5B0D" w:rsidR="008D0932" w:rsidRDefault="005B4845">
      <w:pPr>
        <w:pStyle w:val="TOC2"/>
        <w:tabs>
          <w:tab w:val="left" w:pos="1418"/>
        </w:tabs>
        <w:rPr>
          <w:rFonts w:asciiTheme="minorHAnsi" w:eastAsiaTheme="minorEastAsia" w:hAnsiTheme="minorHAnsi" w:cstheme="minorBidi"/>
          <w:noProof/>
          <w:sz w:val="22"/>
          <w:szCs w:val="22"/>
          <w:lang w:eastAsia="en-AU"/>
        </w:rPr>
      </w:pPr>
      <w:hyperlink w:anchor="_Toc528056028" w:history="1">
        <w:r w:rsidR="008D0932" w:rsidRPr="00EE7769">
          <w:rPr>
            <w:rStyle w:val="Hyperlink"/>
            <w:noProof/>
          </w:rPr>
          <w:t>4.1.</w:t>
        </w:r>
        <w:r w:rsidR="008D0932">
          <w:rPr>
            <w:rFonts w:asciiTheme="minorHAnsi" w:eastAsiaTheme="minorEastAsia" w:hAnsiTheme="minorHAnsi" w:cstheme="minorBidi"/>
            <w:noProof/>
            <w:sz w:val="22"/>
            <w:szCs w:val="22"/>
            <w:lang w:eastAsia="en-AU"/>
          </w:rPr>
          <w:tab/>
        </w:r>
        <w:r w:rsidR="008D0932" w:rsidRPr="00EE7769">
          <w:rPr>
            <w:rStyle w:val="Hyperlink"/>
            <w:noProof/>
          </w:rPr>
          <w:t>General health</w:t>
        </w:r>
        <w:r w:rsidR="008D0932">
          <w:rPr>
            <w:noProof/>
            <w:webHidden/>
          </w:rPr>
          <w:tab/>
        </w:r>
        <w:r w:rsidR="008D0932">
          <w:rPr>
            <w:noProof/>
            <w:webHidden/>
          </w:rPr>
          <w:fldChar w:fldCharType="begin"/>
        </w:r>
        <w:r w:rsidR="008D0932">
          <w:rPr>
            <w:noProof/>
            <w:webHidden/>
          </w:rPr>
          <w:instrText xml:space="preserve"> PAGEREF _Toc528056028 \h </w:instrText>
        </w:r>
        <w:r w:rsidR="008D0932">
          <w:rPr>
            <w:noProof/>
            <w:webHidden/>
          </w:rPr>
        </w:r>
        <w:r w:rsidR="008D0932">
          <w:rPr>
            <w:noProof/>
            <w:webHidden/>
          </w:rPr>
          <w:fldChar w:fldCharType="separate"/>
        </w:r>
        <w:r w:rsidR="008D0932">
          <w:rPr>
            <w:noProof/>
            <w:webHidden/>
          </w:rPr>
          <w:t>25</w:t>
        </w:r>
        <w:r w:rsidR="008D0932">
          <w:rPr>
            <w:noProof/>
            <w:webHidden/>
          </w:rPr>
          <w:fldChar w:fldCharType="end"/>
        </w:r>
      </w:hyperlink>
    </w:p>
    <w:p w14:paraId="1DC7A657" w14:textId="38C0266C" w:rsidR="008D0932" w:rsidRDefault="005B4845">
      <w:pPr>
        <w:pStyle w:val="TOC2"/>
        <w:tabs>
          <w:tab w:val="left" w:pos="1418"/>
        </w:tabs>
        <w:rPr>
          <w:rFonts w:asciiTheme="minorHAnsi" w:eastAsiaTheme="minorEastAsia" w:hAnsiTheme="minorHAnsi" w:cstheme="minorBidi"/>
          <w:noProof/>
          <w:sz w:val="22"/>
          <w:szCs w:val="22"/>
          <w:lang w:eastAsia="en-AU"/>
        </w:rPr>
      </w:pPr>
      <w:hyperlink w:anchor="_Toc528056029" w:history="1">
        <w:r w:rsidR="008D0932" w:rsidRPr="00EE7769">
          <w:rPr>
            <w:rStyle w:val="Hyperlink"/>
            <w:noProof/>
          </w:rPr>
          <w:t>4.2.</w:t>
        </w:r>
        <w:r w:rsidR="008D0932">
          <w:rPr>
            <w:rFonts w:asciiTheme="minorHAnsi" w:eastAsiaTheme="minorEastAsia" w:hAnsiTheme="minorHAnsi" w:cstheme="minorBidi"/>
            <w:noProof/>
            <w:sz w:val="22"/>
            <w:szCs w:val="22"/>
            <w:lang w:eastAsia="en-AU"/>
          </w:rPr>
          <w:tab/>
        </w:r>
        <w:r w:rsidR="008D0932" w:rsidRPr="00EE7769">
          <w:rPr>
            <w:rStyle w:val="Hyperlink"/>
            <w:noProof/>
          </w:rPr>
          <w:t>Persistent pain</w:t>
        </w:r>
        <w:r w:rsidR="008D0932">
          <w:rPr>
            <w:noProof/>
            <w:webHidden/>
          </w:rPr>
          <w:tab/>
        </w:r>
        <w:r w:rsidR="008D0932">
          <w:rPr>
            <w:noProof/>
            <w:webHidden/>
          </w:rPr>
          <w:fldChar w:fldCharType="begin"/>
        </w:r>
        <w:r w:rsidR="008D0932">
          <w:rPr>
            <w:noProof/>
            <w:webHidden/>
          </w:rPr>
          <w:instrText xml:space="preserve"> PAGEREF _Toc528056029 \h </w:instrText>
        </w:r>
        <w:r w:rsidR="008D0932">
          <w:rPr>
            <w:noProof/>
            <w:webHidden/>
          </w:rPr>
        </w:r>
        <w:r w:rsidR="008D0932">
          <w:rPr>
            <w:noProof/>
            <w:webHidden/>
          </w:rPr>
          <w:fldChar w:fldCharType="separate"/>
        </w:r>
        <w:r w:rsidR="008D0932">
          <w:rPr>
            <w:noProof/>
            <w:webHidden/>
          </w:rPr>
          <w:t>26</w:t>
        </w:r>
        <w:r w:rsidR="008D0932">
          <w:rPr>
            <w:noProof/>
            <w:webHidden/>
          </w:rPr>
          <w:fldChar w:fldCharType="end"/>
        </w:r>
      </w:hyperlink>
    </w:p>
    <w:p w14:paraId="0F451DE4" w14:textId="42565D58" w:rsidR="008D0932" w:rsidRDefault="005B4845">
      <w:pPr>
        <w:pStyle w:val="TOC2"/>
        <w:tabs>
          <w:tab w:val="left" w:pos="1418"/>
        </w:tabs>
        <w:rPr>
          <w:rFonts w:asciiTheme="minorHAnsi" w:eastAsiaTheme="minorEastAsia" w:hAnsiTheme="minorHAnsi" w:cstheme="minorBidi"/>
          <w:noProof/>
          <w:sz w:val="22"/>
          <w:szCs w:val="22"/>
          <w:lang w:eastAsia="en-AU"/>
        </w:rPr>
      </w:pPr>
      <w:hyperlink w:anchor="_Toc528056030" w:history="1">
        <w:r w:rsidR="008D0932" w:rsidRPr="00EE7769">
          <w:rPr>
            <w:rStyle w:val="Hyperlink"/>
            <w:noProof/>
          </w:rPr>
          <w:t>4.3.</w:t>
        </w:r>
        <w:r w:rsidR="008D0932">
          <w:rPr>
            <w:rFonts w:asciiTheme="minorHAnsi" w:eastAsiaTheme="minorEastAsia" w:hAnsiTheme="minorHAnsi" w:cstheme="minorBidi"/>
            <w:noProof/>
            <w:sz w:val="22"/>
            <w:szCs w:val="22"/>
            <w:lang w:eastAsia="en-AU"/>
          </w:rPr>
          <w:tab/>
        </w:r>
        <w:r w:rsidR="008D0932" w:rsidRPr="00EE7769">
          <w:rPr>
            <w:rStyle w:val="Hyperlink"/>
            <w:noProof/>
          </w:rPr>
          <w:t>Psychological distress</w:t>
        </w:r>
        <w:r w:rsidR="008D0932">
          <w:rPr>
            <w:noProof/>
            <w:webHidden/>
          </w:rPr>
          <w:tab/>
        </w:r>
        <w:r w:rsidR="008D0932">
          <w:rPr>
            <w:noProof/>
            <w:webHidden/>
          </w:rPr>
          <w:fldChar w:fldCharType="begin"/>
        </w:r>
        <w:r w:rsidR="008D0932">
          <w:rPr>
            <w:noProof/>
            <w:webHidden/>
          </w:rPr>
          <w:instrText xml:space="preserve"> PAGEREF _Toc528056030 \h </w:instrText>
        </w:r>
        <w:r w:rsidR="008D0932">
          <w:rPr>
            <w:noProof/>
            <w:webHidden/>
          </w:rPr>
        </w:r>
        <w:r w:rsidR="008D0932">
          <w:rPr>
            <w:noProof/>
            <w:webHidden/>
          </w:rPr>
          <w:fldChar w:fldCharType="separate"/>
        </w:r>
        <w:r w:rsidR="008D0932">
          <w:rPr>
            <w:noProof/>
            <w:webHidden/>
          </w:rPr>
          <w:t>28</w:t>
        </w:r>
        <w:r w:rsidR="008D0932">
          <w:rPr>
            <w:noProof/>
            <w:webHidden/>
          </w:rPr>
          <w:fldChar w:fldCharType="end"/>
        </w:r>
      </w:hyperlink>
    </w:p>
    <w:p w14:paraId="699875D6" w14:textId="4AB64883" w:rsidR="008D0932" w:rsidRDefault="005B4845">
      <w:pPr>
        <w:pStyle w:val="TOC2"/>
        <w:tabs>
          <w:tab w:val="left" w:pos="1418"/>
        </w:tabs>
        <w:rPr>
          <w:rFonts w:asciiTheme="minorHAnsi" w:eastAsiaTheme="minorEastAsia" w:hAnsiTheme="minorHAnsi" w:cstheme="minorBidi"/>
          <w:noProof/>
          <w:sz w:val="22"/>
          <w:szCs w:val="22"/>
          <w:lang w:eastAsia="en-AU"/>
        </w:rPr>
      </w:pPr>
      <w:hyperlink w:anchor="_Toc528056031" w:history="1">
        <w:r w:rsidR="008D0932" w:rsidRPr="00EE7769">
          <w:rPr>
            <w:rStyle w:val="Hyperlink"/>
            <w:noProof/>
          </w:rPr>
          <w:t>4.4.</w:t>
        </w:r>
        <w:r w:rsidR="008D0932">
          <w:rPr>
            <w:rFonts w:asciiTheme="minorHAnsi" w:eastAsiaTheme="minorEastAsia" w:hAnsiTheme="minorHAnsi" w:cstheme="minorBidi"/>
            <w:noProof/>
            <w:sz w:val="22"/>
            <w:szCs w:val="22"/>
            <w:lang w:eastAsia="en-AU"/>
          </w:rPr>
          <w:tab/>
        </w:r>
        <w:r w:rsidR="008D0932" w:rsidRPr="00EE7769">
          <w:rPr>
            <w:rStyle w:val="Hyperlink"/>
            <w:noProof/>
          </w:rPr>
          <w:t>Comorbid conditions</w:t>
        </w:r>
        <w:r w:rsidR="008D0932">
          <w:rPr>
            <w:noProof/>
            <w:webHidden/>
          </w:rPr>
          <w:tab/>
        </w:r>
        <w:r w:rsidR="008D0932">
          <w:rPr>
            <w:noProof/>
            <w:webHidden/>
          </w:rPr>
          <w:fldChar w:fldCharType="begin"/>
        </w:r>
        <w:r w:rsidR="008D0932">
          <w:rPr>
            <w:noProof/>
            <w:webHidden/>
          </w:rPr>
          <w:instrText xml:space="preserve"> PAGEREF _Toc528056031 \h </w:instrText>
        </w:r>
        <w:r w:rsidR="008D0932">
          <w:rPr>
            <w:noProof/>
            <w:webHidden/>
          </w:rPr>
        </w:r>
        <w:r w:rsidR="008D0932">
          <w:rPr>
            <w:noProof/>
            <w:webHidden/>
          </w:rPr>
          <w:fldChar w:fldCharType="separate"/>
        </w:r>
        <w:r w:rsidR="008D0932">
          <w:rPr>
            <w:noProof/>
            <w:webHidden/>
          </w:rPr>
          <w:t>30</w:t>
        </w:r>
        <w:r w:rsidR="008D0932">
          <w:rPr>
            <w:noProof/>
            <w:webHidden/>
          </w:rPr>
          <w:fldChar w:fldCharType="end"/>
        </w:r>
      </w:hyperlink>
    </w:p>
    <w:p w14:paraId="18ED93EC" w14:textId="18BB8B19" w:rsidR="008D0932" w:rsidRDefault="005B4845">
      <w:pPr>
        <w:pStyle w:val="TOC2"/>
        <w:tabs>
          <w:tab w:val="left" w:pos="1418"/>
        </w:tabs>
        <w:rPr>
          <w:rFonts w:asciiTheme="minorHAnsi" w:eastAsiaTheme="minorEastAsia" w:hAnsiTheme="minorHAnsi" w:cstheme="minorBidi"/>
          <w:noProof/>
          <w:sz w:val="22"/>
          <w:szCs w:val="22"/>
          <w:lang w:eastAsia="en-AU"/>
        </w:rPr>
      </w:pPr>
      <w:hyperlink w:anchor="_Toc528056032" w:history="1">
        <w:r w:rsidR="008D0932" w:rsidRPr="00EE7769">
          <w:rPr>
            <w:rStyle w:val="Hyperlink"/>
            <w:noProof/>
          </w:rPr>
          <w:t>4.5.</w:t>
        </w:r>
        <w:r w:rsidR="008D0932">
          <w:rPr>
            <w:rFonts w:asciiTheme="minorHAnsi" w:eastAsiaTheme="minorEastAsia" w:hAnsiTheme="minorHAnsi" w:cstheme="minorBidi"/>
            <w:noProof/>
            <w:sz w:val="22"/>
            <w:szCs w:val="22"/>
            <w:lang w:eastAsia="en-AU"/>
          </w:rPr>
          <w:tab/>
        </w:r>
        <w:r w:rsidR="008D0932" w:rsidRPr="00EE7769">
          <w:rPr>
            <w:rStyle w:val="Hyperlink"/>
            <w:noProof/>
          </w:rPr>
          <w:t>Financial distress</w:t>
        </w:r>
        <w:r w:rsidR="008D0932">
          <w:rPr>
            <w:noProof/>
            <w:webHidden/>
          </w:rPr>
          <w:tab/>
        </w:r>
        <w:r w:rsidR="008D0932">
          <w:rPr>
            <w:noProof/>
            <w:webHidden/>
          </w:rPr>
          <w:fldChar w:fldCharType="begin"/>
        </w:r>
        <w:r w:rsidR="008D0932">
          <w:rPr>
            <w:noProof/>
            <w:webHidden/>
          </w:rPr>
          <w:instrText xml:space="preserve"> PAGEREF _Toc528056032 \h </w:instrText>
        </w:r>
        <w:r w:rsidR="008D0932">
          <w:rPr>
            <w:noProof/>
            <w:webHidden/>
          </w:rPr>
        </w:r>
        <w:r w:rsidR="008D0932">
          <w:rPr>
            <w:noProof/>
            <w:webHidden/>
          </w:rPr>
          <w:fldChar w:fldCharType="separate"/>
        </w:r>
        <w:r w:rsidR="008D0932">
          <w:rPr>
            <w:noProof/>
            <w:webHidden/>
          </w:rPr>
          <w:t>31</w:t>
        </w:r>
        <w:r w:rsidR="008D0932">
          <w:rPr>
            <w:noProof/>
            <w:webHidden/>
          </w:rPr>
          <w:fldChar w:fldCharType="end"/>
        </w:r>
      </w:hyperlink>
    </w:p>
    <w:p w14:paraId="6D507DE7" w14:textId="7260B8B7" w:rsidR="008D0932" w:rsidRDefault="005B4845" w:rsidP="008D0932">
      <w:pPr>
        <w:pStyle w:val="TOC1"/>
        <w:rPr>
          <w:rFonts w:asciiTheme="minorHAnsi" w:eastAsiaTheme="minorEastAsia" w:hAnsiTheme="minorHAnsi" w:cstheme="minorBidi"/>
          <w:sz w:val="22"/>
          <w:szCs w:val="22"/>
          <w:lang w:eastAsia="en-AU"/>
        </w:rPr>
      </w:pPr>
      <w:hyperlink w:anchor="_Toc528056033" w:history="1">
        <w:r w:rsidR="008D0932" w:rsidRPr="00EE7769">
          <w:rPr>
            <w:rStyle w:val="Hyperlink"/>
          </w:rPr>
          <w:t>5.</w:t>
        </w:r>
        <w:r w:rsidR="008D0932">
          <w:rPr>
            <w:rFonts w:asciiTheme="minorHAnsi" w:eastAsiaTheme="minorEastAsia" w:hAnsiTheme="minorHAnsi" w:cstheme="minorBidi"/>
            <w:sz w:val="22"/>
            <w:szCs w:val="22"/>
            <w:lang w:eastAsia="en-AU"/>
          </w:rPr>
          <w:tab/>
        </w:r>
        <w:r w:rsidR="008D0932" w:rsidRPr="00EE7769">
          <w:rPr>
            <w:rStyle w:val="Hyperlink"/>
          </w:rPr>
          <w:t>Workplace Domain Measures</w:t>
        </w:r>
        <w:r w:rsidR="008D0932">
          <w:rPr>
            <w:webHidden/>
          </w:rPr>
          <w:tab/>
        </w:r>
        <w:r w:rsidR="008D0932">
          <w:rPr>
            <w:webHidden/>
          </w:rPr>
          <w:fldChar w:fldCharType="begin"/>
        </w:r>
        <w:r w:rsidR="008D0932">
          <w:rPr>
            <w:webHidden/>
          </w:rPr>
          <w:instrText xml:space="preserve"> PAGEREF _Toc528056033 \h </w:instrText>
        </w:r>
        <w:r w:rsidR="008D0932">
          <w:rPr>
            <w:webHidden/>
          </w:rPr>
        </w:r>
        <w:r w:rsidR="008D0932">
          <w:rPr>
            <w:webHidden/>
          </w:rPr>
          <w:fldChar w:fldCharType="separate"/>
        </w:r>
        <w:r w:rsidR="008D0932">
          <w:rPr>
            <w:webHidden/>
          </w:rPr>
          <w:t>33</w:t>
        </w:r>
        <w:r w:rsidR="008D0932">
          <w:rPr>
            <w:webHidden/>
          </w:rPr>
          <w:fldChar w:fldCharType="end"/>
        </w:r>
      </w:hyperlink>
    </w:p>
    <w:p w14:paraId="43FAF776" w14:textId="279A9382" w:rsidR="008D0932" w:rsidRDefault="005B4845">
      <w:pPr>
        <w:pStyle w:val="TOC2"/>
        <w:tabs>
          <w:tab w:val="left" w:pos="1418"/>
        </w:tabs>
        <w:rPr>
          <w:rFonts w:asciiTheme="minorHAnsi" w:eastAsiaTheme="minorEastAsia" w:hAnsiTheme="minorHAnsi" w:cstheme="minorBidi"/>
          <w:noProof/>
          <w:sz w:val="22"/>
          <w:szCs w:val="22"/>
          <w:lang w:eastAsia="en-AU"/>
        </w:rPr>
      </w:pPr>
      <w:hyperlink w:anchor="_Toc528056034" w:history="1">
        <w:r w:rsidR="008D0932" w:rsidRPr="00EE7769">
          <w:rPr>
            <w:rStyle w:val="Hyperlink"/>
            <w:noProof/>
          </w:rPr>
          <w:t>5.1.</w:t>
        </w:r>
        <w:r w:rsidR="008D0932">
          <w:rPr>
            <w:rFonts w:asciiTheme="minorHAnsi" w:eastAsiaTheme="minorEastAsia" w:hAnsiTheme="minorHAnsi" w:cstheme="minorBidi"/>
            <w:noProof/>
            <w:sz w:val="22"/>
            <w:szCs w:val="22"/>
            <w:lang w:eastAsia="en-AU"/>
          </w:rPr>
          <w:tab/>
        </w:r>
        <w:r w:rsidR="008D0932" w:rsidRPr="00EE7769">
          <w:rPr>
            <w:rStyle w:val="Hyperlink"/>
            <w:noProof/>
          </w:rPr>
          <w:t>Return to work planning</w:t>
        </w:r>
        <w:r w:rsidR="008D0932">
          <w:rPr>
            <w:noProof/>
            <w:webHidden/>
          </w:rPr>
          <w:tab/>
        </w:r>
        <w:r w:rsidR="008D0932">
          <w:rPr>
            <w:noProof/>
            <w:webHidden/>
          </w:rPr>
          <w:fldChar w:fldCharType="begin"/>
        </w:r>
        <w:r w:rsidR="008D0932">
          <w:rPr>
            <w:noProof/>
            <w:webHidden/>
          </w:rPr>
          <w:instrText xml:space="preserve"> PAGEREF _Toc528056034 \h </w:instrText>
        </w:r>
        <w:r w:rsidR="008D0932">
          <w:rPr>
            <w:noProof/>
            <w:webHidden/>
          </w:rPr>
        </w:r>
        <w:r w:rsidR="008D0932">
          <w:rPr>
            <w:noProof/>
            <w:webHidden/>
          </w:rPr>
          <w:fldChar w:fldCharType="separate"/>
        </w:r>
        <w:r w:rsidR="008D0932">
          <w:rPr>
            <w:noProof/>
            <w:webHidden/>
          </w:rPr>
          <w:t>33</w:t>
        </w:r>
        <w:r w:rsidR="008D0932">
          <w:rPr>
            <w:noProof/>
            <w:webHidden/>
          </w:rPr>
          <w:fldChar w:fldCharType="end"/>
        </w:r>
      </w:hyperlink>
    </w:p>
    <w:p w14:paraId="0DF43D1E" w14:textId="537D598A" w:rsidR="008D0932" w:rsidRDefault="005B4845">
      <w:pPr>
        <w:pStyle w:val="TOC2"/>
        <w:tabs>
          <w:tab w:val="left" w:pos="1418"/>
        </w:tabs>
        <w:rPr>
          <w:rFonts w:asciiTheme="minorHAnsi" w:eastAsiaTheme="minorEastAsia" w:hAnsiTheme="minorHAnsi" w:cstheme="minorBidi"/>
          <w:noProof/>
          <w:sz w:val="22"/>
          <w:szCs w:val="22"/>
          <w:lang w:eastAsia="en-AU"/>
        </w:rPr>
      </w:pPr>
      <w:hyperlink w:anchor="_Toc528056035" w:history="1">
        <w:r w:rsidR="008D0932" w:rsidRPr="00EE7769">
          <w:rPr>
            <w:rStyle w:val="Hyperlink"/>
            <w:noProof/>
          </w:rPr>
          <w:t>5.2.</w:t>
        </w:r>
        <w:r w:rsidR="008D0932">
          <w:rPr>
            <w:rFonts w:asciiTheme="minorHAnsi" w:eastAsiaTheme="minorEastAsia" w:hAnsiTheme="minorHAnsi" w:cstheme="minorBidi"/>
            <w:noProof/>
            <w:sz w:val="22"/>
            <w:szCs w:val="22"/>
            <w:lang w:eastAsia="en-AU"/>
          </w:rPr>
          <w:tab/>
        </w:r>
        <w:r w:rsidR="008D0932" w:rsidRPr="00EE7769">
          <w:rPr>
            <w:rStyle w:val="Hyperlink"/>
            <w:noProof/>
          </w:rPr>
          <w:t>Workplace reaction</w:t>
        </w:r>
        <w:r w:rsidR="008D0932">
          <w:rPr>
            <w:noProof/>
            <w:webHidden/>
          </w:rPr>
          <w:tab/>
        </w:r>
        <w:r w:rsidR="008D0932">
          <w:rPr>
            <w:noProof/>
            <w:webHidden/>
          </w:rPr>
          <w:fldChar w:fldCharType="begin"/>
        </w:r>
        <w:r w:rsidR="008D0932">
          <w:rPr>
            <w:noProof/>
            <w:webHidden/>
          </w:rPr>
          <w:instrText xml:space="preserve"> PAGEREF _Toc528056035 \h </w:instrText>
        </w:r>
        <w:r w:rsidR="008D0932">
          <w:rPr>
            <w:noProof/>
            <w:webHidden/>
          </w:rPr>
        </w:r>
        <w:r w:rsidR="008D0932">
          <w:rPr>
            <w:noProof/>
            <w:webHidden/>
          </w:rPr>
          <w:fldChar w:fldCharType="separate"/>
        </w:r>
        <w:r w:rsidR="008D0932">
          <w:rPr>
            <w:noProof/>
            <w:webHidden/>
          </w:rPr>
          <w:t>34</w:t>
        </w:r>
        <w:r w:rsidR="008D0932">
          <w:rPr>
            <w:noProof/>
            <w:webHidden/>
          </w:rPr>
          <w:fldChar w:fldCharType="end"/>
        </w:r>
      </w:hyperlink>
    </w:p>
    <w:p w14:paraId="6DD953CE" w14:textId="25F86F54" w:rsidR="008D0932" w:rsidRDefault="005B4845">
      <w:pPr>
        <w:pStyle w:val="TOC2"/>
        <w:tabs>
          <w:tab w:val="left" w:pos="1418"/>
        </w:tabs>
        <w:rPr>
          <w:rFonts w:asciiTheme="minorHAnsi" w:eastAsiaTheme="minorEastAsia" w:hAnsiTheme="minorHAnsi" w:cstheme="minorBidi"/>
          <w:noProof/>
          <w:sz w:val="22"/>
          <w:szCs w:val="22"/>
          <w:lang w:eastAsia="en-AU"/>
        </w:rPr>
      </w:pPr>
      <w:hyperlink w:anchor="_Toc528056036" w:history="1">
        <w:r w:rsidR="008D0932" w:rsidRPr="00EE7769">
          <w:rPr>
            <w:rStyle w:val="Hyperlink"/>
            <w:noProof/>
          </w:rPr>
          <w:t>5.3.</w:t>
        </w:r>
        <w:r w:rsidR="008D0932">
          <w:rPr>
            <w:rFonts w:asciiTheme="minorHAnsi" w:eastAsiaTheme="minorEastAsia" w:hAnsiTheme="minorHAnsi" w:cstheme="minorBidi"/>
            <w:noProof/>
            <w:sz w:val="22"/>
            <w:szCs w:val="22"/>
            <w:lang w:eastAsia="en-AU"/>
          </w:rPr>
          <w:tab/>
        </w:r>
        <w:r w:rsidR="008D0932" w:rsidRPr="00EE7769">
          <w:rPr>
            <w:rStyle w:val="Hyperlink"/>
            <w:noProof/>
          </w:rPr>
          <w:t>Employer support</w:t>
        </w:r>
        <w:r w:rsidR="008D0932">
          <w:rPr>
            <w:noProof/>
            <w:webHidden/>
          </w:rPr>
          <w:tab/>
        </w:r>
        <w:r w:rsidR="008D0932">
          <w:rPr>
            <w:noProof/>
            <w:webHidden/>
          </w:rPr>
          <w:fldChar w:fldCharType="begin"/>
        </w:r>
        <w:r w:rsidR="008D0932">
          <w:rPr>
            <w:noProof/>
            <w:webHidden/>
          </w:rPr>
          <w:instrText xml:space="preserve"> PAGEREF _Toc528056036 \h </w:instrText>
        </w:r>
        <w:r w:rsidR="008D0932">
          <w:rPr>
            <w:noProof/>
            <w:webHidden/>
          </w:rPr>
        </w:r>
        <w:r w:rsidR="008D0932">
          <w:rPr>
            <w:noProof/>
            <w:webHidden/>
          </w:rPr>
          <w:fldChar w:fldCharType="separate"/>
        </w:r>
        <w:r w:rsidR="008D0932">
          <w:rPr>
            <w:noProof/>
            <w:webHidden/>
          </w:rPr>
          <w:t>36</w:t>
        </w:r>
        <w:r w:rsidR="008D0932">
          <w:rPr>
            <w:noProof/>
            <w:webHidden/>
          </w:rPr>
          <w:fldChar w:fldCharType="end"/>
        </w:r>
      </w:hyperlink>
    </w:p>
    <w:p w14:paraId="4570F09C" w14:textId="40EB9C9A" w:rsidR="008D0932" w:rsidRDefault="005B4845">
      <w:pPr>
        <w:pStyle w:val="TOC2"/>
        <w:tabs>
          <w:tab w:val="left" w:pos="1418"/>
        </w:tabs>
        <w:rPr>
          <w:rFonts w:asciiTheme="minorHAnsi" w:eastAsiaTheme="minorEastAsia" w:hAnsiTheme="minorHAnsi" w:cstheme="minorBidi"/>
          <w:noProof/>
          <w:sz w:val="22"/>
          <w:szCs w:val="22"/>
          <w:lang w:eastAsia="en-AU"/>
        </w:rPr>
      </w:pPr>
      <w:hyperlink w:anchor="_Toc528056037" w:history="1">
        <w:r w:rsidR="008D0932" w:rsidRPr="00EE7769">
          <w:rPr>
            <w:rStyle w:val="Hyperlink"/>
            <w:noProof/>
          </w:rPr>
          <w:t>5.4.</w:t>
        </w:r>
        <w:r w:rsidR="008D0932">
          <w:rPr>
            <w:rFonts w:asciiTheme="minorHAnsi" w:eastAsiaTheme="minorEastAsia" w:hAnsiTheme="minorHAnsi" w:cstheme="minorBidi"/>
            <w:noProof/>
            <w:sz w:val="22"/>
            <w:szCs w:val="22"/>
            <w:lang w:eastAsia="en-AU"/>
          </w:rPr>
          <w:tab/>
        </w:r>
        <w:r w:rsidR="008D0932" w:rsidRPr="00EE7769">
          <w:rPr>
            <w:rStyle w:val="Hyperlink"/>
            <w:noProof/>
          </w:rPr>
          <w:t>Contact from employer / return to work coordinator</w:t>
        </w:r>
        <w:r w:rsidR="008D0932">
          <w:rPr>
            <w:noProof/>
            <w:webHidden/>
          </w:rPr>
          <w:tab/>
        </w:r>
        <w:r w:rsidR="008D0932">
          <w:rPr>
            <w:noProof/>
            <w:webHidden/>
          </w:rPr>
          <w:fldChar w:fldCharType="begin"/>
        </w:r>
        <w:r w:rsidR="008D0932">
          <w:rPr>
            <w:noProof/>
            <w:webHidden/>
          </w:rPr>
          <w:instrText xml:space="preserve"> PAGEREF _Toc528056037 \h </w:instrText>
        </w:r>
        <w:r w:rsidR="008D0932">
          <w:rPr>
            <w:noProof/>
            <w:webHidden/>
          </w:rPr>
        </w:r>
        <w:r w:rsidR="008D0932">
          <w:rPr>
            <w:noProof/>
            <w:webHidden/>
          </w:rPr>
          <w:fldChar w:fldCharType="separate"/>
        </w:r>
        <w:r w:rsidR="008D0932">
          <w:rPr>
            <w:noProof/>
            <w:webHidden/>
          </w:rPr>
          <w:t>37</w:t>
        </w:r>
        <w:r w:rsidR="008D0932">
          <w:rPr>
            <w:noProof/>
            <w:webHidden/>
          </w:rPr>
          <w:fldChar w:fldCharType="end"/>
        </w:r>
      </w:hyperlink>
    </w:p>
    <w:p w14:paraId="18CB645F" w14:textId="4622FC1A" w:rsidR="008D0932" w:rsidRDefault="005B4845">
      <w:pPr>
        <w:pStyle w:val="TOC2"/>
        <w:tabs>
          <w:tab w:val="left" w:pos="1418"/>
        </w:tabs>
        <w:rPr>
          <w:rFonts w:asciiTheme="minorHAnsi" w:eastAsiaTheme="minorEastAsia" w:hAnsiTheme="minorHAnsi" w:cstheme="minorBidi"/>
          <w:noProof/>
          <w:sz w:val="22"/>
          <w:szCs w:val="22"/>
          <w:lang w:eastAsia="en-AU"/>
        </w:rPr>
      </w:pPr>
      <w:hyperlink w:anchor="_Toc528056038" w:history="1">
        <w:r w:rsidR="008D0932" w:rsidRPr="00EE7769">
          <w:rPr>
            <w:rStyle w:val="Hyperlink"/>
            <w:noProof/>
          </w:rPr>
          <w:t>5.5.</w:t>
        </w:r>
        <w:r w:rsidR="008D0932">
          <w:rPr>
            <w:rFonts w:asciiTheme="minorHAnsi" w:eastAsiaTheme="minorEastAsia" w:hAnsiTheme="minorHAnsi" w:cstheme="minorBidi"/>
            <w:noProof/>
            <w:sz w:val="22"/>
            <w:szCs w:val="22"/>
            <w:lang w:eastAsia="en-AU"/>
          </w:rPr>
          <w:tab/>
        </w:r>
        <w:r w:rsidR="008D0932" w:rsidRPr="00EE7769">
          <w:rPr>
            <w:rStyle w:val="Hyperlink"/>
            <w:noProof/>
          </w:rPr>
          <w:t>Stressful interactions (return to work coordinator)</w:t>
        </w:r>
        <w:r w:rsidR="008D0932">
          <w:rPr>
            <w:noProof/>
            <w:webHidden/>
          </w:rPr>
          <w:tab/>
        </w:r>
        <w:r w:rsidR="008D0932">
          <w:rPr>
            <w:noProof/>
            <w:webHidden/>
          </w:rPr>
          <w:fldChar w:fldCharType="begin"/>
        </w:r>
        <w:r w:rsidR="008D0932">
          <w:rPr>
            <w:noProof/>
            <w:webHidden/>
          </w:rPr>
          <w:instrText xml:space="preserve"> PAGEREF _Toc528056038 \h </w:instrText>
        </w:r>
        <w:r w:rsidR="008D0932">
          <w:rPr>
            <w:noProof/>
            <w:webHidden/>
          </w:rPr>
        </w:r>
        <w:r w:rsidR="008D0932">
          <w:rPr>
            <w:noProof/>
            <w:webHidden/>
          </w:rPr>
          <w:fldChar w:fldCharType="separate"/>
        </w:r>
        <w:r w:rsidR="008D0932">
          <w:rPr>
            <w:noProof/>
            <w:webHidden/>
          </w:rPr>
          <w:t>39</w:t>
        </w:r>
        <w:r w:rsidR="008D0932">
          <w:rPr>
            <w:noProof/>
            <w:webHidden/>
          </w:rPr>
          <w:fldChar w:fldCharType="end"/>
        </w:r>
      </w:hyperlink>
    </w:p>
    <w:p w14:paraId="4DD63FDE" w14:textId="567BDF00" w:rsidR="008D0932" w:rsidRDefault="005B4845" w:rsidP="008D0932">
      <w:pPr>
        <w:pStyle w:val="TOC1"/>
        <w:rPr>
          <w:rFonts w:asciiTheme="minorHAnsi" w:eastAsiaTheme="minorEastAsia" w:hAnsiTheme="minorHAnsi" w:cstheme="minorBidi"/>
          <w:sz w:val="22"/>
          <w:szCs w:val="22"/>
          <w:lang w:eastAsia="en-AU"/>
        </w:rPr>
      </w:pPr>
      <w:hyperlink w:anchor="_Toc528056039" w:history="1">
        <w:r w:rsidR="008D0932" w:rsidRPr="00EE7769">
          <w:rPr>
            <w:rStyle w:val="Hyperlink"/>
          </w:rPr>
          <w:t>6.</w:t>
        </w:r>
        <w:r w:rsidR="008D0932">
          <w:rPr>
            <w:rFonts w:asciiTheme="minorHAnsi" w:eastAsiaTheme="minorEastAsia" w:hAnsiTheme="minorHAnsi" w:cstheme="minorBidi"/>
            <w:sz w:val="22"/>
            <w:szCs w:val="22"/>
            <w:lang w:eastAsia="en-AU"/>
          </w:rPr>
          <w:tab/>
        </w:r>
        <w:r w:rsidR="008D0932" w:rsidRPr="00EE7769">
          <w:rPr>
            <w:rStyle w:val="Hyperlink"/>
          </w:rPr>
          <w:t>Healthcare Domain Measures</w:t>
        </w:r>
        <w:r w:rsidR="008D0932">
          <w:rPr>
            <w:webHidden/>
          </w:rPr>
          <w:tab/>
        </w:r>
        <w:r w:rsidR="008D0932">
          <w:rPr>
            <w:webHidden/>
          </w:rPr>
          <w:fldChar w:fldCharType="begin"/>
        </w:r>
        <w:r w:rsidR="008D0932">
          <w:rPr>
            <w:webHidden/>
          </w:rPr>
          <w:instrText xml:space="preserve"> PAGEREF _Toc528056039 \h </w:instrText>
        </w:r>
        <w:r w:rsidR="008D0932">
          <w:rPr>
            <w:webHidden/>
          </w:rPr>
        </w:r>
        <w:r w:rsidR="008D0932">
          <w:rPr>
            <w:webHidden/>
          </w:rPr>
          <w:fldChar w:fldCharType="separate"/>
        </w:r>
        <w:r w:rsidR="008D0932">
          <w:rPr>
            <w:webHidden/>
          </w:rPr>
          <w:t>40</w:t>
        </w:r>
        <w:r w:rsidR="008D0932">
          <w:rPr>
            <w:webHidden/>
          </w:rPr>
          <w:fldChar w:fldCharType="end"/>
        </w:r>
      </w:hyperlink>
    </w:p>
    <w:p w14:paraId="2F5CF9B2" w14:textId="2C16812D" w:rsidR="008D0932" w:rsidRDefault="005B4845">
      <w:pPr>
        <w:pStyle w:val="TOC2"/>
        <w:tabs>
          <w:tab w:val="left" w:pos="1418"/>
        </w:tabs>
        <w:rPr>
          <w:rFonts w:asciiTheme="minorHAnsi" w:eastAsiaTheme="minorEastAsia" w:hAnsiTheme="minorHAnsi" w:cstheme="minorBidi"/>
          <w:noProof/>
          <w:sz w:val="22"/>
          <w:szCs w:val="22"/>
          <w:lang w:eastAsia="en-AU"/>
        </w:rPr>
      </w:pPr>
      <w:hyperlink w:anchor="_Toc528056040" w:history="1">
        <w:r w:rsidR="008D0932" w:rsidRPr="00EE7769">
          <w:rPr>
            <w:rStyle w:val="Hyperlink"/>
            <w:noProof/>
          </w:rPr>
          <w:t>6.1.</w:t>
        </w:r>
        <w:r w:rsidR="008D0932">
          <w:rPr>
            <w:rFonts w:asciiTheme="minorHAnsi" w:eastAsiaTheme="minorEastAsia" w:hAnsiTheme="minorHAnsi" w:cstheme="minorBidi"/>
            <w:noProof/>
            <w:sz w:val="22"/>
            <w:szCs w:val="22"/>
            <w:lang w:eastAsia="en-AU"/>
          </w:rPr>
          <w:tab/>
        </w:r>
        <w:r w:rsidR="008D0932" w:rsidRPr="00EE7769">
          <w:rPr>
            <w:rStyle w:val="Hyperlink"/>
            <w:noProof/>
          </w:rPr>
          <w:t>Healthcare access</w:t>
        </w:r>
        <w:r w:rsidR="008D0932">
          <w:rPr>
            <w:noProof/>
            <w:webHidden/>
          </w:rPr>
          <w:tab/>
        </w:r>
        <w:r w:rsidR="008D0932">
          <w:rPr>
            <w:noProof/>
            <w:webHidden/>
          </w:rPr>
          <w:fldChar w:fldCharType="begin"/>
        </w:r>
        <w:r w:rsidR="008D0932">
          <w:rPr>
            <w:noProof/>
            <w:webHidden/>
          </w:rPr>
          <w:instrText xml:space="preserve"> PAGEREF _Toc528056040 \h </w:instrText>
        </w:r>
        <w:r w:rsidR="008D0932">
          <w:rPr>
            <w:noProof/>
            <w:webHidden/>
          </w:rPr>
        </w:r>
        <w:r w:rsidR="008D0932">
          <w:rPr>
            <w:noProof/>
            <w:webHidden/>
          </w:rPr>
          <w:fldChar w:fldCharType="separate"/>
        </w:r>
        <w:r w:rsidR="008D0932">
          <w:rPr>
            <w:noProof/>
            <w:webHidden/>
          </w:rPr>
          <w:t>40</w:t>
        </w:r>
        <w:r w:rsidR="008D0932">
          <w:rPr>
            <w:noProof/>
            <w:webHidden/>
          </w:rPr>
          <w:fldChar w:fldCharType="end"/>
        </w:r>
      </w:hyperlink>
    </w:p>
    <w:p w14:paraId="1CE3F789" w14:textId="67F8B748" w:rsidR="008D0932" w:rsidRDefault="005B4845">
      <w:pPr>
        <w:pStyle w:val="TOC2"/>
        <w:tabs>
          <w:tab w:val="left" w:pos="1418"/>
        </w:tabs>
        <w:rPr>
          <w:rFonts w:asciiTheme="minorHAnsi" w:eastAsiaTheme="minorEastAsia" w:hAnsiTheme="minorHAnsi" w:cstheme="minorBidi"/>
          <w:noProof/>
          <w:sz w:val="22"/>
          <w:szCs w:val="22"/>
          <w:lang w:eastAsia="en-AU"/>
        </w:rPr>
      </w:pPr>
      <w:hyperlink w:anchor="_Toc528056041" w:history="1">
        <w:r w:rsidR="008D0932" w:rsidRPr="00EE7769">
          <w:rPr>
            <w:rStyle w:val="Hyperlink"/>
            <w:noProof/>
          </w:rPr>
          <w:t>6.2.</w:t>
        </w:r>
        <w:r w:rsidR="008D0932">
          <w:rPr>
            <w:rFonts w:asciiTheme="minorHAnsi" w:eastAsiaTheme="minorEastAsia" w:hAnsiTheme="minorHAnsi" w:cstheme="minorBidi"/>
            <w:noProof/>
            <w:sz w:val="22"/>
            <w:szCs w:val="22"/>
            <w:lang w:eastAsia="en-AU"/>
          </w:rPr>
          <w:tab/>
        </w:r>
        <w:r w:rsidR="008D0932" w:rsidRPr="00EE7769">
          <w:rPr>
            <w:rStyle w:val="Hyperlink"/>
            <w:noProof/>
          </w:rPr>
          <w:t>Healthcare team</w:t>
        </w:r>
        <w:r w:rsidR="008D0932">
          <w:rPr>
            <w:noProof/>
            <w:webHidden/>
          </w:rPr>
          <w:tab/>
        </w:r>
        <w:r w:rsidR="008D0932">
          <w:rPr>
            <w:noProof/>
            <w:webHidden/>
          </w:rPr>
          <w:fldChar w:fldCharType="begin"/>
        </w:r>
        <w:r w:rsidR="008D0932">
          <w:rPr>
            <w:noProof/>
            <w:webHidden/>
          </w:rPr>
          <w:instrText xml:space="preserve"> PAGEREF _Toc528056041 \h </w:instrText>
        </w:r>
        <w:r w:rsidR="008D0932">
          <w:rPr>
            <w:noProof/>
            <w:webHidden/>
          </w:rPr>
        </w:r>
        <w:r w:rsidR="008D0932">
          <w:rPr>
            <w:noProof/>
            <w:webHidden/>
          </w:rPr>
          <w:fldChar w:fldCharType="separate"/>
        </w:r>
        <w:r w:rsidR="008D0932">
          <w:rPr>
            <w:noProof/>
            <w:webHidden/>
          </w:rPr>
          <w:t>41</w:t>
        </w:r>
        <w:r w:rsidR="008D0932">
          <w:rPr>
            <w:noProof/>
            <w:webHidden/>
          </w:rPr>
          <w:fldChar w:fldCharType="end"/>
        </w:r>
      </w:hyperlink>
    </w:p>
    <w:p w14:paraId="709BFC63" w14:textId="269E78AB" w:rsidR="008D0932" w:rsidRDefault="005B4845">
      <w:pPr>
        <w:pStyle w:val="TOC2"/>
        <w:tabs>
          <w:tab w:val="left" w:pos="1418"/>
        </w:tabs>
        <w:rPr>
          <w:rFonts w:asciiTheme="minorHAnsi" w:eastAsiaTheme="minorEastAsia" w:hAnsiTheme="minorHAnsi" w:cstheme="minorBidi"/>
          <w:noProof/>
          <w:sz w:val="22"/>
          <w:szCs w:val="22"/>
          <w:lang w:eastAsia="en-AU"/>
        </w:rPr>
      </w:pPr>
      <w:hyperlink w:anchor="_Toc528056042" w:history="1">
        <w:r w:rsidR="008D0932" w:rsidRPr="00EE7769">
          <w:rPr>
            <w:rStyle w:val="Hyperlink"/>
            <w:noProof/>
          </w:rPr>
          <w:t>6.3.</w:t>
        </w:r>
        <w:r w:rsidR="008D0932">
          <w:rPr>
            <w:rFonts w:asciiTheme="minorHAnsi" w:eastAsiaTheme="minorEastAsia" w:hAnsiTheme="minorHAnsi" w:cstheme="minorBidi"/>
            <w:noProof/>
            <w:sz w:val="22"/>
            <w:szCs w:val="22"/>
            <w:lang w:eastAsia="en-AU"/>
          </w:rPr>
          <w:tab/>
        </w:r>
        <w:r w:rsidR="008D0932" w:rsidRPr="00EE7769">
          <w:rPr>
            <w:rStyle w:val="Hyperlink"/>
            <w:noProof/>
          </w:rPr>
          <w:t>Healthcare provider communications</w:t>
        </w:r>
        <w:r w:rsidR="008D0932">
          <w:rPr>
            <w:noProof/>
            <w:webHidden/>
          </w:rPr>
          <w:tab/>
        </w:r>
        <w:r w:rsidR="008D0932">
          <w:rPr>
            <w:noProof/>
            <w:webHidden/>
          </w:rPr>
          <w:fldChar w:fldCharType="begin"/>
        </w:r>
        <w:r w:rsidR="008D0932">
          <w:rPr>
            <w:noProof/>
            <w:webHidden/>
          </w:rPr>
          <w:instrText xml:space="preserve"> PAGEREF _Toc528056042 \h </w:instrText>
        </w:r>
        <w:r w:rsidR="008D0932">
          <w:rPr>
            <w:noProof/>
            <w:webHidden/>
          </w:rPr>
        </w:r>
        <w:r w:rsidR="008D0932">
          <w:rPr>
            <w:noProof/>
            <w:webHidden/>
          </w:rPr>
          <w:fldChar w:fldCharType="separate"/>
        </w:r>
        <w:r w:rsidR="008D0932">
          <w:rPr>
            <w:noProof/>
            <w:webHidden/>
          </w:rPr>
          <w:t>43</w:t>
        </w:r>
        <w:r w:rsidR="008D0932">
          <w:rPr>
            <w:noProof/>
            <w:webHidden/>
          </w:rPr>
          <w:fldChar w:fldCharType="end"/>
        </w:r>
      </w:hyperlink>
    </w:p>
    <w:p w14:paraId="2B2E55F5" w14:textId="770AE612" w:rsidR="008D0932" w:rsidRDefault="005B4845">
      <w:pPr>
        <w:pStyle w:val="TOC2"/>
        <w:tabs>
          <w:tab w:val="left" w:pos="1418"/>
        </w:tabs>
        <w:rPr>
          <w:rFonts w:asciiTheme="minorHAnsi" w:eastAsiaTheme="minorEastAsia" w:hAnsiTheme="minorHAnsi" w:cstheme="minorBidi"/>
          <w:noProof/>
          <w:sz w:val="22"/>
          <w:szCs w:val="22"/>
          <w:lang w:eastAsia="en-AU"/>
        </w:rPr>
      </w:pPr>
      <w:hyperlink w:anchor="_Toc528056043" w:history="1">
        <w:r w:rsidR="008D0932" w:rsidRPr="00EE7769">
          <w:rPr>
            <w:rStyle w:val="Hyperlink"/>
            <w:noProof/>
          </w:rPr>
          <w:t>6.4.</w:t>
        </w:r>
        <w:r w:rsidR="008D0932">
          <w:rPr>
            <w:rFonts w:asciiTheme="minorHAnsi" w:eastAsiaTheme="minorEastAsia" w:hAnsiTheme="minorHAnsi" w:cstheme="minorBidi"/>
            <w:noProof/>
            <w:sz w:val="22"/>
            <w:szCs w:val="22"/>
            <w:lang w:eastAsia="en-AU"/>
          </w:rPr>
          <w:tab/>
        </w:r>
        <w:r w:rsidR="008D0932" w:rsidRPr="00EE7769">
          <w:rPr>
            <w:rStyle w:val="Hyperlink"/>
            <w:noProof/>
          </w:rPr>
          <w:t>Stressful interactions (with healthcare provider)</w:t>
        </w:r>
        <w:r w:rsidR="008D0932">
          <w:rPr>
            <w:noProof/>
            <w:webHidden/>
          </w:rPr>
          <w:tab/>
        </w:r>
        <w:r w:rsidR="008D0932">
          <w:rPr>
            <w:noProof/>
            <w:webHidden/>
          </w:rPr>
          <w:fldChar w:fldCharType="begin"/>
        </w:r>
        <w:r w:rsidR="008D0932">
          <w:rPr>
            <w:noProof/>
            <w:webHidden/>
          </w:rPr>
          <w:instrText xml:space="preserve"> PAGEREF _Toc528056043 \h </w:instrText>
        </w:r>
        <w:r w:rsidR="008D0932">
          <w:rPr>
            <w:noProof/>
            <w:webHidden/>
          </w:rPr>
        </w:r>
        <w:r w:rsidR="008D0932">
          <w:rPr>
            <w:noProof/>
            <w:webHidden/>
          </w:rPr>
          <w:fldChar w:fldCharType="separate"/>
        </w:r>
        <w:r w:rsidR="008D0932">
          <w:rPr>
            <w:noProof/>
            <w:webHidden/>
          </w:rPr>
          <w:t>44</w:t>
        </w:r>
        <w:r w:rsidR="008D0932">
          <w:rPr>
            <w:noProof/>
            <w:webHidden/>
          </w:rPr>
          <w:fldChar w:fldCharType="end"/>
        </w:r>
      </w:hyperlink>
    </w:p>
    <w:p w14:paraId="2BA45260" w14:textId="0E9FC716" w:rsidR="008D0932" w:rsidRDefault="005B4845" w:rsidP="008D0932">
      <w:pPr>
        <w:pStyle w:val="TOC1"/>
        <w:rPr>
          <w:rFonts w:asciiTheme="minorHAnsi" w:eastAsiaTheme="minorEastAsia" w:hAnsiTheme="minorHAnsi" w:cstheme="minorBidi"/>
          <w:sz w:val="22"/>
          <w:szCs w:val="22"/>
          <w:lang w:eastAsia="en-AU"/>
        </w:rPr>
      </w:pPr>
      <w:hyperlink w:anchor="_Toc528056044" w:history="1">
        <w:r w:rsidR="008D0932" w:rsidRPr="00EE7769">
          <w:rPr>
            <w:rStyle w:val="Hyperlink"/>
          </w:rPr>
          <w:t>7.</w:t>
        </w:r>
        <w:r w:rsidR="008D0932">
          <w:rPr>
            <w:rFonts w:asciiTheme="minorHAnsi" w:eastAsiaTheme="minorEastAsia" w:hAnsiTheme="minorHAnsi" w:cstheme="minorBidi"/>
            <w:sz w:val="22"/>
            <w:szCs w:val="22"/>
            <w:lang w:eastAsia="en-AU"/>
          </w:rPr>
          <w:tab/>
        </w:r>
        <w:r w:rsidR="008D0932" w:rsidRPr="00EE7769">
          <w:rPr>
            <w:rStyle w:val="Hyperlink"/>
          </w:rPr>
          <w:t>Compensation System Domain Measures</w:t>
        </w:r>
        <w:r w:rsidR="008D0932">
          <w:rPr>
            <w:webHidden/>
          </w:rPr>
          <w:tab/>
        </w:r>
        <w:r w:rsidR="008D0932">
          <w:rPr>
            <w:webHidden/>
          </w:rPr>
          <w:fldChar w:fldCharType="begin"/>
        </w:r>
        <w:r w:rsidR="008D0932">
          <w:rPr>
            <w:webHidden/>
          </w:rPr>
          <w:instrText xml:space="preserve"> PAGEREF _Toc528056044 \h </w:instrText>
        </w:r>
        <w:r w:rsidR="008D0932">
          <w:rPr>
            <w:webHidden/>
          </w:rPr>
        </w:r>
        <w:r w:rsidR="008D0932">
          <w:rPr>
            <w:webHidden/>
          </w:rPr>
          <w:fldChar w:fldCharType="separate"/>
        </w:r>
        <w:r w:rsidR="008D0932">
          <w:rPr>
            <w:webHidden/>
          </w:rPr>
          <w:t>46</w:t>
        </w:r>
        <w:r w:rsidR="008D0932">
          <w:rPr>
            <w:webHidden/>
          </w:rPr>
          <w:fldChar w:fldCharType="end"/>
        </w:r>
      </w:hyperlink>
    </w:p>
    <w:p w14:paraId="59F8F375" w14:textId="4E9152F5" w:rsidR="008D0932" w:rsidRDefault="005B4845">
      <w:pPr>
        <w:pStyle w:val="TOC2"/>
        <w:tabs>
          <w:tab w:val="left" w:pos="1418"/>
        </w:tabs>
        <w:rPr>
          <w:rFonts w:asciiTheme="minorHAnsi" w:eastAsiaTheme="minorEastAsia" w:hAnsiTheme="minorHAnsi" w:cstheme="minorBidi"/>
          <w:noProof/>
          <w:sz w:val="22"/>
          <w:szCs w:val="22"/>
          <w:lang w:eastAsia="en-AU"/>
        </w:rPr>
      </w:pPr>
      <w:hyperlink w:anchor="_Toc528056045" w:history="1">
        <w:r w:rsidR="008D0932" w:rsidRPr="00EE7769">
          <w:rPr>
            <w:rStyle w:val="Hyperlink"/>
            <w:noProof/>
          </w:rPr>
          <w:t>7.1.</w:t>
        </w:r>
        <w:r w:rsidR="008D0932">
          <w:rPr>
            <w:rFonts w:asciiTheme="minorHAnsi" w:eastAsiaTheme="minorEastAsia" w:hAnsiTheme="minorHAnsi" w:cstheme="minorBidi"/>
            <w:noProof/>
            <w:sz w:val="22"/>
            <w:szCs w:val="22"/>
            <w:lang w:eastAsia="en-AU"/>
          </w:rPr>
          <w:tab/>
        </w:r>
        <w:r w:rsidR="008D0932" w:rsidRPr="00EE7769">
          <w:rPr>
            <w:rStyle w:val="Hyperlink"/>
            <w:noProof/>
          </w:rPr>
          <w:t>Navigation support</w:t>
        </w:r>
        <w:r w:rsidR="008D0932">
          <w:rPr>
            <w:noProof/>
            <w:webHidden/>
          </w:rPr>
          <w:tab/>
        </w:r>
        <w:r w:rsidR="008D0932">
          <w:rPr>
            <w:noProof/>
            <w:webHidden/>
          </w:rPr>
          <w:fldChar w:fldCharType="begin"/>
        </w:r>
        <w:r w:rsidR="008D0932">
          <w:rPr>
            <w:noProof/>
            <w:webHidden/>
          </w:rPr>
          <w:instrText xml:space="preserve"> PAGEREF _Toc528056045 \h </w:instrText>
        </w:r>
        <w:r w:rsidR="008D0932">
          <w:rPr>
            <w:noProof/>
            <w:webHidden/>
          </w:rPr>
        </w:r>
        <w:r w:rsidR="008D0932">
          <w:rPr>
            <w:noProof/>
            <w:webHidden/>
          </w:rPr>
          <w:fldChar w:fldCharType="separate"/>
        </w:r>
        <w:r w:rsidR="008D0932">
          <w:rPr>
            <w:noProof/>
            <w:webHidden/>
          </w:rPr>
          <w:t>46</w:t>
        </w:r>
        <w:r w:rsidR="008D0932">
          <w:rPr>
            <w:noProof/>
            <w:webHidden/>
          </w:rPr>
          <w:fldChar w:fldCharType="end"/>
        </w:r>
      </w:hyperlink>
    </w:p>
    <w:p w14:paraId="3EA0AD64" w14:textId="07CF85F7" w:rsidR="008D0932" w:rsidRDefault="005B4845">
      <w:pPr>
        <w:pStyle w:val="TOC3"/>
        <w:rPr>
          <w:rFonts w:asciiTheme="minorHAnsi" w:eastAsiaTheme="minorEastAsia" w:hAnsiTheme="minorHAnsi" w:cstheme="minorBidi"/>
          <w:sz w:val="22"/>
          <w:szCs w:val="22"/>
          <w:lang w:eastAsia="en-AU"/>
        </w:rPr>
      </w:pPr>
      <w:hyperlink w:anchor="_Toc528056046" w:history="1">
        <w:r w:rsidR="008D0932" w:rsidRPr="00EE7769">
          <w:rPr>
            <w:rStyle w:val="Hyperlink"/>
          </w:rPr>
          <w:t>7.1.1.</w:t>
        </w:r>
        <w:r w:rsidR="008D0932">
          <w:rPr>
            <w:rFonts w:asciiTheme="minorHAnsi" w:eastAsiaTheme="minorEastAsia" w:hAnsiTheme="minorHAnsi" w:cstheme="minorBidi"/>
            <w:sz w:val="22"/>
            <w:szCs w:val="22"/>
            <w:lang w:eastAsia="en-AU"/>
          </w:rPr>
          <w:tab/>
        </w:r>
        <w:r w:rsidR="008D0932" w:rsidRPr="00EE7769">
          <w:rPr>
            <w:rStyle w:val="Hyperlink"/>
          </w:rPr>
          <w:t>Source of support</w:t>
        </w:r>
        <w:r w:rsidR="008D0932">
          <w:rPr>
            <w:webHidden/>
          </w:rPr>
          <w:tab/>
        </w:r>
        <w:r w:rsidR="008D0932">
          <w:rPr>
            <w:webHidden/>
          </w:rPr>
          <w:fldChar w:fldCharType="begin"/>
        </w:r>
        <w:r w:rsidR="008D0932">
          <w:rPr>
            <w:webHidden/>
          </w:rPr>
          <w:instrText xml:space="preserve"> PAGEREF _Toc528056046 \h </w:instrText>
        </w:r>
        <w:r w:rsidR="008D0932">
          <w:rPr>
            <w:webHidden/>
          </w:rPr>
        </w:r>
        <w:r w:rsidR="008D0932">
          <w:rPr>
            <w:webHidden/>
          </w:rPr>
          <w:fldChar w:fldCharType="separate"/>
        </w:r>
        <w:r w:rsidR="008D0932">
          <w:rPr>
            <w:webHidden/>
          </w:rPr>
          <w:t>47</w:t>
        </w:r>
        <w:r w:rsidR="008D0932">
          <w:rPr>
            <w:webHidden/>
          </w:rPr>
          <w:fldChar w:fldCharType="end"/>
        </w:r>
      </w:hyperlink>
    </w:p>
    <w:p w14:paraId="35289FA8" w14:textId="0D442C5F" w:rsidR="008D0932" w:rsidRDefault="005B4845">
      <w:pPr>
        <w:pStyle w:val="TOC2"/>
        <w:tabs>
          <w:tab w:val="left" w:pos="1418"/>
        </w:tabs>
        <w:rPr>
          <w:rFonts w:asciiTheme="minorHAnsi" w:eastAsiaTheme="minorEastAsia" w:hAnsiTheme="minorHAnsi" w:cstheme="minorBidi"/>
          <w:noProof/>
          <w:sz w:val="22"/>
          <w:szCs w:val="22"/>
          <w:lang w:eastAsia="en-AU"/>
        </w:rPr>
      </w:pPr>
      <w:hyperlink w:anchor="_Toc528056047" w:history="1">
        <w:r w:rsidR="008D0932" w:rsidRPr="00EE7769">
          <w:rPr>
            <w:rStyle w:val="Hyperlink"/>
            <w:noProof/>
          </w:rPr>
          <w:t>7.2.</w:t>
        </w:r>
        <w:r w:rsidR="008D0932">
          <w:rPr>
            <w:rFonts w:asciiTheme="minorHAnsi" w:eastAsiaTheme="minorEastAsia" w:hAnsiTheme="minorHAnsi" w:cstheme="minorBidi"/>
            <w:noProof/>
            <w:sz w:val="22"/>
            <w:szCs w:val="22"/>
            <w:lang w:eastAsia="en-AU"/>
          </w:rPr>
          <w:tab/>
        </w:r>
        <w:r w:rsidR="008D0932" w:rsidRPr="00EE7769">
          <w:rPr>
            <w:rStyle w:val="Hyperlink"/>
            <w:noProof/>
          </w:rPr>
          <w:t>Difference of opinion</w:t>
        </w:r>
        <w:r w:rsidR="008D0932">
          <w:rPr>
            <w:noProof/>
            <w:webHidden/>
          </w:rPr>
          <w:tab/>
        </w:r>
        <w:r w:rsidR="008D0932">
          <w:rPr>
            <w:noProof/>
            <w:webHidden/>
          </w:rPr>
          <w:fldChar w:fldCharType="begin"/>
        </w:r>
        <w:r w:rsidR="008D0932">
          <w:rPr>
            <w:noProof/>
            <w:webHidden/>
          </w:rPr>
          <w:instrText xml:space="preserve"> PAGEREF _Toc528056047 \h </w:instrText>
        </w:r>
        <w:r w:rsidR="008D0932">
          <w:rPr>
            <w:noProof/>
            <w:webHidden/>
          </w:rPr>
        </w:r>
        <w:r w:rsidR="008D0932">
          <w:rPr>
            <w:noProof/>
            <w:webHidden/>
          </w:rPr>
          <w:fldChar w:fldCharType="separate"/>
        </w:r>
        <w:r w:rsidR="008D0932">
          <w:rPr>
            <w:noProof/>
            <w:webHidden/>
          </w:rPr>
          <w:t>48</w:t>
        </w:r>
        <w:r w:rsidR="008D0932">
          <w:rPr>
            <w:noProof/>
            <w:webHidden/>
          </w:rPr>
          <w:fldChar w:fldCharType="end"/>
        </w:r>
      </w:hyperlink>
    </w:p>
    <w:p w14:paraId="7281D110" w14:textId="5D1644DF" w:rsidR="008D0932" w:rsidRDefault="005B4845">
      <w:pPr>
        <w:pStyle w:val="TOC2"/>
        <w:tabs>
          <w:tab w:val="left" w:pos="1418"/>
        </w:tabs>
        <w:rPr>
          <w:rFonts w:asciiTheme="minorHAnsi" w:eastAsiaTheme="minorEastAsia" w:hAnsiTheme="minorHAnsi" w:cstheme="minorBidi"/>
          <w:noProof/>
          <w:sz w:val="22"/>
          <w:szCs w:val="22"/>
          <w:lang w:eastAsia="en-AU"/>
        </w:rPr>
      </w:pPr>
      <w:hyperlink w:anchor="_Toc528056048" w:history="1">
        <w:r w:rsidR="008D0932" w:rsidRPr="00EE7769">
          <w:rPr>
            <w:rStyle w:val="Hyperlink"/>
            <w:noProof/>
          </w:rPr>
          <w:t>7.3.</w:t>
        </w:r>
        <w:r w:rsidR="008D0932">
          <w:rPr>
            <w:rFonts w:asciiTheme="minorHAnsi" w:eastAsiaTheme="minorEastAsia" w:hAnsiTheme="minorHAnsi" w:cstheme="minorBidi"/>
            <w:noProof/>
            <w:sz w:val="22"/>
            <w:szCs w:val="22"/>
            <w:lang w:eastAsia="en-AU"/>
          </w:rPr>
          <w:tab/>
        </w:r>
        <w:r w:rsidR="008D0932" w:rsidRPr="00EE7769">
          <w:rPr>
            <w:rStyle w:val="Hyperlink"/>
            <w:noProof/>
          </w:rPr>
          <w:t>Perceived Justice of the Compensation Process</w:t>
        </w:r>
        <w:r w:rsidR="008D0932">
          <w:rPr>
            <w:noProof/>
            <w:webHidden/>
          </w:rPr>
          <w:tab/>
        </w:r>
        <w:r w:rsidR="008D0932">
          <w:rPr>
            <w:noProof/>
            <w:webHidden/>
          </w:rPr>
          <w:fldChar w:fldCharType="begin"/>
        </w:r>
        <w:r w:rsidR="008D0932">
          <w:rPr>
            <w:noProof/>
            <w:webHidden/>
          </w:rPr>
          <w:instrText xml:space="preserve"> PAGEREF _Toc528056048 \h </w:instrText>
        </w:r>
        <w:r w:rsidR="008D0932">
          <w:rPr>
            <w:noProof/>
            <w:webHidden/>
          </w:rPr>
        </w:r>
        <w:r w:rsidR="008D0932">
          <w:rPr>
            <w:noProof/>
            <w:webHidden/>
          </w:rPr>
          <w:fldChar w:fldCharType="separate"/>
        </w:r>
        <w:r w:rsidR="008D0932">
          <w:rPr>
            <w:noProof/>
            <w:webHidden/>
          </w:rPr>
          <w:t>49</w:t>
        </w:r>
        <w:r w:rsidR="008D0932">
          <w:rPr>
            <w:noProof/>
            <w:webHidden/>
          </w:rPr>
          <w:fldChar w:fldCharType="end"/>
        </w:r>
      </w:hyperlink>
    </w:p>
    <w:p w14:paraId="793E3544" w14:textId="47728D23" w:rsidR="008D0932" w:rsidRDefault="005B4845">
      <w:pPr>
        <w:pStyle w:val="TOC3"/>
        <w:rPr>
          <w:rFonts w:asciiTheme="minorHAnsi" w:eastAsiaTheme="minorEastAsia" w:hAnsiTheme="minorHAnsi" w:cstheme="minorBidi"/>
          <w:sz w:val="22"/>
          <w:szCs w:val="22"/>
          <w:lang w:eastAsia="en-AU"/>
        </w:rPr>
      </w:pPr>
      <w:hyperlink w:anchor="_Toc528056049" w:history="1">
        <w:r w:rsidR="008D0932" w:rsidRPr="00EE7769">
          <w:rPr>
            <w:rStyle w:val="Hyperlink"/>
          </w:rPr>
          <w:t>7.3.1.</w:t>
        </w:r>
        <w:r w:rsidR="008D0932">
          <w:rPr>
            <w:rFonts w:asciiTheme="minorHAnsi" w:eastAsiaTheme="minorEastAsia" w:hAnsiTheme="minorHAnsi" w:cstheme="minorBidi"/>
            <w:sz w:val="22"/>
            <w:szCs w:val="22"/>
            <w:lang w:eastAsia="en-AU"/>
          </w:rPr>
          <w:tab/>
        </w:r>
        <w:r w:rsidR="008D0932" w:rsidRPr="00EE7769">
          <w:rPr>
            <w:rStyle w:val="Hyperlink"/>
          </w:rPr>
          <w:t>Distributive justice</w:t>
        </w:r>
        <w:r w:rsidR="008D0932">
          <w:rPr>
            <w:webHidden/>
          </w:rPr>
          <w:tab/>
        </w:r>
        <w:r w:rsidR="008D0932">
          <w:rPr>
            <w:webHidden/>
          </w:rPr>
          <w:fldChar w:fldCharType="begin"/>
        </w:r>
        <w:r w:rsidR="008D0932">
          <w:rPr>
            <w:webHidden/>
          </w:rPr>
          <w:instrText xml:space="preserve"> PAGEREF _Toc528056049 \h </w:instrText>
        </w:r>
        <w:r w:rsidR="008D0932">
          <w:rPr>
            <w:webHidden/>
          </w:rPr>
        </w:r>
        <w:r w:rsidR="008D0932">
          <w:rPr>
            <w:webHidden/>
          </w:rPr>
          <w:fldChar w:fldCharType="separate"/>
        </w:r>
        <w:r w:rsidR="008D0932">
          <w:rPr>
            <w:webHidden/>
          </w:rPr>
          <w:t>49</w:t>
        </w:r>
        <w:r w:rsidR="008D0932">
          <w:rPr>
            <w:webHidden/>
          </w:rPr>
          <w:fldChar w:fldCharType="end"/>
        </w:r>
      </w:hyperlink>
    </w:p>
    <w:p w14:paraId="628E659E" w14:textId="1BEFC0D4" w:rsidR="008D0932" w:rsidRDefault="005B4845">
      <w:pPr>
        <w:pStyle w:val="TOC3"/>
        <w:rPr>
          <w:rFonts w:asciiTheme="minorHAnsi" w:eastAsiaTheme="minorEastAsia" w:hAnsiTheme="minorHAnsi" w:cstheme="minorBidi"/>
          <w:sz w:val="22"/>
          <w:szCs w:val="22"/>
          <w:lang w:eastAsia="en-AU"/>
        </w:rPr>
      </w:pPr>
      <w:hyperlink w:anchor="_Toc528056050" w:history="1">
        <w:r w:rsidR="008D0932" w:rsidRPr="00EE7769">
          <w:rPr>
            <w:rStyle w:val="Hyperlink"/>
          </w:rPr>
          <w:t>7.3.2.</w:t>
        </w:r>
        <w:r w:rsidR="008D0932">
          <w:rPr>
            <w:rFonts w:asciiTheme="minorHAnsi" w:eastAsiaTheme="minorEastAsia" w:hAnsiTheme="minorHAnsi" w:cstheme="minorBidi"/>
            <w:sz w:val="22"/>
            <w:szCs w:val="22"/>
            <w:lang w:eastAsia="en-AU"/>
          </w:rPr>
          <w:tab/>
        </w:r>
        <w:r w:rsidR="008D0932" w:rsidRPr="00EE7769">
          <w:rPr>
            <w:rStyle w:val="Hyperlink"/>
          </w:rPr>
          <w:t>Procedural justice</w:t>
        </w:r>
        <w:r w:rsidR="008D0932">
          <w:rPr>
            <w:webHidden/>
          </w:rPr>
          <w:tab/>
        </w:r>
        <w:r w:rsidR="008D0932">
          <w:rPr>
            <w:webHidden/>
          </w:rPr>
          <w:fldChar w:fldCharType="begin"/>
        </w:r>
        <w:r w:rsidR="008D0932">
          <w:rPr>
            <w:webHidden/>
          </w:rPr>
          <w:instrText xml:space="preserve"> PAGEREF _Toc528056050 \h </w:instrText>
        </w:r>
        <w:r w:rsidR="008D0932">
          <w:rPr>
            <w:webHidden/>
          </w:rPr>
        </w:r>
        <w:r w:rsidR="008D0932">
          <w:rPr>
            <w:webHidden/>
          </w:rPr>
          <w:fldChar w:fldCharType="separate"/>
        </w:r>
        <w:r w:rsidR="008D0932">
          <w:rPr>
            <w:webHidden/>
          </w:rPr>
          <w:t>49</w:t>
        </w:r>
        <w:r w:rsidR="008D0932">
          <w:rPr>
            <w:webHidden/>
          </w:rPr>
          <w:fldChar w:fldCharType="end"/>
        </w:r>
      </w:hyperlink>
    </w:p>
    <w:p w14:paraId="0BDD383E" w14:textId="6EEB2CC3" w:rsidR="008D0932" w:rsidRDefault="005B4845">
      <w:pPr>
        <w:pStyle w:val="TOC3"/>
        <w:rPr>
          <w:rFonts w:asciiTheme="minorHAnsi" w:eastAsiaTheme="minorEastAsia" w:hAnsiTheme="minorHAnsi" w:cstheme="minorBidi"/>
          <w:sz w:val="22"/>
          <w:szCs w:val="22"/>
          <w:lang w:eastAsia="en-AU"/>
        </w:rPr>
      </w:pPr>
      <w:hyperlink w:anchor="_Toc528056051" w:history="1">
        <w:r w:rsidR="008D0932" w:rsidRPr="00EE7769">
          <w:rPr>
            <w:rStyle w:val="Hyperlink"/>
          </w:rPr>
          <w:t>7.3.3.</w:t>
        </w:r>
        <w:r w:rsidR="008D0932">
          <w:rPr>
            <w:rFonts w:asciiTheme="minorHAnsi" w:eastAsiaTheme="minorEastAsia" w:hAnsiTheme="minorHAnsi" w:cstheme="minorBidi"/>
            <w:sz w:val="22"/>
            <w:szCs w:val="22"/>
            <w:lang w:eastAsia="en-AU"/>
          </w:rPr>
          <w:tab/>
        </w:r>
        <w:r w:rsidR="008D0932" w:rsidRPr="00EE7769">
          <w:rPr>
            <w:rStyle w:val="Hyperlink"/>
          </w:rPr>
          <w:t>Informational justice</w:t>
        </w:r>
        <w:r w:rsidR="008D0932">
          <w:rPr>
            <w:webHidden/>
          </w:rPr>
          <w:tab/>
        </w:r>
        <w:r w:rsidR="008D0932">
          <w:rPr>
            <w:webHidden/>
          </w:rPr>
          <w:fldChar w:fldCharType="begin"/>
        </w:r>
        <w:r w:rsidR="008D0932">
          <w:rPr>
            <w:webHidden/>
          </w:rPr>
          <w:instrText xml:space="preserve"> PAGEREF _Toc528056051 \h </w:instrText>
        </w:r>
        <w:r w:rsidR="008D0932">
          <w:rPr>
            <w:webHidden/>
          </w:rPr>
        </w:r>
        <w:r w:rsidR="008D0932">
          <w:rPr>
            <w:webHidden/>
          </w:rPr>
          <w:fldChar w:fldCharType="separate"/>
        </w:r>
        <w:r w:rsidR="008D0932">
          <w:rPr>
            <w:webHidden/>
          </w:rPr>
          <w:t>50</w:t>
        </w:r>
        <w:r w:rsidR="008D0932">
          <w:rPr>
            <w:webHidden/>
          </w:rPr>
          <w:fldChar w:fldCharType="end"/>
        </w:r>
      </w:hyperlink>
    </w:p>
    <w:p w14:paraId="40C34DD5" w14:textId="2A50F46E" w:rsidR="008D0932" w:rsidRDefault="005B4845">
      <w:pPr>
        <w:pStyle w:val="TOC3"/>
        <w:rPr>
          <w:rFonts w:asciiTheme="minorHAnsi" w:eastAsiaTheme="minorEastAsia" w:hAnsiTheme="minorHAnsi" w:cstheme="minorBidi"/>
          <w:sz w:val="22"/>
          <w:szCs w:val="22"/>
          <w:lang w:eastAsia="en-AU"/>
        </w:rPr>
      </w:pPr>
      <w:hyperlink w:anchor="_Toc528056052" w:history="1">
        <w:r w:rsidR="008D0932" w:rsidRPr="00EE7769">
          <w:rPr>
            <w:rStyle w:val="Hyperlink"/>
          </w:rPr>
          <w:t>7.3.4.</w:t>
        </w:r>
        <w:r w:rsidR="008D0932">
          <w:rPr>
            <w:rFonts w:asciiTheme="minorHAnsi" w:eastAsiaTheme="minorEastAsia" w:hAnsiTheme="minorHAnsi" w:cstheme="minorBidi"/>
            <w:sz w:val="22"/>
            <w:szCs w:val="22"/>
            <w:lang w:eastAsia="en-AU"/>
          </w:rPr>
          <w:tab/>
        </w:r>
        <w:r w:rsidR="008D0932" w:rsidRPr="00EE7769">
          <w:rPr>
            <w:rStyle w:val="Hyperlink"/>
          </w:rPr>
          <w:t>Interpersonal justice</w:t>
        </w:r>
        <w:r w:rsidR="008D0932">
          <w:rPr>
            <w:webHidden/>
          </w:rPr>
          <w:tab/>
        </w:r>
        <w:r w:rsidR="008D0932">
          <w:rPr>
            <w:webHidden/>
          </w:rPr>
          <w:fldChar w:fldCharType="begin"/>
        </w:r>
        <w:r w:rsidR="008D0932">
          <w:rPr>
            <w:webHidden/>
          </w:rPr>
          <w:instrText xml:space="preserve"> PAGEREF _Toc528056052 \h </w:instrText>
        </w:r>
        <w:r w:rsidR="008D0932">
          <w:rPr>
            <w:webHidden/>
          </w:rPr>
        </w:r>
        <w:r w:rsidR="008D0932">
          <w:rPr>
            <w:webHidden/>
          </w:rPr>
          <w:fldChar w:fldCharType="separate"/>
        </w:r>
        <w:r w:rsidR="008D0932">
          <w:rPr>
            <w:webHidden/>
          </w:rPr>
          <w:t>50</w:t>
        </w:r>
        <w:r w:rsidR="008D0932">
          <w:rPr>
            <w:webHidden/>
          </w:rPr>
          <w:fldChar w:fldCharType="end"/>
        </w:r>
      </w:hyperlink>
    </w:p>
    <w:p w14:paraId="1F8DBDC5" w14:textId="50E95387" w:rsidR="008D0932" w:rsidRDefault="005B4845" w:rsidP="008D0932">
      <w:pPr>
        <w:pStyle w:val="TOC1"/>
        <w:rPr>
          <w:rFonts w:asciiTheme="minorHAnsi" w:eastAsiaTheme="minorEastAsia" w:hAnsiTheme="minorHAnsi" w:cstheme="minorBidi"/>
          <w:sz w:val="22"/>
          <w:szCs w:val="22"/>
          <w:lang w:eastAsia="en-AU"/>
        </w:rPr>
      </w:pPr>
      <w:hyperlink w:anchor="_Toc528056053" w:history="1">
        <w:r w:rsidR="008D0932" w:rsidRPr="00EE7769">
          <w:rPr>
            <w:rStyle w:val="Hyperlink"/>
          </w:rPr>
          <w:t>Appendix 1: Sample profile, by jurisdiction</w:t>
        </w:r>
        <w:r w:rsidR="008D0932">
          <w:rPr>
            <w:webHidden/>
          </w:rPr>
          <w:tab/>
        </w:r>
        <w:r w:rsidR="008D0932">
          <w:rPr>
            <w:webHidden/>
          </w:rPr>
          <w:fldChar w:fldCharType="begin"/>
        </w:r>
        <w:r w:rsidR="008D0932">
          <w:rPr>
            <w:webHidden/>
          </w:rPr>
          <w:instrText xml:space="preserve"> PAGEREF _Toc528056053 \h </w:instrText>
        </w:r>
        <w:r w:rsidR="008D0932">
          <w:rPr>
            <w:webHidden/>
          </w:rPr>
        </w:r>
        <w:r w:rsidR="008D0932">
          <w:rPr>
            <w:webHidden/>
          </w:rPr>
          <w:fldChar w:fldCharType="separate"/>
        </w:r>
        <w:r w:rsidR="008D0932">
          <w:rPr>
            <w:webHidden/>
          </w:rPr>
          <w:t>52</w:t>
        </w:r>
        <w:r w:rsidR="008D0932">
          <w:rPr>
            <w:webHidden/>
          </w:rPr>
          <w:fldChar w:fldCharType="end"/>
        </w:r>
      </w:hyperlink>
    </w:p>
    <w:p w14:paraId="393D2A10" w14:textId="40D039BE" w:rsidR="00E07C58" w:rsidRDefault="00641E10" w:rsidP="00E07C58">
      <w:r>
        <w:rPr>
          <w:rFonts w:eastAsia="Times New Roman" w:cs="Times New Roman"/>
          <w:noProof/>
          <w:szCs w:val="20"/>
        </w:rPr>
        <w:fldChar w:fldCharType="end"/>
      </w:r>
    </w:p>
    <w:p w14:paraId="393D2A11" w14:textId="77777777" w:rsidR="00E07C58" w:rsidRDefault="00E07C58" w:rsidP="00E07C58">
      <w:pPr>
        <w:sectPr w:rsidR="00E07C58" w:rsidSect="00A313F5">
          <w:footerReference w:type="even" r:id="rId24"/>
          <w:footerReference w:type="default" r:id="rId25"/>
          <w:pgSz w:w="11906" w:h="16838" w:code="9"/>
          <w:pgMar w:top="1418" w:right="1418" w:bottom="1418" w:left="1418" w:header="454" w:footer="454" w:gutter="0"/>
          <w:pgNumType w:fmt="lowerRoman" w:start="3"/>
          <w:cols w:space="708"/>
          <w:docGrid w:linePitch="360"/>
        </w:sectPr>
      </w:pPr>
    </w:p>
    <w:p w14:paraId="393D2A12" w14:textId="77777777" w:rsidR="00DF4C24" w:rsidRDefault="00E07C58" w:rsidP="003A0349">
      <w:pPr>
        <w:pStyle w:val="Body"/>
        <w:spacing w:before="0" w:after="240" w:line="240" w:lineRule="auto"/>
        <w:outlineLvl w:val="0"/>
        <w:rPr>
          <w:b/>
          <w:color w:val="1F688D"/>
          <w:sz w:val="40"/>
          <w:szCs w:val="40"/>
        </w:rPr>
      </w:pPr>
      <w:bookmarkStart w:id="2" w:name="_Toc528055995"/>
      <w:r w:rsidRPr="008A56C3">
        <w:rPr>
          <w:b/>
          <w:color w:val="1F688D"/>
          <w:sz w:val="40"/>
          <w:szCs w:val="40"/>
        </w:rPr>
        <w:lastRenderedPageBreak/>
        <w:t>List of figures</w:t>
      </w:r>
      <w:bookmarkEnd w:id="2"/>
    </w:p>
    <w:p w14:paraId="2D9051C7" w14:textId="429EBFB1" w:rsidR="00916DD7" w:rsidRDefault="00A071BF">
      <w:pPr>
        <w:pStyle w:val="TableofFigures"/>
        <w:tabs>
          <w:tab w:val="right" w:leader="dot" w:pos="9060"/>
        </w:tabs>
        <w:rPr>
          <w:rFonts w:asciiTheme="minorHAnsi" w:eastAsiaTheme="minorEastAsia" w:hAnsiTheme="minorHAnsi"/>
          <w:noProof/>
          <w:sz w:val="22"/>
          <w:lang w:eastAsia="en-AU"/>
        </w:rPr>
      </w:pPr>
      <w:r>
        <w:rPr>
          <w:rFonts w:eastAsia="Times New Roman" w:cs="Times New Roman"/>
          <w:szCs w:val="20"/>
        </w:rPr>
        <w:fldChar w:fldCharType="begin"/>
      </w:r>
      <w:r>
        <w:instrText xml:space="preserve"> TOC \h \z \c "Figure" </w:instrText>
      </w:r>
      <w:r>
        <w:rPr>
          <w:rFonts w:eastAsia="Times New Roman" w:cs="Times New Roman"/>
          <w:szCs w:val="20"/>
        </w:rPr>
        <w:fldChar w:fldCharType="separate"/>
      </w:r>
      <w:hyperlink w:anchor="_Toc528056568" w:history="1">
        <w:r w:rsidR="00916DD7" w:rsidRPr="00CC212E">
          <w:rPr>
            <w:rStyle w:val="Hyperlink"/>
            <w:noProof/>
          </w:rPr>
          <w:t>Figure 1</w:t>
        </w:r>
        <w:r w:rsidR="00916DD7">
          <w:rPr>
            <w:rFonts w:asciiTheme="minorHAnsi" w:eastAsiaTheme="minorEastAsia" w:hAnsiTheme="minorHAnsi"/>
            <w:noProof/>
            <w:sz w:val="22"/>
            <w:lang w:eastAsia="en-AU"/>
          </w:rPr>
          <w:tab/>
        </w:r>
        <w:r w:rsidR="00916DD7" w:rsidRPr="00CC212E">
          <w:rPr>
            <w:rStyle w:val="Hyperlink"/>
            <w:noProof/>
          </w:rPr>
          <w:t>Ecological case management model for work disability</w:t>
        </w:r>
        <w:r w:rsidR="00916DD7">
          <w:rPr>
            <w:noProof/>
            <w:webHidden/>
          </w:rPr>
          <w:tab/>
        </w:r>
        <w:r w:rsidR="00916DD7">
          <w:rPr>
            <w:noProof/>
            <w:webHidden/>
          </w:rPr>
          <w:fldChar w:fldCharType="begin"/>
        </w:r>
        <w:r w:rsidR="00916DD7">
          <w:rPr>
            <w:noProof/>
            <w:webHidden/>
          </w:rPr>
          <w:instrText xml:space="preserve"> PAGEREF _Toc528056568 \h </w:instrText>
        </w:r>
        <w:r w:rsidR="00916DD7">
          <w:rPr>
            <w:noProof/>
            <w:webHidden/>
          </w:rPr>
        </w:r>
        <w:r w:rsidR="00916DD7">
          <w:rPr>
            <w:noProof/>
            <w:webHidden/>
          </w:rPr>
          <w:fldChar w:fldCharType="separate"/>
        </w:r>
        <w:r w:rsidR="00916DD7">
          <w:rPr>
            <w:noProof/>
            <w:webHidden/>
          </w:rPr>
          <w:t>6</w:t>
        </w:r>
        <w:r w:rsidR="00916DD7">
          <w:rPr>
            <w:noProof/>
            <w:webHidden/>
          </w:rPr>
          <w:fldChar w:fldCharType="end"/>
        </w:r>
      </w:hyperlink>
    </w:p>
    <w:p w14:paraId="149E09B3" w14:textId="3DD40667" w:rsidR="00916DD7" w:rsidRDefault="005B4845">
      <w:pPr>
        <w:pStyle w:val="TableofFigures"/>
        <w:tabs>
          <w:tab w:val="right" w:leader="dot" w:pos="9060"/>
        </w:tabs>
        <w:rPr>
          <w:rFonts w:asciiTheme="minorHAnsi" w:eastAsiaTheme="minorEastAsia" w:hAnsiTheme="minorHAnsi"/>
          <w:noProof/>
          <w:sz w:val="22"/>
          <w:lang w:eastAsia="en-AU"/>
        </w:rPr>
      </w:pPr>
      <w:hyperlink w:anchor="_Toc528056569" w:history="1">
        <w:r w:rsidR="00916DD7" w:rsidRPr="00CC212E">
          <w:rPr>
            <w:rStyle w:val="Hyperlink"/>
            <w:noProof/>
          </w:rPr>
          <w:t>Figure 2</w:t>
        </w:r>
        <w:r w:rsidR="00916DD7">
          <w:rPr>
            <w:rFonts w:asciiTheme="minorHAnsi" w:eastAsiaTheme="minorEastAsia" w:hAnsiTheme="minorHAnsi"/>
            <w:noProof/>
            <w:sz w:val="22"/>
            <w:lang w:eastAsia="en-AU"/>
          </w:rPr>
          <w:tab/>
        </w:r>
        <w:r w:rsidR="00916DD7" w:rsidRPr="00CC212E">
          <w:rPr>
            <w:rStyle w:val="Hyperlink"/>
            <w:noProof/>
          </w:rPr>
          <w:t>Returned to Work Rate by national time series (%)</w:t>
        </w:r>
        <w:r w:rsidR="00916DD7">
          <w:rPr>
            <w:noProof/>
            <w:webHidden/>
          </w:rPr>
          <w:tab/>
        </w:r>
        <w:r w:rsidR="00916DD7">
          <w:rPr>
            <w:noProof/>
            <w:webHidden/>
          </w:rPr>
          <w:fldChar w:fldCharType="begin"/>
        </w:r>
        <w:r w:rsidR="00916DD7">
          <w:rPr>
            <w:noProof/>
            <w:webHidden/>
          </w:rPr>
          <w:instrText xml:space="preserve"> PAGEREF _Toc528056569 \h </w:instrText>
        </w:r>
        <w:r w:rsidR="00916DD7">
          <w:rPr>
            <w:noProof/>
            <w:webHidden/>
          </w:rPr>
        </w:r>
        <w:r w:rsidR="00916DD7">
          <w:rPr>
            <w:noProof/>
            <w:webHidden/>
          </w:rPr>
          <w:fldChar w:fldCharType="separate"/>
        </w:r>
        <w:r w:rsidR="00916DD7">
          <w:rPr>
            <w:noProof/>
            <w:webHidden/>
          </w:rPr>
          <w:t>14</w:t>
        </w:r>
        <w:r w:rsidR="00916DD7">
          <w:rPr>
            <w:noProof/>
            <w:webHidden/>
          </w:rPr>
          <w:fldChar w:fldCharType="end"/>
        </w:r>
      </w:hyperlink>
    </w:p>
    <w:p w14:paraId="0DE6D9AB" w14:textId="584EBFEF" w:rsidR="00916DD7" w:rsidRDefault="005B4845">
      <w:pPr>
        <w:pStyle w:val="TableofFigures"/>
        <w:tabs>
          <w:tab w:val="right" w:leader="dot" w:pos="9060"/>
        </w:tabs>
        <w:rPr>
          <w:rFonts w:asciiTheme="minorHAnsi" w:eastAsiaTheme="minorEastAsia" w:hAnsiTheme="minorHAnsi"/>
          <w:noProof/>
          <w:sz w:val="22"/>
          <w:lang w:eastAsia="en-AU"/>
        </w:rPr>
      </w:pPr>
      <w:hyperlink w:anchor="_Toc528056570" w:history="1">
        <w:r w:rsidR="00916DD7" w:rsidRPr="00CC212E">
          <w:rPr>
            <w:rStyle w:val="Hyperlink"/>
            <w:noProof/>
          </w:rPr>
          <w:t>Figure 3</w:t>
        </w:r>
        <w:r w:rsidR="00916DD7">
          <w:rPr>
            <w:rFonts w:asciiTheme="minorHAnsi" w:eastAsiaTheme="minorEastAsia" w:hAnsiTheme="minorHAnsi"/>
            <w:noProof/>
            <w:sz w:val="22"/>
            <w:lang w:eastAsia="en-AU"/>
          </w:rPr>
          <w:tab/>
        </w:r>
        <w:r w:rsidR="00916DD7" w:rsidRPr="00CC212E">
          <w:rPr>
            <w:rStyle w:val="Hyperlink"/>
            <w:noProof/>
          </w:rPr>
          <w:t>Returned to Work Rate by jurisdiction – 2018 (%)</w:t>
        </w:r>
        <w:r w:rsidR="00916DD7">
          <w:rPr>
            <w:noProof/>
            <w:webHidden/>
          </w:rPr>
          <w:tab/>
        </w:r>
        <w:r w:rsidR="00916DD7">
          <w:rPr>
            <w:noProof/>
            <w:webHidden/>
          </w:rPr>
          <w:fldChar w:fldCharType="begin"/>
        </w:r>
        <w:r w:rsidR="00916DD7">
          <w:rPr>
            <w:noProof/>
            <w:webHidden/>
          </w:rPr>
          <w:instrText xml:space="preserve"> PAGEREF _Toc528056570 \h </w:instrText>
        </w:r>
        <w:r w:rsidR="00916DD7">
          <w:rPr>
            <w:noProof/>
            <w:webHidden/>
          </w:rPr>
        </w:r>
        <w:r w:rsidR="00916DD7">
          <w:rPr>
            <w:noProof/>
            <w:webHidden/>
          </w:rPr>
          <w:fldChar w:fldCharType="separate"/>
        </w:r>
        <w:r w:rsidR="00916DD7">
          <w:rPr>
            <w:noProof/>
            <w:webHidden/>
          </w:rPr>
          <w:t>14</w:t>
        </w:r>
        <w:r w:rsidR="00916DD7">
          <w:rPr>
            <w:noProof/>
            <w:webHidden/>
          </w:rPr>
          <w:fldChar w:fldCharType="end"/>
        </w:r>
      </w:hyperlink>
    </w:p>
    <w:p w14:paraId="6C392D17" w14:textId="6C167747" w:rsidR="00916DD7" w:rsidRDefault="005B4845">
      <w:pPr>
        <w:pStyle w:val="TableofFigures"/>
        <w:tabs>
          <w:tab w:val="right" w:leader="dot" w:pos="9060"/>
        </w:tabs>
        <w:rPr>
          <w:rFonts w:asciiTheme="minorHAnsi" w:eastAsiaTheme="minorEastAsia" w:hAnsiTheme="minorHAnsi"/>
          <w:noProof/>
          <w:sz w:val="22"/>
          <w:lang w:eastAsia="en-AU"/>
        </w:rPr>
      </w:pPr>
      <w:hyperlink w:anchor="_Toc528056571" w:history="1">
        <w:r w:rsidR="00916DD7" w:rsidRPr="00CC212E">
          <w:rPr>
            <w:rStyle w:val="Hyperlink"/>
            <w:noProof/>
          </w:rPr>
          <w:t>Figure 4</w:t>
        </w:r>
        <w:r w:rsidR="00916DD7">
          <w:rPr>
            <w:rFonts w:asciiTheme="minorHAnsi" w:eastAsiaTheme="minorEastAsia" w:hAnsiTheme="minorHAnsi"/>
            <w:noProof/>
            <w:sz w:val="22"/>
            <w:lang w:eastAsia="en-AU"/>
          </w:rPr>
          <w:tab/>
        </w:r>
        <w:r w:rsidR="00916DD7" w:rsidRPr="00CC212E">
          <w:rPr>
            <w:rStyle w:val="Hyperlink"/>
            <w:noProof/>
          </w:rPr>
          <w:t>Current Return to Work Rate by national time series (%)</w:t>
        </w:r>
        <w:r w:rsidR="00916DD7">
          <w:rPr>
            <w:noProof/>
            <w:webHidden/>
          </w:rPr>
          <w:tab/>
        </w:r>
        <w:r w:rsidR="00916DD7">
          <w:rPr>
            <w:noProof/>
            <w:webHidden/>
          </w:rPr>
          <w:fldChar w:fldCharType="begin"/>
        </w:r>
        <w:r w:rsidR="00916DD7">
          <w:rPr>
            <w:noProof/>
            <w:webHidden/>
          </w:rPr>
          <w:instrText xml:space="preserve"> PAGEREF _Toc528056571 \h </w:instrText>
        </w:r>
        <w:r w:rsidR="00916DD7">
          <w:rPr>
            <w:noProof/>
            <w:webHidden/>
          </w:rPr>
        </w:r>
        <w:r w:rsidR="00916DD7">
          <w:rPr>
            <w:noProof/>
            <w:webHidden/>
          </w:rPr>
          <w:fldChar w:fldCharType="separate"/>
        </w:r>
        <w:r w:rsidR="00916DD7">
          <w:rPr>
            <w:noProof/>
            <w:webHidden/>
          </w:rPr>
          <w:t>15</w:t>
        </w:r>
        <w:r w:rsidR="00916DD7">
          <w:rPr>
            <w:noProof/>
            <w:webHidden/>
          </w:rPr>
          <w:fldChar w:fldCharType="end"/>
        </w:r>
      </w:hyperlink>
    </w:p>
    <w:p w14:paraId="6883BF7E" w14:textId="0232BB15" w:rsidR="00916DD7" w:rsidRDefault="005B4845">
      <w:pPr>
        <w:pStyle w:val="TableofFigures"/>
        <w:tabs>
          <w:tab w:val="right" w:leader="dot" w:pos="9060"/>
        </w:tabs>
        <w:rPr>
          <w:rFonts w:asciiTheme="minorHAnsi" w:eastAsiaTheme="minorEastAsia" w:hAnsiTheme="minorHAnsi"/>
          <w:noProof/>
          <w:sz w:val="22"/>
          <w:lang w:eastAsia="en-AU"/>
        </w:rPr>
      </w:pPr>
      <w:hyperlink w:anchor="_Toc528056572" w:history="1">
        <w:r w:rsidR="00916DD7" w:rsidRPr="00CC212E">
          <w:rPr>
            <w:rStyle w:val="Hyperlink"/>
            <w:noProof/>
          </w:rPr>
          <w:t>Figure 5</w:t>
        </w:r>
        <w:r w:rsidR="00916DD7">
          <w:rPr>
            <w:rFonts w:asciiTheme="minorHAnsi" w:eastAsiaTheme="minorEastAsia" w:hAnsiTheme="minorHAnsi"/>
            <w:noProof/>
            <w:sz w:val="22"/>
            <w:lang w:eastAsia="en-AU"/>
          </w:rPr>
          <w:tab/>
        </w:r>
        <w:r w:rsidR="00916DD7" w:rsidRPr="00CC212E">
          <w:rPr>
            <w:rStyle w:val="Hyperlink"/>
            <w:noProof/>
          </w:rPr>
          <w:t>Current Return to Work Rate by jurisdiction – 2018 (%)</w:t>
        </w:r>
        <w:r w:rsidR="00916DD7">
          <w:rPr>
            <w:noProof/>
            <w:webHidden/>
          </w:rPr>
          <w:tab/>
        </w:r>
        <w:r w:rsidR="00916DD7">
          <w:rPr>
            <w:noProof/>
            <w:webHidden/>
          </w:rPr>
          <w:fldChar w:fldCharType="begin"/>
        </w:r>
        <w:r w:rsidR="00916DD7">
          <w:rPr>
            <w:noProof/>
            <w:webHidden/>
          </w:rPr>
          <w:instrText xml:space="preserve"> PAGEREF _Toc528056572 \h </w:instrText>
        </w:r>
        <w:r w:rsidR="00916DD7">
          <w:rPr>
            <w:noProof/>
            <w:webHidden/>
          </w:rPr>
        </w:r>
        <w:r w:rsidR="00916DD7">
          <w:rPr>
            <w:noProof/>
            <w:webHidden/>
          </w:rPr>
          <w:fldChar w:fldCharType="separate"/>
        </w:r>
        <w:r w:rsidR="00916DD7">
          <w:rPr>
            <w:noProof/>
            <w:webHidden/>
          </w:rPr>
          <w:t>15</w:t>
        </w:r>
        <w:r w:rsidR="00916DD7">
          <w:rPr>
            <w:noProof/>
            <w:webHidden/>
          </w:rPr>
          <w:fldChar w:fldCharType="end"/>
        </w:r>
      </w:hyperlink>
    </w:p>
    <w:p w14:paraId="21563398" w14:textId="19837734" w:rsidR="00916DD7" w:rsidRDefault="005B4845">
      <w:pPr>
        <w:pStyle w:val="TableofFigures"/>
        <w:tabs>
          <w:tab w:val="right" w:leader="dot" w:pos="9060"/>
        </w:tabs>
        <w:rPr>
          <w:rFonts w:asciiTheme="minorHAnsi" w:eastAsiaTheme="minorEastAsia" w:hAnsiTheme="minorHAnsi"/>
          <w:noProof/>
          <w:sz w:val="22"/>
          <w:lang w:eastAsia="en-AU"/>
        </w:rPr>
      </w:pPr>
      <w:hyperlink w:anchor="_Toc528056573" w:history="1">
        <w:r w:rsidR="00916DD7" w:rsidRPr="00CC212E">
          <w:rPr>
            <w:rStyle w:val="Hyperlink"/>
            <w:noProof/>
          </w:rPr>
          <w:t>Figure 6</w:t>
        </w:r>
        <w:r w:rsidR="00916DD7">
          <w:rPr>
            <w:rFonts w:asciiTheme="minorHAnsi" w:eastAsiaTheme="minorEastAsia" w:hAnsiTheme="minorHAnsi"/>
            <w:noProof/>
            <w:sz w:val="22"/>
            <w:lang w:eastAsia="en-AU"/>
          </w:rPr>
          <w:tab/>
        </w:r>
        <w:r w:rsidR="00916DD7" w:rsidRPr="00CC212E">
          <w:rPr>
            <w:rStyle w:val="Hyperlink"/>
            <w:noProof/>
          </w:rPr>
          <w:t>Current Return to Work Rate by employer size – 2018 (%)</w:t>
        </w:r>
        <w:r w:rsidR="00916DD7">
          <w:rPr>
            <w:noProof/>
            <w:webHidden/>
          </w:rPr>
          <w:tab/>
        </w:r>
        <w:r w:rsidR="00916DD7">
          <w:rPr>
            <w:noProof/>
            <w:webHidden/>
          </w:rPr>
          <w:fldChar w:fldCharType="begin"/>
        </w:r>
        <w:r w:rsidR="00916DD7">
          <w:rPr>
            <w:noProof/>
            <w:webHidden/>
          </w:rPr>
          <w:instrText xml:space="preserve"> PAGEREF _Toc528056573 \h </w:instrText>
        </w:r>
        <w:r w:rsidR="00916DD7">
          <w:rPr>
            <w:noProof/>
            <w:webHidden/>
          </w:rPr>
        </w:r>
        <w:r w:rsidR="00916DD7">
          <w:rPr>
            <w:noProof/>
            <w:webHidden/>
          </w:rPr>
          <w:fldChar w:fldCharType="separate"/>
        </w:r>
        <w:r w:rsidR="00916DD7">
          <w:rPr>
            <w:noProof/>
            <w:webHidden/>
          </w:rPr>
          <w:t>16</w:t>
        </w:r>
        <w:r w:rsidR="00916DD7">
          <w:rPr>
            <w:noProof/>
            <w:webHidden/>
          </w:rPr>
          <w:fldChar w:fldCharType="end"/>
        </w:r>
      </w:hyperlink>
    </w:p>
    <w:p w14:paraId="03061A80" w14:textId="31310205" w:rsidR="00916DD7" w:rsidRDefault="005B4845">
      <w:pPr>
        <w:pStyle w:val="TableofFigures"/>
        <w:tabs>
          <w:tab w:val="right" w:leader="dot" w:pos="9060"/>
        </w:tabs>
        <w:rPr>
          <w:rFonts w:asciiTheme="minorHAnsi" w:eastAsiaTheme="minorEastAsia" w:hAnsiTheme="minorHAnsi"/>
          <w:noProof/>
          <w:sz w:val="22"/>
          <w:lang w:eastAsia="en-AU"/>
        </w:rPr>
      </w:pPr>
      <w:hyperlink w:anchor="_Toc528056574" w:history="1">
        <w:r w:rsidR="00916DD7" w:rsidRPr="00CC212E">
          <w:rPr>
            <w:rStyle w:val="Hyperlink"/>
            <w:noProof/>
          </w:rPr>
          <w:t>Figure 7</w:t>
        </w:r>
        <w:r w:rsidR="00916DD7">
          <w:rPr>
            <w:rFonts w:asciiTheme="minorHAnsi" w:eastAsiaTheme="minorEastAsia" w:hAnsiTheme="minorHAnsi"/>
            <w:noProof/>
            <w:sz w:val="22"/>
            <w:lang w:eastAsia="en-AU"/>
          </w:rPr>
          <w:tab/>
        </w:r>
        <w:r w:rsidR="00916DD7" w:rsidRPr="00CC212E">
          <w:rPr>
            <w:rStyle w:val="Hyperlink"/>
            <w:noProof/>
          </w:rPr>
          <w:t>Historic Returned to Work Rate by jurisdiction – 2018 (%)</w:t>
        </w:r>
        <w:r w:rsidR="00916DD7">
          <w:rPr>
            <w:noProof/>
            <w:webHidden/>
          </w:rPr>
          <w:tab/>
        </w:r>
        <w:r w:rsidR="00916DD7">
          <w:rPr>
            <w:noProof/>
            <w:webHidden/>
          </w:rPr>
          <w:fldChar w:fldCharType="begin"/>
        </w:r>
        <w:r w:rsidR="00916DD7">
          <w:rPr>
            <w:noProof/>
            <w:webHidden/>
          </w:rPr>
          <w:instrText xml:space="preserve"> PAGEREF _Toc528056574 \h </w:instrText>
        </w:r>
        <w:r w:rsidR="00916DD7">
          <w:rPr>
            <w:noProof/>
            <w:webHidden/>
          </w:rPr>
        </w:r>
        <w:r w:rsidR="00916DD7">
          <w:rPr>
            <w:noProof/>
            <w:webHidden/>
          </w:rPr>
          <w:fldChar w:fldCharType="separate"/>
        </w:r>
        <w:r w:rsidR="00916DD7">
          <w:rPr>
            <w:noProof/>
            <w:webHidden/>
          </w:rPr>
          <w:t>17</w:t>
        </w:r>
        <w:r w:rsidR="00916DD7">
          <w:rPr>
            <w:noProof/>
            <w:webHidden/>
          </w:rPr>
          <w:fldChar w:fldCharType="end"/>
        </w:r>
      </w:hyperlink>
    </w:p>
    <w:p w14:paraId="1C335088" w14:textId="5261CBAC" w:rsidR="00916DD7" w:rsidRDefault="005B4845">
      <w:pPr>
        <w:pStyle w:val="TableofFigures"/>
        <w:tabs>
          <w:tab w:val="right" w:leader="dot" w:pos="9060"/>
        </w:tabs>
        <w:rPr>
          <w:rFonts w:asciiTheme="minorHAnsi" w:eastAsiaTheme="minorEastAsia" w:hAnsiTheme="minorHAnsi"/>
          <w:noProof/>
          <w:sz w:val="22"/>
          <w:lang w:eastAsia="en-AU"/>
        </w:rPr>
      </w:pPr>
      <w:hyperlink w:anchor="_Toc528056575" w:history="1">
        <w:r w:rsidR="00916DD7" w:rsidRPr="00CC212E">
          <w:rPr>
            <w:rStyle w:val="Hyperlink"/>
            <w:noProof/>
          </w:rPr>
          <w:t>Figure 8</w:t>
        </w:r>
        <w:r w:rsidR="00916DD7">
          <w:rPr>
            <w:rFonts w:asciiTheme="minorHAnsi" w:eastAsiaTheme="minorEastAsia" w:hAnsiTheme="minorHAnsi"/>
            <w:noProof/>
            <w:sz w:val="22"/>
            <w:lang w:eastAsia="en-AU"/>
          </w:rPr>
          <w:tab/>
        </w:r>
        <w:r w:rsidR="00916DD7" w:rsidRPr="00CC212E">
          <w:rPr>
            <w:rStyle w:val="Hyperlink"/>
            <w:noProof/>
          </w:rPr>
          <w:t>Historic Current Return to Work Rate by jurisdiction – 2018 (%)</w:t>
        </w:r>
        <w:r w:rsidR="00916DD7">
          <w:rPr>
            <w:noProof/>
            <w:webHidden/>
          </w:rPr>
          <w:tab/>
        </w:r>
        <w:r w:rsidR="00916DD7">
          <w:rPr>
            <w:noProof/>
            <w:webHidden/>
          </w:rPr>
          <w:fldChar w:fldCharType="begin"/>
        </w:r>
        <w:r w:rsidR="00916DD7">
          <w:rPr>
            <w:noProof/>
            <w:webHidden/>
          </w:rPr>
          <w:instrText xml:space="preserve"> PAGEREF _Toc528056575 \h </w:instrText>
        </w:r>
        <w:r w:rsidR="00916DD7">
          <w:rPr>
            <w:noProof/>
            <w:webHidden/>
          </w:rPr>
        </w:r>
        <w:r w:rsidR="00916DD7">
          <w:rPr>
            <w:noProof/>
            <w:webHidden/>
          </w:rPr>
          <w:fldChar w:fldCharType="separate"/>
        </w:r>
        <w:r w:rsidR="00916DD7">
          <w:rPr>
            <w:noProof/>
            <w:webHidden/>
          </w:rPr>
          <w:t>17</w:t>
        </w:r>
        <w:r w:rsidR="00916DD7">
          <w:rPr>
            <w:noProof/>
            <w:webHidden/>
          </w:rPr>
          <w:fldChar w:fldCharType="end"/>
        </w:r>
      </w:hyperlink>
    </w:p>
    <w:p w14:paraId="77A53571" w14:textId="16C3D838" w:rsidR="00916DD7" w:rsidRDefault="005B4845">
      <w:pPr>
        <w:pStyle w:val="TableofFigures"/>
        <w:tabs>
          <w:tab w:val="right" w:leader="dot" w:pos="9060"/>
        </w:tabs>
        <w:rPr>
          <w:rFonts w:asciiTheme="minorHAnsi" w:eastAsiaTheme="minorEastAsia" w:hAnsiTheme="minorHAnsi"/>
          <w:noProof/>
          <w:sz w:val="22"/>
          <w:lang w:eastAsia="en-AU"/>
        </w:rPr>
      </w:pPr>
      <w:hyperlink w:anchor="_Toc528056576" w:history="1">
        <w:r w:rsidR="00916DD7" w:rsidRPr="00CC212E">
          <w:rPr>
            <w:rStyle w:val="Hyperlink"/>
            <w:noProof/>
          </w:rPr>
          <w:t>Figure 9</w:t>
        </w:r>
        <w:r w:rsidR="00916DD7">
          <w:rPr>
            <w:rFonts w:asciiTheme="minorHAnsi" w:eastAsiaTheme="minorEastAsia" w:hAnsiTheme="minorHAnsi"/>
            <w:noProof/>
            <w:sz w:val="22"/>
            <w:lang w:eastAsia="en-AU"/>
          </w:rPr>
          <w:tab/>
        </w:r>
        <w:r w:rsidR="00916DD7" w:rsidRPr="00CC212E">
          <w:rPr>
            <w:rStyle w:val="Hyperlink"/>
            <w:noProof/>
          </w:rPr>
          <w:t>Additional return to work attempts by time series (%)</w:t>
        </w:r>
        <w:r w:rsidR="00916DD7">
          <w:rPr>
            <w:noProof/>
            <w:webHidden/>
          </w:rPr>
          <w:tab/>
        </w:r>
        <w:r w:rsidR="00916DD7">
          <w:rPr>
            <w:noProof/>
            <w:webHidden/>
          </w:rPr>
          <w:fldChar w:fldCharType="begin"/>
        </w:r>
        <w:r w:rsidR="00916DD7">
          <w:rPr>
            <w:noProof/>
            <w:webHidden/>
          </w:rPr>
          <w:instrText xml:space="preserve"> PAGEREF _Toc528056576 \h </w:instrText>
        </w:r>
        <w:r w:rsidR="00916DD7">
          <w:rPr>
            <w:noProof/>
            <w:webHidden/>
          </w:rPr>
        </w:r>
        <w:r w:rsidR="00916DD7">
          <w:rPr>
            <w:noProof/>
            <w:webHidden/>
          </w:rPr>
          <w:fldChar w:fldCharType="separate"/>
        </w:r>
        <w:r w:rsidR="00916DD7">
          <w:rPr>
            <w:noProof/>
            <w:webHidden/>
          </w:rPr>
          <w:t>18</w:t>
        </w:r>
        <w:r w:rsidR="00916DD7">
          <w:rPr>
            <w:noProof/>
            <w:webHidden/>
          </w:rPr>
          <w:fldChar w:fldCharType="end"/>
        </w:r>
      </w:hyperlink>
    </w:p>
    <w:p w14:paraId="18001E33" w14:textId="6E879D0B" w:rsidR="00916DD7" w:rsidRDefault="005B4845">
      <w:pPr>
        <w:pStyle w:val="TableofFigures"/>
        <w:tabs>
          <w:tab w:val="right" w:leader="dot" w:pos="9060"/>
        </w:tabs>
        <w:rPr>
          <w:rFonts w:asciiTheme="minorHAnsi" w:eastAsiaTheme="minorEastAsia" w:hAnsiTheme="minorHAnsi"/>
          <w:noProof/>
          <w:sz w:val="22"/>
          <w:lang w:eastAsia="en-AU"/>
        </w:rPr>
      </w:pPr>
      <w:hyperlink w:anchor="_Toc528056577" w:history="1">
        <w:r w:rsidR="00916DD7" w:rsidRPr="00CC212E">
          <w:rPr>
            <w:rStyle w:val="Hyperlink"/>
            <w:noProof/>
          </w:rPr>
          <w:t>Figure 10</w:t>
        </w:r>
        <w:r w:rsidR="00916DD7">
          <w:rPr>
            <w:rFonts w:asciiTheme="minorHAnsi" w:eastAsiaTheme="minorEastAsia" w:hAnsiTheme="minorHAnsi"/>
            <w:noProof/>
            <w:sz w:val="22"/>
            <w:lang w:eastAsia="en-AU"/>
          </w:rPr>
          <w:tab/>
        </w:r>
        <w:r w:rsidR="00916DD7" w:rsidRPr="00CC212E">
          <w:rPr>
            <w:rStyle w:val="Hyperlink"/>
            <w:noProof/>
          </w:rPr>
          <w:t>Work Ability Index by jurisdiction and injury/illness type (average)</w:t>
        </w:r>
        <w:r w:rsidR="00916DD7">
          <w:rPr>
            <w:noProof/>
            <w:webHidden/>
          </w:rPr>
          <w:tab/>
        </w:r>
        <w:r w:rsidR="00916DD7">
          <w:rPr>
            <w:noProof/>
            <w:webHidden/>
          </w:rPr>
          <w:fldChar w:fldCharType="begin"/>
        </w:r>
        <w:r w:rsidR="00916DD7">
          <w:rPr>
            <w:noProof/>
            <w:webHidden/>
          </w:rPr>
          <w:instrText xml:space="preserve"> PAGEREF _Toc528056577 \h </w:instrText>
        </w:r>
        <w:r w:rsidR="00916DD7">
          <w:rPr>
            <w:noProof/>
            <w:webHidden/>
          </w:rPr>
        </w:r>
        <w:r w:rsidR="00916DD7">
          <w:rPr>
            <w:noProof/>
            <w:webHidden/>
          </w:rPr>
          <w:fldChar w:fldCharType="separate"/>
        </w:r>
        <w:r w:rsidR="00916DD7">
          <w:rPr>
            <w:noProof/>
            <w:webHidden/>
          </w:rPr>
          <w:t>20</w:t>
        </w:r>
        <w:r w:rsidR="00916DD7">
          <w:rPr>
            <w:noProof/>
            <w:webHidden/>
          </w:rPr>
          <w:fldChar w:fldCharType="end"/>
        </w:r>
      </w:hyperlink>
    </w:p>
    <w:p w14:paraId="57933E9A" w14:textId="0DBE3FBF" w:rsidR="00916DD7" w:rsidRDefault="005B4845">
      <w:pPr>
        <w:pStyle w:val="TableofFigures"/>
        <w:tabs>
          <w:tab w:val="right" w:leader="dot" w:pos="9060"/>
        </w:tabs>
        <w:rPr>
          <w:rFonts w:asciiTheme="minorHAnsi" w:eastAsiaTheme="minorEastAsia" w:hAnsiTheme="minorHAnsi"/>
          <w:noProof/>
          <w:sz w:val="22"/>
          <w:lang w:eastAsia="en-AU"/>
        </w:rPr>
      </w:pPr>
      <w:hyperlink w:anchor="_Toc528056578" w:history="1">
        <w:r w:rsidR="00916DD7" w:rsidRPr="00CC212E">
          <w:rPr>
            <w:rStyle w:val="Hyperlink"/>
            <w:noProof/>
          </w:rPr>
          <w:t>Figure 11</w:t>
        </w:r>
        <w:r w:rsidR="00916DD7">
          <w:rPr>
            <w:rFonts w:asciiTheme="minorHAnsi" w:eastAsiaTheme="minorEastAsia" w:hAnsiTheme="minorHAnsi"/>
            <w:noProof/>
            <w:sz w:val="22"/>
            <w:lang w:eastAsia="en-AU"/>
          </w:rPr>
          <w:tab/>
        </w:r>
        <w:r w:rsidR="00916DD7" w:rsidRPr="00CC212E">
          <w:rPr>
            <w:rStyle w:val="Hyperlink"/>
            <w:noProof/>
          </w:rPr>
          <w:t>Work limitations by jurisdiction and injury/illness type (%)</w:t>
        </w:r>
        <w:r w:rsidR="00916DD7">
          <w:rPr>
            <w:noProof/>
            <w:webHidden/>
          </w:rPr>
          <w:tab/>
        </w:r>
        <w:r w:rsidR="00916DD7">
          <w:rPr>
            <w:noProof/>
            <w:webHidden/>
          </w:rPr>
          <w:fldChar w:fldCharType="begin"/>
        </w:r>
        <w:r w:rsidR="00916DD7">
          <w:rPr>
            <w:noProof/>
            <w:webHidden/>
          </w:rPr>
          <w:instrText xml:space="preserve"> PAGEREF _Toc528056578 \h </w:instrText>
        </w:r>
        <w:r w:rsidR="00916DD7">
          <w:rPr>
            <w:noProof/>
            <w:webHidden/>
          </w:rPr>
        </w:r>
        <w:r w:rsidR="00916DD7">
          <w:rPr>
            <w:noProof/>
            <w:webHidden/>
          </w:rPr>
          <w:fldChar w:fldCharType="separate"/>
        </w:r>
        <w:r w:rsidR="00916DD7">
          <w:rPr>
            <w:noProof/>
            <w:webHidden/>
          </w:rPr>
          <w:t>21</w:t>
        </w:r>
        <w:r w:rsidR="00916DD7">
          <w:rPr>
            <w:noProof/>
            <w:webHidden/>
          </w:rPr>
          <w:fldChar w:fldCharType="end"/>
        </w:r>
      </w:hyperlink>
    </w:p>
    <w:p w14:paraId="46D57D00" w14:textId="5491375C" w:rsidR="00916DD7" w:rsidRDefault="005B4845">
      <w:pPr>
        <w:pStyle w:val="TableofFigures"/>
        <w:tabs>
          <w:tab w:val="right" w:leader="dot" w:pos="9060"/>
        </w:tabs>
        <w:rPr>
          <w:rFonts w:asciiTheme="minorHAnsi" w:eastAsiaTheme="minorEastAsia" w:hAnsiTheme="minorHAnsi"/>
          <w:noProof/>
          <w:sz w:val="22"/>
          <w:lang w:eastAsia="en-AU"/>
        </w:rPr>
      </w:pPr>
      <w:hyperlink w:anchor="_Toc528056579" w:history="1">
        <w:r w:rsidR="00916DD7" w:rsidRPr="00CC212E">
          <w:rPr>
            <w:rStyle w:val="Hyperlink"/>
            <w:noProof/>
          </w:rPr>
          <w:t>Figure 12</w:t>
        </w:r>
        <w:r w:rsidR="00916DD7">
          <w:rPr>
            <w:rFonts w:asciiTheme="minorHAnsi" w:eastAsiaTheme="minorEastAsia" w:hAnsiTheme="minorHAnsi"/>
            <w:noProof/>
            <w:sz w:val="22"/>
            <w:lang w:eastAsia="en-AU"/>
          </w:rPr>
          <w:tab/>
        </w:r>
        <w:r w:rsidR="00916DD7" w:rsidRPr="00CC212E">
          <w:rPr>
            <w:rStyle w:val="Hyperlink"/>
            <w:noProof/>
          </w:rPr>
          <w:t>Hours upon returning to work by jurisdiction and injury/illness type</w:t>
        </w:r>
        <w:r w:rsidR="00916DD7">
          <w:rPr>
            <w:noProof/>
            <w:webHidden/>
          </w:rPr>
          <w:tab/>
        </w:r>
        <w:r w:rsidR="00916DD7">
          <w:rPr>
            <w:noProof/>
            <w:webHidden/>
          </w:rPr>
          <w:fldChar w:fldCharType="begin"/>
        </w:r>
        <w:r w:rsidR="00916DD7">
          <w:rPr>
            <w:noProof/>
            <w:webHidden/>
          </w:rPr>
          <w:instrText xml:space="preserve"> PAGEREF _Toc528056579 \h </w:instrText>
        </w:r>
        <w:r w:rsidR="00916DD7">
          <w:rPr>
            <w:noProof/>
            <w:webHidden/>
          </w:rPr>
        </w:r>
        <w:r w:rsidR="00916DD7">
          <w:rPr>
            <w:noProof/>
            <w:webHidden/>
          </w:rPr>
          <w:fldChar w:fldCharType="separate"/>
        </w:r>
        <w:r w:rsidR="00916DD7">
          <w:rPr>
            <w:noProof/>
            <w:webHidden/>
          </w:rPr>
          <w:t>23</w:t>
        </w:r>
        <w:r w:rsidR="00916DD7">
          <w:rPr>
            <w:noProof/>
            <w:webHidden/>
          </w:rPr>
          <w:fldChar w:fldCharType="end"/>
        </w:r>
      </w:hyperlink>
    </w:p>
    <w:p w14:paraId="072947CA" w14:textId="2F59FE81" w:rsidR="00916DD7" w:rsidRDefault="005B4845">
      <w:pPr>
        <w:pStyle w:val="TableofFigures"/>
        <w:tabs>
          <w:tab w:val="right" w:leader="dot" w:pos="9060"/>
        </w:tabs>
        <w:rPr>
          <w:rFonts w:asciiTheme="minorHAnsi" w:eastAsiaTheme="minorEastAsia" w:hAnsiTheme="minorHAnsi"/>
          <w:noProof/>
          <w:sz w:val="22"/>
          <w:lang w:eastAsia="en-AU"/>
        </w:rPr>
      </w:pPr>
      <w:hyperlink w:anchor="_Toc528056580" w:history="1">
        <w:r w:rsidR="00916DD7" w:rsidRPr="00CC212E">
          <w:rPr>
            <w:rStyle w:val="Hyperlink"/>
            <w:noProof/>
          </w:rPr>
          <w:t>Figure 13</w:t>
        </w:r>
        <w:r w:rsidR="00916DD7">
          <w:rPr>
            <w:rFonts w:asciiTheme="minorHAnsi" w:eastAsiaTheme="minorEastAsia" w:hAnsiTheme="minorHAnsi"/>
            <w:noProof/>
            <w:sz w:val="22"/>
            <w:lang w:eastAsia="en-AU"/>
          </w:rPr>
          <w:tab/>
        </w:r>
        <w:r w:rsidR="00916DD7" w:rsidRPr="00CC212E">
          <w:rPr>
            <w:rStyle w:val="Hyperlink"/>
            <w:noProof/>
          </w:rPr>
          <w:t>Duties upon returning to work</w:t>
        </w:r>
        <w:r w:rsidR="00916DD7">
          <w:rPr>
            <w:noProof/>
            <w:webHidden/>
          </w:rPr>
          <w:tab/>
        </w:r>
        <w:r w:rsidR="00916DD7">
          <w:rPr>
            <w:noProof/>
            <w:webHidden/>
          </w:rPr>
          <w:fldChar w:fldCharType="begin"/>
        </w:r>
        <w:r w:rsidR="00916DD7">
          <w:rPr>
            <w:noProof/>
            <w:webHidden/>
          </w:rPr>
          <w:instrText xml:space="preserve"> PAGEREF _Toc528056580 \h </w:instrText>
        </w:r>
        <w:r w:rsidR="00916DD7">
          <w:rPr>
            <w:noProof/>
            <w:webHidden/>
          </w:rPr>
        </w:r>
        <w:r w:rsidR="00916DD7">
          <w:rPr>
            <w:noProof/>
            <w:webHidden/>
          </w:rPr>
          <w:fldChar w:fldCharType="separate"/>
        </w:r>
        <w:r w:rsidR="00916DD7">
          <w:rPr>
            <w:noProof/>
            <w:webHidden/>
          </w:rPr>
          <w:t>23</w:t>
        </w:r>
        <w:r w:rsidR="00916DD7">
          <w:rPr>
            <w:noProof/>
            <w:webHidden/>
          </w:rPr>
          <w:fldChar w:fldCharType="end"/>
        </w:r>
      </w:hyperlink>
    </w:p>
    <w:p w14:paraId="55B3BB3E" w14:textId="3688C8D1" w:rsidR="00916DD7" w:rsidRDefault="005B4845">
      <w:pPr>
        <w:pStyle w:val="TableofFigures"/>
        <w:tabs>
          <w:tab w:val="right" w:leader="dot" w:pos="9060"/>
        </w:tabs>
        <w:rPr>
          <w:rFonts w:asciiTheme="minorHAnsi" w:eastAsiaTheme="minorEastAsia" w:hAnsiTheme="minorHAnsi"/>
          <w:noProof/>
          <w:sz w:val="22"/>
          <w:lang w:eastAsia="en-AU"/>
        </w:rPr>
      </w:pPr>
      <w:hyperlink w:anchor="_Toc528056581" w:history="1">
        <w:r w:rsidR="00916DD7" w:rsidRPr="00CC212E">
          <w:rPr>
            <w:rStyle w:val="Hyperlink"/>
            <w:noProof/>
          </w:rPr>
          <w:t>Figure 14</w:t>
        </w:r>
        <w:r w:rsidR="00916DD7">
          <w:rPr>
            <w:rFonts w:asciiTheme="minorHAnsi" w:eastAsiaTheme="minorEastAsia" w:hAnsiTheme="minorHAnsi"/>
            <w:noProof/>
            <w:sz w:val="22"/>
            <w:lang w:eastAsia="en-AU"/>
          </w:rPr>
          <w:tab/>
        </w:r>
        <w:r w:rsidR="00916DD7" w:rsidRPr="00CC212E">
          <w:rPr>
            <w:rStyle w:val="Hyperlink"/>
            <w:noProof/>
          </w:rPr>
          <w:t>Duties upon returning to work, by jurisdiction, injury/illness type and employer size</w:t>
        </w:r>
        <w:r w:rsidR="00916DD7">
          <w:rPr>
            <w:noProof/>
            <w:webHidden/>
          </w:rPr>
          <w:tab/>
        </w:r>
        <w:r w:rsidR="00916DD7">
          <w:rPr>
            <w:noProof/>
            <w:webHidden/>
          </w:rPr>
          <w:fldChar w:fldCharType="begin"/>
        </w:r>
        <w:r w:rsidR="00916DD7">
          <w:rPr>
            <w:noProof/>
            <w:webHidden/>
          </w:rPr>
          <w:instrText xml:space="preserve"> PAGEREF _Toc528056581 \h </w:instrText>
        </w:r>
        <w:r w:rsidR="00916DD7">
          <w:rPr>
            <w:noProof/>
            <w:webHidden/>
          </w:rPr>
        </w:r>
        <w:r w:rsidR="00916DD7">
          <w:rPr>
            <w:noProof/>
            <w:webHidden/>
          </w:rPr>
          <w:fldChar w:fldCharType="separate"/>
        </w:r>
        <w:r w:rsidR="00916DD7">
          <w:rPr>
            <w:noProof/>
            <w:webHidden/>
          </w:rPr>
          <w:t>24</w:t>
        </w:r>
        <w:r w:rsidR="00916DD7">
          <w:rPr>
            <w:noProof/>
            <w:webHidden/>
          </w:rPr>
          <w:fldChar w:fldCharType="end"/>
        </w:r>
      </w:hyperlink>
    </w:p>
    <w:p w14:paraId="6B230F77" w14:textId="43545F39" w:rsidR="00916DD7" w:rsidRDefault="005B4845">
      <w:pPr>
        <w:pStyle w:val="TableofFigures"/>
        <w:tabs>
          <w:tab w:val="right" w:leader="dot" w:pos="9060"/>
        </w:tabs>
        <w:rPr>
          <w:rFonts w:asciiTheme="minorHAnsi" w:eastAsiaTheme="minorEastAsia" w:hAnsiTheme="minorHAnsi"/>
          <w:noProof/>
          <w:sz w:val="22"/>
          <w:lang w:eastAsia="en-AU"/>
        </w:rPr>
      </w:pPr>
      <w:hyperlink w:anchor="_Toc528056582" w:history="1">
        <w:r w:rsidR="00916DD7" w:rsidRPr="00CC212E">
          <w:rPr>
            <w:rStyle w:val="Hyperlink"/>
            <w:noProof/>
          </w:rPr>
          <w:t>Figure 15</w:t>
        </w:r>
        <w:r w:rsidR="00916DD7">
          <w:rPr>
            <w:rFonts w:asciiTheme="minorHAnsi" w:eastAsiaTheme="minorEastAsia" w:hAnsiTheme="minorHAnsi"/>
            <w:noProof/>
            <w:sz w:val="22"/>
            <w:lang w:eastAsia="en-AU"/>
          </w:rPr>
          <w:tab/>
        </w:r>
        <w:r w:rsidR="00916DD7" w:rsidRPr="00CC212E">
          <w:rPr>
            <w:rStyle w:val="Hyperlink"/>
            <w:noProof/>
          </w:rPr>
          <w:t>General health by time series (%)</w:t>
        </w:r>
        <w:r w:rsidR="00916DD7">
          <w:rPr>
            <w:noProof/>
            <w:webHidden/>
          </w:rPr>
          <w:tab/>
        </w:r>
        <w:r w:rsidR="00916DD7">
          <w:rPr>
            <w:noProof/>
            <w:webHidden/>
          </w:rPr>
          <w:fldChar w:fldCharType="begin"/>
        </w:r>
        <w:r w:rsidR="00916DD7">
          <w:rPr>
            <w:noProof/>
            <w:webHidden/>
          </w:rPr>
          <w:instrText xml:space="preserve"> PAGEREF _Toc528056582 \h </w:instrText>
        </w:r>
        <w:r w:rsidR="00916DD7">
          <w:rPr>
            <w:noProof/>
            <w:webHidden/>
          </w:rPr>
        </w:r>
        <w:r w:rsidR="00916DD7">
          <w:rPr>
            <w:noProof/>
            <w:webHidden/>
          </w:rPr>
          <w:fldChar w:fldCharType="separate"/>
        </w:r>
        <w:r w:rsidR="00916DD7">
          <w:rPr>
            <w:noProof/>
            <w:webHidden/>
          </w:rPr>
          <w:t>25</w:t>
        </w:r>
        <w:r w:rsidR="00916DD7">
          <w:rPr>
            <w:noProof/>
            <w:webHidden/>
          </w:rPr>
          <w:fldChar w:fldCharType="end"/>
        </w:r>
      </w:hyperlink>
    </w:p>
    <w:p w14:paraId="3B152F2F" w14:textId="0469D462" w:rsidR="00916DD7" w:rsidRDefault="005B4845">
      <w:pPr>
        <w:pStyle w:val="TableofFigures"/>
        <w:tabs>
          <w:tab w:val="right" w:leader="dot" w:pos="9060"/>
        </w:tabs>
        <w:rPr>
          <w:rFonts w:asciiTheme="minorHAnsi" w:eastAsiaTheme="minorEastAsia" w:hAnsiTheme="minorHAnsi"/>
          <w:noProof/>
          <w:sz w:val="22"/>
          <w:lang w:eastAsia="en-AU"/>
        </w:rPr>
      </w:pPr>
      <w:hyperlink w:anchor="_Toc528056583" w:history="1">
        <w:r w:rsidR="00916DD7" w:rsidRPr="00CC212E">
          <w:rPr>
            <w:rStyle w:val="Hyperlink"/>
            <w:noProof/>
          </w:rPr>
          <w:t>Figure 16</w:t>
        </w:r>
        <w:r w:rsidR="00916DD7">
          <w:rPr>
            <w:rFonts w:asciiTheme="minorHAnsi" w:eastAsiaTheme="minorEastAsia" w:hAnsiTheme="minorHAnsi"/>
            <w:noProof/>
            <w:sz w:val="22"/>
            <w:lang w:eastAsia="en-AU"/>
          </w:rPr>
          <w:tab/>
        </w:r>
        <w:r w:rsidR="00916DD7" w:rsidRPr="00CC212E">
          <w:rPr>
            <w:rStyle w:val="Hyperlink"/>
            <w:noProof/>
          </w:rPr>
          <w:t>General health rating, by jurisdiction, injury/illness type and work status – 2018 (% Excellent / Very Good)</w:t>
        </w:r>
        <w:r w:rsidR="00916DD7">
          <w:rPr>
            <w:noProof/>
            <w:webHidden/>
          </w:rPr>
          <w:tab/>
        </w:r>
        <w:r w:rsidR="00916DD7">
          <w:rPr>
            <w:noProof/>
            <w:webHidden/>
          </w:rPr>
          <w:fldChar w:fldCharType="begin"/>
        </w:r>
        <w:r w:rsidR="00916DD7">
          <w:rPr>
            <w:noProof/>
            <w:webHidden/>
          </w:rPr>
          <w:instrText xml:space="preserve"> PAGEREF _Toc528056583 \h </w:instrText>
        </w:r>
        <w:r w:rsidR="00916DD7">
          <w:rPr>
            <w:noProof/>
            <w:webHidden/>
          </w:rPr>
        </w:r>
        <w:r w:rsidR="00916DD7">
          <w:rPr>
            <w:noProof/>
            <w:webHidden/>
          </w:rPr>
          <w:fldChar w:fldCharType="separate"/>
        </w:r>
        <w:r w:rsidR="00916DD7">
          <w:rPr>
            <w:noProof/>
            <w:webHidden/>
          </w:rPr>
          <w:t>26</w:t>
        </w:r>
        <w:r w:rsidR="00916DD7">
          <w:rPr>
            <w:noProof/>
            <w:webHidden/>
          </w:rPr>
          <w:fldChar w:fldCharType="end"/>
        </w:r>
      </w:hyperlink>
    </w:p>
    <w:p w14:paraId="36BFE7BB" w14:textId="0A4A10C3" w:rsidR="00916DD7" w:rsidRDefault="005B4845">
      <w:pPr>
        <w:pStyle w:val="TableofFigures"/>
        <w:tabs>
          <w:tab w:val="right" w:leader="dot" w:pos="9060"/>
        </w:tabs>
        <w:rPr>
          <w:rFonts w:asciiTheme="minorHAnsi" w:eastAsiaTheme="minorEastAsia" w:hAnsiTheme="minorHAnsi"/>
          <w:noProof/>
          <w:sz w:val="22"/>
          <w:lang w:eastAsia="en-AU"/>
        </w:rPr>
      </w:pPr>
      <w:hyperlink w:anchor="_Toc528056584" w:history="1">
        <w:r w:rsidR="00916DD7" w:rsidRPr="00CC212E">
          <w:rPr>
            <w:rStyle w:val="Hyperlink"/>
            <w:noProof/>
          </w:rPr>
          <w:t>Figure 17</w:t>
        </w:r>
        <w:r w:rsidR="00916DD7">
          <w:rPr>
            <w:rFonts w:asciiTheme="minorHAnsi" w:eastAsiaTheme="minorEastAsia" w:hAnsiTheme="minorHAnsi"/>
            <w:noProof/>
            <w:sz w:val="22"/>
            <w:lang w:eastAsia="en-AU"/>
          </w:rPr>
          <w:tab/>
        </w:r>
        <w:r w:rsidR="00916DD7" w:rsidRPr="00CC212E">
          <w:rPr>
            <w:rStyle w:val="Hyperlink"/>
            <w:noProof/>
          </w:rPr>
          <w:t>Length of current pain problem – 2018 (%)</w:t>
        </w:r>
        <w:r w:rsidR="00916DD7">
          <w:rPr>
            <w:noProof/>
            <w:webHidden/>
          </w:rPr>
          <w:tab/>
        </w:r>
        <w:r w:rsidR="00916DD7">
          <w:rPr>
            <w:noProof/>
            <w:webHidden/>
          </w:rPr>
          <w:fldChar w:fldCharType="begin"/>
        </w:r>
        <w:r w:rsidR="00916DD7">
          <w:rPr>
            <w:noProof/>
            <w:webHidden/>
          </w:rPr>
          <w:instrText xml:space="preserve"> PAGEREF _Toc528056584 \h </w:instrText>
        </w:r>
        <w:r w:rsidR="00916DD7">
          <w:rPr>
            <w:noProof/>
            <w:webHidden/>
          </w:rPr>
        </w:r>
        <w:r w:rsidR="00916DD7">
          <w:rPr>
            <w:noProof/>
            <w:webHidden/>
          </w:rPr>
          <w:fldChar w:fldCharType="separate"/>
        </w:r>
        <w:r w:rsidR="00916DD7">
          <w:rPr>
            <w:noProof/>
            <w:webHidden/>
          </w:rPr>
          <w:t>27</w:t>
        </w:r>
        <w:r w:rsidR="00916DD7">
          <w:rPr>
            <w:noProof/>
            <w:webHidden/>
          </w:rPr>
          <w:fldChar w:fldCharType="end"/>
        </w:r>
      </w:hyperlink>
    </w:p>
    <w:p w14:paraId="7B29B99C" w14:textId="0ACF472B" w:rsidR="00916DD7" w:rsidRDefault="005B4845">
      <w:pPr>
        <w:pStyle w:val="TableofFigures"/>
        <w:tabs>
          <w:tab w:val="right" w:leader="dot" w:pos="9060"/>
        </w:tabs>
        <w:rPr>
          <w:rFonts w:asciiTheme="minorHAnsi" w:eastAsiaTheme="minorEastAsia" w:hAnsiTheme="minorHAnsi"/>
          <w:noProof/>
          <w:sz w:val="22"/>
          <w:lang w:eastAsia="en-AU"/>
        </w:rPr>
      </w:pPr>
      <w:hyperlink w:anchor="_Toc528056585" w:history="1">
        <w:r w:rsidR="00916DD7" w:rsidRPr="00CC212E">
          <w:rPr>
            <w:rStyle w:val="Hyperlink"/>
            <w:noProof/>
          </w:rPr>
          <w:t>Figure 18</w:t>
        </w:r>
        <w:r w:rsidR="00916DD7">
          <w:rPr>
            <w:rFonts w:asciiTheme="minorHAnsi" w:eastAsiaTheme="minorEastAsia" w:hAnsiTheme="minorHAnsi"/>
            <w:noProof/>
            <w:sz w:val="22"/>
            <w:lang w:eastAsia="en-AU"/>
          </w:rPr>
          <w:tab/>
        </w:r>
        <w:r w:rsidR="00916DD7" w:rsidRPr="00CC212E">
          <w:rPr>
            <w:rStyle w:val="Hyperlink"/>
            <w:noProof/>
          </w:rPr>
          <w:t>Current pain problem experienced for three months or more, by jurisdiction, injury/illness type and return to work status – 2018 (%)</w:t>
        </w:r>
        <w:r w:rsidR="00916DD7">
          <w:rPr>
            <w:noProof/>
            <w:webHidden/>
          </w:rPr>
          <w:tab/>
        </w:r>
        <w:r w:rsidR="00916DD7">
          <w:rPr>
            <w:noProof/>
            <w:webHidden/>
          </w:rPr>
          <w:fldChar w:fldCharType="begin"/>
        </w:r>
        <w:r w:rsidR="00916DD7">
          <w:rPr>
            <w:noProof/>
            <w:webHidden/>
          </w:rPr>
          <w:instrText xml:space="preserve"> PAGEREF _Toc528056585 \h </w:instrText>
        </w:r>
        <w:r w:rsidR="00916DD7">
          <w:rPr>
            <w:noProof/>
            <w:webHidden/>
          </w:rPr>
        </w:r>
        <w:r w:rsidR="00916DD7">
          <w:rPr>
            <w:noProof/>
            <w:webHidden/>
          </w:rPr>
          <w:fldChar w:fldCharType="separate"/>
        </w:r>
        <w:r w:rsidR="00916DD7">
          <w:rPr>
            <w:noProof/>
            <w:webHidden/>
          </w:rPr>
          <w:t>28</w:t>
        </w:r>
        <w:r w:rsidR="00916DD7">
          <w:rPr>
            <w:noProof/>
            <w:webHidden/>
          </w:rPr>
          <w:fldChar w:fldCharType="end"/>
        </w:r>
      </w:hyperlink>
    </w:p>
    <w:p w14:paraId="0AC29D39" w14:textId="7AEF6728" w:rsidR="00916DD7" w:rsidRDefault="005B4845">
      <w:pPr>
        <w:pStyle w:val="TableofFigures"/>
        <w:tabs>
          <w:tab w:val="right" w:leader="dot" w:pos="9060"/>
        </w:tabs>
        <w:rPr>
          <w:rFonts w:asciiTheme="minorHAnsi" w:eastAsiaTheme="minorEastAsia" w:hAnsiTheme="minorHAnsi"/>
          <w:noProof/>
          <w:sz w:val="22"/>
          <w:lang w:eastAsia="en-AU"/>
        </w:rPr>
      </w:pPr>
      <w:hyperlink w:anchor="_Toc528056586" w:history="1">
        <w:r w:rsidR="00916DD7" w:rsidRPr="00CC212E">
          <w:rPr>
            <w:rStyle w:val="Hyperlink"/>
            <w:noProof/>
          </w:rPr>
          <w:t>Figure 19</w:t>
        </w:r>
        <w:r w:rsidR="00916DD7">
          <w:rPr>
            <w:rFonts w:asciiTheme="minorHAnsi" w:eastAsiaTheme="minorEastAsia" w:hAnsiTheme="minorHAnsi"/>
            <w:noProof/>
            <w:sz w:val="22"/>
            <w:lang w:eastAsia="en-AU"/>
          </w:rPr>
          <w:tab/>
        </w:r>
        <w:r w:rsidR="00916DD7" w:rsidRPr="00CC212E">
          <w:rPr>
            <w:rStyle w:val="Hyperlink"/>
            <w:noProof/>
          </w:rPr>
          <w:t>Kessler 6 Psychological Distress Scale, by jurisdiction, injury/illness type and current work status – 2018 (%)</w:t>
        </w:r>
        <w:r w:rsidR="00916DD7">
          <w:rPr>
            <w:noProof/>
            <w:webHidden/>
          </w:rPr>
          <w:tab/>
        </w:r>
        <w:r w:rsidR="00916DD7">
          <w:rPr>
            <w:noProof/>
            <w:webHidden/>
          </w:rPr>
          <w:fldChar w:fldCharType="begin"/>
        </w:r>
        <w:r w:rsidR="00916DD7">
          <w:rPr>
            <w:noProof/>
            <w:webHidden/>
          </w:rPr>
          <w:instrText xml:space="preserve"> PAGEREF _Toc528056586 \h </w:instrText>
        </w:r>
        <w:r w:rsidR="00916DD7">
          <w:rPr>
            <w:noProof/>
            <w:webHidden/>
          </w:rPr>
        </w:r>
        <w:r w:rsidR="00916DD7">
          <w:rPr>
            <w:noProof/>
            <w:webHidden/>
          </w:rPr>
          <w:fldChar w:fldCharType="separate"/>
        </w:r>
        <w:r w:rsidR="00916DD7">
          <w:rPr>
            <w:noProof/>
            <w:webHidden/>
          </w:rPr>
          <w:t>29</w:t>
        </w:r>
        <w:r w:rsidR="00916DD7">
          <w:rPr>
            <w:noProof/>
            <w:webHidden/>
          </w:rPr>
          <w:fldChar w:fldCharType="end"/>
        </w:r>
      </w:hyperlink>
    </w:p>
    <w:p w14:paraId="67163772" w14:textId="032DC690" w:rsidR="00916DD7" w:rsidRDefault="005B4845">
      <w:pPr>
        <w:pStyle w:val="TableofFigures"/>
        <w:tabs>
          <w:tab w:val="right" w:leader="dot" w:pos="9060"/>
        </w:tabs>
        <w:rPr>
          <w:rFonts w:asciiTheme="minorHAnsi" w:eastAsiaTheme="minorEastAsia" w:hAnsiTheme="minorHAnsi"/>
          <w:noProof/>
          <w:sz w:val="22"/>
          <w:lang w:eastAsia="en-AU"/>
        </w:rPr>
      </w:pPr>
      <w:hyperlink w:anchor="_Toc528056587" w:history="1">
        <w:r w:rsidR="00916DD7" w:rsidRPr="00CC212E">
          <w:rPr>
            <w:rStyle w:val="Hyperlink"/>
            <w:noProof/>
          </w:rPr>
          <w:t>Figure 20</w:t>
        </w:r>
        <w:r w:rsidR="00916DD7">
          <w:rPr>
            <w:rFonts w:asciiTheme="minorHAnsi" w:eastAsiaTheme="minorEastAsia" w:hAnsiTheme="minorHAnsi"/>
            <w:noProof/>
            <w:sz w:val="22"/>
            <w:lang w:eastAsia="en-AU"/>
          </w:rPr>
          <w:tab/>
        </w:r>
        <w:r w:rsidR="00916DD7" w:rsidRPr="00CC212E">
          <w:rPr>
            <w:rStyle w:val="Hyperlink"/>
            <w:noProof/>
          </w:rPr>
          <w:t>Number of additional conditions diagnosed with, by jurisdiction, injury/illness type and work status – 2018 (%)</w:t>
        </w:r>
        <w:r w:rsidR="00916DD7">
          <w:rPr>
            <w:noProof/>
            <w:webHidden/>
          </w:rPr>
          <w:tab/>
        </w:r>
        <w:r w:rsidR="00916DD7">
          <w:rPr>
            <w:noProof/>
            <w:webHidden/>
          </w:rPr>
          <w:fldChar w:fldCharType="begin"/>
        </w:r>
        <w:r w:rsidR="00916DD7">
          <w:rPr>
            <w:noProof/>
            <w:webHidden/>
          </w:rPr>
          <w:instrText xml:space="preserve"> PAGEREF _Toc528056587 \h </w:instrText>
        </w:r>
        <w:r w:rsidR="00916DD7">
          <w:rPr>
            <w:noProof/>
            <w:webHidden/>
          </w:rPr>
        </w:r>
        <w:r w:rsidR="00916DD7">
          <w:rPr>
            <w:noProof/>
            <w:webHidden/>
          </w:rPr>
          <w:fldChar w:fldCharType="separate"/>
        </w:r>
        <w:r w:rsidR="00916DD7">
          <w:rPr>
            <w:noProof/>
            <w:webHidden/>
          </w:rPr>
          <w:t>30</w:t>
        </w:r>
        <w:r w:rsidR="00916DD7">
          <w:rPr>
            <w:noProof/>
            <w:webHidden/>
          </w:rPr>
          <w:fldChar w:fldCharType="end"/>
        </w:r>
      </w:hyperlink>
    </w:p>
    <w:p w14:paraId="5A5A02E7" w14:textId="35BD2E84" w:rsidR="00916DD7" w:rsidRDefault="005B4845">
      <w:pPr>
        <w:pStyle w:val="TableofFigures"/>
        <w:tabs>
          <w:tab w:val="right" w:leader="dot" w:pos="9060"/>
        </w:tabs>
        <w:rPr>
          <w:rFonts w:asciiTheme="minorHAnsi" w:eastAsiaTheme="minorEastAsia" w:hAnsiTheme="minorHAnsi"/>
          <w:noProof/>
          <w:sz w:val="22"/>
          <w:lang w:eastAsia="en-AU"/>
        </w:rPr>
      </w:pPr>
      <w:hyperlink w:anchor="_Toc528056588" w:history="1">
        <w:r w:rsidR="00916DD7" w:rsidRPr="00CC212E">
          <w:rPr>
            <w:rStyle w:val="Hyperlink"/>
            <w:noProof/>
          </w:rPr>
          <w:t>Figure 21</w:t>
        </w:r>
        <w:r w:rsidR="00916DD7">
          <w:rPr>
            <w:rFonts w:asciiTheme="minorHAnsi" w:eastAsiaTheme="minorEastAsia" w:hAnsiTheme="minorHAnsi"/>
            <w:noProof/>
            <w:sz w:val="22"/>
            <w:lang w:eastAsia="en-AU"/>
          </w:rPr>
          <w:tab/>
        </w:r>
        <w:r w:rsidR="00916DD7" w:rsidRPr="00CC212E">
          <w:rPr>
            <w:rStyle w:val="Hyperlink"/>
            <w:noProof/>
          </w:rPr>
          <w:t>Financial distress – 2018 (%)</w:t>
        </w:r>
        <w:r w:rsidR="00916DD7">
          <w:rPr>
            <w:noProof/>
            <w:webHidden/>
          </w:rPr>
          <w:tab/>
        </w:r>
        <w:r w:rsidR="00916DD7">
          <w:rPr>
            <w:noProof/>
            <w:webHidden/>
          </w:rPr>
          <w:fldChar w:fldCharType="begin"/>
        </w:r>
        <w:r w:rsidR="00916DD7">
          <w:rPr>
            <w:noProof/>
            <w:webHidden/>
          </w:rPr>
          <w:instrText xml:space="preserve"> PAGEREF _Toc528056588 \h </w:instrText>
        </w:r>
        <w:r w:rsidR="00916DD7">
          <w:rPr>
            <w:noProof/>
            <w:webHidden/>
          </w:rPr>
        </w:r>
        <w:r w:rsidR="00916DD7">
          <w:rPr>
            <w:noProof/>
            <w:webHidden/>
          </w:rPr>
          <w:fldChar w:fldCharType="separate"/>
        </w:r>
        <w:r w:rsidR="00916DD7">
          <w:rPr>
            <w:noProof/>
            <w:webHidden/>
          </w:rPr>
          <w:t>31</w:t>
        </w:r>
        <w:r w:rsidR="00916DD7">
          <w:rPr>
            <w:noProof/>
            <w:webHidden/>
          </w:rPr>
          <w:fldChar w:fldCharType="end"/>
        </w:r>
      </w:hyperlink>
    </w:p>
    <w:p w14:paraId="4A2E46BD" w14:textId="1BDE2958" w:rsidR="00916DD7" w:rsidRDefault="005B4845">
      <w:pPr>
        <w:pStyle w:val="TableofFigures"/>
        <w:tabs>
          <w:tab w:val="right" w:leader="dot" w:pos="9060"/>
        </w:tabs>
        <w:rPr>
          <w:rFonts w:asciiTheme="minorHAnsi" w:eastAsiaTheme="minorEastAsia" w:hAnsiTheme="minorHAnsi"/>
          <w:noProof/>
          <w:sz w:val="22"/>
          <w:lang w:eastAsia="en-AU"/>
        </w:rPr>
      </w:pPr>
      <w:hyperlink w:anchor="_Toc528056589" w:history="1">
        <w:r w:rsidR="00916DD7" w:rsidRPr="00CC212E">
          <w:rPr>
            <w:rStyle w:val="Hyperlink"/>
            <w:noProof/>
          </w:rPr>
          <w:t>Figure 22</w:t>
        </w:r>
        <w:r w:rsidR="00916DD7">
          <w:rPr>
            <w:rFonts w:asciiTheme="minorHAnsi" w:eastAsiaTheme="minorEastAsia" w:hAnsiTheme="minorHAnsi"/>
            <w:noProof/>
            <w:sz w:val="22"/>
            <w:lang w:eastAsia="en-AU"/>
          </w:rPr>
          <w:tab/>
        </w:r>
        <w:r w:rsidR="00916DD7" w:rsidRPr="00CC212E">
          <w:rPr>
            <w:rStyle w:val="Hyperlink"/>
            <w:noProof/>
          </w:rPr>
          <w:t>Above average financial stress, by jurisdiction, injury/illness type and work status – 2018 (%)</w:t>
        </w:r>
        <w:r w:rsidR="00916DD7">
          <w:rPr>
            <w:noProof/>
            <w:webHidden/>
          </w:rPr>
          <w:tab/>
        </w:r>
        <w:r w:rsidR="00916DD7">
          <w:rPr>
            <w:noProof/>
            <w:webHidden/>
          </w:rPr>
          <w:fldChar w:fldCharType="begin"/>
        </w:r>
        <w:r w:rsidR="00916DD7">
          <w:rPr>
            <w:noProof/>
            <w:webHidden/>
          </w:rPr>
          <w:instrText xml:space="preserve"> PAGEREF _Toc528056589 \h </w:instrText>
        </w:r>
        <w:r w:rsidR="00916DD7">
          <w:rPr>
            <w:noProof/>
            <w:webHidden/>
          </w:rPr>
        </w:r>
        <w:r w:rsidR="00916DD7">
          <w:rPr>
            <w:noProof/>
            <w:webHidden/>
          </w:rPr>
          <w:fldChar w:fldCharType="separate"/>
        </w:r>
        <w:r w:rsidR="00916DD7">
          <w:rPr>
            <w:noProof/>
            <w:webHidden/>
          </w:rPr>
          <w:t>32</w:t>
        </w:r>
        <w:r w:rsidR="00916DD7">
          <w:rPr>
            <w:noProof/>
            <w:webHidden/>
          </w:rPr>
          <w:fldChar w:fldCharType="end"/>
        </w:r>
      </w:hyperlink>
    </w:p>
    <w:p w14:paraId="6C5C8CEF" w14:textId="32725D7F" w:rsidR="00916DD7" w:rsidRDefault="005B4845">
      <w:pPr>
        <w:pStyle w:val="TableofFigures"/>
        <w:tabs>
          <w:tab w:val="right" w:leader="dot" w:pos="9060"/>
        </w:tabs>
        <w:rPr>
          <w:rFonts w:asciiTheme="minorHAnsi" w:eastAsiaTheme="minorEastAsia" w:hAnsiTheme="minorHAnsi"/>
          <w:noProof/>
          <w:sz w:val="22"/>
          <w:lang w:eastAsia="en-AU"/>
        </w:rPr>
      </w:pPr>
      <w:hyperlink w:anchor="_Toc528056590" w:history="1">
        <w:r w:rsidR="00916DD7" w:rsidRPr="00CC212E">
          <w:rPr>
            <w:rStyle w:val="Hyperlink"/>
            <w:noProof/>
          </w:rPr>
          <w:t>Figure 23</w:t>
        </w:r>
        <w:r w:rsidR="00916DD7">
          <w:rPr>
            <w:rFonts w:asciiTheme="minorHAnsi" w:eastAsiaTheme="minorEastAsia" w:hAnsiTheme="minorHAnsi"/>
            <w:noProof/>
            <w:sz w:val="22"/>
            <w:lang w:eastAsia="en-AU"/>
          </w:rPr>
          <w:tab/>
        </w:r>
        <w:r w:rsidR="00916DD7" w:rsidRPr="00CC212E">
          <w:rPr>
            <w:rStyle w:val="Hyperlink"/>
            <w:noProof/>
          </w:rPr>
          <w:t>Proportion of workers who had a return to work plan, time series (%)</w:t>
        </w:r>
        <w:r w:rsidR="00916DD7">
          <w:rPr>
            <w:noProof/>
            <w:webHidden/>
          </w:rPr>
          <w:tab/>
        </w:r>
        <w:r w:rsidR="00916DD7">
          <w:rPr>
            <w:noProof/>
            <w:webHidden/>
          </w:rPr>
          <w:fldChar w:fldCharType="begin"/>
        </w:r>
        <w:r w:rsidR="00916DD7">
          <w:rPr>
            <w:noProof/>
            <w:webHidden/>
          </w:rPr>
          <w:instrText xml:space="preserve"> PAGEREF _Toc528056590 \h </w:instrText>
        </w:r>
        <w:r w:rsidR="00916DD7">
          <w:rPr>
            <w:noProof/>
            <w:webHidden/>
          </w:rPr>
        </w:r>
        <w:r w:rsidR="00916DD7">
          <w:rPr>
            <w:noProof/>
            <w:webHidden/>
          </w:rPr>
          <w:fldChar w:fldCharType="separate"/>
        </w:r>
        <w:r w:rsidR="00916DD7">
          <w:rPr>
            <w:noProof/>
            <w:webHidden/>
          </w:rPr>
          <w:t>33</w:t>
        </w:r>
        <w:r w:rsidR="00916DD7">
          <w:rPr>
            <w:noProof/>
            <w:webHidden/>
          </w:rPr>
          <w:fldChar w:fldCharType="end"/>
        </w:r>
      </w:hyperlink>
    </w:p>
    <w:p w14:paraId="3597A995" w14:textId="72D98E53" w:rsidR="00916DD7" w:rsidRDefault="005B4845">
      <w:pPr>
        <w:pStyle w:val="TableofFigures"/>
        <w:tabs>
          <w:tab w:val="right" w:leader="dot" w:pos="9060"/>
        </w:tabs>
        <w:rPr>
          <w:rFonts w:asciiTheme="minorHAnsi" w:eastAsiaTheme="minorEastAsia" w:hAnsiTheme="minorHAnsi"/>
          <w:noProof/>
          <w:sz w:val="22"/>
          <w:lang w:eastAsia="en-AU"/>
        </w:rPr>
      </w:pPr>
      <w:hyperlink w:anchor="_Toc528056591" w:history="1">
        <w:r w:rsidR="00916DD7" w:rsidRPr="00CC212E">
          <w:rPr>
            <w:rStyle w:val="Hyperlink"/>
            <w:noProof/>
          </w:rPr>
          <w:t>Figure 24</w:t>
        </w:r>
        <w:r w:rsidR="00916DD7">
          <w:rPr>
            <w:rFonts w:asciiTheme="minorHAnsi" w:eastAsiaTheme="minorEastAsia" w:hAnsiTheme="minorHAnsi"/>
            <w:noProof/>
            <w:sz w:val="22"/>
            <w:lang w:eastAsia="en-AU"/>
          </w:rPr>
          <w:tab/>
        </w:r>
        <w:r w:rsidR="00916DD7" w:rsidRPr="00CC212E">
          <w:rPr>
            <w:rStyle w:val="Hyperlink"/>
            <w:noProof/>
          </w:rPr>
          <w:t>Proportion of workers who had a return to work plan, by jurisdiction and employer size – 2018 (% yes)</w:t>
        </w:r>
        <w:r w:rsidR="00916DD7">
          <w:rPr>
            <w:noProof/>
            <w:webHidden/>
          </w:rPr>
          <w:tab/>
        </w:r>
        <w:r w:rsidR="00916DD7">
          <w:rPr>
            <w:noProof/>
            <w:webHidden/>
          </w:rPr>
          <w:fldChar w:fldCharType="begin"/>
        </w:r>
        <w:r w:rsidR="00916DD7">
          <w:rPr>
            <w:noProof/>
            <w:webHidden/>
          </w:rPr>
          <w:instrText xml:space="preserve"> PAGEREF _Toc528056591 \h </w:instrText>
        </w:r>
        <w:r w:rsidR="00916DD7">
          <w:rPr>
            <w:noProof/>
            <w:webHidden/>
          </w:rPr>
        </w:r>
        <w:r w:rsidR="00916DD7">
          <w:rPr>
            <w:noProof/>
            <w:webHidden/>
          </w:rPr>
          <w:fldChar w:fldCharType="separate"/>
        </w:r>
        <w:r w:rsidR="00916DD7">
          <w:rPr>
            <w:noProof/>
            <w:webHidden/>
          </w:rPr>
          <w:t>34</w:t>
        </w:r>
        <w:r w:rsidR="00916DD7">
          <w:rPr>
            <w:noProof/>
            <w:webHidden/>
          </w:rPr>
          <w:fldChar w:fldCharType="end"/>
        </w:r>
      </w:hyperlink>
    </w:p>
    <w:p w14:paraId="16517D3E" w14:textId="078E5EBD" w:rsidR="00916DD7" w:rsidRDefault="005B4845">
      <w:pPr>
        <w:pStyle w:val="TableofFigures"/>
        <w:tabs>
          <w:tab w:val="right" w:leader="dot" w:pos="9060"/>
        </w:tabs>
        <w:rPr>
          <w:rFonts w:asciiTheme="minorHAnsi" w:eastAsiaTheme="minorEastAsia" w:hAnsiTheme="minorHAnsi"/>
          <w:noProof/>
          <w:sz w:val="22"/>
          <w:lang w:eastAsia="en-AU"/>
        </w:rPr>
      </w:pPr>
      <w:hyperlink w:anchor="_Toc528056592" w:history="1">
        <w:r w:rsidR="00916DD7" w:rsidRPr="00CC212E">
          <w:rPr>
            <w:rStyle w:val="Hyperlink"/>
            <w:noProof/>
          </w:rPr>
          <w:t>Figure 25</w:t>
        </w:r>
        <w:r w:rsidR="00916DD7">
          <w:rPr>
            <w:rFonts w:asciiTheme="minorHAnsi" w:eastAsiaTheme="minorEastAsia" w:hAnsiTheme="minorHAnsi"/>
            <w:noProof/>
            <w:sz w:val="22"/>
            <w:lang w:eastAsia="en-AU"/>
          </w:rPr>
          <w:tab/>
        </w:r>
        <w:r w:rsidR="00916DD7" w:rsidRPr="00CC212E">
          <w:rPr>
            <w:rStyle w:val="Hyperlink"/>
            <w:noProof/>
          </w:rPr>
          <w:t>Contact with employer / return to work coordinator, by jurisdiction, injury/illness type and employer size – 2018 (%)</w:t>
        </w:r>
        <w:r w:rsidR="00916DD7">
          <w:rPr>
            <w:noProof/>
            <w:webHidden/>
          </w:rPr>
          <w:tab/>
        </w:r>
        <w:r w:rsidR="00916DD7">
          <w:rPr>
            <w:noProof/>
            <w:webHidden/>
          </w:rPr>
          <w:fldChar w:fldCharType="begin"/>
        </w:r>
        <w:r w:rsidR="00916DD7">
          <w:rPr>
            <w:noProof/>
            <w:webHidden/>
          </w:rPr>
          <w:instrText xml:space="preserve"> PAGEREF _Toc528056592 \h </w:instrText>
        </w:r>
        <w:r w:rsidR="00916DD7">
          <w:rPr>
            <w:noProof/>
            <w:webHidden/>
          </w:rPr>
        </w:r>
        <w:r w:rsidR="00916DD7">
          <w:rPr>
            <w:noProof/>
            <w:webHidden/>
          </w:rPr>
          <w:fldChar w:fldCharType="separate"/>
        </w:r>
        <w:r w:rsidR="00916DD7">
          <w:rPr>
            <w:noProof/>
            <w:webHidden/>
          </w:rPr>
          <w:t>38</w:t>
        </w:r>
        <w:r w:rsidR="00916DD7">
          <w:rPr>
            <w:noProof/>
            <w:webHidden/>
          </w:rPr>
          <w:fldChar w:fldCharType="end"/>
        </w:r>
      </w:hyperlink>
    </w:p>
    <w:p w14:paraId="4F3E6B45" w14:textId="21F7128B" w:rsidR="00916DD7" w:rsidRDefault="005B4845">
      <w:pPr>
        <w:pStyle w:val="TableofFigures"/>
        <w:tabs>
          <w:tab w:val="right" w:leader="dot" w:pos="9060"/>
        </w:tabs>
        <w:rPr>
          <w:rFonts w:asciiTheme="minorHAnsi" w:eastAsiaTheme="minorEastAsia" w:hAnsiTheme="minorHAnsi"/>
          <w:noProof/>
          <w:sz w:val="22"/>
          <w:lang w:eastAsia="en-AU"/>
        </w:rPr>
      </w:pPr>
      <w:hyperlink w:anchor="_Toc528056593" w:history="1">
        <w:r w:rsidR="00916DD7" w:rsidRPr="00CC212E">
          <w:rPr>
            <w:rStyle w:val="Hyperlink"/>
            <w:noProof/>
          </w:rPr>
          <w:t>Figure 26</w:t>
        </w:r>
        <w:r w:rsidR="00916DD7">
          <w:rPr>
            <w:rFonts w:asciiTheme="minorHAnsi" w:eastAsiaTheme="minorEastAsia" w:hAnsiTheme="minorHAnsi"/>
            <w:noProof/>
            <w:sz w:val="22"/>
            <w:lang w:eastAsia="en-AU"/>
          </w:rPr>
          <w:tab/>
        </w:r>
        <w:r w:rsidR="00916DD7" w:rsidRPr="00CC212E">
          <w:rPr>
            <w:rStyle w:val="Hyperlink"/>
            <w:noProof/>
          </w:rPr>
          <w:t>Stressful interactions with return to work coordinator, by jurisdiction, injury/illness type and employer size – 2018 (% Extremely stressful/Quite a bit stressful)</w:t>
        </w:r>
        <w:r w:rsidR="00916DD7">
          <w:rPr>
            <w:noProof/>
            <w:webHidden/>
          </w:rPr>
          <w:tab/>
        </w:r>
        <w:r w:rsidR="00916DD7">
          <w:rPr>
            <w:noProof/>
            <w:webHidden/>
          </w:rPr>
          <w:fldChar w:fldCharType="begin"/>
        </w:r>
        <w:r w:rsidR="00916DD7">
          <w:rPr>
            <w:noProof/>
            <w:webHidden/>
          </w:rPr>
          <w:instrText xml:space="preserve"> PAGEREF _Toc528056593 \h </w:instrText>
        </w:r>
        <w:r w:rsidR="00916DD7">
          <w:rPr>
            <w:noProof/>
            <w:webHidden/>
          </w:rPr>
        </w:r>
        <w:r w:rsidR="00916DD7">
          <w:rPr>
            <w:noProof/>
            <w:webHidden/>
          </w:rPr>
          <w:fldChar w:fldCharType="separate"/>
        </w:r>
        <w:r w:rsidR="00916DD7">
          <w:rPr>
            <w:noProof/>
            <w:webHidden/>
          </w:rPr>
          <w:t>39</w:t>
        </w:r>
        <w:r w:rsidR="00916DD7">
          <w:rPr>
            <w:noProof/>
            <w:webHidden/>
          </w:rPr>
          <w:fldChar w:fldCharType="end"/>
        </w:r>
      </w:hyperlink>
    </w:p>
    <w:p w14:paraId="28A6154D" w14:textId="69391F1B" w:rsidR="00916DD7" w:rsidRDefault="005B4845">
      <w:pPr>
        <w:pStyle w:val="TableofFigures"/>
        <w:tabs>
          <w:tab w:val="right" w:leader="dot" w:pos="9060"/>
        </w:tabs>
        <w:rPr>
          <w:rFonts w:asciiTheme="minorHAnsi" w:eastAsiaTheme="minorEastAsia" w:hAnsiTheme="minorHAnsi"/>
          <w:noProof/>
          <w:sz w:val="22"/>
          <w:lang w:eastAsia="en-AU"/>
        </w:rPr>
      </w:pPr>
      <w:hyperlink w:anchor="_Toc528056594" w:history="1">
        <w:r w:rsidR="00916DD7" w:rsidRPr="00CC212E">
          <w:rPr>
            <w:rStyle w:val="Hyperlink"/>
            <w:noProof/>
          </w:rPr>
          <w:t>Figure 27</w:t>
        </w:r>
        <w:r w:rsidR="00916DD7">
          <w:rPr>
            <w:rFonts w:asciiTheme="minorHAnsi" w:eastAsiaTheme="minorEastAsia" w:hAnsiTheme="minorHAnsi"/>
            <w:noProof/>
            <w:sz w:val="22"/>
            <w:lang w:eastAsia="en-AU"/>
          </w:rPr>
          <w:tab/>
        </w:r>
        <w:r w:rsidR="00916DD7" w:rsidRPr="00CC212E">
          <w:rPr>
            <w:rStyle w:val="Hyperlink"/>
            <w:noProof/>
          </w:rPr>
          <w:t>Ability to easily access medical care, by jurisdiction and injury/illness type – 2018 (% Strongly Agree / Agree)</w:t>
        </w:r>
        <w:r w:rsidR="00916DD7">
          <w:rPr>
            <w:noProof/>
            <w:webHidden/>
          </w:rPr>
          <w:tab/>
        </w:r>
        <w:r w:rsidR="00916DD7">
          <w:rPr>
            <w:noProof/>
            <w:webHidden/>
          </w:rPr>
          <w:fldChar w:fldCharType="begin"/>
        </w:r>
        <w:r w:rsidR="00916DD7">
          <w:rPr>
            <w:noProof/>
            <w:webHidden/>
          </w:rPr>
          <w:instrText xml:space="preserve"> PAGEREF _Toc528056594 \h </w:instrText>
        </w:r>
        <w:r w:rsidR="00916DD7">
          <w:rPr>
            <w:noProof/>
            <w:webHidden/>
          </w:rPr>
        </w:r>
        <w:r w:rsidR="00916DD7">
          <w:rPr>
            <w:noProof/>
            <w:webHidden/>
          </w:rPr>
          <w:fldChar w:fldCharType="separate"/>
        </w:r>
        <w:r w:rsidR="00916DD7">
          <w:rPr>
            <w:noProof/>
            <w:webHidden/>
          </w:rPr>
          <w:t>40</w:t>
        </w:r>
        <w:r w:rsidR="00916DD7">
          <w:rPr>
            <w:noProof/>
            <w:webHidden/>
          </w:rPr>
          <w:fldChar w:fldCharType="end"/>
        </w:r>
      </w:hyperlink>
    </w:p>
    <w:p w14:paraId="068BFFA5" w14:textId="5277AEFC" w:rsidR="00916DD7" w:rsidRDefault="005B4845">
      <w:pPr>
        <w:pStyle w:val="TableofFigures"/>
        <w:tabs>
          <w:tab w:val="right" w:leader="dot" w:pos="9060"/>
        </w:tabs>
        <w:rPr>
          <w:rFonts w:asciiTheme="minorHAnsi" w:eastAsiaTheme="minorEastAsia" w:hAnsiTheme="minorHAnsi"/>
          <w:noProof/>
          <w:sz w:val="22"/>
          <w:lang w:eastAsia="en-AU"/>
        </w:rPr>
      </w:pPr>
      <w:hyperlink w:anchor="_Toc528056595" w:history="1">
        <w:r w:rsidR="00916DD7" w:rsidRPr="00CC212E">
          <w:rPr>
            <w:rStyle w:val="Hyperlink"/>
            <w:noProof/>
          </w:rPr>
          <w:t>Figure 28</w:t>
        </w:r>
        <w:r w:rsidR="00916DD7">
          <w:rPr>
            <w:rFonts w:asciiTheme="minorHAnsi" w:eastAsiaTheme="minorEastAsia" w:hAnsiTheme="minorHAnsi"/>
            <w:noProof/>
            <w:sz w:val="22"/>
            <w:lang w:eastAsia="en-AU"/>
          </w:rPr>
          <w:tab/>
        </w:r>
        <w:r w:rsidR="00916DD7" w:rsidRPr="00CC212E">
          <w:rPr>
            <w:rStyle w:val="Hyperlink"/>
            <w:noProof/>
          </w:rPr>
          <w:t>Number of healthcare providers seen, by jurisdiction and injury/illness type – 2018 (%)</w:t>
        </w:r>
        <w:r w:rsidR="00916DD7">
          <w:rPr>
            <w:noProof/>
            <w:webHidden/>
          </w:rPr>
          <w:tab/>
        </w:r>
        <w:r w:rsidR="00916DD7">
          <w:rPr>
            <w:noProof/>
            <w:webHidden/>
          </w:rPr>
          <w:fldChar w:fldCharType="begin"/>
        </w:r>
        <w:r w:rsidR="00916DD7">
          <w:rPr>
            <w:noProof/>
            <w:webHidden/>
          </w:rPr>
          <w:instrText xml:space="preserve"> PAGEREF _Toc528056595 \h </w:instrText>
        </w:r>
        <w:r w:rsidR="00916DD7">
          <w:rPr>
            <w:noProof/>
            <w:webHidden/>
          </w:rPr>
        </w:r>
        <w:r w:rsidR="00916DD7">
          <w:rPr>
            <w:noProof/>
            <w:webHidden/>
          </w:rPr>
          <w:fldChar w:fldCharType="separate"/>
        </w:r>
        <w:r w:rsidR="00916DD7">
          <w:rPr>
            <w:noProof/>
            <w:webHidden/>
          </w:rPr>
          <w:t>41</w:t>
        </w:r>
        <w:r w:rsidR="00916DD7">
          <w:rPr>
            <w:noProof/>
            <w:webHidden/>
          </w:rPr>
          <w:fldChar w:fldCharType="end"/>
        </w:r>
      </w:hyperlink>
    </w:p>
    <w:p w14:paraId="43DB1A28" w14:textId="60668058" w:rsidR="00916DD7" w:rsidRDefault="005B4845">
      <w:pPr>
        <w:pStyle w:val="TableofFigures"/>
        <w:tabs>
          <w:tab w:val="right" w:leader="dot" w:pos="9060"/>
        </w:tabs>
        <w:rPr>
          <w:rFonts w:asciiTheme="minorHAnsi" w:eastAsiaTheme="minorEastAsia" w:hAnsiTheme="minorHAnsi"/>
          <w:noProof/>
          <w:sz w:val="22"/>
          <w:lang w:eastAsia="en-AU"/>
        </w:rPr>
      </w:pPr>
      <w:hyperlink w:anchor="_Toc528056596" w:history="1">
        <w:r w:rsidR="00916DD7" w:rsidRPr="00CC212E">
          <w:rPr>
            <w:rStyle w:val="Hyperlink"/>
            <w:noProof/>
          </w:rPr>
          <w:t>Figure 29</w:t>
        </w:r>
        <w:r w:rsidR="00916DD7">
          <w:rPr>
            <w:rFonts w:asciiTheme="minorHAnsi" w:eastAsiaTheme="minorEastAsia" w:hAnsiTheme="minorHAnsi"/>
            <w:noProof/>
            <w:sz w:val="22"/>
            <w:lang w:eastAsia="en-AU"/>
          </w:rPr>
          <w:tab/>
        </w:r>
        <w:r w:rsidR="00916DD7" w:rsidRPr="00CC212E">
          <w:rPr>
            <w:rStyle w:val="Hyperlink"/>
            <w:noProof/>
          </w:rPr>
          <w:t>GP and Main healthcare provider communications – 2018 (average positive communications)</w:t>
        </w:r>
        <w:r w:rsidR="00916DD7">
          <w:rPr>
            <w:noProof/>
            <w:webHidden/>
          </w:rPr>
          <w:tab/>
        </w:r>
        <w:r w:rsidR="00916DD7">
          <w:rPr>
            <w:noProof/>
            <w:webHidden/>
          </w:rPr>
          <w:fldChar w:fldCharType="begin"/>
        </w:r>
        <w:r w:rsidR="00916DD7">
          <w:rPr>
            <w:noProof/>
            <w:webHidden/>
          </w:rPr>
          <w:instrText xml:space="preserve"> PAGEREF _Toc528056596 \h </w:instrText>
        </w:r>
        <w:r w:rsidR="00916DD7">
          <w:rPr>
            <w:noProof/>
            <w:webHidden/>
          </w:rPr>
        </w:r>
        <w:r w:rsidR="00916DD7">
          <w:rPr>
            <w:noProof/>
            <w:webHidden/>
          </w:rPr>
          <w:fldChar w:fldCharType="separate"/>
        </w:r>
        <w:r w:rsidR="00916DD7">
          <w:rPr>
            <w:noProof/>
            <w:webHidden/>
          </w:rPr>
          <w:t>44</w:t>
        </w:r>
        <w:r w:rsidR="00916DD7">
          <w:rPr>
            <w:noProof/>
            <w:webHidden/>
          </w:rPr>
          <w:fldChar w:fldCharType="end"/>
        </w:r>
      </w:hyperlink>
    </w:p>
    <w:p w14:paraId="478759BB" w14:textId="174CB9F5" w:rsidR="00916DD7" w:rsidRDefault="005B4845">
      <w:pPr>
        <w:pStyle w:val="TableofFigures"/>
        <w:tabs>
          <w:tab w:val="right" w:leader="dot" w:pos="9060"/>
        </w:tabs>
        <w:rPr>
          <w:rFonts w:asciiTheme="minorHAnsi" w:eastAsiaTheme="minorEastAsia" w:hAnsiTheme="minorHAnsi"/>
          <w:noProof/>
          <w:sz w:val="22"/>
          <w:lang w:eastAsia="en-AU"/>
        </w:rPr>
      </w:pPr>
      <w:hyperlink w:anchor="_Toc528056597" w:history="1">
        <w:r w:rsidR="00916DD7" w:rsidRPr="00CC212E">
          <w:rPr>
            <w:rStyle w:val="Hyperlink"/>
            <w:noProof/>
          </w:rPr>
          <w:t>Figure 30</w:t>
        </w:r>
        <w:r w:rsidR="00916DD7">
          <w:rPr>
            <w:rFonts w:asciiTheme="minorHAnsi" w:eastAsiaTheme="minorEastAsia" w:hAnsiTheme="minorHAnsi"/>
            <w:noProof/>
            <w:sz w:val="22"/>
            <w:lang w:eastAsia="en-AU"/>
          </w:rPr>
          <w:tab/>
        </w:r>
        <w:r w:rsidR="00916DD7" w:rsidRPr="00CC212E">
          <w:rPr>
            <w:rStyle w:val="Hyperlink"/>
            <w:noProof/>
          </w:rPr>
          <w:t>Stressful interactions with healthcare provider, by jurisdiction and injury/illness type – 2018 (% Extremely stressful / Quite a bit stressful)</w:t>
        </w:r>
        <w:r w:rsidR="00916DD7">
          <w:rPr>
            <w:noProof/>
            <w:webHidden/>
          </w:rPr>
          <w:tab/>
        </w:r>
        <w:r w:rsidR="00916DD7">
          <w:rPr>
            <w:noProof/>
            <w:webHidden/>
          </w:rPr>
          <w:fldChar w:fldCharType="begin"/>
        </w:r>
        <w:r w:rsidR="00916DD7">
          <w:rPr>
            <w:noProof/>
            <w:webHidden/>
          </w:rPr>
          <w:instrText xml:space="preserve"> PAGEREF _Toc528056597 \h </w:instrText>
        </w:r>
        <w:r w:rsidR="00916DD7">
          <w:rPr>
            <w:noProof/>
            <w:webHidden/>
          </w:rPr>
        </w:r>
        <w:r w:rsidR="00916DD7">
          <w:rPr>
            <w:noProof/>
            <w:webHidden/>
          </w:rPr>
          <w:fldChar w:fldCharType="separate"/>
        </w:r>
        <w:r w:rsidR="00916DD7">
          <w:rPr>
            <w:noProof/>
            <w:webHidden/>
          </w:rPr>
          <w:t>45</w:t>
        </w:r>
        <w:r w:rsidR="00916DD7">
          <w:rPr>
            <w:noProof/>
            <w:webHidden/>
          </w:rPr>
          <w:fldChar w:fldCharType="end"/>
        </w:r>
      </w:hyperlink>
    </w:p>
    <w:p w14:paraId="2E8A35AC" w14:textId="6122296D" w:rsidR="00916DD7" w:rsidRDefault="005B4845">
      <w:pPr>
        <w:pStyle w:val="TableofFigures"/>
        <w:tabs>
          <w:tab w:val="right" w:leader="dot" w:pos="9060"/>
        </w:tabs>
        <w:rPr>
          <w:rFonts w:asciiTheme="minorHAnsi" w:eastAsiaTheme="minorEastAsia" w:hAnsiTheme="minorHAnsi"/>
          <w:noProof/>
          <w:sz w:val="22"/>
          <w:lang w:eastAsia="en-AU"/>
        </w:rPr>
      </w:pPr>
      <w:hyperlink w:anchor="_Toc528056598" w:history="1">
        <w:r w:rsidR="00916DD7" w:rsidRPr="00CC212E">
          <w:rPr>
            <w:rStyle w:val="Hyperlink"/>
            <w:noProof/>
          </w:rPr>
          <w:t>Figure 31</w:t>
        </w:r>
        <w:r w:rsidR="00916DD7">
          <w:rPr>
            <w:rFonts w:asciiTheme="minorHAnsi" w:eastAsiaTheme="minorEastAsia" w:hAnsiTheme="minorHAnsi"/>
            <w:noProof/>
            <w:sz w:val="22"/>
            <w:lang w:eastAsia="en-AU"/>
          </w:rPr>
          <w:tab/>
        </w:r>
        <w:r w:rsidR="00916DD7" w:rsidRPr="00CC212E">
          <w:rPr>
            <w:rStyle w:val="Hyperlink"/>
            <w:noProof/>
          </w:rPr>
          <w:t>Navigation support needed (% yes)</w:t>
        </w:r>
        <w:r w:rsidR="00916DD7">
          <w:rPr>
            <w:noProof/>
            <w:webHidden/>
          </w:rPr>
          <w:tab/>
        </w:r>
        <w:r w:rsidR="00916DD7">
          <w:rPr>
            <w:noProof/>
            <w:webHidden/>
          </w:rPr>
          <w:fldChar w:fldCharType="begin"/>
        </w:r>
        <w:r w:rsidR="00916DD7">
          <w:rPr>
            <w:noProof/>
            <w:webHidden/>
          </w:rPr>
          <w:instrText xml:space="preserve"> PAGEREF _Toc528056598 \h </w:instrText>
        </w:r>
        <w:r w:rsidR="00916DD7">
          <w:rPr>
            <w:noProof/>
            <w:webHidden/>
          </w:rPr>
        </w:r>
        <w:r w:rsidR="00916DD7">
          <w:rPr>
            <w:noProof/>
            <w:webHidden/>
          </w:rPr>
          <w:fldChar w:fldCharType="separate"/>
        </w:r>
        <w:r w:rsidR="00916DD7">
          <w:rPr>
            <w:noProof/>
            <w:webHidden/>
          </w:rPr>
          <w:t>46</w:t>
        </w:r>
        <w:r w:rsidR="00916DD7">
          <w:rPr>
            <w:noProof/>
            <w:webHidden/>
          </w:rPr>
          <w:fldChar w:fldCharType="end"/>
        </w:r>
      </w:hyperlink>
    </w:p>
    <w:p w14:paraId="0739E00E" w14:textId="7A847505" w:rsidR="00916DD7" w:rsidRDefault="005B4845">
      <w:pPr>
        <w:pStyle w:val="TableofFigures"/>
        <w:tabs>
          <w:tab w:val="right" w:leader="dot" w:pos="9060"/>
        </w:tabs>
        <w:rPr>
          <w:rFonts w:asciiTheme="minorHAnsi" w:eastAsiaTheme="minorEastAsia" w:hAnsiTheme="minorHAnsi"/>
          <w:noProof/>
          <w:sz w:val="22"/>
          <w:lang w:eastAsia="en-AU"/>
        </w:rPr>
      </w:pPr>
      <w:hyperlink w:anchor="_Toc528056599" w:history="1">
        <w:r w:rsidR="00916DD7" w:rsidRPr="00CC212E">
          <w:rPr>
            <w:rStyle w:val="Hyperlink"/>
            <w:noProof/>
          </w:rPr>
          <w:t>Figure 32</w:t>
        </w:r>
        <w:r w:rsidR="00916DD7">
          <w:rPr>
            <w:rFonts w:asciiTheme="minorHAnsi" w:eastAsiaTheme="minorEastAsia" w:hAnsiTheme="minorHAnsi"/>
            <w:noProof/>
            <w:sz w:val="22"/>
            <w:lang w:eastAsia="en-AU"/>
          </w:rPr>
          <w:tab/>
        </w:r>
        <w:r w:rsidR="00916DD7" w:rsidRPr="00CC212E">
          <w:rPr>
            <w:rStyle w:val="Hyperlink"/>
            <w:noProof/>
          </w:rPr>
          <w:t>Difference of opinion, by jurisdiction, injury/illness type and claim duration (% yes)</w:t>
        </w:r>
        <w:r w:rsidR="00916DD7">
          <w:rPr>
            <w:noProof/>
            <w:webHidden/>
          </w:rPr>
          <w:tab/>
        </w:r>
        <w:r w:rsidR="00916DD7">
          <w:rPr>
            <w:noProof/>
            <w:webHidden/>
          </w:rPr>
          <w:fldChar w:fldCharType="begin"/>
        </w:r>
        <w:r w:rsidR="00916DD7">
          <w:rPr>
            <w:noProof/>
            <w:webHidden/>
          </w:rPr>
          <w:instrText xml:space="preserve"> PAGEREF _Toc528056599 \h </w:instrText>
        </w:r>
        <w:r w:rsidR="00916DD7">
          <w:rPr>
            <w:noProof/>
            <w:webHidden/>
          </w:rPr>
        </w:r>
        <w:r w:rsidR="00916DD7">
          <w:rPr>
            <w:noProof/>
            <w:webHidden/>
          </w:rPr>
          <w:fldChar w:fldCharType="separate"/>
        </w:r>
        <w:r w:rsidR="00916DD7">
          <w:rPr>
            <w:noProof/>
            <w:webHidden/>
          </w:rPr>
          <w:t>48</w:t>
        </w:r>
        <w:r w:rsidR="00916DD7">
          <w:rPr>
            <w:noProof/>
            <w:webHidden/>
          </w:rPr>
          <w:fldChar w:fldCharType="end"/>
        </w:r>
      </w:hyperlink>
    </w:p>
    <w:p w14:paraId="27858FD1" w14:textId="1D67AE24" w:rsidR="00685143" w:rsidRDefault="00A071BF" w:rsidP="00CB71C7">
      <w:pPr>
        <w:pStyle w:val="Body"/>
        <w:rPr>
          <w:b/>
          <w:color w:val="1F688D"/>
          <w:sz w:val="40"/>
          <w:szCs w:val="40"/>
        </w:rPr>
      </w:pPr>
      <w:r>
        <w:rPr>
          <w:rFonts w:eastAsiaTheme="minorHAnsi" w:cstheme="minorBidi"/>
          <w:b/>
          <w:bCs/>
          <w:noProof/>
          <w:szCs w:val="22"/>
          <w:lang w:val="en-US"/>
        </w:rPr>
        <w:fldChar w:fldCharType="end"/>
      </w:r>
      <w:r w:rsidR="00685143">
        <w:rPr>
          <w:b/>
          <w:color w:val="1F688D"/>
          <w:sz w:val="40"/>
          <w:szCs w:val="40"/>
        </w:rPr>
        <w:br w:type="page"/>
      </w:r>
    </w:p>
    <w:p w14:paraId="393D2A18" w14:textId="2AAC1A9C" w:rsidR="00F32321" w:rsidRDefault="00F32321" w:rsidP="00F32321">
      <w:pPr>
        <w:pStyle w:val="Body"/>
        <w:spacing w:before="0" w:after="240" w:line="240" w:lineRule="auto"/>
        <w:outlineLvl w:val="0"/>
        <w:rPr>
          <w:b/>
          <w:color w:val="1F688D"/>
          <w:sz w:val="40"/>
          <w:szCs w:val="40"/>
        </w:rPr>
      </w:pPr>
      <w:bookmarkStart w:id="3" w:name="_Toc528055996"/>
      <w:r w:rsidRPr="008A56C3">
        <w:rPr>
          <w:b/>
          <w:color w:val="1F688D"/>
          <w:sz w:val="40"/>
          <w:szCs w:val="40"/>
        </w:rPr>
        <w:lastRenderedPageBreak/>
        <w:t xml:space="preserve">List of </w:t>
      </w:r>
      <w:r>
        <w:rPr>
          <w:b/>
          <w:color w:val="1F688D"/>
          <w:sz w:val="40"/>
          <w:szCs w:val="40"/>
        </w:rPr>
        <w:t>tables</w:t>
      </w:r>
      <w:bookmarkEnd w:id="3"/>
    </w:p>
    <w:p w14:paraId="4A56CE04" w14:textId="4EFB684A" w:rsidR="00916DD7" w:rsidRDefault="00302D21">
      <w:pPr>
        <w:pStyle w:val="TableofFigures"/>
        <w:tabs>
          <w:tab w:val="right" w:leader="dot" w:pos="9060"/>
        </w:tabs>
        <w:rPr>
          <w:rFonts w:asciiTheme="minorHAnsi" w:eastAsiaTheme="minorEastAsia" w:hAnsiTheme="minorHAnsi"/>
          <w:noProof/>
          <w:sz w:val="22"/>
          <w:lang w:eastAsia="en-AU"/>
        </w:rPr>
      </w:pPr>
      <w:r>
        <w:fldChar w:fldCharType="begin"/>
      </w:r>
      <w:r>
        <w:instrText xml:space="preserve"> TOC \h \z \c "Table" </w:instrText>
      </w:r>
      <w:r>
        <w:fldChar w:fldCharType="separate"/>
      </w:r>
      <w:hyperlink w:anchor="_Toc528056600" w:history="1">
        <w:r w:rsidR="00916DD7" w:rsidRPr="00A541E2">
          <w:rPr>
            <w:rStyle w:val="Hyperlink"/>
            <w:noProof/>
          </w:rPr>
          <w:t>Table 1</w:t>
        </w:r>
        <w:r w:rsidR="00916DD7">
          <w:rPr>
            <w:rFonts w:asciiTheme="minorHAnsi" w:eastAsiaTheme="minorEastAsia" w:hAnsiTheme="minorHAnsi"/>
            <w:noProof/>
            <w:sz w:val="22"/>
            <w:lang w:eastAsia="en-AU"/>
          </w:rPr>
          <w:tab/>
        </w:r>
        <w:r w:rsidR="00916DD7" w:rsidRPr="00A541E2">
          <w:rPr>
            <w:rStyle w:val="Hyperlink"/>
            <w:noProof/>
          </w:rPr>
          <w:t>Total completed interviews by cohort, jurisdiction and claim type</w:t>
        </w:r>
        <w:r w:rsidR="00916DD7">
          <w:rPr>
            <w:noProof/>
            <w:webHidden/>
          </w:rPr>
          <w:tab/>
        </w:r>
        <w:r w:rsidR="00916DD7">
          <w:rPr>
            <w:noProof/>
            <w:webHidden/>
          </w:rPr>
          <w:fldChar w:fldCharType="begin"/>
        </w:r>
        <w:r w:rsidR="00916DD7">
          <w:rPr>
            <w:noProof/>
            <w:webHidden/>
          </w:rPr>
          <w:instrText xml:space="preserve"> PAGEREF _Toc528056600 \h </w:instrText>
        </w:r>
        <w:r w:rsidR="00916DD7">
          <w:rPr>
            <w:noProof/>
            <w:webHidden/>
          </w:rPr>
        </w:r>
        <w:r w:rsidR="00916DD7">
          <w:rPr>
            <w:noProof/>
            <w:webHidden/>
          </w:rPr>
          <w:fldChar w:fldCharType="separate"/>
        </w:r>
        <w:r w:rsidR="00916DD7">
          <w:rPr>
            <w:noProof/>
            <w:webHidden/>
          </w:rPr>
          <w:t>7</w:t>
        </w:r>
        <w:r w:rsidR="00916DD7">
          <w:rPr>
            <w:noProof/>
            <w:webHidden/>
          </w:rPr>
          <w:fldChar w:fldCharType="end"/>
        </w:r>
      </w:hyperlink>
    </w:p>
    <w:p w14:paraId="7F2A3A01" w14:textId="75E87987" w:rsidR="00916DD7" w:rsidRDefault="005B4845">
      <w:pPr>
        <w:pStyle w:val="TableofFigures"/>
        <w:tabs>
          <w:tab w:val="right" w:leader="dot" w:pos="9060"/>
        </w:tabs>
        <w:rPr>
          <w:rFonts w:asciiTheme="minorHAnsi" w:eastAsiaTheme="minorEastAsia" w:hAnsiTheme="minorHAnsi"/>
          <w:noProof/>
          <w:sz w:val="22"/>
          <w:lang w:eastAsia="en-AU"/>
        </w:rPr>
      </w:pPr>
      <w:hyperlink w:anchor="_Toc528056601" w:history="1">
        <w:r w:rsidR="00916DD7" w:rsidRPr="00A541E2">
          <w:rPr>
            <w:rStyle w:val="Hyperlink"/>
            <w:noProof/>
          </w:rPr>
          <w:t>Table 2</w:t>
        </w:r>
        <w:r w:rsidR="00916DD7">
          <w:rPr>
            <w:rFonts w:asciiTheme="minorHAnsi" w:eastAsiaTheme="minorEastAsia" w:hAnsiTheme="minorHAnsi"/>
            <w:noProof/>
            <w:sz w:val="22"/>
            <w:lang w:eastAsia="en-AU"/>
          </w:rPr>
          <w:tab/>
        </w:r>
        <w:r w:rsidR="00916DD7" w:rsidRPr="00A541E2">
          <w:rPr>
            <w:rStyle w:val="Hyperlink"/>
            <w:noProof/>
          </w:rPr>
          <w:t>Sample characteristics by survey year (%)</w:t>
        </w:r>
        <w:r w:rsidR="00916DD7">
          <w:rPr>
            <w:noProof/>
            <w:webHidden/>
          </w:rPr>
          <w:tab/>
        </w:r>
        <w:r w:rsidR="00916DD7">
          <w:rPr>
            <w:noProof/>
            <w:webHidden/>
          </w:rPr>
          <w:fldChar w:fldCharType="begin"/>
        </w:r>
        <w:r w:rsidR="00916DD7">
          <w:rPr>
            <w:noProof/>
            <w:webHidden/>
          </w:rPr>
          <w:instrText xml:space="preserve"> PAGEREF _Toc528056601 \h </w:instrText>
        </w:r>
        <w:r w:rsidR="00916DD7">
          <w:rPr>
            <w:noProof/>
            <w:webHidden/>
          </w:rPr>
        </w:r>
        <w:r w:rsidR="00916DD7">
          <w:rPr>
            <w:noProof/>
            <w:webHidden/>
          </w:rPr>
          <w:fldChar w:fldCharType="separate"/>
        </w:r>
        <w:r w:rsidR="00916DD7">
          <w:rPr>
            <w:noProof/>
            <w:webHidden/>
          </w:rPr>
          <w:t>10</w:t>
        </w:r>
        <w:r w:rsidR="00916DD7">
          <w:rPr>
            <w:noProof/>
            <w:webHidden/>
          </w:rPr>
          <w:fldChar w:fldCharType="end"/>
        </w:r>
      </w:hyperlink>
    </w:p>
    <w:p w14:paraId="12002E4E" w14:textId="39115650" w:rsidR="00916DD7" w:rsidRDefault="005B4845">
      <w:pPr>
        <w:pStyle w:val="TableofFigures"/>
        <w:tabs>
          <w:tab w:val="right" w:leader="dot" w:pos="9060"/>
        </w:tabs>
        <w:rPr>
          <w:rFonts w:asciiTheme="minorHAnsi" w:eastAsiaTheme="minorEastAsia" w:hAnsiTheme="minorHAnsi"/>
          <w:noProof/>
          <w:sz w:val="22"/>
          <w:lang w:eastAsia="en-AU"/>
        </w:rPr>
      </w:pPr>
      <w:hyperlink w:anchor="_Toc528056602" w:history="1">
        <w:r w:rsidR="00916DD7" w:rsidRPr="00A541E2">
          <w:rPr>
            <w:rStyle w:val="Hyperlink"/>
            <w:noProof/>
          </w:rPr>
          <w:t>Table 3</w:t>
        </w:r>
        <w:r w:rsidR="00916DD7">
          <w:rPr>
            <w:rFonts w:asciiTheme="minorHAnsi" w:eastAsiaTheme="minorEastAsia" w:hAnsiTheme="minorHAnsi"/>
            <w:noProof/>
            <w:sz w:val="22"/>
            <w:lang w:eastAsia="en-AU"/>
          </w:rPr>
          <w:tab/>
        </w:r>
        <w:r w:rsidR="00916DD7" w:rsidRPr="00A541E2">
          <w:rPr>
            <w:rStyle w:val="Hyperlink"/>
            <w:noProof/>
          </w:rPr>
          <w:t>Injury/illness type by jurisdiction – 2018 (%)</w:t>
        </w:r>
        <w:r w:rsidR="00916DD7">
          <w:rPr>
            <w:noProof/>
            <w:webHidden/>
          </w:rPr>
          <w:tab/>
        </w:r>
        <w:r w:rsidR="00916DD7">
          <w:rPr>
            <w:noProof/>
            <w:webHidden/>
          </w:rPr>
          <w:fldChar w:fldCharType="begin"/>
        </w:r>
        <w:r w:rsidR="00916DD7">
          <w:rPr>
            <w:noProof/>
            <w:webHidden/>
          </w:rPr>
          <w:instrText xml:space="preserve"> PAGEREF _Toc528056602 \h </w:instrText>
        </w:r>
        <w:r w:rsidR="00916DD7">
          <w:rPr>
            <w:noProof/>
            <w:webHidden/>
          </w:rPr>
        </w:r>
        <w:r w:rsidR="00916DD7">
          <w:rPr>
            <w:noProof/>
            <w:webHidden/>
          </w:rPr>
          <w:fldChar w:fldCharType="separate"/>
        </w:r>
        <w:r w:rsidR="00916DD7">
          <w:rPr>
            <w:noProof/>
            <w:webHidden/>
          </w:rPr>
          <w:t>12</w:t>
        </w:r>
        <w:r w:rsidR="00916DD7">
          <w:rPr>
            <w:noProof/>
            <w:webHidden/>
          </w:rPr>
          <w:fldChar w:fldCharType="end"/>
        </w:r>
      </w:hyperlink>
    </w:p>
    <w:p w14:paraId="2BFD1637" w14:textId="106174C3" w:rsidR="00916DD7" w:rsidRDefault="005B4845">
      <w:pPr>
        <w:pStyle w:val="TableofFigures"/>
        <w:tabs>
          <w:tab w:val="right" w:leader="dot" w:pos="9060"/>
        </w:tabs>
        <w:rPr>
          <w:rFonts w:asciiTheme="minorHAnsi" w:eastAsiaTheme="minorEastAsia" w:hAnsiTheme="minorHAnsi"/>
          <w:noProof/>
          <w:sz w:val="22"/>
          <w:lang w:eastAsia="en-AU"/>
        </w:rPr>
      </w:pPr>
      <w:hyperlink w:anchor="_Toc528056603" w:history="1">
        <w:r w:rsidR="00916DD7" w:rsidRPr="00A541E2">
          <w:rPr>
            <w:rStyle w:val="Hyperlink"/>
            <w:noProof/>
          </w:rPr>
          <w:t>Table 4</w:t>
        </w:r>
        <w:r w:rsidR="00916DD7">
          <w:rPr>
            <w:rFonts w:asciiTheme="minorHAnsi" w:eastAsiaTheme="minorEastAsia" w:hAnsiTheme="minorHAnsi"/>
            <w:noProof/>
            <w:sz w:val="22"/>
            <w:lang w:eastAsia="en-AU"/>
          </w:rPr>
          <w:tab/>
        </w:r>
        <w:r w:rsidR="00916DD7" w:rsidRPr="00A541E2">
          <w:rPr>
            <w:rStyle w:val="Hyperlink"/>
            <w:noProof/>
          </w:rPr>
          <w:t>Return to work attempts by cohort and jurisdiction – 2018 (%)</w:t>
        </w:r>
        <w:r w:rsidR="00916DD7">
          <w:rPr>
            <w:noProof/>
            <w:webHidden/>
          </w:rPr>
          <w:tab/>
        </w:r>
        <w:r w:rsidR="00916DD7">
          <w:rPr>
            <w:noProof/>
            <w:webHidden/>
          </w:rPr>
          <w:fldChar w:fldCharType="begin"/>
        </w:r>
        <w:r w:rsidR="00916DD7">
          <w:rPr>
            <w:noProof/>
            <w:webHidden/>
          </w:rPr>
          <w:instrText xml:space="preserve"> PAGEREF _Toc528056603 \h </w:instrText>
        </w:r>
        <w:r w:rsidR="00916DD7">
          <w:rPr>
            <w:noProof/>
            <w:webHidden/>
          </w:rPr>
        </w:r>
        <w:r w:rsidR="00916DD7">
          <w:rPr>
            <w:noProof/>
            <w:webHidden/>
          </w:rPr>
          <w:fldChar w:fldCharType="separate"/>
        </w:r>
        <w:r w:rsidR="00916DD7">
          <w:rPr>
            <w:noProof/>
            <w:webHidden/>
          </w:rPr>
          <w:t>19</w:t>
        </w:r>
        <w:r w:rsidR="00916DD7">
          <w:rPr>
            <w:noProof/>
            <w:webHidden/>
          </w:rPr>
          <w:fldChar w:fldCharType="end"/>
        </w:r>
      </w:hyperlink>
    </w:p>
    <w:p w14:paraId="274A1872" w14:textId="6F27DA59" w:rsidR="00916DD7" w:rsidRDefault="005B4845">
      <w:pPr>
        <w:pStyle w:val="TableofFigures"/>
        <w:tabs>
          <w:tab w:val="right" w:leader="dot" w:pos="9060"/>
        </w:tabs>
        <w:rPr>
          <w:rFonts w:asciiTheme="minorHAnsi" w:eastAsiaTheme="minorEastAsia" w:hAnsiTheme="minorHAnsi"/>
          <w:noProof/>
          <w:sz w:val="22"/>
          <w:lang w:eastAsia="en-AU"/>
        </w:rPr>
      </w:pPr>
      <w:hyperlink w:anchor="_Toc528056604" w:history="1">
        <w:r w:rsidR="00916DD7" w:rsidRPr="00A541E2">
          <w:rPr>
            <w:rStyle w:val="Hyperlink"/>
            <w:noProof/>
          </w:rPr>
          <w:t>Table 5</w:t>
        </w:r>
        <w:r w:rsidR="00916DD7">
          <w:rPr>
            <w:rFonts w:asciiTheme="minorHAnsi" w:eastAsiaTheme="minorEastAsia" w:hAnsiTheme="minorHAnsi"/>
            <w:noProof/>
            <w:sz w:val="22"/>
            <w:lang w:eastAsia="en-AU"/>
          </w:rPr>
          <w:tab/>
        </w:r>
        <w:r w:rsidR="00916DD7" w:rsidRPr="00A541E2">
          <w:rPr>
            <w:rStyle w:val="Hyperlink"/>
            <w:noProof/>
          </w:rPr>
          <w:t>Workplace reaction attributes – time series (% Strongly Agree / Agree)</w:t>
        </w:r>
        <w:r w:rsidR="00916DD7">
          <w:rPr>
            <w:noProof/>
            <w:webHidden/>
          </w:rPr>
          <w:tab/>
        </w:r>
        <w:r w:rsidR="00916DD7">
          <w:rPr>
            <w:noProof/>
            <w:webHidden/>
          </w:rPr>
          <w:fldChar w:fldCharType="begin"/>
        </w:r>
        <w:r w:rsidR="00916DD7">
          <w:rPr>
            <w:noProof/>
            <w:webHidden/>
          </w:rPr>
          <w:instrText xml:space="preserve"> PAGEREF _Toc528056604 \h </w:instrText>
        </w:r>
        <w:r w:rsidR="00916DD7">
          <w:rPr>
            <w:noProof/>
            <w:webHidden/>
          </w:rPr>
        </w:r>
        <w:r w:rsidR="00916DD7">
          <w:rPr>
            <w:noProof/>
            <w:webHidden/>
          </w:rPr>
          <w:fldChar w:fldCharType="separate"/>
        </w:r>
        <w:r w:rsidR="00916DD7">
          <w:rPr>
            <w:noProof/>
            <w:webHidden/>
          </w:rPr>
          <w:t>34</w:t>
        </w:r>
        <w:r w:rsidR="00916DD7">
          <w:rPr>
            <w:noProof/>
            <w:webHidden/>
          </w:rPr>
          <w:fldChar w:fldCharType="end"/>
        </w:r>
      </w:hyperlink>
    </w:p>
    <w:p w14:paraId="6098866F" w14:textId="535FD2BB" w:rsidR="00916DD7" w:rsidRDefault="005B4845">
      <w:pPr>
        <w:pStyle w:val="TableofFigures"/>
        <w:tabs>
          <w:tab w:val="right" w:leader="dot" w:pos="9060"/>
        </w:tabs>
        <w:rPr>
          <w:rFonts w:asciiTheme="minorHAnsi" w:eastAsiaTheme="minorEastAsia" w:hAnsiTheme="minorHAnsi"/>
          <w:noProof/>
          <w:sz w:val="22"/>
          <w:lang w:eastAsia="en-AU"/>
        </w:rPr>
      </w:pPr>
      <w:hyperlink w:anchor="_Toc528056605" w:history="1">
        <w:r w:rsidR="00916DD7" w:rsidRPr="00A541E2">
          <w:rPr>
            <w:rStyle w:val="Hyperlink"/>
            <w:noProof/>
          </w:rPr>
          <w:t>Table 6</w:t>
        </w:r>
        <w:r w:rsidR="00916DD7">
          <w:rPr>
            <w:rFonts w:asciiTheme="minorHAnsi" w:eastAsiaTheme="minorEastAsia" w:hAnsiTheme="minorHAnsi"/>
            <w:noProof/>
            <w:sz w:val="22"/>
            <w:lang w:eastAsia="en-AU"/>
          </w:rPr>
          <w:tab/>
        </w:r>
        <w:r w:rsidR="00916DD7" w:rsidRPr="00A541E2">
          <w:rPr>
            <w:rStyle w:val="Hyperlink"/>
            <w:noProof/>
          </w:rPr>
          <w:t>Workplace reaction attributes, by jurisdiction, injury/illness type and employer size – 2018 (% Strongly Agree / Agree)</w:t>
        </w:r>
        <w:r w:rsidR="00916DD7">
          <w:rPr>
            <w:noProof/>
            <w:webHidden/>
          </w:rPr>
          <w:tab/>
        </w:r>
        <w:r w:rsidR="00916DD7">
          <w:rPr>
            <w:noProof/>
            <w:webHidden/>
          </w:rPr>
          <w:fldChar w:fldCharType="begin"/>
        </w:r>
        <w:r w:rsidR="00916DD7">
          <w:rPr>
            <w:noProof/>
            <w:webHidden/>
          </w:rPr>
          <w:instrText xml:space="preserve"> PAGEREF _Toc528056605 \h </w:instrText>
        </w:r>
        <w:r w:rsidR="00916DD7">
          <w:rPr>
            <w:noProof/>
            <w:webHidden/>
          </w:rPr>
        </w:r>
        <w:r w:rsidR="00916DD7">
          <w:rPr>
            <w:noProof/>
            <w:webHidden/>
          </w:rPr>
          <w:fldChar w:fldCharType="separate"/>
        </w:r>
        <w:r w:rsidR="00916DD7">
          <w:rPr>
            <w:noProof/>
            <w:webHidden/>
          </w:rPr>
          <w:t>35</w:t>
        </w:r>
        <w:r w:rsidR="00916DD7">
          <w:rPr>
            <w:noProof/>
            <w:webHidden/>
          </w:rPr>
          <w:fldChar w:fldCharType="end"/>
        </w:r>
      </w:hyperlink>
    </w:p>
    <w:p w14:paraId="566A32EE" w14:textId="746BF337" w:rsidR="00916DD7" w:rsidRDefault="005B4845">
      <w:pPr>
        <w:pStyle w:val="TableofFigures"/>
        <w:tabs>
          <w:tab w:val="right" w:leader="dot" w:pos="9060"/>
        </w:tabs>
        <w:rPr>
          <w:rFonts w:asciiTheme="minorHAnsi" w:eastAsiaTheme="minorEastAsia" w:hAnsiTheme="minorHAnsi"/>
          <w:noProof/>
          <w:sz w:val="22"/>
          <w:lang w:eastAsia="en-AU"/>
        </w:rPr>
      </w:pPr>
      <w:hyperlink w:anchor="_Toc528056606" w:history="1">
        <w:r w:rsidR="00916DD7" w:rsidRPr="00A541E2">
          <w:rPr>
            <w:rStyle w:val="Hyperlink"/>
            <w:noProof/>
          </w:rPr>
          <w:t>Table 7</w:t>
        </w:r>
        <w:r w:rsidR="00916DD7">
          <w:rPr>
            <w:rFonts w:asciiTheme="minorHAnsi" w:eastAsiaTheme="minorEastAsia" w:hAnsiTheme="minorHAnsi"/>
            <w:noProof/>
            <w:sz w:val="22"/>
            <w:lang w:eastAsia="en-AU"/>
          </w:rPr>
          <w:tab/>
        </w:r>
        <w:r w:rsidR="00916DD7" w:rsidRPr="00A541E2">
          <w:rPr>
            <w:rStyle w:val="Hyperlink"/>
            <w:noProof/>
          </w:rPr>
          <w:t>Employer support attributes – time series (% Strongly Agree / Agree)</w:t>
        </w:r>
        <w:r w:rsidR="00916DD7">
          <w:rPr>
            <w:noProof/>
            <w:webHidden/>
          </w:rPr>
          <w:tab/>
        </w:r>
        <w:r w:rsidR="00916DD7">
          <w:rPr>
            <w:noProof/>
            <w:webHidden/>
          </w:rPr>
          <w:fldChar w:fldCharType="begin"/>
        </w:r>
        <w:r w:rsidR="00916DD7">
          <w:rPr>
            <w:noProof/>
            <w:webHidden/>
          </w:rPr>
          <w:instrText xml:space="preserve"> PAGEREF _Toc528056606 \h </w:instrText>
        </w:r>
        <w:r w:rsidR="00916DD7">
          <w:rPr>
            <w:noProof/>
            <w:webHidden/>
          </w:rPr>
        </w:r>
        <w:r w:rsidR="00916DD7">
          <w:rPr>
            <w:noProof/>
            <w:webHidden/>
          </w:rPr>
          <w:fldChar w:fldCharType="separate"/>
        </w:r>
        <w:r w:rsidR="00916DD7">
          <w:rPr>
            <w:noProof/>
            <w:webHidden/>
          </w:rPr>
          <w:t>36</w:t>
        </w:r>
        <w:r w:rsidR="00916DD7">
          <w:rPr>
            <w:noProof/>
            <w:webHidden/>
          </w:rPr>
          <w:fldChar w:fldCharType="end"/>
        </w:r>
      </w:hyperlink>
    </w:p>
    <w:p w14:paraId="4330AFCC" w14:textId="0140A47A" w:rsidR="00916DD7" w:rsidRDefault="005B4845">
      <w:pPr>
        <w:pStyle w:val="TableofFigures"/>
        <w:tabs>
          <w:tab w:val="right" w:leader="dot" w:pos="9060"/>
        </w:tabs>
        <w:rPr>
          <w:rFonts w:asciiTheme="minorHAnsi" w:eastAsiaTheme="minorEastAsia" w:hAnsiTheme="minorHAnsi"/>
          <w:noProof/>
          <w:sz w:val="22"/>
          <w:lang w:eastAsia="en-AU"/>
        </w:rPr>
      </w:pPr>
      <w:hyperlink w:anchor="_Toc528056607" w:history="1">
        <w:r w:rsidR="00916DD7" w:rsidRPr="00A541E2">
          <w:rPr>
            <w:rStyle w:val="Hyperlink"/>
            <w:noProof/>
          </w:rPr>
          <w:t>Table 8</w:t>
        </w:r>
        <w:r w:rsidR="00916DD7">
          <w:rPr>
            <w:rFonts w:asciiTheme="minorHAnsi" w:eastAsiaTheme="minorEastAsia" w:hAnsiTheme="minorHAnsi"/>
            <w:noProof/>
            <w:sz w:val="22"/>
            <w:lang w:eastAsia="en-AU"/>
          </w:rPr>
          <w:tab/>
        </w:r>
        <w:r w:rsidR="00916DD7" w:rsidRPr="00A541E2">
          <w:rPr>
            <w:rStyle w:val="Hyperlink"/>
            <w:noProof/>
          </w:rPr>
          <w:t>Employer support attributes, by jurisdiction, injury/illness type and employer size – 2018 (% Strongly Agree / Agree)</w:t>
        </w:r>
        <w:r w:rsidR="00916DD7">
          <w:rPr>
            <w:noProof/>
            <w:webHidden/>
          </w:rPr>
          <w:tab/>
        </w:r>
        <w:r w:rsidR="00916DD7">
          <w:rPr>
            <w:noProof/>
            <w:webHidden/>
          </w:rPr>
          <w:fldChar w:fldCharType="begin"/>
        </w:r>
        <w:r w:rsidR="00916DD7">
          <w:rPr>
            <w:noProof/>
            <w:webHidden/>
          </w:rPr>
          <w:instrText xml:space="preserve"> PAGEREF _Toc528056607 \h </w:instrText>
        </w:r>
        <w:r w:rsidR="00916DD7">
          <w:rPr>
            <w:noProof/>
            <w:webHidden/>
          </w:rPr>
        </w:r>
        <w:r w:rsidR="00916DD7">
          <w:rPr>
            <w:noProof/>
            <w:webHidden/>
          </w:rPr>
          <w:fldChar w:fldCharType="separate"/>
        </w:r>
        <w:r w:rsidR="00916DD7">
          <w:rPr>
            <w:noProof/>
            <w:webHidden/>
          </w:rPr>
          <w:t>37</w:t>
        </w:r>
        <w:r w:rsidR="00916DD7">
          <w:rPr>
            <w:noProof/>
            <w:webHidden/>
          </w:rPr>
          <w:fldChar w:fldCharType="end"/>
        </w:r>
      </w:hyperlink>
    </w:p>
    <w:p w14:paraId="3DD50F0F" w14:textId="2A4863A8" w:rsidR="00916DD7" w:rsidRDefault="005B4845">
      <w:pPr>
        <w:pStyle w:val="TableofFigures"/>
        <w:tabs>
          <w:tab w:val="right" w:leader="dot" w:pos="9060"/>
        </w:tabs>
        <w:rPr>
          <w:rFonts w:asciiTheme="minorHAnsi" w:eastAsiaTheme="minorEastAsia" w:hAnsiTheme="minorHAnsi"/>
          <w:noProof/>
          <w:sz w:val="22"/>
          <w:lang w:eastAsia="en-AU"/>
        </w:rPr>
      </w:pPr>
      <w:hyperlink w:anchor="_Toc528056608" w:history="1">
        <w:r w:rsidR="00916DD7" w:rsidRPr="00A541E2">
          <w:rPr>
            <w:rStyle w:val="Hyperlink"/>
            <w:noProof/>
          </w:rPr>
          <w:t>Table 9</w:t>
        </w:r>
        <w:r w:rsidR="00916DD7">
          <w:rPr>
            <w:rFonts w:asciiTheme="minorHAnsi" w:eastAsiaTheme="minorEastAsia" w:hAnsiTheme="minorHAnsi"/>
            <w:noProof/>
            <w:sz w:val="22"/>
            <w:lang w:eastAsia="en-AU"/>
          </w:rPr>
          <w:tab/>
        </w:r>
        <w:r w:rsidR="00916DD7" w:rsidRPr="00A541E2">
          <w:rPr>
            <w:rStyle w:val="Hyperlink"/>
            <w:noProof/>
          </w:rPr>
          <w:t>Main healthcare provider, by jurisdiction and injury/illness type – 2018 (%)</w:t>
        </w:r>
        <w:r w:rsidR="00916DD7">
          <w:rPr>
            <w:noProof/>
            <w:webHidden/>
          </w:rPr>
          <w:tab/>
        </w:r>
        <w:r w:rsidR="00916DD7">
          <w:rPr>
            <w:noProof/>
            <w:webHidden/>
          </w:rPr>
          <w:fldChar w:fldCharType="begin"/>
        </w:r>
        <w:r w:rsidR="00916DD7">
          <w:rPr>
            <w:noProof/>
            <w:webHidden/>
          </w:rPr>
          <w:instrText xml:space="preserve"> PAGEREF _Toc528056608 \h </w:instrText>
        </w:r>
        <w:r w:rsidR="00916DD7">
          <w:rPr>
            <w:noProof/>
            <w:webHidden/>
          </w:rPr>
        </w:r>
        <w:r w:rsidR="00916DD7">
          <w:rPr>
            <w:noProof/>
            <w:webHidden/>
          </w:rPr>
          <w:fldChar w:fldCharType="separate"/>
        </w:r>
        <w:r w:rsidR="00916DD7">
          <w:rPr>
            <w:noProof/>
            <w:webHidden/>
          </w:rPr>
          <w:t>42</w:t>
        </w:r>
        <w:r w:rsidR="00916DD7">
          <w:rPr>
            <w:noProof/>
            <w:webHidden/>
          </w:rPr>
          <w:fldChar w:fldCharType="end"/>
        </w:r>
      </w:hyperlink>
    </w:p>
    <w:p w14:paraId="31AF8625" w14:textId="0C105AF7" w:rsidR="00916DD7" w:rsidRDefault="005B4845">
      <w:pPr>
        <w:pStyle w:val="TableofFigures"/>
        <w:tabs>
          <w:tab w:val="right" w:leader="dot" w:pos="9060"/>
        </w:tabs>
        <w:rPr>
          <w:rFonts w:asciiTheme="minorHAnsi" w:eastAsiaTheme="minorEastAsia" w:hAnsiTheme="minorHAnsi"/>
          <w:noProof/>
          <w:sz w:val="22"/>
          <w:lang w:eastAsia="en-AU"/>
        </w:rPr>
      </w:pPr>
      <w:hyperlink w:anchor="_Toc528056609" w:history="1">
        <w:r w:rsidR="00916DD7" w:rsidRPr="00A541E2">
          <w:rPr>
            <w:rStyle w:val="Hyperlink"/>
            <w:noProof/>
          </w:rPr>
          <w:t>Table 10</w:t>
        </w:r>
        <w:r w:rsidR="00916DD7">
          <w:rPr>
            <w:rFonts w:asciiTheme="minorHAnsi" w:eastAsiaTheme="minorEastAsia" w:hAnsiTheme="minorHAnsi"/>
            <w:noProof/>
            <w:sz w:val="22"/>
            <w:lang w:eastAsia="en-AU"/>
          </w:rPr>
          <w:tab/>
        </w:r>
        <w:r w:rsidR="00916DD7" w:rsidRPr="00A541E2">
          <w:rPr>
            <w:rStyle w:val="Hyperlink"/>
            <w:noProof/>
          </w:rPr>
          <w:t>Sources of support (navigating the workers’ compensation claim process) (%)</w:t>
        </w:r>
        <w:r w:rsidR="00916DD7">
          <w:rPr>
            <w:noProof/>
            <w:webHidden/>
          </w:rPr>
          <w:tab/>
        </w:r>
        <w:r w:rsidR="00916DD7">
          <w:rPr>
            <w:noProof/>
            <w:webHidden/>
          </w:rPr>
          <w:fldChar w:fldCharType="begin"/>
        </w:r>
        <w:r w:rsidR="00916DD7">
          <w:rPr>
            <w:noProof/>
            <w:webHidden/>
          </w:rPr>
          <w:instrText xml:space="preserve"> PAGEREF _Toc528056609 \h </w:instrText>
        </w:r>
        <w:r w:rsidR="00916DD7">
          <w:rPr>
            <w:noProof/>
            <w:webHidden/>
          </w:rPr>
        </w:r>
        <w:r w:rsidR="00916DD7">
          <w:rPr>
            <w:noProof/>
            <w:webHidden/>
          </w:rPr>
          <w:fldChar w:fldCharType="separate"/>
        </w:r>
        <w:r w:rsidR="00916DD7">
          <w:rPr>
            <w:noProof/>
            <w:webHidden/>
          </w:rPr>
          <w:t>47</w:t>
        </w:r>
        <w:r w:rsidR="00916DD7">
          <w:rPr>
            <w:noProof/>
            <w:webHidden/>
          </w:rPr>
          <w:fldChar w:fldCharType="end"/>
        </w:r>
      </w:hyperlink>
    </w:p>
    <w:p w14:paraId="35BA0F29" w14:textId="21195062" w:rsidR="00916DD7" w:rsidRDefault="005B4845">
      <w:pPr>
        <w:pStyle w:val="TableofFigures"/>
        <w:tabs>
          <w:tab w:val="right" w:leader="dot" w:pos="9060"/>
        </w:tabs>
        <w:rPr>
          <w:rFonts w:asciiTheme="minorHAnsi" w:eastAsiaTheme="minorEastAsia" w:hAnsiTheme="minorHAnsi"/>
          <w:noProof/>
          <w:sz w:val="22"/>
          <w:lang w:eastAsia="en-AU"/>
        </w:rPr>
      </w:pPr>
      <w:hyperlink w:anchor="_Toc528056610" w:history="1">
        <w:r w:rsidR="00916DD7" w:rsidRPr="00A541E2">
          <w:rPr>
            <w:rStyle w:val="Hyperlink"/>
            <w:noProof/>
          </w:rPr>
          <w:t>Table 11</w:t>
        </w:r>
        <w:r w:rsidR="00916DD7">
          <w:rPr>
            <w:rFonts w:asciiTheme="minorHAnsi" w:eastAsiaTheme="minorEastAsia" w:hAnsiTheme="minorHAnsi"/>
            <w:noProof/>
            <w:sz w:val="22"/>
            <w:lang w:eastAsia="en-AU"/>
          </w:rPr>
          <w:tab/>
        </w:r>
        <w:r w:rsidR="00916DD7" w:rsidRPr="00A541E2">
          <w:rPr>
            <w:rStyle w:val="Hyperlink"/>
            <w:noProof/>
          </w:rPr>
          <w:t>Perceived Justice of the Compensation Process (mean)</w:t>
        </w:r>
        <w:r w:rsidR="00916DD7">
          <w:rPr>
            <w:noProof/>
            <w:webHidden/>
          </w:rPr>
          <w:tab/>
        </w:r>
        <w:r w:rsidR="00916DD7">
          <w:rPr>
            <w:noProof/>
            <w:webHidden/>
          </w:rPr>
          <w:fldChar w:fldCharType="begin"/>
        </w:r>
        <w:r w:rsidR="00916DD7">
          <w:rPr>
            <w:noProof/>
            <w:webHidden/>
          </w:rPr>
          <w:instrText xml:space="preserve"> PAGEREF _Toc528056610 \h </w:instrText>
        </w:r>
        <w:r w:rsidR="00916DD7">
          <w:rPr>
            <w:noProof/>
            <w:webHidden/>
          </w:rPr>
        </w:r>
        <w:r w:rsidR="00916DD7">
          <w:rPr>
            <w:noProof/>
            <w:webHidden/>
          </w:rPr>
          <w:fldChar w:fldCharType="separate"/>
        </w:r>
        <w:r w:rsidR="00916DD7">
          <w:rPr>
            <w:noProof/>
            <w:webHidden/>
          </w:rPr>
          <w:t>51</w:t>
        </w:r>
        <w:r w:rsidR="00916DD7">
          <w:rPr>
            <w:noProof/>
            <w:webHidden/>
          </w:rPr>
          <w:fldChar w:fldCharType="end"/>
        </w:r>
      </w:hyperlink>
    </w:p>
    <w:p w14:paraId="3DE469F1" w14:textId="49C53753" w:rsidR="00916DD7" w:rsidRDefault="005B4845">
      <w:pPr>
        <w:pStyle w:val="TableofFigures"/>
        <w:tabs>
          <w:tab w:val="right" w:leader="dot" w:pos="9060"/>
        </w:tabs>
        <w:rPr>
          <w:rFonts w:asciiTheme="minorHAnsi" w:eastAsiaTheme="minorEastAsia" w:hAnsiTheme="minorHAnsi"/>
          <w:noProof/>
          <w:sz w:val="22"/>
          <w:lang w:eastAsia="en-AU"/>
        </w:rPr>
      </w:pPr>
      <w:hyperlink w:anchor="_Toc528056611" w:history="1">
        <w:r w:rsidR="00916DD7" w:rsidRPr="00A541E2">
          <w:rPr>
            <w:rStyle w:val="Hyperlink"/>
            <w:noProof/>
          </w:rPr>
          <w:t>Table 12</w:t>
        </w:r>
        <w:r w:rsidR="00916DD7">
          <w:rPr>
            <w:rFonts w:asciiTheme="minorHAnsi" w:eastAsiaTheme="minorEastAsia" w:hAnsiTheme="minorHAnsi"/>
            <w:noProof/>
            <w:sz w:val="22"/>
            <w:lang w:eastAsia="en-AU"/>
          </w:rPr>
          <w:tab/>
        </w:r>
        <w:r w:rsidR="00916DD7" w:rsidRPr="00A541E2">
          <w:rPr>
            <w:rStyle w:val="Hyperlink"/>
            <w:noProof/>
          </w:rPr>
          <w:t>Sample profile, by jurisdiction (%)</w:t>
        </w:r>
        <w:r w:rsidR="00916DD7">
          <w:rPr>
            <w:noProof/>
            <w:webHidden/>
          </w:rPr>
          <w:tab/>
        </w:r>
        <w:r w:rsidR="00916DD7">
          <w:rPr>
            <w:noProof/>
            <w:webHidden/>
          </w:rPr>
          <w:fldChar w:fldCharType="begin"/>
        </w:r>
        <w:r w:rsidR="00916DD7">
          <w:rPr>
            <w:noProof/>
            <w:webHidden/>
          </w:rPr>
          <w:instrText xml:space="preserve"> PAGEREF _Toc528056611 \h </w:instrText>
        </w:r>
        <w:r w:rsidR="00916DD7">
          <w:rPr>
            <w:noProof/>
            <w:webHidden/>
          </w:rPr>
        </w:r>
        <w:r w:rsidR="00916DD7">
          <w:rPr>
            <w:noProof/>
            <w:webHidden/>
          </w:rPr>
          <w:fldChar w:fldCharType="separate"/>
        </w:r>
        <w:r w:rsidR="00916DD7">
          <w:rPr>
            <w:noProof/>
            <w:webHidden/>
          </w:rPr>
          <w:t>52</w:t>
        </w:r>
        <w:r w:rsidR="00916DD7">
          <w:rPr>
            <w:noProof/>
            <w:webHidden/>
          </w:rPr>
          <w:fldChar w:fldCharType="end"/>
        </w:r>
      </w:hyperlink>
    </w:p>
    <w:p w14:paraId="393D2A1D" w14:textId="793A3D83" w:rsidR="00F32321" w:rsidRDefault="00302D21" w:rsidP="004E45CD">
      <w:pPr>
        <w:pStyle w:val="Body"/>
      </w:pPr>
      <w:r>
        <w:rPr>
          <w:rFonts w:eastAsiaTheme="minorHAnsi" w:cstheme="minorBidi"/>
          <w:szCs w:val="22"/>
        </w:rPr>
        <w:fldChar w:fldCharType="end"/>
      </w:r>
      <w:r w:rsidR="00F32321">
        <w:br w:type="page"/>
      </w:r>
    </w:p>
    <w:p w14:paraId="707B6868" w14:textId="01424E98" w:rsidR="00DA4688" w:rsidRDefault="00DA4688" w:rsidP="00DA4688">
      <w:pPr>
        <w:pStyle w:val="MajorHeading"/>
      </w:pPr>
      <w:bookmarkStart w:id="4" w:name="_Toc528055997"/>
      <w:r>
        <w:lastRenderedPageBreak/>
        <w:t>Foreword</w:t>
      </w:r>
      <w:bookmarkEnd w:id="4"/>
    </w:p>
    <w:p w14:paraId="06F42EF4" w14:textId="43F9657D" w:rsidR="006F2BDD" w:rsidRDefault="006F2BDD" w:rsidP="006F2BDD">
      <w:pPr>
        <w:pStyle w:val="Body"/>
      </w:pPr>
      <w:r>
        <w:t>In 2012, a working group consisting of representatives of Australian and New Zealand workers’ compensation authorities, unions and employer groups developed a survey instrument and sampling methodology to measure return to work outcomes and experiences of workers receiving workers’ compensation. It also aimed to better understand the factors that may have an effect on their return to work.</w:t>
      </w:r>
    </w:p>
    <w:p w14:paraId="60BA0893" w14:textId="77777777" w:rsidR="006F2BDD" w:rsidRDefault="006F2BDD" w:rsidP="006F2BDD">
      <w:pPr>
        <w:pStyle w:val="Body"/>
      </w:pPr>
      <w:r>
        <w:t>In June 2012, Safe Work Australia’s Strategic Issues Group for Workers’ Compensation agreed to the survey instrument and methodology developed by the working group and the Social Research Centre was contracted to run the survey. In 2014, Safe Work Australia agreed that the survey should be run biennially. The New Zealand Accident Compensation Corporation continued to run the survey annually and participated in the biannual survey in 2012, 2014 and 2016.</w:t>
      </w:r>
    </w:p>
    <w:p w14:paraId="5BE7E99C" w14:textId="121A4929" w:rsidR="006F2BDD" w:rsidRDefault="006F2BDD" w:rsidP="006F2BDD">
      <w:pPr>
        <w:pStyle w:val="Body"/>
      </w:pPr>
      <w:r>
        <w:t xml:space="preserve">In 2017, </w:t>
      </w:r>
      <w:r w:rsidR="00043CE2">
        <w:t>the</w:t>
      </w:r>
      <w:r>
        <w:t xml:space="preserve"> Strategic Issues Group </w:t>
      </w:r>
      <w:r w:rsidR="00043CE2">
        <w:t>on</w:t>
      </w:r>
      <w:r>
        <w:t xml:space="preserve"> Workers’ Compensation agreed to amend the 2018 National Return to Work Survey questionnaire to better align with policy analysis needs and to improve utilisation of the survey data through post survey analysis and reporting. Safe Work Australia, the Insurance Work and Health Group at Monash University, the participating jurisdictions, employee and employer representatives</w:t>
      </w:r>
      <w:r w:rsidR="00043CE2">
        <w:t xml:space="preserve"> (through the Return to Work Temporary Advisory Group)</w:t>
      </w:r>
      <w:r>
        <w:t>, and the Social Research Centre collaborated to restructure the survey around key areas (referred to as domains in this report) that global and Australian evidence has confirmed influence return to work outcomes.</w:t>
      </w:r>
    </w:p>
    <w:p w14:paraId="6AF9E953" w14:textId="77777777" w:rsidR="006F2BDD" w:rsidRDefault="006F2BDD" w:rsidP="006F2BDD">
      <w:pPr>
        <w:pStyle w:val="Body"/>
      </w:pPr>
      <w:r>
        <w:t>Prior to the first iteration of the National Return to Work Survey in 2012, the Heads of Workers’ Compensation Authorities ran a Return to Work Monitor. To maintain the time series for two key measures reported in the Return to Work Monitor, certain questions remained in the 2018 National Return to Work Survey and two samples were drawn. As explained in Section 1.4.2 of this report, the Historic Cohort uses the same scope as the Return to Work Monitor, while the Balance Cohort is a combination of the Historic Cohort and newer sample drawn using a broader scope.</w:t>
      </w:r>
    </w:p>
    <w:p w14:paraId="10790553" w14:textId="77777777" w:rsidR="006F2BDD" w:rsidRDefault="006F2BDD" w:rsidP="006F2BDD">
      <w:pPr>
        <w:pStyle w:val="Body"/>
      </w:pPr>
      <w:r>
        <w:t>All Australia jurisdictions participated in the 2018 National Return to Work Survey except South Australia. New Zealand undertook a separate, but comparable, survey in 2018 and the findings of this will be reported separately by New Zealand.</w:t>
      </w:r>
    </w:p>
    <w:p w14:paraId="0DCDF17C" w14:textId="4DC58B6F" w:rsidR="006F2BDD" w:rsidRDefault="006F2BDD" w:rsidP="006F2BDD">
      <w:pPr>
        <w:pStyle w:val="Body"/>
      </w:pPr>
      <w:r>
        <w:t xml:space="preserve">This report provides more detailed information compared to the </w:t>
      </w:r>
      <w:hyperlink r:id="rId26" w:history="1">
        <w:r>
          <w:rPr>
            <w:rStyle w:val="Hyperlink"/>
            <w:i/>
            <w:color w:val="0F3447" w:themeColor="accent1" w:themeShade="80"/>
          </w:rPr>
          <w:t>Return to Work Survey, 2018 Headline Measures Report</w:t>
        </w:r>
      </w:hyperlink>
      <w:r>
        <w:t xml:space="preserve"> published on Safe Work Australia’s website in September 2018.</w:t>
      </w:r>
    </w:p>
    <w:p w14:paraId="30B5DB98" w14:textId="77777777" w:rsidR="006F2BDD" w:rsidRDefault="006F2BDD" w:rsidP="006F2BDD">
      <w:pPr>
        <w:pStyle w:val="Body"/>
      </w:pPr>
      <w:r>
        <w:t>Using the 2018 and previous years’ survey data, Safe Work Australia will consider publishing additional topic reports examining the relationship between a range of factors and return to work outcomes in the future.</w:t>
      </w:r>
    </w:p>
    <w:p w14:paraId="4BB61CE0" w14:textId="77777777" w:rsidR="006F2BDD" w:rsidRDefault="006F2BDD" w:rsidP="006F2BDD">
      <w:pPr>
        <w:pStyle w:val="Body"/>
      </w:pPr>
    </w:p>
    <w:p w14:paraId="247EA23B" w14:textId="77777777" w:rsidR="006F2BDD" w:rsidRDefault="006F2BDD" w:rsidP="006F2BDD">
      <w:pPr>
        <w:pStyle w:val="Body"/>
      </w:pPr>
      <w:r>
        <w:t>Safe Work Australia</w:t>
      </w:r>
    </w:p>
    <w:p w14:paraId="5723BA4C" w14:textId="5C0A6DC8" w:rsidR="00411596" w:rsidRDefault="00411596" w:rsidP="00411596">
      <w:pPr>
        <w:pStyle w:val="Body"/>
      </w:pPr>
      <w:r>
        <w:t>September 2018</w:t>
      </w:r>
    </w:p>
    <w:p w14:paraId="17227A09" w14:textId="77777777" w:rsidR="00C35D1B" w:rsidRDefault="00C35D1B" w:rsidP="00411596">
      <w:pPr>
        <w:pStyle w:val="Body"/>
      </w:pPr>
    </w:p>
    <w:p w14:paraId="3878B6D3" w14:textId="77777777" w:rsidR="00411596" w:rsidRDefault="00411596" w:rsidP="00411596">
      <w:pPr>
        <w:pStyle w:val="Body"/>
        <w:sectPr w:rsidR="00411596" w:rsidSect="00411596">
          <w:pgSz w:w="11906" w:h="16838" w:code="9"/>
          <w:pgMar w:top="1418" w:right="1418" w:bottom="1134" w:left="1418" w:header="567" w:footer="567" w:gutter="0"/>
          <w:pgNumType w:fmt="lowerRoman"/>
          <w:cols w:space="708"/>
          <w:docGrid w:linePitch="360"/>
        </w:sectPr>
      </w:pPr>
    </w:p>
    <w:p w14:paraId="2690D887" w14:textId="512A1991" w:rsidR="0013110A" w:rsidRDefault="0013110A" w:rsidP="00411596">
      <w:pPr>
        <w:pStyle w:val="MajorHeading"/>
      </w:pPr>
      <w:bookmarkStart w:id="5" w:name="_Toc528055998"/>
      <w:r>
        <w:lastRenderedPageBreak/>
        <w:t>Executive Summary</w:t>
      </w:r>
      <w:bookmarkEnd w:id="5"/>
    </w:p>
    <w:p w14:paraId="57EB735E" w14:textId="39AB7190" w:rsidR="00CB71C7" w:rsidRDefault="00CB71C7" w:rsidP="00CB71C7">
      <w:pPr>
        <w:pStyle w:val="Body"/>
      </w:pPr>
      <w:r>
        <w:t>Following are selected highlights from the report, including key metrics, notable shifts in time series results and key trends which can be observed be</w:t>
      </w:r>
      <w:r w:rsidR="00073BF2">
        <w:t xml:space="preserve">tween sub-groups of the </w:t>
      </w:r>
      <w:r>
        <w:t>worker population. For more detailed analysis and data, please refer to the section reference noted in the heading.</w:t>
      </w:r>
    </w:p>
    <w:p w14:paraId="7EB5C093" w14:textId="77777777" w:rsidR="00CB71C7" w:rsidRDefault="00CB71C7" w:rsidP="004A4217">
      <w:pPr>
        <w:pStyle w:val="Heading2"/>
        <w:numPr>
          <w:ilvl w:val="0"/>
          <w:numId w:val="0"/>
        </w:numPr>
        <w:ind w:left="792" w:hanging="792"/>
      </w:pPr>
      <w:r>
        <w:t>Return to work outcomes (Section 3)</w:t>
      </w:r>
    </w:p>
    <w:p w14:paraId="1DA9C908" w14:textId="4331CE9D" w:rsidR="00CB71C7" w:rsidRDefault="00CB71C7" w:rsidP="00CB71C7">
      <w:pPr>
        <w:pStyle w:val="Body"/>
      </w:pPr>
      <w:r>
        <w:t xml:space="preserve">The vast </w:t>
      </w:r>
      <w:r w:rsidR="00073BF2">
        <w:t xml:space="preserve">majority (92.7%) of all </w:t>
      </w:r>
      <w:r>
        <w:t xml:space="preserve">workers surveyed in 2018 reported having returned to work at any time since their work-related injury or illness. This total </w:t>
      </w:r>
      <w:r w:rsidRPr="00962BF9">
        <w:rPr>
          <w:i/>
        </w:rPr>
        <w:t>Returned to Work Rate</w:t>
      </w:r>
      <w:r>
        <w:t xml:space="preserve"> was consistent with the previous result in 2016, and across jurisdictions, with all except Seacare reporting a </w:t>
      </w:r>
      <w:r w:rsidRPr="00962BF9">
        <w:rPr>
          <w:i/>
        </w:rPr>
        <w:t>Returned to Work Rate</w:t>
      </w:r>
      <w:r>
        <w:t xml:space="preserve"> above 90 per cent.</w:t>
      </w:r>
    </w:p>
    <w:p w14:paraId="1591F4AD" w14:textId="122E35E3" w:rsidR="00CB71C7" w:rsidRDefault="00CB71C7" w:rsidP="00CB71C7">
      <w:pPr>
        <w:pStyle w:val="Body"/>
      </w:pPr>
      <w:r>
        <w:t xml:space="preserve">The total </w:t>
      </w:r>
      <w:r w:rsidRPr="00962BF9">
        <w:rPr>
          <w:i/>
        </w:rPr>
        <w:t>Current Retur</w:t>
      </w:r>
      <w:r>
        <w:rPr>
          <w:i/>
        </w:rPr>
        <w:t>n to Work R</w:t>
      </w:r>
      <w:r w:rsidRPr="00962BF9">
        <w:rPr>
          <w:i/>
        </w:rPr>
        <w:t>ate</w:t>
      </w:r>
      <w:r>
        <w:t xml:space="preserve"> (the proportion who reported that they had returned to work at any time since their work-related injury or illness and were currently working at the time of survey) was also consistent with 2016, at 81.8%. All jurisdictions, except Seacare and the Northern Territory, reported a </w:t>
      </w:r>
      <w:r w:rsidRPr="00962BF9">
        <w:rPr>
          <w:i/>
        </w:rPr>
        <w:t>Current Retur</w:t>
      </w:r>
      <w:r>
        <w:rPr>
          <w:i/>
        </w:rPr>
        <w:t>n to Work R</w:t>
      </w:r>
      <w:r w:rsidRPr="00962BF9">
        <w:rPr>
          <w:i/>
        </w:rPr>
        <w:t>ate</w:t>
      </w:r>
      <w:r>
        <w:t xml:space="preserve"> above 80 per cent. A significantly higher </w:t>
      </w:r>
      <w:r w:rsidRPr="00962BF9">
        <w:rPr>
          <w:i/>
        </w:rPr>
        <w:t>Current Retur</w:t>
      </w:r>
      <w:r>
        <w:rPr>
          <w:i/>
        </w:rPr>
        <w:t>n to Work R</w:t>
      </w:r>
      <w:r w:rsidRPr="00962BF9">
        <w:rPr>
          <w:i/>
        </w:rPr>
        <w:t>ate</w:t>
      </w:r>
      <w:r w:rsidRPr="00962BF9">
        <w:t xml:space="preserve"> was reported</w:t>
      </w:r>
      <w:r>
        <w:rPr>
          <w:i/>
        </w:rPr>
        <w:t xml:space="preserve"> </w:t>
      </w:r>
      <w:r w:rsidR="00073BF2">
        <w:t xml:space="preserve">by </w:t>
      </w:r>
      <w:r>
        <w:t>workers from large employers (those with total remuneration of $20 million or more) (81.9%) in comparison to those from small (73.5%) or medium (75.0%) sized employers.</w:t>
      </w:r>
    </w:p>
    <w:p w14:paraId="1B64503D" w14:textId="246D1C27" w:rsidR="00CB71C7" w:rsidRDefault="00CB71C7" w:rsidP="00CB71C7">
      <w:pPr>
        <w:pStyle w:val="Body"/>
      </w:pPr>
      <w:r>
        <w:t>Despite these steady headline measures, 2018 saw a significant increase in the proportion of unsuccessful return to work attempts (those who had to take additional time off since returning to work, due to their work-related injury or illness), at 19.6%. This was si</w:t>
      </w:r>
      <w:r w:rsidR="00073BF2">
        <w:t>gnificantly higher among</w:t>
      </w:r>
      <w:r>
        <w:t xml:space="preserve"> workers from Comcare (27.9%) and Victoria (28.8%).</w:t>
      </w:r>
    </w:p>
    <w:p w14:paraId="72670142" w14:textId="108FA3D8" w:rsidR="00CB71C7" w:rsidRDefault="00CB71C7" w:rsidP="00CB71C7">
      <w:pPr>
        <w:pStyle w:val="Body"/>
      </w:pPr>
      <w:r>
        <w:t>Around</w:t>
      </w:r>
      <w:r w:rsidR="00073BF2">
        <w:t xml:space="preserve"> three-in-eight (37.6%) </w:t>
      </w:r>
      <w:r>
        <w:t>workers who had returned to work reported that they worked reduced hours upon their return. Those who experienced mental illness were the most likely to work reduced hours upon returning to work (53.7%). Around</w:t>
      </w:r>
      <w:r w:rsidR="00073BF2">
        <w:t xml:space="preserve"> three-in-eight (38.4%) </w:t>
      </w:r>
      <w:r>
        <w:t>workers who had returned to work reported that they were performing slightly different/modified duties upon their return to work, while 19.0% reported performing completely different duties.</w:t>
      </w:r>
    </w:p>
    <w:p w14:paraId="74A83DA8" w14:textId="77777777" w:rsidR="00CB71C7" w:rsidRDefault="00CB71C7" w:rsidP="004A4217">
      <w:pPr>
        <w:pStyle w:val="Heading2"/>
        <w:numPr>
          <w:ilvl w:val="0"/>
          <w:numId w:val="0"/>
        </w:numPr>
        <w:ind w:left="792" w:hanging="792"/>
      </w:pPr>
      <w:r>
        <w:t>Personal domain (Section 4)</w:t>
      </w:r>
    </w:p>
    <w:p w14:paraId="75523975" w14:textId="2CF5C8E4" w:rsidR="00CB71C7" w:rsidRDefault="00CB71C7" w:rsidP="00CB71C7">
      <w:pPr>
        <w:pStyle w:val="Body"/>
      </w:pPr>
      <w:r>
        <w:t xml:space="preserve">Most survey respondents were positive about their general health – 32.0% rated </w:t>
      </w:r>
      <w:r w:rsidR="00C02146">
        <w:t xml:space="preserve">their health </w:t>
      </w:r>
      <w:r>
        <w:t xml:space="preserve">as ‘Good’ and 37.9% rated </w:t>
      </w:r>
      <w:r w:rsidR="00C02146">
        <w:t xml:space="preserve">it </w:t>
      </w:r>
      <w:r>
        <w:t>as either ‘Very Good’ or ‘Excellent’. Those who experienced other trauma (44.8%) or fractures (43.3%) were most positive about their general health, while those who experienced mental illness were the least positive, with only 27.0% rating as either ‘Very Good’ or ‘Excellent’. General health perceptions appear to be linked to return to work outcomes – 42.1% of those currently working at the time of survey rated their general health as ‘Very Good’ or ‘Excellent’ compared to only 16.9% of those not working.</w:t>
      </w:r>
    </w:p>
    <w:p w14:paraId="6E733F34" w14:textId="6C289BA8" w:rsidR="00CB71C7" w:rsidRDefault="00CB71C7" w:rsidP="00CB71C7">
      <w:pPr>
        <w:pStyle w:val="Body"/>
      </w:pPr>
      <w:r>
        <w:t>Just under half (47.8%) of</w:t>
      </w:r>
      <w:r w:rsidR="00C02146">
        <w:t xml:space="preserve"> the</w:t>
      </w:r>
      <w:r>
        <w:t xml:space="preserve"> respondents reported that they had experienced physical pain in the last week; most of those who reported experiencing pain during the past week, had been suffering from this pain for a period of three months or more. A significantly higher proportion of those not working at time of survey (57.7%) reported having pain for a period of three months or more, compared to those currently working (32.6%).</w:t>
      </w:r>
    </w:p>
    <w:p w14:paraId="564C97EA" w14:textId="2E830A73" w:rsidR="00CB71C7" w:rsidRDefault="00CB71C7" w:rsidP="00CB71C7">
      <w:pPr>
        <w:pStyle w:val="Body"/>
      </w:pPr>
      <w:r>
        <w:t xml:space="preserve">The Kessler 6 </w:t>
      </w:r>
      <w:r w:rsidRPr="00736DEB">
        <w:t>Psychological Distress Scale</w:t>
      </w:r>
      <w:r>
        <w:t xml:space="preserve"> was used in the 2018 NRTWS for the fi</w:t>
      </w:r>
      <w:r w:rsidR="00073BF2">
        <w:t xml:space="preserve">rst time. Overall, most </w:t>
      </w:r>
      <w:r>
        <w:t>workers reported no probable serious mental illness (89.0% had a Kessler 6 score of 6 to 18). A</w:t>
      </w:r>
      <w:r w:rsidR="00626857">
        <w:t> </w:t>
      </w:r>
      <w:r>
        <w:t>significantly higher proportion of those not working at the time of survey reported probable serious mental illness (a Kessler 6 score of 19 to 30) (34.9% compared to 6.3% of those currently working</w:t>
      </w:r>
      <w:r w:rsidR="00C02146">
        <w:t>)</w:t>
      </w:r>
      <w:r>
        <w:t>.</w:t>
      </w:r>
    </w:p>
    <w:p w14:paraId="536CC6BF" w14:textId="7434B18B" w:rsidR="00CB71C7" w:rsidRDefault="00073BF2" w:rsidP="00CB71C7">
      <w:pPr>
        <w:pStyle w:val="Body"/>
      </w:pPr>
      <w:r>
        <w:lastRenderedPageBreak/>
        <w:t xml:space="preserve">Overall, 28.6% </w:t>
      </w:r>
      <w:r w:rsidR="00C02146">
        <w:t xml:space="preserve">of the </w:t>
      </w:r>
      <w:r w:rsidR="00CB71C7">
        <w:t xml:space="preserve">workers surveyed reported experiencing above average levels of financial distress. This rose to 55.0% of those not working at the time of </w:t>
      </w:r>
      <w:r w:rsidR="00C02146">
        <w:t xml:space="preserve">the </w:t>
      </w:r>
      <w:r w:rsidR="00CB71C7">
        <w:t>survey, indicating the impact long</w:t>
      </w:r>
      <w:r w:rsidR="00626857">
        <w:noBreakHyphen/>
      </w:r>
      <w:r w:rsidR="00CB71C7">
        <w:t>term absence from the workplace can have on overall wellbeing.</w:t>
      </w:r>
    </w:p>
    <w:p w14:paraId="0F1165F5" w14:textId="77777777" w:rsidR="00CB71C7" w:rsidRDefault="00CB71C7" w:rsidP="004A4217">
      <w:pPr>
        <w:pStyle w:val="Heading2"/>
        <w:numPr>
          <w:ilvl w:val="0"/>
          <w:numId w:val="0"/>
        </w:numPr>
        <w:ind w:left="792" w:hanging="792"/>
      </w:pPr>
      <w:r>
        <w:t>Workplace domain (Section 5)</w:t>
      </w:r>
    </w:p>
    <w:p w14:paraId="29810FF1" w14:textId="472DFCD1" w:rsidR="00CB71C7" w:rsidRDefault="00CB71C7" w:rsidP="00CB71C7">
      <w:pPr>
        <w:pStyle w:val="Body"/>
      </w:pPr>
      <w:r>
        <w:t xml:space="preserve">Nearly two-thirds (65.3%) of 2018 survey respondents reported having a return to work plan, almost identical to the 2016 result. </w:t>
      </w:r>
      <w:r w:rsidR="00073BF2">
        <w:t>W</w:t>
      </w:r>
      <w:r>
        <w:rPr>
          <w:rFonts w:cs="Arial"/>
        </w:rPr>
        <w:t>orkers</w:t>
      </w:r>
      <w:r w:rsidRPr="00493EE2">
        <w:rPr>
          <w:rFonts w:cs="Arial"/>
        </w:rPr>
        <w:t xml:space="preserve"> </w:t>
      </w:r>
      <w:r>
        <w:rPr>
          <w:rFonts w:cs="Arial"/>
        </w:rPr>
        <w:t xml:space="preserve">from Comcare (73.6%) and Victoria (70.8%) were significantly more likely to have a </w:t>
      </w:r>
      <w:r w:rsidRPr="00CA005A">
        <w:t>plan in place to get back to work</w:t>
      </w:r>
      <w:r>
        <w:t xml:space="preserve">, while those </w:t>
      </w:r>
      <w:r w:rsidRPr="00CA005A">
        <w:t>from Queensland (5</w:t>
      </w:r>
      <w:r>
        <w:t>6.0</w:t>
      </w:r>
      <w:r w:rsidRPr="00CA005A">
        <w:t>%) were significantly less likely to have a plan</w:t>
      </w:r>
    </w:p>
    <w:p w14:paraId="574D6345" w14:textId="425A33E5" w:rsidR="00CB71C7" w:rsidRDefault="00CB71C7" w:rsidP="00CB71C7">
      <w:pPr>
        <w:pStyle w:val="Body"/>
      </w:pPr>
      <w:r>
        <w:t xml:space="preserve">Around a third (32.2%) of respondents reported feeling that they thought </w:t>
      </w:r>
      <w:r w:rsidR="00C02146">
        <w:t xml:space="preserve">they </w:t>
      </w:r>
      <w:r>
        <w:t>would be treated differently by people at work, when putting in a workers’ compensation claim, consistent with previous years. This remains a key</w:t>
      </w:r>
      <w:r w:rsidR="00073BF2">
        <w:t xml:space="preserve"> concern of </w:t>
      </w:r>
      <w:r>
        <w:t xml:space="preserve">workers regarding their workplace reaction and is particularly concerning for those who experience mental illness (72.4% of whom agreed with this statement). </w:t>
      </w:r>
    </w:p>
    <w:p w14:paraId="4EE63C49" w14:textId="10F1B44A" w:rsidR="00CB71C7" w:rsidRDefault="00CB71C7" w:rsidP="00CB71C7">
      <w:pPr>
        <w:pStyle w:val="Body"/>
      </w:pPr>
      <w:r>
        <w:t>Respondents were generally positive about their employer being supportive following their work-related injury or illness, especially in treating them fairly during and after the claims process. Those who experienced mental illness</w:t>
      </w:r>
      <w:r w:rsidR="00C02146">
        <w:t>,</w:t>
      </w:r>
      <w:r>
        <w:t xml:space="preserve"> however</w:t>
      </w:r>
      <w:r w:rsidR="00C02146">
        <w:t>,</w:t>
      </w:r>
      <w:r>
        <w:t xml:space="preserve"> were significantly less positive about the support received from their employer.</w:t>
      </w:r>
    </w:p>
    <w:p w14:paraId="71A39DC6" w14:textId="35D1EBFB" w:rsidR="00CB71C7" w:rsidRDefault="00CB71C7" w:rsidP="00CB71C7">
      <w:pPr>
        <w:pStyle w:val="Body"/>
      </w:pPr>
      <w:r>
        <w:t xml:space="preserve">More than half (56.9%) of respondents reported that they were contacted by a return to work coordinator. </w:t>
      </w:r>
      <w:r w:rsidR="00073BF2">
        <w:t>W</w:t>
      </w:r>
      <w:r>
        <w:t xml:space="preserve">orkers from Comcare (63.4%) and Seacare (81.0%) were significantly more likely to have been contacted </w:t>
      </w:r>
      <w:r w:rsidR="00C02146">
        <w:t xml:space="preserve">by </w:t>
      </w:r>
      <w:r>
        <w:t>a return to work coordinator. Overall, few of those who had been contacted by a return to work coordinator found the interactions stressful (11.2%), with those who experienced mental illness the only notable exception – 25.1% of this sub-group reported that their interactions with a return to work coordinator were stressful, significantly higher than all other injury</w:t>
      </w:r>
      <w:r w:rsidR="00316A21">
        <w:t>/illness</w:t>
      </w:r>
      <w:r>
        <w:t xml:space="preserve"> type sub</w:t>
      </w:r>
      <w:r w:rsidR="00C35D1B">
        <w:noBreakHyphen/>
      </w:r>
      <w:r>
        <w:t>group</w:t>
      </w:r>
      <w:r w:rsidR="00C35D1B">
        <w:t>s</w:t>
      </w:r>
      <w:r>
        <w:t xml:space="preserve">. </w:t>
      </w:r>
    </w:p>
    <w:p w14:paraId="2CE8AC4B" w14:textId="77777777" w:rsidR="00CB71C7" w:rsidRDefault="00CB71C7" w:rsidP="004A4217">
      <w:pPr>
        <w:pStyle w:val="Heading2"/>
        <w:numPr>
          <w:ilvl w:val="0"/>
          <w:numId w:val="0"/>
        </w:numPr>
        <w:ind w:left="792" w:hanging="792"/>
      </w:pPr>
      <w:r>
        <w:t>Healthcare domain (Section 6)</w:t>
      </w:r>
    </w:p>
    <w:p w14:paraId="75267A5B" w14:textId="60D50324" w:rsidR="00CB71C7" w:rsidRDefault="00CB71C7" w:rsidP="00CB71C7">
      <w:pPr>
        <w:pStyle w:val="Body"/>
      </w:pPr>
      <w:r>
        <w:t>Most respondents felt they could easily access medical care – overall 87.5% of workers reported that they were able to access the</w:t>
      </w:r>
      <w:r w:rsidRPr="00360F9D">
        <w:t xml:space="preserve"> med</w:t>
      </w:r>
      <w:r>
        <w:t xml:space="preserve">ical treatment or services </w:t>
      </w:r>
      <w:r w:rsidRPr="00360F9D">
        <w:t xml:space="preserve">needed for </w:t>
      </w:r>
      <w:r>
        <w:t>thei</w:t>
      </w:r>
      <w:r w:rsidRPr="00360F9D">
        <w:t>r work-related injury or illnes</w:t>
      </w:r>
      <w:r>
        <w:t>s. However, those from Comcare (81.6%) and Victoria (82.1%) were significantly less likely to agree they were able to easily access medical care.</w:t>
      </w:r>
    </w:p>
    <w:p w14:paraId="6030EF57" w14:textId="248C248C" w:rsidR="00CB71C7" w:rsidRDefault="00CB71C7" w:rsidP="00CB71C7">
      <w:pPr>
        <w:pStyle w:val="Body"/>
      </w:pPr>
      <w:r>
        <w:t>The vast majority of workers reported they had seen at least one healthcare provider – only 0.</w:t>
      </w:r>
      <w:r w:rsidR="003F7DEB">
        <w:t>5</w:t>
      </w:r>
      <w:r>
        <w:t xml:space="preserve">% overall reported seeing no healthcare providers. The nature of injury/illness appeared to correlate with the range of healthcare providers that are consulted. A significantly higher proportion of those who experienced fractures (62.6%) or musculoskeletal disorders (57.1%) reported they had seen three or more healthcare providers. Conversely, a significantly lower proportion of those who experienced other diseases (37.1%) or other trauma (38.1%) </w:t>
      </w:r>
      <w:r w:rsidR="00C02146">
        <w:t>reported seeing</w:t>
      </w:r>
      <w:r>
        <w:t xml:space="preserve"> three or more healthcare providers.</w:t>
      </w:r>
    </w:p>
    <w:p w14:paraId="505AC73A" w14:textId="44133007" w:rsidR="00CB71C7" w:rsidRDefault="00CB71C7" w:rsidP="00CB71C7">
      <w:pPr>
        <w:pStyle w:val="Body"/>
      </w:pPr>
      <w:r>
        <w:t>There were also significant differences based on injury</w:t>
      </w:r>
      <w:r w:rsidR="00316A21">
        <w:t>/illness</w:t>
      </w:r>
      <w:r>
        <w:t xml:space="preserve"> type, in terms of who was considered the main healthcare provider. Those who experienced other trauma (64.6%) were significantly more likely to consider their GP as their main healthcare provider. A significantly higher proportion of those who experienced other diseases (28.0%) or fractures (19.2%) reported that a surgeon was their main healthcare provider; and a significantly higher proportion of those who experienced mental illness (39.1%) considered a psychologist or psychiatrist to be their main healthcare provider.</w:t>
      </w:r>
    </w:p>
    <w:p w14:paraId="4599E81E" w14:textId="6935600F" w:rsidR="00CB71C7" w:rsidRPr="003B73B7" w:rsidRDefault="00CB71C7" w:rsidP="00CB71C7">
      <w:pPr>
        <w:pStyle w:val="Body"/>
      </w:pPr>
      <w:r>
        <w:t xml:space="preserve">Only </w:t>
      </w:r>
      <w:r w:rsidRPr="007F3FC9">
        <w:t>a low</w:t>
      </w:r>
      <w:r w:rsidRPr="00E6590C">
        <w:rPr>
          <w:color w:val="FF0000"/>
        </w:rPr>
        <w:t xml:space="preserve"> </w:t>
      </w:r>
      <w:r w:rsidRPr="003B73B7">
        <w:t xml:space="preserve">proportion (11.0%) of </w:t>
      </w:r>
      <w:r>
        <w:t xml:space="preserve">respondents </w:t>
      </w:r>
      <w:r w:rsidRPr="003B73B7">
        <w:t>overall reported feeling that their interactions with healthcare providers were stressful.</w:t>
      </w:r>
      <w:r>
        <w:t xml:space="preserve"> However, a</w:t>
      </w:r>
      <w:r w:rsidRPr="003B73B7">
        <w:t xml:space="preserve"> quarter (25.4%) of </w:t>
      </w:r>
      <w:r>
        <w:t xml:space="preserve">those </w:t>
      </w:r>
      <w:r w:rsidRPr="003B73B7">
        <w:t xml:space="preserve">who experienced mental </w:t>
      </w:r>
      <w:r w:rsidRPr="003B73B7">
        <w:lastRenderedPageBreak/>
        <w:t xml:space="preserve">illness reported finding their healthcare provider interactions stressful, </w:t>
      </w:r>
      <w:r>
        <w:t>significantly higher t</w:t>
      </w:r>
      <w:r w:rsidRPr="003B73B7">
        <w:t xml:space="preserve">han any other </w:t>
      </w:r>
      <w:r>
        <w:t>injury</w:t>
      </w:r>
      <w:r w:rsidR="00316A21">
        <w:t>/illness</w:t>
      </w:r>
      <w:r>
        <w:t xml:space="preserve"> type </w:t>
      </w:r>
      <w:r w:rsidRPr="003B73B7">
        <w:t>sub-group.</w:t>
      </w:r>
    </w:p>
    <w:p w14:paraId="3C6A9DE4" w14:textId="2F62DCDC" w:rsidR="00CB71C7" w:rsidRDefault="00CB71C7" w:rsidP="004A4217">
      <w:pPr>
        <w:pStyle w:val="Heading2"/>
        <w:numPr>
          <w:ilvl w:val="0"/>
          <w:numId w:val="0"/>
        </w:numPr>
        <w:ind w:left="792" w:hanging="792"/>
      </w:pPr>
      <w:r>
        <w:t xml:space="preserve">Workers </w:t>
      </w:r>
      <w:r w:rsidR="003F7DEB">
        <w:t>c</w:t>
      </w:r>
      <w:r>
        <w:t>ompensation domain (Section 7)</w:t>
      </w:r>
    </w:p>
    <w:p w14:paraId="6138093F" w14:textId="442E9AF7" w:rsidR="00CB71C7" w:rsidRDefault="00CB71C7" w:rsidP="00CB71C7">
      <w:pPr>
        <w:pStyle w:val="Body"/>
        <w:rPr>
          <w:rFonts w:cs="Arial"/>
        </w:rPr>
      </w:pPr>
      <w:r>
        <w:rPr>
          <w:rFonts w:cs="Arial"/>
        </w:rPr>
        <w:t>Around two-in-five workers overall reported needing support to navigate the workers’ compensation claim process. A significantly higher proportion of workers from the Northern Territory (55.3%) and Victoria (46.6%) needed support. Employers and colleagues of workers are by far the greatest source of support – more than half (52.4%) of all respondents who needed help reported they had received help from their employer or colleague and this was the main source of support reported by all sub-groups.</w:t>
      </w:r>
    </w:p>
    <w:p w14:paraId="3DC7926C" w14:textId="2ADBC30D" w:rsidR="00CB71C7" w:rsidRDefault="00CB71C7" w:rsidP="00CB71C7">
      <w:pPr>
        <w:pStyle w:val="Body"/>
        <w:rPr>
          <w:rFonts w:cs="Arial"/>
        </w:rPr>
      </w:pPr>
      <w:r>
        <w:rPr>
          <w:rFonts w:cs="Arial"/>
        </w:rPr>
        <w:t xml:space="preserve">A quarter (25.5%) of workers reported that they had experienced a difference of opinion from </w:t>
      </w:r>
      <w:r w:rsidRPr="005B66B3">
        <w:t xml:space="preserve">the organisation </w:t>
      </w:r>
      <w:r>
        <w:t xml:space="preserve">they </w:t>
      </w:r>
      <w:r w:rsidRPr="005B66B3">
        <w:t xml:space="preserve">dealt with for </w:t>
      </w:r>
      <w:r>
        <w:t>thei</w:t>
      </w:r>
      <w:r w:rsidRPr="005B66B3">
        <w:t>r claim</w:t>
      </w:r>
      <w:r>
        <w:t xml:space="preserve">. </w:t>
      </w:r>
      <w:r>
        <w:rPr>
          <w:rFonts w:cs="Arial"/>
        </w:rPr>
        <w:t>A significantly higher proportion of workers from Comcare (34.3%) experienced a difference of opinion from their compensation organisation, while those from Queensland (20.5%) were the least likely to have experienced a difference of opinion. A significantly higher proportion of those with a claim duration longer than two years reported having a difference of opinion from their compensation organisation (34.8%) compared with those with shorter claims.</w:t>
      </w:r>
    </w:p>
    <w:p w14:paraId="1343B980" w14:textId="77777777" w:rsidR="00CB71C7" w:rsidRDefault="00CB71C7" w:rsidP="00011EAE">
      <w:pPr>
        <w:pStyle w:val="Body"/>
      </w:pPr>
      <w:r>
        <w:t>Those with a claim duration of 730 days or more reported the lowest results for attributes related to the perceived fairness of the compensation process. Most notably, they rated significantly lower the fairness of compensation benefits, the process for determining benefits and information and communications they received.</w:t>
      </w:r>
    </w:p>
    <w:p w14:paraId="1FA21644" w14:textId="4D06A70F" w:rsidR="00CB71C7" w:rsidRDefault="00CB71C7" w:rsidP="00011EAE">
      <w:pPr>
        <w:pStyle w:val="Body"/>
      </w:pPr>
      <w:r>
        <w:br w:type="page"/>
      </w:r>
    </w:p>
    <w:p w14:paraId="393D2A27" w14:textId="274BEB5B" w:rsidR="00073996" w:rsidRDefault="00CD39CA" w:rsidP="00664F90">
      <w:pPr>
        <w:pStyle w:val="Heading1"/>
      </w:pPr>
      <w:bookmarkStart w:id="6" w:name="_Toc528055999"/>
      <w:r>
        <w:lastRenderedPageBreak/>
        <w:t>Introduction</w:t>
      </w:r>
      <w:bookmarkEnd w:id="6"/>
    </w:p>
    <w:p w14:paraId="0C260E59" w14:textId="4E6EB6D3" w:rsidR="00EC4574" w:rsidRDefault="00EC4574" w:rsidP="00EC4574">
      <w:pPr>
        <w:pStyle w:val="Body"/>
      </w:pPr>
      <w:r>
        <w:t xml:space="preserve">This report summarises the key findings of the </w:t>
      </w:r>
      <w:r w:rsidR="00E92B2B">
        <w:t>2018</w:t>
      </w:r>
      <w:r>
        <w:t xml:space="preserve"> Return to Work Survey, conducted by the Social Research Centre on </w:t>
      </w:r>
      <w:r w:rsidRPr="003E47FF">
        <w:t xml:space="preserve">behalf of Safe Work Australia and participating jurisdictions. It provides more detailed information compared to the </w:t>
      </w:r>
      <w:r w:rsidRPr="003E47FF">
        <w:rPr>
          <w:i/>
        </w:rPr>
        <w:t>Headline Measures Report (201</w:t>
      </w:r>
      <w:r w:rsidR="003E47FF" w:rsidRPr="003E47FF">
        <w:rPr>
          <w:i/>
        </w:rPr>
        <w:t>8</w:t>
      </w:r>
      <w:r w:rsidRPr="003E47FF">
        <w:rPr>
          <w:i/>
        </w:rPr>
        <w:t>)</w:t>
      </w:r>
      <w:r w:rsidR="008123D3">
        <w:rPr>
          <w:rStyle w:val="FootnoteReference"/>
          <w:i/>
        </w:rPr>
        <w:footnoteReference w:id="1"/>
      </w:r>
      <w:r w:rsidRPr="003E47FF">
        <w:t xml:space="preserve"> published on Safe Work Australia’s website</w:t>
      </w:r>
      <w:r w:rsidR="003E47FF" w:rsidRPr="003E47FF">
        <w:t xml:space="preserve"> in September 2018</w:t>
      </w:r>
      <w:r w:rsidRPr="003E47FF">
        <w:t>. That said, this report is</w:t>
      </w:r>
      <w:r w:rsidR="003E47FF" w:rsidRPr="003E47FF">
        <w:t xml:space="preserve"> by</w:t>
      </w:r>
      <w:r w:rsidRPr="003E47FF">
        <w:t xml:space="preserve"> no means an exhaustive analysis of all survey data. Instead, it is intended to provide a broad overview of survey </w:t>
      </w:r>
      <w:r w:rsidR="003E47FF" w:rsidRPr="003E47FF">
        <w:t>results</w:t>
      </w:r>
      <w:r w:rsidRPr="003E47FF">
        <w:t xml:space="preserve">. More detailed analysis of specific issues may be undertaken and published in </w:t>
      </w:r>
      <w:r w:rsidR="004D4F1C">
        <w:t>the future</w:t>
      </w:r>
      <w:r w:rsidRPr="003E47FF">
        <w:t>.</w:t>
      </w:r>
    </w:p>
    <w:p w14:paraId="7F3C31E3" w14:textId="017BB4DD" w:rsidR="005C5B6E" w:rsidRDefault="005C5B6E" w:rsidP="005755C8">
      <w:pPr>
        <w:pStyle w:val="Heading2"/>
      </w:pPr>
      <w:bookmarkStart w:id="7" w:name="_Toc528056000"/>
      <w:r>
        <w:t>Background</w:t>
      </w:r>
      <w:bookmarkEnd w:id="7"/>
    </w:p>
    <w:p w14:paraId="513F649E" w14:textId="36B82B9B" w:rsidR="00BF58A1" w:rsidRPr="00BF58A1" w:rsidRDefault="00A071BF" w:rsidP="00BF58A1">
      <w:pPr>
        <w:pStyle w:val="Body"/>
      </w:pPr>
      <w:r w:rsidRPr="00BF58A1">
        <w:t xml:space="preserve">Returning to work as soon as safely possible </w:t>
      </w:r>
      <w:r w:rsidR="00BF58A1" w:rsidRPr="00BF58A1">
        <w:t xml:space="preserve">following a workplace-related injury or illness </w:t>
      </w:r>
      <w:r w:rsidRPr="00BF58A1">
        <w:t>has benefits for the worker</w:t>
      </w:r>
      <w:r w:rsidR="008123D3">
        <w:t>,</w:t>
      </w:r>
      <w:r w:rsidRPr="00BF58A1">
        <w:t xml:space="preserve"> their family, employ</w:t>
      </w:r>
      <w:r w:rsidR="00BF58A1" w:rsidRPr="00BF58A1">
        <w:t xml:space="preserve">er </w:t>
      </w:r>
      <w:r w:rsidRPr="00BF58A1">
        <w:t>and society more broadly.</w:t>
      </w:r>
      <w:r w:rsidR="00BF58A1" w:rsidRPr="00BF58A1">
        <w:t xml:space="preserve"> The </w:t>
      </w:r>
      <w:r w:rsidR="00E92B2B">
        <w:t>2018</w:t>
      </w:r>
      <w:r w:rsidR="00BF58A1" w:rsidRPr="00BF58A1">
        <w:t xml:space="preserve"> National Return to Work Survey (NRTWS) is the latest in a longstanding series of </w:t>
      </w:r>
      <w:r w:rsidR="00EC4574">
        <w:t xml:space="preserve">research </w:t>
      </w:r>
      <w:r w:rsidR="00BF58A1" w:rsidRPr="00BF58A1">
        <w:t>to measure</w:t>
      </w:r>
      <w:r w:rsidR="00EC4574">
        <w:t xml:space="preserve"> the</w:t>
      </w:r>
      <w:r w:rsidR="00BF58A1" w:rsidRPr="00BF58A1">
        <w:t xml:space="preserve"> return to work outcomes of workers receiving workers’ compensation and to better understand the experience of those workers and the factors that may influence their return to work</w:t>
      </w:r>
      <w:r w:rsidR="008E46D0">
        <w:t xml:space="preserve"> (RTW)</w:t>
      </w:r>
      <w:r w:rsidR="00BF58A1" w:rsidRPr="00BF58A1">
        <w:t>.</w:t>
      </w:r>
    </w:p>
    <w:p w14:paraId="471C7302" w14:textId="672389F3" w:rsidR="005C5B6E" w:rsidRDefault="005C5B6E" w:rsidP="005C5B6E">
      <w:pPr>
        <w:pStyle w:val="Body"/>
      </w:pPr>
      <w:r w:rsidRPr="00BF58A1">
        <w:t xml:space="preserve">The Social Research Centre has </w:t>
      </w:r>
      <w:r w:rsidR="00043CE2">
        <w:t>undertaken</w:t>
      </w:r>
      <w:r w:rsidR="00043CE2" w:rsidRPr="00BF58A1">
        <w:t xml:space="preserve"> </w:t>
      </w:r>
      <w:r w:rsidRPr="00BF58A1">
        <w:t xml:space="preserve">the </w:t>
      </w:r>
      <w:r w:rsidR="005F4328">
        <w:t xml:space="preserve">NRTWS </w:t>
      </w:r>
      <w:r w:rsidRPr="00BF58A1">
        <w:t xml:space="preserve">on behalf of </w:t>
      </w:r>
      <w:r w:rsidR="00F8783B">
        <w:t>Safe Work Australia</w:t>
      </w:r>
      <w:r w:rsidR="00BF58A1" w:rsidRPr="00BF58A1">
        <w:t xml:space="preserve"> since 2012. Previously an annual survey, </w:t>
      </w:r>
      <w:r w:rsidR="00043CE2" w:rsidRPr="00BF58A1">
        <w:t xml:space="preserve">the </w:t>
      </w:r>
      <w:r w:rsidR="00043CE2">
        <w:t xml:space="preserve">survey has been run biennially </w:t>
      </w:r>
      <w:r w:rsidR="004D4F1C">
        <w:t>since</w:t>
      </w:r>
      <w:r w:rsidR="004D4F1C" w:rsidRPr="00BF58A1">
        <w:t xml:space="preserve"> </w:t>
      </w:r>
      <w:r w:rsidR="00BF58A1" w:rsidRPr="00BF58A1">
        <w:t>2014.</w:t>
      </w:r>
    </w:p>
    <w:p w14:paraId="1730D307" w14:textId="59702B35" w:rsidR="005C5B6E" w:rsidRPr="002E76EC" w:rsidRDefault="00BF58A1" w:rsidP="00A071BF">
      <w:pPr>
        <w:pStyle w:val="Body"/>
      </w:pPr>
      <w:r>
        <w:t xml:space="preserve">The </w:t>
      </w:r>
      <w:r w:rsidR="008123D3">
        <w:t>NRTWS</w:t>
      </w:r>
      <w:r>
        <w:t xml:space="preserve"> replaces the </w:t>
      </w:r>
      <w:r w:rsidRPr="00BF58A1">
        <w:rPr>
          <w:i/>
        </w:rPr>
        <w:t>Return to Work Monitor</w:t>
      </w:r>
      <w:r>
        <w:t xml:space="preserve"> previously published by the Heads of Workers’ Compensation Authorities. The NRTWS differs from the </w:t>
      </w:r>
      <w:r w:rsidRPr="003E47FF">
        <w:rPr>
          <w:i/>
        </w:rPr>
        <w:t>Return to Work Monitor</w:t>
      </w:r>
      <w:r>
        <w:t xml:space="preserve"> by </w:t>
      </w:r>
      <w:r w:rsidR="003E47FF">
        <w:t xml:space="preserve">drawing a sample from </w:t>
      </w:r>
      <w:r w:rsidR="004D4F1C">
        <w:t xml:space="preserve">the </w:t>
      </w:r>
      <w:r>
        <w:t xml:space="preserve">broader population. </w:t>
      </w:r>
      <w:r w:rsidR="003E47FF">
        <w:t>More detail about sample design</w:t>
      </w:r>
      <w:r w:rsidR="00E92B2B">
        <w:t xml:space="preserve"> and selection</w:t>
      </w:r>
      <w:r w:rsidR="003E47FF">
        <w:t xml:space="preserve"> is included at Section 1.4.2</w:t>
      </w:r>
      <w:r>
        <w:t>.</w:t>
      </w:r>
    </w:p>
    <w:p w14:paraId="132F5C20" w14:textId="6C7736A5" w:rsidR="005C5B6E" w:rsidRPr="00A071BF" w:rsidRDefault="005C5B6E" w:rsidP="005755C8">
      <w:pPr>
        <w:pStyle w:val="Heading2"/>
      </w:pPr>
      <w:bookmarkStart w:id="8" w:name="_Toc528056001"/>
      <w:r>
        <w:t>Research objectives</w:t>
      </w:r>
      <w:bookmarkEnd w:id="8"/>
    </w:p>
    <w:p w14:paraId="5FB120C3" w14:textId="3F367ABA" w:rsidR="005C5B6E" w:rsidRPr="003E47FF" w:rsidRDefault="005C5B6E" w:rsidP="00A071BF">
      <w:pPr>
        <w:pStyle w:val="Body"/>
      </w:pPr>
      <w:r w:rsidRPr="003E47FF">
        <w:t xml:space="preserve">A key purpose </w:t>
      </w:r>
      <w:r w:rsidR="004D4F1C">
        <w:t>of</w:t>
      </w:r>
      <w:r w:rsidR="004D4F1C" w:rsidRPr="003E47FF">
        <w:t xml:space="preserve"> </w:t>
      </w:r>
      <w:r w:rsidR="003B6F3B" w:rsidRPr="003E47FF">
        <w:t xml:space="preserve">the NRTWS </w:t>
      </w:r>
      <w:r w:rsidRPr="003E47FF">
        <w:t xml:space="preserve">is to calculate headline measures of </w:t>
      </w:r>
      <w:r w:rsidR="008E46D0">
        <w:t>return to work</w:t>
      </w:r>
      <w:r w:rsidRPr="003E47FF">
        <w:t xml:space="preserve"> </w:t>
      </w:r>
      <w:r w:rsidR="003B6F3B" w:rsidRPr="003E47FF">
        <w:t>outcomes</w:t>
      </w:r>
      <w:r w:rsidR="003E47FF" w:rsidRPr="003E47FF">
        <w:t xml:space="preserve">, at a national level and </w:t>
      </w:r>
      <w:r w:rsidR="00A02446">
        <w:t>by j</w:t>
      </w:r>
      <w:r w:rsidRPr="003E47FF">
        <w:t xml:space="preserve">urisdiction. The research must be rigorous to enable publication of these measures by </w:t>
      </w:r>
      <w:r w:rsidR="008123D3">
        <w:t>Safe Work Australia</w:t>
      </w:r>
      <w:r w:rsidRPr="003E47FF">
        <w:t xml:space="preserve">. Other important aims are to monitor attitudes, perceptions, expectations, experiences and outcomes of workers’ compensation and identify areas that may impact recovery and </w:t>
      </w:r>
      <w:r w:rsidR="008E46D0">
        <w:t>return to work</w:t>
      </w:r>
      <w:r w:rsidRPr="003E47FF">
        <w:t>. Through this</w:t>
      </w:r>
      <w:r w:rsidR="003E47FF" w:rsidRPr="003E47FF">
        <w:t xml:space="preserve">, the survey enables the identification of </w:t>
      </w:r>
      <w:r w:rsidRPr="003E47FF">
        <w:t>areas that may influence recovery, return to wo</w:t>
      </w:r>
      <w:r w:rsidR="008E46D0">
        <w:t xml:space="preserve">rk, </w:t>
      </w:r>
      <w:r w:rsidRPr="003E47FF">
        <w:t>and experiences with workers’ compensation.</w:t>
      </w:r>
    </w:p>
    <w:p w14:paraId="5DB38318" w14:textId="56CDADDD" w:rsidR="00A071BF" w:rsidRPr="003E47FF" w:rsidRDefault="00A071BF" w:rsidP="00A071BF">
      <w:pPr>
        <w:pStyle w:val="Body"/>
      </w:pPr>
      <w:r w:rsidRPr="003E47FF">
        <w:t>S</w:t>
      </w:r>
      <w:r w:rsidR="00FC6BEF" w:rsidRPr="003E47FF">
        <w:t>pecifically, the NRTW</w:t>
      </w:r>
      <w:r w:rsidRPr="003E47FF">
        <w:t>S</w:t>
      </w:r>
      <w:r w:rsidR="00FC6BEF" w:rsidRPr="003E47FF">
        <w:t xml:space="preserve"> ha</w:t>
      </w:r>
      <w:r w:rsidRPr="003E47FF">
        <w:t>s the following objectives:</w:t>
      </w:r>
    </w:p>
    <w:p w14:paraId="4AB91E3D" w14:textId="280F0FAF" w:rsidR="00A071BF" w:rsidRPr="003E47FF" w:rsidRDefault="002F4E1A" w:rsidP="00AC6551">
      <w:pPr>
        <w:pStyle w:val="Body"/>
        <w:numPr>
          <w:ilvl w:val="0"/>
          <w:numId w:val="5"/>
        </w:numPr>
      </w:pPr>
      <w:r>
        <w:t>r</w:t>
      </w:r>
      <w:r w:rsidR="00A071BF" w:rsidRPr="003E47FF">
        <w:t xml:space="preserve">eporting key headline return to work measures at a national and </w:t>
      </w:r>
      <w:r w:rsidR="008E46D0">
        <w:t>j</w:t>
      </w:r>
      <w:r w:rsidR="00A071BF" w:rsidRPr="003E47FF">
        <w:t>urisdiction level</w:t>
      </w:r>
      <w:r w:rsidR="00043CE2">
        <w:t>;</w:t>
      </w:r>
    </w:p>
    <w:p w14:paraId="18F870EA" w14:textId="64D96571" w:rsidR="00FC6BEF" w:rsidRPr="003E47FF" w:rsidRDefault="002F4E1A" w:rsidP="00AC6551">
      <w:pPr>
        <w:pStyle w:val="Bullets1"/>
        <w:numPr>
          <w:ilvl w:val="0"/>
          <w:numId w:val="5"/>
        </w:numPr>
        <w:spacing w:before="20" w:after="20"/>
      </w:pPr>
      <w:r>
        <w:t>t</w:t>
      </w:r>
      <w:r w:rsidR="00FC6BEF" w:rsidRPr="003E47FF">
        <w:t xml:space="preserve">racking attitudes towards, perceptions of, experiences with, outcomes of and </w:t>
      </w:r>
      <w:r w:rsidR="007A081F">
        <w:t xml:space="preserve">the </w:t>
      </w:r>
      <w:r w:rsidR="00FC6BEF" w:rsidRPr="003E47FF">
        <w:t xml:space="preserve">expectations of </w:t>
      </w:r>
      <w:r w:rsidR="007A081F">
        <w:t>those</w:t>
      </w:r>
      <w:r w:rsidR="00FC6BEF" w:rsidRPr="003E47FF">
        <w:t xml:space="preserve"> on workers’ compensation</w:t>
      </w:r>
      <w:r w:rsidR="00043CE2">
        <w:t>;</w:t>
      </w:r>
    </w:p>
    <w:p w14:paraId="3AC9E0EE" w14:textId="03159B16" w:rsidR="00A071BF" w:rsidRPr="003E47FF" w:rsidRDefault="002F4E1A" w:rsidP="00AC6551">
      <w:pPr>
        <w:pStyle w:val="Body"/>
        <w:numPr>
          <w:ilvl w:val="0"/>
          <w:numId w:val="5"/>
        </w:numPr>
      </w:pPr>
      <w:r>
        <w:t>i</w:t>
      </w:r>
      <w:r w:rsidR="00FC6BEF" w:rsidRPr="003E47FF">
        <w:t>dentifying specific areas that may positively impact injury or illness recovery, return to work, and experiences with workers’ compensation arrangements</w:t>
      </w:r>
      <w:r w:rsidR="00043CE2">
        <w:t>; and</w:t>
      </w:r>
    </w:p>
    <w:p w14:paraId="6DC6CAF9" w14:textId="569FBE09" w:rsidR="00A071BF" w:rsidRPr="003E47FF" w:rsidRDefault="002F4E1A" w:rsidP="00AC6551">
      <w:pPr>
        <w:pStyle w:val="Body"/>
        <w:numPr>
          <w:ilvl w:val="0"/>
          <w:numId w:val="5"/>
        </w:numPr>
      </w:pPr>
      <w:r>
        <w:t>c</w:t>
      </w:r>
      <w:r w:rsidR="00A071BF" w:rsidRPr="003E47FF">
        <w:t xml:space="preserve">reating an evidence base to inform </w:t>
      </w:r>
      <w:r w:rsidR="004D4F1C">
        <w:t>and</w:t>
      </w:r>
      <w:r w:rsidR="004D4F1C" w:rsidRPr="003E47FF">
        <w:t xml:space="preserve"> </w:t>
      </w:r>
      <w:r w:rsidR="00A071BF" w:rsidRPr="003E47FF">
        <w:t>evaluate policy and program initiatives</w:t>
      </w:r>
      <w:r w:rsidR="003E47FF" w:rsidRPr="003E47FF">
        <w:t>.</w:t>
      </w:r>
    </w:p>
    <w:p w14:paraId="63320B50" w14:textId="55A3D274" w:rsidR="00A071BF" w:rsidRPr="003E47FF" w:rsidRDefault="00A071BF" w:rsidP="00A071BF">
      <w:pPr>
        <w:pStyle w:val="Body"/>
      </w:pPr>
      <w:r w:rsidRPr="003E47FF">
        <w:t>Each of the eight Australian states and territories have developed their own workers</w:t>
      </w:r>
      <w:r w:rsidR="00FC6BEF" w:rsidRPr="003E47FF">
        <w:t>’ compensation scheme</w:t>
      </w:r>
      <w:r w:rsidR="00043CE2">
        <w:t>, and the commonwealth has three schemes</w:t>
      </w:r>
      <w:r w:rsidR="00FC6BEF" w:rsidRPr="003E47FF">
        <w:t>. The NRTW</w:t>
      </w:r>
      <w:r w:rsidRPr="003E47FF">
        <w:t>S is the only vehicle which is designed to collect this national level intelligence – as such</w:t>
      </w:r>
      <w:r w:rsidR="008123D3">
        <w:t>,</w:t>
      </w:r>
      <w:r w:rsidRPr="003E47FF">
        <w:t xml:space="preserve"> it represents a critical piece of social research infrastructure for the Australian government and worke</w:t>
      </w:r>
      <w:r w:rsidR="005C5B6E" w:rsidRPr="003E47FF">
        <w:t xml:space="preserve">rs’ compensation </w:t>
      </w:r>
      <w:r w:rsidR="00043CE2">
        <w:t>schemes</w:t>
      </w:r>
      <w:r w:rsidR="005C5B6E" w:rsidRPr="003E47FF">
        <w:t>.</w:t>
      </w:r>
    </w:p>
    <w:p w14:paraId="52E23357" w14:textId="77777777" w:rsidR="002E76EC" w:rsidRPr="00EC4574" w:rsidRDefault="002E76EC" w:rsidP="005755C8">
      <w:pPr>
        <w:pStyle w:val="Heading2"/>
      </w:pPr>
      <w:bookmarkStart w:id="9" w:name="_Toc528056002"/>
      <w:r>
        <w:lastRenderedPageBreak/>
        <w:t>Participating jurisdictions</w:t>
      </w:r>
      <w:bookmarkEnd w:id="9"/>
    </w:p>
    <w:p w14:paraId="092D3A1F" w14:textId="64223263" w:rsidR="002E76EC" w:rsidRDefault="002E76EC" w:rsidP="00A071BF">
      <w:pPr>
        <w:pStyle w:val="Body"/>
      </w:pPr>
      <w:r w:rsidRPr="003E47FF">
        <w:t>All Australian workers compensation authorities, except for South Australia</w:t>
      </w:r>
      <w:r w:rsidR="003E47FF" w:rsidRPr="003E47FF">
        <w:t xml:space="preserve"> (a participant in previous years)</w:t>
      </w:r>
      <w:r w:rsidRPr="003E47FF">
        <w:t xml:space="preserve">, took part in the </w:t>
      </w:r>
      <w:r w:rsidR="00E92B2B">
        <w:t>2018</w:t>
      </w:r>
      <w:r w:rsidR="003E47FF" w:rsidRPr="003E47FF">
        <w:t xml:space="preserve"> NRTWS</w:t>
      </w:r>
      <w:r w:rsidRPr="003E47FF">
        <w:t>. The Australian Capital Territory</w:t>
      </w:r>
      <w:r w:rsidR="004D4F1C">
        <w:t xml:space="preserve"> (ACT)</w:t>
      </w:r>
      <w:r w:rsidRPr="003E47FF">
        <w:t xml:space="preserve"> participated for the first time in </w:t>
      </w:r>
      <w:r w:rsidR="00E92B2B">
        <w:t>2018</w:t>
      </w:r>
      <w:r w:rsidR="003E47FF" w:rsidRPr="003E47FF">
        <w:t>, a</w:t>
      </w:r>
      <w:r w:rsidRPr="003E47FF">
        <w:t>s did Comcare (previously Comcare had commissioned a separate RTW survey of workers</w:t>
      </w:r>
      <w:r w:rsidR="00043CE2">
        <w:t xml:space="preserve"> with a work-related injury or illness</w:t>
      </w:r>
      <w:r w:rsidRPr="003E47FF">
        <w:t xml:space="preserve">). </w:t>
      </w:r>
      <w:r w:rsidR="003E47FF" w:rsidRPr="003E47FF">
        <w:t>Unlike previous years,</w:t>
      </w:r>
      <w:r w:rsidRPr="003E47FF">
        <w:t xml:space="preserve"> the Accident Compensation Corporation New Zealand </w:t>
      </w:r>
      <w:r w:rsidR="008E46D0">
        <w:t>did</w:t>
      </w:r>
      <w:r w:rsidR="008123D3">
        <w:t xml:space="preserve"> not</w:t>
      </w:r>
      <w:r w:rsidR="008E46D0">
        <w:t xml:space="preserve"> participate in the 2018 NRTWS</w:t>
      </w:r>
      <w:r w:rsidRPr="003E47FF">
        <w:t xml:space="preserve">. </w:t>
      </w:r>
      <w:r w:rsidR="00A44ED6">
        <w:t xml:space="preserve">This report includes details for the participating jurisdictions for the </w:t>
      </w:r>
      <w:r w:rsidR="00E92B2B">
        <w:t>2018</w:t>
      </w:r>
      <w:r w:rsidR="00A44ED6">
        <w:t xml:space="preserve"> survey:</w:t>
      </w:r>
    </w:p>
    <w:p w14:paraId="40D8E797" w14:textId="24415493" w:rsidR="00A44ED6" w:rsidRDefault="00A44ED6" w:rsidP="00A44ED6">
      <w:pPr>
        <w:pStyle w:val="Body"/>
        <w:numPr>
          <w:ilvl w:val="0"/>
          <w:numId w:val="13"/>
        </w:numPr>
      </w:pPr>
      <w:bookmarkStart w:id="10" w:name="_Hlk523990294"/>
      <w:bookmarkStart w:id="11" w:name="_Hlk523916043"/>
      <w:r>
        <w:t>A</w:t>
      </w:r>
      <w:r w:rsidR="00467D4A">
        <w:t>ustralian Capital Territory (A</w:t>
      </w:r>
      <w:r>
        <w:t>CT</w:t>
      </w:r>
      <w:r w:rsidR="00467D4A">
        <w:t>)</w:t>
      </w:r>
    </w:p>
    <w:p w14:paraId="25B48013" w14:textId="517FB9F7" w:rsidR="00A44ED6" w:rsidRDefault="00A44ED6" w:rsidP="00A44ED6">
      <w:pPr>
        <w:pStyle w:val="Body"/>
        <w:numPr>
          <w:ilvl w:val="0"/>
          <w:numId w:val="13"/>
        </w:numPr>
      </w:pPr>
      <w:r>
        <w:t>Comcare</w:t>
      </w:r>
      <w:r w:rsidR="00F8783B">
        <w:t xml:space="preserve"> </w:t>
      </w:r>
      <w:r w:rsidR="00FD1F1F">
        <w:t>(COM)</w:t>
      </w:r>
    </w:p>
    <w:p w14:paraId="41579DE2" w14:textId="7992B665" w:rsidR="00FD1F1F" w:rsidRDefault="00FD1F1F" w:rsidP="00A44ED6">
      <w:pPr>
        <w:pStyle w:val="Body"/>
        <w:numPr>
          <w:ilvl w:val="0"/>
          <w:numId w:val="13"/>
        </w:numPr>
      </w:pPr>
      <w:r>
        <w:t>Seacare (SEA)</w:t>
      </w:r>
    </w:p>
    <w:p w14:paraId="2B52A28F" w14:textId="02379FE4" w:rsidR="00A44ED6" w:rsidRDefault="00A44ED6" w:rsidP="00A44ED6">
      <w:pPr>
        <w:pStyle w:val="Body"/>
        <w:numPr>
          <w:ilvl w:val="0"/>
          <w:numId w:val="13"/>
        </w:numPr>
      </w:pPr>
      <w:r>
        <w:t>N</w:t>
      </w:r>
      <w:r w:rsidR="00D22268">
        <w:t xml:space="preserve">ew </w:t>
      </w:r>
      <w:r>
        <w:t>S</w:t>
      </w:r>
      <w:r w:rsidR="00D22268">
        <w:t xml:space="preserve">outh </w:t>
      </w:r>
      <w:r>
        <w:t>W</w:t>
      </w:r>
      <w:r w:rsidR="00D22268">
        <w:t>ales (NSW)</w:t>
      </w:r>
      <w:r>
        <w:t xml:space="preserve"> (SIRA)</w:t>
      </w:r>
    </w:p>
    <w:p w14:paraId="7146F12A" w14:textId="471541A4" w:rsidR="00A44ED6" w:rsidRDefault="00A44ED6" w:rsidP="00A44ED6">
      <w:pPr>
        <w:pStyle w:val="Body"/>
        <w:numPr>
          <w:ilvl w:val="0"/>
          <w:numId w:val="13"/>
        </w:numPr>
      </w:pPr>
      <w:r>
        <w:t>N</w:t>
      </w:r>
      <w:r w:rsidR="00D22268">
        <w:t xml:space="preserve">orthern </w:t>
      </w:r>
      <w:r>
        <w:t>T</w:t>
      </w:r>
      <w:r w:rsidR="00D22268">
        <w:t xml:space="preserve">erritory </w:t>
      </w:r>
      <w:r>
        <w:t>(Worksafe)</w:t>
      </w:r>
      <w:r w:rsidR="00FD1F1F">
        <w:t xml:space="preserve"> (NT)</w:t>
      </w:r>
    </w:p>
    <w:p w14:paraId="5099C4A9" w14:textId="468C4058" w:rsidR="00A44ED6" w:rsidRDefault="00A44ED6" w:rsidP="00A44ED6">
      <w:pPr>
        <w:pStyle w:val="Body"/>
        <w:numPr>
          <w:ilvl w:val="0"/>
          <w:numId w:val="13"/>
        </w:numPr>
      </w:pPr>
      <w:r>
        <w:t>Queensland</w:t>
      </w:r>
      <w:r w:rsidR="000E5060">
        <w:t xml:space="preserve"> </w:t>
      </w:r>
      <w:r>
        <w:t>(</w:t>
      </w:r>
      <w:r w:rsidR="00616D45">
        <w:t>Office of Industrial Relations</w:t>
      </w:r>
      <w:r>
        <w:t>)</w:t>
      </w:r>
      <w:r w:rsidR="00FD1F1F">
        <w:t xml:space="preserve"> (QLD)</w:t>
      </w:r>
    </w:p>
    <w:p w14:paraId="57E067B5" w14:textId="1A2132B8" w:rsidR="00A44ED6" w:rsidRDefault="00F8783B" w:rsidP="00A44ED6">
      <w:pPr>
        <w:pStyle w:val="Body"/>
        <w:numPr>
          <w:ilvl w:val="0"/>
          <w:numId w:val="13"/>
        </w:numPr>
      </w:pPr>
      <w:r>
        <w:t>Tasmania</w:t>
      </w:r>
      <w:r w:rsidR="000E5060">
        <w:t xml:space="preserve"> </w:t>
      </w:r>
      <w:r>
        <w:t>(</w:t>
      </w:r>
      <w:r w:rsidR="00A44ED6">
        <w:t>Workcover</w:t>
      </w:r>
      <w:r>
        <w:t>)</w:t>
      </w:r>
      <w:r w:rsidR="00A44ED6">
        <w:t xml:space="preserve"> </w:t>
      </w:r>
      <w:r w:rsidR="00FD1F1F">
        <w:t>(TAS)</w:t>
      </w:r>
    </w:p>
    <w:p w14:paraId="1358D5A6" w14:textId="391AF97C" w:rsidR="00A44ED6" w:rsidRDefault="00A44ED6" w:rsidP="00F8783B">
      <w:pPr>
        <w:pStyle w:val="Body"/>
        <w:numPr>
          <w:ilvl w:val="0"/>
          <w:numId w:val="13"/>
        </w:numPr>
      </w:pPr>
      <w:r>
        <w:t>W</w:t>
      </w:r>
      <w:r w:rsidR="00D22268">
        <w:t xml:space="preserve">estern </w:t>
      </w:r>
      <w:r>
        <w:t>A</w:t>
      </w:r>
      <w:r w:rsidR="00D22268">
        <w:t xml:space="preserve">ustralia </w:t>
      </w:r>
      <w:r w:rsidR="00F8783B">
        <w:t>(Workcover)</w:t>
      </w:r>
      <w:r w:rsidR="00FD1F1F">
        <w:t xml:space="preserve"> (WA)</w:t>
      </w:r>
    </w:p>
    <w:p w14:paraId="37A5440E" w14:textId="07437F8D" w:rsidR="00A44ED6" w:rsidRPr="003E47FF" w:rsidRDefault="00A44ED6" w:rsidP="00F8783B">
      <w:pPr>
        <w:pStyle w:val="Body"/>
        <w:numPr>
          <w:ilvl w:val="0"/>
          <w:numId w:val="13"/>
        </w:numPr>
      </w:pPr>
      <w:r>
        <w:t>Victoria</w:t>
      </w:r>
      <w:bookmarkEnd w:id="10"/>
      <w:r w:rsidR="00F8783B" w:rsidRPr="00F8783B">
        <w:t xml:space="preserve"> </w:t>
      </w:r>
      <w:r w:rsidR="00F8783B">
        <w:t>(WorkSafe)</w:t>
      </w:r>
      <w:r w:rsidR="00FD1F1F">
        <w:t xml:space="preserve"> (VIC)</w:t>
      </w:r>
    </w:p>
    <w:p w14:paraId="78B1C3F7" w14:textId="4334BBEA" w:rsidR="00925795" w:rsidRDefault="00925795" w:rsidP="005755C8">
      <w:pPr>
        <w:pStyle w:val="Heading2"/>
      </w:pPr>
      <w:bookmarkStart w:id="12" w:name="_Toc528056003"/>
      <w:bookmarkEnd w:id="11"/>
      <w:r>
        <w:t>Methodology overview</w:t>
      </w:r>
      <w:bookmarkEnd w:id="12"/>
    </w:p>
    <w:p w14:paraId="5919E10A" w14:textId="599D11AE" w:rsidR="00925795" w:rsidRDefault="00FC6BEF" w:rsidP="00925795">
      <w:pPr>
        <w:pStyle w:val="Body"/>
      </w:pPr>
      <w:r>
        <w:t xml:space="preserve">The methodological details included </w:t>
      </w:r>
      <w:r w:rsidR="00E64004">
        <w:t xml:space="preserve">here </w:t>
      </w:r>
      <w:r>
        <w:t xml:space="preserve">are intended to provide necessary context for understanding the report findings. </w:t>
      </w:r>
    </w:p>
    <w:p w14:paraId="0B3B0801" w14:textId="77777777" w:rsidR="00075E1D" w:rsidRDefault="00075E1D" w:rsidP="00075E1D">
      <w:pPr>
        <w:pStyle w:val="Heading3"/>
      </w:pPr>
      <w:bookmarkStart w:id="13" w:name="_Toc528056004"/>
      <w:r>
        <w:t>Questionnaire</w:t>
      </w:r>
      <w:bookmarkEnd w:id="13"/>
    </w:p>
    <w:p w14:paraId="35802704" w14:textId="4DBA0E96" w:rsidR="00494015" w:rsidRPr="00E64004" w:rsidRDefault="00494015" w:rsidP="00494015">
      <w:pPr>
        <w:pStyle w:val="Body"/>
      </w:pPr>
      <w:r w:rsidRPr="00E64004">
        <w:t xml:space="preserve">The </w:t>
      </w:r>
      <w:r w:rsidR="00FC6BEF" w:rsidRPr="00E64004">
        <w:t xml:space="preserve">questionnaire for the </w:t>
      </w:r>
      <w:r w:rsidR="00E92B2B">
        <w:t>2018</w:t>
      </w:r>
      <w:r w:rsidRPr="00E64004">
        <w:t xml:space="preserve"> </w:t>
      </w:r>
      <w:r w:rsidR="00FC6BEF" w:rsidRPr="00E64004">
        <w:t>NRTWS</w:t>
      </w:r>
      <w:r w:rsidRPr="00E64004">
        <w:t xml:space="preserve"> underwent significant revision</w:t>
      </w:r>
      <w:r w:rsidR="009351B3">
        <w:t xml:space="preserve"> from the previous wave</w:t>
      </w:r>
      <w:r w:rsidRPr="00E64004">
        <w:t xml:space="preserve">. While headline measures were maintained, a substantial portion of the previous questionnaire was </w:t>
      </w:r>
      <w:r w:rsidR="00F8783B">
        <w:t>revised</w:t>
      </w:r>
      <w:r w:rsidR="00F8783B" w:rsidRPr="00E64004">
        <w:t xml:space="preserve"> </w:t>
      </w:r>
      <w:r w:rsidRPr="00E64004">
        <w:t xml:space="preserve">to incorporate a range of contemporary scales from </w:t>
      </w:r>
      <w:r w:rsidR="00592A76">
        <w:t>validated measures used in</w:t>
      </w:r>
      <w:r w:rsidR="009351B3">
        <w:t xml:space="preserve"> </w:t>
      </w:r>
      <w:r w:rsidR="00043CE2">
        <w:t>surveys with workers with work-related injury or illness</w:t>
      </w:r>
      <w:r w:rsidRPr="00E64004">
        <w:t xml:space="preserve"> in</w:t>
      </w:r>
      <w:r w:rsidR="008123D3">
        <w:t> </w:t>
      </w:r>
      <w:r w:rsidRPr="00E64004">
        <w:t>Australia and overseas. The development of the new questionnaire was a collaboration between Safe</w:t>
      </w:r>
      <w:r w:rsidR="008123D3">
        <w:t> </w:t>
      </w:r>
      <w:r w:rsidRPr="00E64004">
        <w:t>Work</w:t>
      </w:r>
      <w:r w:rsidR="008123D3">
        <w:t> </w:t>
      </w:r>
      <w:r w:rsidRPr="00E64004">
        <w:t xml:space="preserve">Australia, </w:t>
      </w:r>
      <w:r w:rsidR="00E64004">
        <w:t xml:space="preserve">the </w:t>
      </w:r>
      <w:r w:rsidR="00E64004" w:rsidRPr="00880CE8">
        <w:rPr>
          <w:rFonts w:cs="Arial"/>
        </w:rPr>
        <w:t>Insurance Work and Heal</w:t>
      </w:r>
      <w:r w:rsidR="00E64004">
        <w:rPr>
          <w:rFonts w:cs="Arial"/>
        </w:rPr>
        <w:t xml:space="preserve">th Group </w:t>
      </w:r>
      <w:r w:rsidR="00F8783B">
        <w:rPr>
          <w:rFonts w:cs="Arial"/>
        </w:rPr>
        <w:t xml:space="preserve">at </w:t>
      </w:r>
      <w:r w:rsidR="00E64004">
        <w:rPr>
          <w:rFonts w:cs="Arial"/>
        </w:rPr>
        <w:t>Monash University</w:t>
      </w:r>
      <w:r w:rsidRPr="00E64004">
        <w:t xml:space="preserve">, the participating </w:t>
      </w:r>
      <w:r w:rsidR="00E64004">
        <w:t>jurisdiction</w:t>
      </w:r>
      <w:r w:rsidR="00E64004" w:rsidRPr="00E64004">
        <w:t>s</w:t>
      </w:r>
      <w:r w:rsidRPr="00E64004">
        <w:t>, employee and employer representatives, and the Social Research Centre.</w:t>
      </w:r>
    </w:p>
    <w:p w14:paraId="6CBB3A00" w14:textId="75CE605D" w:rsidR="007A0A41" w:rsidRDefault="007A0A41" w:rsidP="00BC153F">
      <w:pPr>
        <w:pStyle w:val="Body"/>
        <w:rPr>
          <w:rFonts w:cs="Arial"/>
        </w:rPr>
      </w:pPr>
      <w:r>
        <w:rPr>
          <w:rFonts w:cs="Arial"/>
        </w:rPr>
        <w:t>A conceptual framework informed the structure of the</w:t>
      </w:r>
      <w:r w:rsidR="00BC153F" w:rsidRPr="00880CE8">
        <w:rPr>
          <w:rFonts w:cs="Arial"/>
        </w:rPr>
        <w:t xml:space="preserve"> </w:t>
      </w:r>
      <w:r w:rsidR="00E64004">
        <w:rPr>
          <w:rFonts w:cs="Arial"/>
        </w:rPr>
        <w:t>revised questionnaire</w:t>
      </w:r>
      <w:r>
        <w:rPr>
          <w:rFonts w:cs="Arial"/>
        </w:rPr>
        <w:t xml:space="preserve">, based around </w:t>
      </w:r>
      <w:r w:rsidR="00E64004">
        <w:rPr>
          <w:rFonts w:cs="Arial"/>
        </w:rPr>
        <w:t xml:space="preserve">the ecological/case management model </w:t>
      </w:r>
      <w:r>
        <w:rPr>
          <w:rFonts w:cs="Arial"/>
        </w:rPr>
        <w:t>for work disability (</w:t>
      </w:r>
      <w:r w:rsidRPr="00880CE8">
        <w:rPr>
          <w:rFonts w:cs="Arial"/>
        </w:rPr>
        <w:t xml:space="preserve">shown in </w:t>
      </w:r>
      <w:r>
        <w:t xml:space="preserve">Figure </w:t>
      </w:r>
      <w:r>
        <w:rPr>
          <w:noProof/>
        </w:rPr>
        <w:t>1</w:t>
      </w:r>
      <w:r w:rsidR="009351B3">
        <w:rPr>
          <w:rFonts w:cs="Arial"/>
        </w:rPr>
        <w:t>, overleaf</w:t>
      </w:r>
      <w:r>
        <w:rPr>
          <w:rFonts w:cs="Arial"/>
        </w:rPr>
        <w:t xml:space="preserve">) developed by </w:t>
      </w:r>
      <w:r w:rsidRPr="007A0A41">
        <w:rPr>
          <w:rFonts w:cs="Arial"/>
        </w:rPr>
        <w:t>Loisel</w:t>
      </w:r>
      <w:r>
        <w:rPr>
          <w:rFonts w:cs="Arial"/>
        </w:rPr>
        <w:t>, et al (2005)</w:t>
      </w:r>
      <w:r w:rsidR="008123D3">
        <w:rPr>
          <w:rStyle w:val="FootnoteReference"/>
          <w:rFonts w:cs="Arial"/>
        </w:rPr>
        <w:footnoteReference w:id="2"/>
      </w:r>
      <w:r>
        <w:rPr>
          <w:rFonts w:cs="Arial"/>
        </w:rPr>
        <w:t xml:space="preserve">. This model recognises multiple stakeholders which influence </w:t>
      </w:r>
      <w:r w:rsidR="009351B3">
        <w:rPr>
          <w:rFonts w:cs="Arial"/>
        </w:rPr>
        <w:t>return to work. T</w:t>
      </w:r>
      <w:r>
        <w:rPr>
          <w:rFonts w:cs="Arial"/>
        </w:rPr>
        <w:t xml:space="preserve">he revised questionnaire includes items pertaining to each of these four stakeholder groups or </w:t>
      </w:r>
      <w:r w:rsidR="00960E84">
        <w:rPr>
          <w:rFonts w:cs="Arial"/>
        </w:rPr>
        <w:t>domains</w:t>
      </w:r>
      <w:r>
        <w:rPr>
          <w:rFonts w:cs="Arial"/>
        </w:rPr>
        <w:t>:</w:t>
      </w:r>
    </w:p>
    <w:p w14:paraId="2725C132" w14:textId="59380B6D" w:rsidR="007A0A41" w:rsidRDefault="002F4E1A" w:rsidP="00011EAE">
      <w:pPr>
        <w:pStyle w:val="Bullets1"/>
      </w:pPr>
      <w:r>
        <w:t>w</w:t>
      </w:r>
      <w:r w:rsidR="007A0A41">
        <w:t>orkplace system</w:t>
      </w:r>
    </w:p>
    <w:p w14:paraId="5956E576" w14:textId="67D764DB" w:rsidR="007A0A41" w:rsidRDefault="002F4E1A" w:rsidP="00011EAE">
      <w:pPr>
        <w:pStyle w:val="Bullets1"/>
      </w:pPr>
      <w:r>
        <w:t>h</w:t>
      </w:r>
      <w:r w:rsidR="007A0A41">
        <w:t>ealth care system</w:t>
      </w:r>
    </w:p>
    <w:p w14:paraId="4015AF61" w14:textId="13F88728" w:rsidR="007A0A41" w:rsidRDefault="002F4E1A" w:rsidP="00011EAE">
      <w:pPr>
        <w:pStyle w:val="Bullets1"/>
      </w:pPr>
      <w:r>
        <w:t>p</w:t>
      </w:r>
      <w:r w:rsidR="007A0A41">
        <w:t>ersonal system</w:t>
      </w:r>
    </w:p>
    <w:p w14:paraId="32642661" w14:textId="70BC9ED7" w:rsidR="007A0A41" w:rsidRDefault="002F4E1A" w:rsidP="00011EAE">
      <w:pPr>
        <w:pStyle w:val="Bullets1"/>
      </w:pPr>
      <w:r>
        <w:t>l</w:t>
      </w:r>
      <w:r w:rsidR="007A0A41">
        <w:t>egislative and insurance (</w:t>
      </w:r>
      <w:r w:rsidR="004D4F1C">
        <w:t>w</w:t>
      </w:r>
      <w:r w:rsidR="007A0A41">
        <w:t>orkers’ compensation) system</w:t>
      </w:r>
      <w:r>
        <w:t>.</w:t>
      </w:r>
    </w:p>
    <w:p w14:paraId="366F9397" w14:textId="677BC2FA" w:rsidR="00BC153F" w:rsidRDefault="00BC153F" w:rsidP="00D0461D">
      <w:pPr>
        <w:pStyle w:val="Caption"/>
      </w:pPr>
      <w:bookmarkStart w:id="14" w:name="_Ref519848893"/>
      <w:bookmarkStart w:id="15" w:name="_Toc528056568"/>
      <w:r>
        <w:lastRenderedPageBreak/>
        <w:t xml:space="preserve">Figure </w:t>
      </w:r>
      <w:r w:rsidR="006A2841">
        <w:rPr>
          <w:noProof/>
        </w:rPr>
        <w:fldChar w:fldCharType="begin"/>
      </w:r>
      <w:r w:rsidR="006A2841">
        <w:rPr>
          <w:noProof/>
        </w:rPr>
        <w:instrText xml:space="preserve"> SEQ Figure \* ARABIC </w:instrText>
      </w:r>
      <w:r w:rsidR="006A2841">
        <w:rPr>
          <w:noProof/>
        </w:rPr>
        <w:fldChar w:fldCharType="separate"/>
      </w:r>
      <w:r w:rsidR="00B9340A">
        <w:rPr>
          <w:noProof/>
        </w:rPr>
        <w:t>1</w:t>
      </w:r>
      <w:r w:rsidR="006A2841">
        <w:rPr>
          <w:noProof/>
        </w:rPr>
        <w:fldChar w:fldCharType="end"/>
      </w:r>
      <w:bookmarkEnd w:id="14"/>
      <w:r>
        <w:tab/>
        <w:t>Ecological</w:t>
      </w:r>
      <w:r w:rsidR="003D5683">
        <w:t xml:space="preserve"> </w:t>
      </w:r>
      <w:r w:rsidR="001F2214">
        <w:t>c</w:t>
      </w:r>
      <w:r>
        <w:t>ase manag</w:t>
      </w:r>
      <w:r w:rsidR="00E64004">
        <w:t>ement model for work disability</w:t>
      </w:r>
      <w:bookmarkEnd w:id="15"/>
    </w:p>
    <w:p w14:paraId="20EF5B0C" w14:textId="3C6C6772" w:rsidR="00E64004" w:rsidRPr="00E64004" w:rsidRDefault="00E64004" w:rsidP="00E64004">
      <w:pPr>
        <w:pStyle w:val="Body"/>
      </w:pPr>
    </w:p>
    <w:p w14:paraId="717DDB79" w14:textId="77777777" w:rsidR="00BC153F" w:rsidRDefault="00BC153F" w:rsidP="00BC153F">
      <w:pPr>
        <w:pStyle w:val="Body"/>
        <w:ind w:left="567" w:firstLine="284"/>
        <w:rPr>
          <w:rFonts w:cs="Arial"/>
        </w:rPr>
      </w:pPr>
      <w:r w:rsidRPr="0028192C">
        <w:rPr>
          <w:noProof/>
          <w:lang w:eastAsia="en-AU"/>
        </w:rPr>
        <w:drawing>
          <wp:inline distT="0" distB="0" distL="0" distR="0" wp14:anchorId="24C74A61" wp14:editId="51797DC2">
            <wp:extent cx="4243500" cy="3060000"/>
            <wp:effectExtent l="0" t="0" r="5080" b="7620"/>
            <wp:docPr id="28" name="Picture 28" descr="This graphic presents the ecological case management model for work disability and the four domains covered by the model. The model is explained above th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43500" cy="3060000"/>
                    </a:xfrm>
                    <a:prstGeom prst="rect">
                      <a:avLst/>
                    </a:prstGeom>
                  </pic:spPr>
                </pic:pic>
              </a:graphicData>
            </a:graphic>
          </wp:inline>
        </w:drawing>
      </w:r>
    </w:p>
    <w:p w14:paraId="0459A613" w14:textId="77777777" w:rsidR="00BC153F" w:rsidRPr="00077EE2" w:rsidRDefault="00BC153F" w:rsidP="00BC153F">
      <w:pPr>
        <w:pStyle w:val="Body"/>
        <w:rPr>
          <w:rFonts w:cs="Arial"/>
        </w:rPr>
      </w:pPr>
    </w:p>
    <w:p w14:paraId="7E44D6C7" w14:textId="0953D8C2" w:rsidR="00BC153F" w:rsidRPr="001E4FB1" w:rsidRDefault="007A0A41" w:rsidP="00BC153F">
      <w:pPr>
        <w:pStyle w:val="Body"/>
      </w:pPr>
      <w:r w:rsidRPr="001E4FB1">
        <w:t>The revised questionnaire was subjected to c</w:t>
      </w:r>
      <w:r w:rsidR="00BC153F" w:rsidRPr="001E4FB1">
        <w:t>ognitive testing</w:t>
      </w:r>
      <w:r w:rsidRPr="001E4FB1">
        <w:t>, to identify any potential issues relate</w:t>
      </w:r>
      <w:r w:rsidR="001E4FB1" w:rsidRPr="001E4FB1">
        <w:t xml:space="preserve">d to </w:t>
      </w:r>
      <w:r w:rsidR="00C33C8C">
        <w:t xml:space="preserve">the </w:t>
      </w:r>
      <w:r w:rsidRPr="001E4FB1">
        <w:t xml:space="preserve">comprehension </w:t>
      </w:r>
      <w:r w:rsidR="001E4FB1" w:rsidRPr="001E4FB1">
        <w:t>o</w:t>
      </w:r>
      <w:r w:rsidR="00C26BF2">
        <w:t>f questions o</w:t>
      </w:r>
      <w:r w:rsidR="001E4FB1" w:rsidRPr="001E4FB1">
        <w:t>r response options, completeness of response frames, respondents’ ease and comfort in answering questions</w:t>
      </w:r>
      <w:r w:rsidR="00C33C8C">
        <w:t>,</w:t>
      </w:r>
      <w:r w:rsidR="001E4FB1" w:rsidRPr="001E4FB1">
        <w:t xml:space="preserve"> and the potential for social desirability bias to influence responses. </w:t>
      </w:r>
      <w:r w:rsidR="001E4FB1">
        <w:t>Amendments were made to the questionnaire f</w:t>
      </w:r>
      <w:r w:rsidR="001E4FB1" w:rsidRPr="001E4FB1">
        <w:t>ollowing cognitive testing</w:t>
      </w:r>
      <w:r w:rsidR="001E4FB1">
        <w:t>; subsequently</w:t>
      </w:r>
      <w:r w:rsidR="001E4FB1" w:rsidRPr="001E4FB1">
        <w:t xml:space="preserve"> the questionnaire was finalised and operationalised for data collection.</w:t>
      </w:r>
    </w:p>
    <w:p w14:paraId="3477907A" w14:textId="626D3042" w:rsidR="00075E1D" w:rsidRPr="00516E8F" w:rsidRDefault="001E4FB1" w:rsidP="00075E1D">
      <w:pPr>
        <w:pStyle w:val="Bullets1"/>
        <w:numPr>
          <w:ilvl w:val="0"/>
          <w:numId w:val="0"/>
        </w:numPr>
      </w:pPr>
      <w:r>
        <w:t xml:space="preserve">On average, the survey took respondents </w:t>
      </w:r>
      <w:r w:rsidR="00075E1D" w:rsidRPr="00516E8F">
        <w:t>26.2 minutes</w:t>
      </w:r>
      <w:r>
        <w:t xml:space="preserve"> to complete</w:t>
      </w:r>
      <w:r w:rsidR="00075E1D" w:rsidRPr="00516E8F">
        <w:t>.</w:t>
      </w:r>
    </w:p>
    <w:p w14:paraId="78F111F7" w14:textId="7A36020F" w:rsidR="00925795" w:rsidRDefault="00925795" w:rsidP="00075E1D">
      <w:pPr>
        <w:pStyle w:val="Heading3"/>
      </w:pPr>
      <w:bookmarkStart w:id="16" w:name="_Ref524105080"/>
      <w:bookmarkStart w:id="17" w:name="_Toc528056005"/>
      <w:r w:rsidRPr="00030876">
        <w:t>Sampl</w:t>
      </w:r>
      <w:r w:rsidR="00126C24">
        <w:t>e design and sel</w:t>
      </w:r>
      <w:r w:rsidR="00BC153F">
        <w:t>ection</w:t>
      </w:r>
      <w:bookmarkEnd w:id="16"/>
      <w:bookmarkEnd w:id="17"/>
    </w:p>
    <w:p w14:paraId="67CB440A" w14:textId="70AF3F73" w:rsidR="003E47FF" w:rsidRPr="00126C24" w:rsidRDefault="003E47FF" w:rsidP="003E47FF">
      <w:pPr>
        <w:pStyle w:val="Body"/>
      </w:pPr>
      <w:r w:rsidRPr="00126C24">
        <w:t>The</w:t>
      </w:r>
      <w:r w:rsidR="00B634C8" w:rsidRPr="00126C24">
        <w:t xml:space="preserve"> </w:t>
      </w:r>
      <w:r w:rsidR="00E92B2B">
        <w:t>2018</w:t>
      </w:r>
      <w:r w:rsidR="00B634C8" w:rsidRPr="00126C24">
        <w:t xml:space="preserve"> NRTWS </w:t>
      </w:r>
      <w:r w:rsidR="00126C24" w:rsidRPr="00126C24">
        <w:t xml:space="preserve">comprised a </w:t>
      </w:r>
      <w:r w:rsidR="00530310">
        <w:t>random</w:t>
      </w:r>
      <w:r w:rsidR="00EB0ADA">
        <w:t>ly selected</w:t>
      </w:r>
      <w:r w:rsidR="00530310">
        <w:t xml:space="preserve"> </w:t>
      </w:r>
      <w:r w:rsidRPr="00126C24">
        <w:t xml:space="preserve">sample from the </w:t>
      </w:r>
      <w:r w:rsidR="00126C24" w:rsidRPr="00126C24">
        <w:t xml:space="preserve">eligible </w:t>
      </w:r>
      <w:r w:rsidRPr="00126C24">
        <w:t xml:space="preserve">population of workers </w:t>
      </w:r>
      <w:r w:rsidR="00043CE2">
        <w:t xml:space="preserve">with a work-related injury or illness </w:t>
      </w:r>
      <w:r w:rsidRPr="00126C24">
        <w:t xml:space="preserve">who: </w:t>
      </w:r>
    </w:p>
    <w:p w14:paraId="1EC467AE" w14:textId="03E74421" w:rsidR="00126C24" w:rsidRPr="00126C24" w:rsidRDefault="002F4E1A" w:rsidP="003E47FF">
      <w:pPr>
        <w:pStyle w:val="Body"/>
        <w:numPr>
          <w:ilvl w:val="0"/>
          <w:numId w:val="4"/>
        </w:numPr>
      </w:pPr>
      <w:r>
        <w:t>s</w:t>
      </w:r>
      <w:r w:rsidR="00126C24" w:rsidRPr="00126C24">
        <w:t>ubmitted a claim between 1 February 2016 and 31 January 2018</w:t>
      </w:r>
    </w:p>
    <w:p w14:paraId="7BFE290B" w14:textId="7A703A20" w:rsidR="003E47FF" w:rsidRPr="00126C24" w:rsidRDefault="002F4E1A" w:rsidP="003E47FF">
      <w:pPr>
        <w:pStyle w:val="Body"/>
        <w:numPr>
          <w:ilvl w:val="0"/>
          <w:numId w:val="4"/>
        </w:numPr>
      </w:pPr>
      <w:r>
        <w:t>h</w:t>
      </w:r>
      <w:r w:rsidR="003E47FF" w:rsidRPr="00126C24">
        <w:t xml:space="preserve">ad at least one day away from work </w:t>
      </w:r>
      <w:r w:rsidR="00126C24" w:rsidRPr="00126C24">
        <w:t>(due to their work-related injury or illness)</w:t>
      </w:r>
    </w:p>
    <w:p w14:paraId="411E1153" w14:textId="13D3724C" w:rsidR="003E47FF" w:rsidRPr="00126C24" w:rsidRDefault="002F4E1A" w:rsidP="003E47FF">
      <w:pPr>
        <w:pStyle w:val="Body"/>
        <w:numPr>
          <w:ilvl w:val="0"/>
          <w:numId w:val="4"/>
        </w:numPr>
      </w:pPr>
      <w:r>
        <w:t>w</w:t>
      </w:r>
      <w:r w:rsidR="00126C24" w:rsidRPr="00126C24">
        <w:t xml:space="preserve">ere employed by </w:t>
      </w:r>
      <w:r w:rsidR="003E47FF" w:rsidRPr="00126C24">
        <w:t>either premium paying or self-insured orga</w:t>
      </w:r>
      <w:r w:rsidR="00126C24" w:rsidRPr="00126C24">
        <w:t>nisations</w:t>
      </w:r>
    </w:p>
    <w:p w14:paraId="1D74AF8A" w14:textId="080E0EF4" w:rsidR="00126C24" w:rsidRPr="00126C24" w:rsidRDefault="00F8783B" w:rsidP="00126C24">
      <w:pPr>
        <w:pStyle w:val="Body"/>
        <w:numPr>
          <w:ilvl w:val="0"/>
          <w:numId w:val="4"/>
        </w:numPr>
      </w:pPr>
      <w:r>
        <w:t xml:space="preserve">had </w:t>
      </w:r>
      <w:r w:rsidR="002F4E1A">
        <w:t>c</w:t>
      </w:r>
      <w:r w:rsidR="00126C24" w:rsidRPr="00126C24">
        <w:t>laims</w:t>
      </w:r>
      <w:r>
        <w:t xml:space="preserve"> that were</w:t>
      </w:r>
      <w:r w:rsidR="00126C24" w:rsidRPr="00126C24">
        <w:t xml:space="preserve"> either open or closed.</w:t>
      </w:r>
    </w:p>
    <w:p w14:paraId="198790A5" w14:textId="0E2208BB" w:rsidR="003E47FF" w:rsidRPr="00126C24" w:rsidRDefault="003E47FF" w:rsidP="003E47FF">
      <w:pPr>
        <w:pStyle w:val="Body"/>
      </w:pPr>
      <w:r w:rsidRPr="00126C24">
        <w:t xml:space="preserve">To maintain the time series for two key measures reported in the </w:t>
      </w:r>
      <w:r w:rsidRPr="00126C24">
        <w:rPr>
          <w:i/>
        </w:rPr>
        <w:t>Return to Work Monitor</w:t>
      </w:r>
      <w:r w:rsidRPr="00126C24">
        <w:t xml:space="preserve">, a group </w:t>
      </w:r>
      <w:r w:rsidR="009D2D3D">
        <w:t>of workers employed by premium paying organisations who had</w:t>
      </w:r>
      <w:r w:rsidRPr="00126C24">
        <w:t xml:space="preserve"> 10 or more days </w:t>
      </w:r>
      <w:r w:rsidR="009D2D3D">
        <w:t>compensated</w:t>
      </w:r>
      <w:r w:rsidRPr="00126C24">
        <w:t xml:space="preserve"> and whose claim was submitted </w:t>
      </w:r>
      <w:r w:rsidR="009D2D3D">
        <w:t>between July</w:t>
      </w:r>
      <w:r w:rsidR="00334952">
        <w:t xml:space="preserve"> and</w:t>
      </w:r>
      <w:r w:rsidR="009D2D3D">
        <w:t xml:space="preserve"> September 2017</w:t>
      </w:r>
      <w:r w:rsidRPr="00126C24">
        <w:t xml:space="preserve"> was purposefully sampled from within the broader population. This group is referred to as the “Historic Cohort”. The </w:t>
      </w:r>
      <w:r w:rsidR="009D2D3D">
        <w:t xml:space="preserve">remainder of the sample (i.e. those not meeting the Historic cohort criteria) </w:t>
      </w:r>
      <w:r w:rsidRPr="00126C24">
        <w:t>is referred to as the “Balance Cohort”</w:t>
      </w:r>
      <w:r w:rsidR="009F152C">
        <w:t>.</w:t>
      </w:r>
    </w:p>
    <w:p w14:paraId="19837451" w14:textId="62019F0A" w:rsidR="00167B9A" w:rsidRDefault="009D2D3D" w:rsidP="00A87FF6">
      <w:pPr>
        <w:pStyle w:val="Body"/>
      </w:pPr>
      <w:r>
        <w:t>The p</w:t>
      </w:r>
      <w:r w:rsidR="00FC6BEF" w:rsidRPr="00126C24">
        <w:t>articipating jurisdictions provided the Social Research Centre with a population file of all eligible claimants. The Social Research Centre performed sampling stratification and sample selection from this sample frame.</w:t>
      </w:r>
      <w:r w:rsidR="00167B9A">
        <w:t xml:space="preserve"> The respondents in the sample were kept confidential, including from the jurisdictions.</w:t>
      </w:r>
    </w:p>
    <w:p w14:paraId="573C3BBC" w14:textId="1B3348FB" w:rsidR="00334952" w:rsidRDefault="00334952" w:rsidP="00167B9A">
      <w:pPr>
        <w:pStyle w:val="Body"/>
      </w:pPr>
      <w:r>
        <w:br w:type="page"/>
      </w:r>
    </w:p>
    <w:p w14:paraId="788AAD63" w14:textId="7AEF3812" w:rsidR="00BC153F" w:rsidRPr="00126C24" w:rsidRDefault="00BC153F" w:rsidP="00BC153F">
      <w:pPr>
        <w:pStyle w:val="Body"/>
      </w:pPr>
      <w:r w:rsidRPr="00126C24">
        <w:lastRenderedPageBreak/>
        <w:t xml:space="preserve">Following sample </w:t>
      </w:r>
      <w:r w:rsidR="009D2D3D">
        <w:t>selection</w:t>
      </w:r>
      <w:r w:rsidRPr="00126C24">
        <w:t>, the Social Research Centre sent a Primary Approach Letter (PAL) on jurisdictional letterhead to potential respondents</w:t>
      </w:r>
      <w:r w:rsidR="00126C24" w:rsidRPr="00126C24">
        <w:t xml:space="preserve"> to </w:t>
      </w:r>
      <w:r w:rsidRPr="00126C24">
        <w:t>i</w:t>
      </w:r>
      <w:r w:rsidR="00126C24" w:rsidRPr="00126C24">
        <w:t xml:space="preserve">ntroduce </w:t>
      </w:r>
      <w:r w:rsidRPr="00126C24">
        <w:t>the survey, provide assurances of confidentiality</w:t>
      </w:r>
      <w:r w:rsidR="00126C24" w:rsidRPr="00126C24">
        <w:t xml:space="preserve"> and survey bona fides</w:t>
      </w:r>
      <w:r w:rsidRPr="00126C24">
        <w:t xml:space="preserve">, encourage participation and provide </w:t>
      </w:r>
      <w:r w:rsidR="00126C24" w:rsidRPr="00126C24">
        <w:t>contact</w:t>
      </w:r>
      <w:r w:rsidRPr="00126C24">
        <w:t xml:space="preserve"> details to assist with query resolution.</w:t>
      </w:r>
    </w:p>
    <w:p w14:paraId="61BF9A76" w14:textId="2B2CC09C" w:rsidR="00925795" w:rsidRDefault="00925795" w:rsidP="00075E1D">
      <w:pPr>
        <w:pStyle w:val="Heading3"/>
      </w:pPr>
      <w:bookmarkStart w:id="18" w:name="_Toc528056006"/>
      <w:r>
        <w:t>Data collection</w:t>
      </w:r>
      <w:bookmarkEnd w:id="18"/>
    </w:p>
    <w:p w14:paraId="32DBBE11" w14:textId="73B8682F" w:rsidR="009D2D3D" w:rsidRPr="009D2D3D" w:rsidRDefault="00FC6BEF" w:rsidP="009D2D3D">
      <w:pPr>
        <w:pStyle w:val="Body"/>
      </w:pPr>
      <w:r w:rsidRPr="009D2D3D">
        <w:t xml:space="preserve">Data collection for the </w:t>
      </w:r>
      <w:r w:rsidR="00F8783B">
        <w:t>NRTWS</w:t>
      </w:r>
      <w:r w:rsidRPr="009D2D3D">
        <w:t xml:space="preserve"> was conducted by Computer Aided Telephone Interviewing (CATI) between 18 April and 10 June 2018.</w:t>
      </w:r>
      <w:r w:rsidR="009D2D3D" w:rsidRPr="009D2D3D">
        <w:t xml:space="preserve"> Respondents were able to elect to complete the interview in English, </w:t>
      </w:r>
      <w:r w:rsidR="00BC153F" w:rsidRPr="009D2D3D">
        <w:t xml:space="preserve">Cantonese, Mandarin </w:t>
      </w:r>
      <w:r w:rsidR="009D2D3D" w:rsidRPr="009D2D3D">
        <w:t xml:space="preserve">or </w:t>
      </w:r>
      <w:r w:rsidR="00BC153F" w:rsidRPr="009D2D3D">
        <w:t>Arabic.</w:t>
      </w:r>
    </w:p>
    <w:p w14:paraId="407206E7" w14:textId="1588644A" w:rsidR="00BC153F" w:rsidRPr="009D2D3D" w:rsidRDefault="009D2D3D" w:rsidP="009D2D3D">
      <w:pPr>
        <w:pStyle w:val="Body"/>
      </w:pPr>
      <w:r w:rsidRPr="009D2D3D">
        <w:t>Interviewers used</w:t>
      </w:r>
      <w:r w:rsidR="00BC153F" w:rsidRPr="009D2D3D">
        <w:t xml:space="preserve"> “soft” recruitment procedures </w:t>
      </w:r>
      <w:r w:rsidRPr="009D2D3D">
        <w:t>to e</w:t>
      </w:r>
      <w:r w:rsidR="00BC153F" w:rsidRPr="009D2D3D">
        <w:t>nsur</w:t>
      </w:r>
      <w:r w:rsidRPr="009D2D3D">
        <w:t>e</w:t>
      </w:r>
      <w:r w:rsidR="00BC153F" w:rsidRPr="009D2D3D">
        <w:t xml:space="preserve"> the worker </w:t>
      </w:r>
      <w:r w:rsidRPr="009D2D3D">
        <w:t>wa</w:t>
      </w:r>
      <w:r w:rsidR="00BC153F" w:rsidRPr="009D2D3D">
        <w:t>s comfortable participating in the survey and ensuring the voluntary nature of part</w:t>
      </w:r>
      <w:r w:rsidR="00A1060F">
        <w:t>icipation was clearly conveyed</w:t>
      </w:r>
      <w:r w:rsidR="00BC153F" w:rsidRPr="009D2D3D">
        <w:t xml:space="preserve"> and understood by respondents</w:t>
      </w:r>
      <w:r w:rsidRPr="009D2D3D">
        <w:t xml:space="preserve">. Assurances were provided regarding </w:t>
      </w:r>
      <w:r w:rsidR="00BC153F" w:rsidRPr="009D2D3D">
        <w:t>the privacy and confidentiality of respondent information</w:t>
      </w:r>
      <w:r w:rsidRPr="009D2D3D">
        <w:t>, including ass</w:t>
      </w:r>
      <w:r w:rsidR="00BC153F" w:rsidRPr="009D2D3D">
        <w:t>uring respondents that participation w</w:t>
      </w:r>
      <w:r w:rsidRPr="009D2D3D">
        <w:t>ould</w:t>
      </w:r>
      <w:r w:rsidR="00BC153F" w:rsidRPr="009D2D3D">
        <w:t xml:space="preserve"> not affect their claim in any way.</w:t>
      </w:r>
    </w:p>
    <w:p w14:paraId="1A447195" w14:textId="4AB59B6A" w:rsidR="00925795" w:rsidRPr="009D2D3D" w:rsidRDefault="009D2D3D" w:rsidP="00925795">
      <w:pPr>
        <w:pStyle w:val="Bullets1"/>
        <w:numPr>
          <w:ilvl w:val="0"/>
          <w:numId w:val="0"/>
        </w:numPr>
      </w:pPr>
      <w:r w:rsidRPr="009D2D3D">
        <w:t>A final r</w:t>
      </w:r>
      <w:r w:rsidR="00925795" w:rsidRPr="009D2D3D">
        <w:t xml:space="preserve">esponse rate </w:t>
      </w:r>
      <w:r w:rsidRPr="009D2D3D">
        <w:t xml:space="preserve">of </w:t>
      </w:r>
      <w:r w:rsidR="00925795" w:rsidRPr="009D2D3D">
        <w:t xml:space="preserve">67.7% </w:t>
      </w:r>
      <w:r w:rsidRPr="009D2D3D">
        <w:t xml:space="preserve">as achieved, representing the proportion </w:t>
      </w:r>
      <w:r w:rsidR="00925795" w:rsidRPr="009D2D3D">
        <w:t>of workers who were successfully contacted</w:t>
      </w:r>
      <w:r w:rsidR="00C33C8C">
        <w:t>,</w:t>
      </w:r>
      <w:r w:rsidR="00D7469B">
        <w:t xml:space="preserve"> confirmed to be </w:t>
      </w:r>
      <w:r w:rsidR="00925795" w:rsidRPr="009D2D3D">
        <w:t>in scope</w:t>
      </w:r>
      <w:r w:rsidR="00C33C8C">
        <w:t xml:space="preserve"> and</w:t>
      </w:r>
      <w:r w:rsidRPr="009D2D3D">
        <w:t xml:space="preserve"> completed the survey</w:t>
      </w:r>
      <w:r w:rsidR="00925795" w:rsidRPr="009D2D3D">
        <w:t>.</w:t>
      </w:r>
    </w:p>
    <w:p w14:paraId="389A0B2A" w14:textId="248CDA84" w:rsidR="00126C24" w:rsidRDefault="00126C24" w:rsidP="00126C24">
      <w:pPr>
        <w:pStyle w:val="Bullets1"/>
        <w:numPr>
          <w:ilvl w:val="0"/>
          <w:numId w:val="0"/>
        </w:numPr>
      </w:pPr>
      <w:r w:rsidRPr="009D2D3D">
        <w:t xml:space="preserve">A total of 4,602 telephone interviews were </w:t>
      </w:r>
      <w:r w:rsidR="009D2D3D" w:rsidRPr="009D2D3D">
        <w:t>completed</w:t>
      </w:r>
      <w:r w:rsidRPr="009D2D3D">
        <w:t xml:space="preserve">. </w:t>
      </w:r>
      <w:r w:rsidR="00F04783">
        <w:t xml:space="preserve">Table </w:t>
      </w:r>
      <w:r w:rsidR="00F04783">
        <w:rPr>
          <w:noProof/>
        </w:rPr>
        <w:t>1</w:t>
      </w:r>
      <w:r w:rsidR="009D2D3D" w:rsidRPr="009D2D3D">
        <w:t xml:space="preserve"> shows the breakdown of completed inte</w:t>
      </w:r>
      <w:r w:rsidR="00FE2445">
        <w:t xml:space="preserve">rviews by cohort, </w:t>
      </w:r>
      <w:r w:rsidR="00FE2445" w:rsidRPr="009D2D3D">
        <w:t>jurisdiction</w:t>
      </w:r>
      <w:r w:rsidR="00FE2445">
        <w:t xml:space="preserve"> and claim type</w:t>
      </w:r>
      <w:r w:rsidR="009D2D3D" w:rsidRPr="009D2D3D">
        <w:t>. More detail about sample characteristics is included in Section 2</w:t>
      </w:r>
      <w:r w:rsidRPr="009D2D3D">
        <w:t>.</w:t>
      </w:r>
    </w:p>
    <w:p w14:paraId="08AB2201" w14:textId="1721B9C7" w:rsidR="00126C24" w:rsidRDefault="00126C24" w:rsidP="00D0461D">
      <w:pPr>
        <w:pStyle w:val="Caption"/>
        <w:rPr>
          <w:rFonts w:asciiTheme="minorHAnsi" w:eastAsiaTheme="minorHAnsi" w:hAnsiTheme="minorHAnsi" w:cstheme="minorBidi"/>
          <w:sz w:val="22"/>
          <w:szCs w:val="22"/>
        </w:rPr>
      </w:pPr>
      <w:bookmarkStart w:id="19" w:name="_Ref524077608"/>
      <w:bookmarkStart w:id="20" w:name="_Toc528056600"/>
      <w:r>
        <w:t xml:space="preserve">Table </w:t>
      </w:r>
      <w:r w:rsidR="006A2841">
        <w:rPr>
          <w:noProof/>
        </w:rPr>
        <w:fldChar w:fldCharType="begin"/>
      </w:r>
      <w:r w:rsidR="006A2841">
        <w:rPr>
          <w:noProof/>
        </w:rPr>
        <w:instrText xml:space="preserve"> SEQ Table \* ARABIC </w:instrText>
      </w:r>
      <w:r w:rsidR="006A2841">
        <w:rPr>
          <w:noProof/>
        </w:rPr>
        <w:fldChar w:fldCharType="separate"/>
      </w:r>
      <w:r w:rsidR="00B9340A">
        <w:rPr>
          <w:noProof/>
        </w:rPr>
        <w:t>1</w:t>
      </w:r>
      <w:r w:rsidR="006A2841">
        <w:rPr>
          <w:noProof/>
        </w:rPr>
        <w:fldChar w:fldCharType="end"/>
      </w:r>
      <w:bookmarkEnd w:id="19"/>
      <w:r>
        <w:tab/>
        <w:t xml:space="preserve">Total </w:t>
      </w:r>
      <w:r w:rsidR="004D4F1C">
        <w:t>c</w:t>
      </w:r>
      <w:r>
        <w:t xml:space="preserve">ompleted </w:t>
      </w:r>
      <w:r w:rsidR="004D4F1C">
        <w:t>i</w:t>
      </w:r>
      <w:r>
        <w:t xml:space="preserve">nterviews by </w:t>
      </w:r>
      <w:r w:rsidR="004D4F1C">
        <w:t>c</w:t>
      </w:r>
      <w:r>
        <w:t xml:space="preserve">ohort, </w:t>
      </w:r>
      <w:r w:rsidR="004D4F1C">
        <w:t>j</w:t>
      </w:r>
      <w:r>
        <w:t xml:space="preserve">urisdiction and </w:t>
      </w:r>
      <w:r w:rsidR="004D4F1C">
        <w:t>c</w:t>
      </w:r>
      <w:r>
        <w:t xml:space="preserve">laim </w:t>
      </w:r>
      <w:r w:rsidR="004D4F1C">
        <w:t>t</w:t>
      </w:r>
      <w:r>
        <w:t>ype</w:t>
      </w:r>
      <w:bookmarkEnd w:id="20"/>
      <w:r>
        <w:tab/>
      </w:r>
    </w:p>
    <w:tbl>
      <w:tblPr>
        <w:tblW w:w="8883" w:type="dxa"/>
        <w:tblLayout w:type="fixed"/>
        <w:tblLook w:val="04A0" w:firstRow="1" w:lastRow="0" w:firstColumn="1" w:lastColumn="0" w:noHBand="0" w:noVBand="1"/>
        <w:tblDescription w:val="This table presents total number of completed interviews by cohort, jursidiction and claim types. The figures within the table are described above."/>
      </w:tblPr>
      <w:tblGrid>
        <w:gridCol w:w="2517"/>
        <w:gridCol w:w="1633"/>
        <w:gridCol w:w="1418"/>
        <w:gridCol w:w="1093"/>
        <w:gridCol w:w="13"/>
        <w:gridCol w:w="1104"/>
        <w:gridCol w:w="6"/>
        <w:gridCol w:w="1089"/>
        <w:gridCol w:w="10"/>
      </w:tblGrid>
      <w:tr w:rsidR="00126C24" w:rsidRPr="00DD004E" w14:paraId="091D6AC6" w14:textId="77777777" w:rsidTr="00C2728A">
        <w:trPr>
          <w:gridAfter w:val="1"/>
          <w:wAfter w:w="10" w:type="dxa"/>
          <w:trHeight w:val="80"/>
        </w:trPr>
        <w:tc>
          <w:tcPr>
            <w:tcW w:w="2517" w:type="dxa"/>
            <w:tcBorders>
              <w:top w:val="nil"/>
              <w:left w:val="nil"/>
              <w:right w:val="nil"/>
            </w:tcBorders>
            <w:shd w:val="clear" w:color="000000" w:fill="1F698E"/>
            <w:vAlign w:val="center"/>
            <w:hideMark/>
          </w:tcPr>
          <w:p w14:paraId="28442860" w14:textId="77777777" w:rsidR="00126C24" w:rsidRPr="00DD004E" w:rsidRDefault="00126C24" w:rsidP="00011EAE">
            <w:pPr>
              <w:spacing w:before="40" w:after="40"/>
              <w:rPr>
                <w:rFonts w:eastAsia="Times New Roman" w:cs="Arial"/>
                <w:color w:val="FFFFFF"/>
                <w:sz w:val="18"/>
                <w:szCs w:val="18"/>
                <w:lang w:eastAsia="en-AU"/>
              </w:rPr>
            </w:pPr>
            <w:r w:rsidRPr="00DD004E">
              <w:rPr>
                <w:rFonts w:eastAsia="Times New Roman" w:cs="Arial"/>
                <w:color w:val="FFFFFF" w:themeColor="background1"/>
                <w:sz w:val="18"/>
                <w:szCs w:val="18"/>
                <w:lang w:eastAsia="en-AU"/>
              </w:rPr>
              <w:t> </w:t>
            </w:r>
          </w:p>
        </w:tc>
        <w:tc>
          <w:tcPr>
            <w:tcW w:w="1633" w:type="dxa"/>
            <w:tcBorders>
              <w:top w:val="nil"/>
              <w:left w:val="nil"/>
              <w:right w:val="nil"/>
            </w:tcBorders>
            <w:shd w:val="clear" w:color="000000" w:fill="1F698E"/>
            <w:vAlign w:val="bottom"/>
            <w:hideMark/>
          </w:tcPr>
          <w:p w14:paraId="59CDC490" w14:textId="77777777" w:rsidR="00126C24" w:rsidRPr="00DD004E" w:rsidRDefault="00126C24" w:rsidP="00011EAE">
            <w:pPr>
              <w:spacing w:before="40" w:after="40"/>
              <w:jc w:val="center"/>
              <w:rPr>
                <w:rFonts w:eastAsia="Times New Roman" w:cs="Arial"/>
                <w:b/>
                <w:bCs/>
                <w:color w:val="FFFFFF"/>
                <w:sz w:val="18"/>
                <w:szCs w:val="18"/>
                <w:lang w:eastAsia="en-AU"/>
              </w:rPr>
            </w:pPr>
            <w:r w:rsidRPr="00DD004E">
              <w:rPr>
                <w:rFonts w:eastAsia="Times New Roman" w:cs="Arial"/>
                <w:b/>
                <w:bCs/>
                <w:color w:val="FFFFFF" w:themeColor="background1"/>
                <w:sz w:val="18"/>
                <w:szCs w:val="18"/>
                <w:lang w:eastAsia="en-AU"/>
              </w:rPr>
              <w:t xml:space="preserve">Historic </w:t>
            </w:r>
            <w:r>
              <w:rPr>
                <w:rFonts w:eastAsia="Times New Roman" w:cs="Arial"/>
                <w:b/>
                <w:bCs/>
                <w:color w:val="FFFFFF" w:themeColor="background1"/>
                <w:sz w:val="18"/>
                <w:szCs w:val="18"/>
                <w:lang w:eastAsia="en-AU"/>
              </w:rPr>
              <w:t>cohort</w:t>
            </w:r>
          </w:p>
        </w:tc>
        <w:tc>
          <w:tcPr>
            <w:tcW w:w="3628" w:type="dxa"/>
            <w:gridSpan w:val="4"/>
            <w:tcBorders>
              <w:top w:val="nil"/>
              <w:left w:val="nil"/>
              <w:right w:val="nil"/>
            </w:tcBorders>
            <w:shd w:val="clear" w:color="000000" w:fill="1F698E"/>
            <w:vAlign w:val="bottom"/>
            <w:hideMark/>
          </w:tcPr>
          <w:p w14:paraId="45FAB269" w14:textId="77777777" w:rsidR="00126C24" w:rsidRPr="00DD004E" w:rsidRDefault="00126C24" w:rsidP="00011EAE">
            <w:pPr>
              <w:spacing w:before="40" w:after="40"/>
              <w:jc w:val="center"/>
              <w:rPr>
                <w:rFonts w:eastAsia="Times New Roman" w:cs="Arial"/>
                <w:b/>
                <w:bCs/>
                <w:color w:val="FFFFFF"/>
                <w:sz w:val="18"/>
                <w:szCs w:val="18"/>
                <w:lang w:eastAsia="en-AU"/>
              </w:rPr>
            </w:pPr>
            <w:r w:rsidRPr="00DD004E">
              <w:rPr>
                <w:rFonts w:eastAsia="Times New Roman" w:cs="Arial"/>
                <w:b/>
                <w:bCs/>
                <w:color w:val="FFFFFF" w:themeColor="background1"/>
                <w:sz w:val="18"/>
                <w:szCs w:val="18"/>
                <w:lang w:eastAsia="en-AU"/>
              </w:rPr>
              <w:t xml:space="preserve">Balance </w:t>
            </w:r>
            <w:r>
              <w:rPr>
                <w:rFonts w:eastAsia="Times New Roman" w:cs="Arial"/>
                <w:b/>
                <w:bCs/>
                <w:color w:val="FFFFFF" w:themeColor="background1"/>
                <w:sz w:val="18"/>
                <w:szCs w:val="18"/>
                <w:lang w:eastAsia="en-AU"/>
              </w:rPr>
              <w:t>cohort</w:t>
            </w:r>
          </w:p>
        </w:tc>
        <w:tc>
          <w:tcPr>
            <w:tcW w:w="1095" w:type="dxa"/>
            <w:gridSpan w:val="2"/>
            <w:tcBorders>
              <w:top w:val="nil"/>
              <w:left w:val="nil"/>
              <w:right w:val="nil"/>
            </w:tcBorders>
            <w:shd w:val="clear" w:color="000000" w:fill="1F698E"/>
            <w:vAlign w:val="bottom"/>
            <w:hideMark/>
          </w:tcPr>
          <w:p w14:paraId="3D9B47C7" w14:textId="6FE26F3E" w:rsidR="00126C24" w:rsidRPr="00DD004E" w:rsidRDefault="00126C24" w:rsidP="00011EAE">
            <w:pPr>
              <w:spacing w:before="40" w:after="40"/>
              <w:jc w:val="center"/>
              <w:rPr>
                <w:rFonts w:eastAsia="Times New Roman" w:cs="Arial"/>
                <w:b/>
                <w:bCs/>
                <w:color w:val="FFFFFF"/>
                <w:sz w:val="18"/>
                <w:szCs w:val="18"/>
                <w:lang w:eastAsia="en-AU"/>
              </w:rPr>
            </w:pPr>
          </w:p>
        </w:tc>
      </w:tr>
      <w:tr w:rsidR="00126C24" w:rsidRPr="00DD004E" w14:paraId="5303FCE2" w14:textId="77777777" w:rsidTr="00C2728A">
        <w:trPr>
          <w:gridAfter w:val="1"/>
          <w:wAfter w:w="10" w:type="dxa"/>
          <w:trHeight w:val="80"/>
        </w:trPr>
        <w:tc>
          <w:tcPr>
            <w:tcW w:w="2517" w:type="dxa"/>
            <w:tcBorders>
              <w:top w:val="nil"/>
              <w:left w:val="nil"/>
              <w:right w:val="nil"/>
            </w:tcBorders>
            <w:shd w:val="clear" w:color="000000" w:fill="1F698E"/>
            <w:vAlign w:val="center"/>
            <w:hideMark/>
          </w:tcPr>
          <w:p w14:paraId="4895DA5D" w14:textId="77777777" w:rsidR="00126C24" w:rsidRPr="00DD004E" w:rsidRDefault="00126C24" w:rsidP="00011EAE">
            <w:pPr>
              <w:spacing w:before="40" w:after="40"/>
              <w:rPr>
                <w:rFonts w:eastAsia="Times New Roman" w:cs="Arial"/>
                <w:color w:val="FFFFFF"/>
                <w:sz w:val="18"/>
                <w:szCs w:val="18"/>
                <w:lang w:eastAsia="en-AU"/>
              </w:rPr>
            </w:pPr>
            <w:r w:rsidRPr="00DD004E">
              <w:rPr>
                <w:rFonts w:eastAsia="Times New Roman" w:cs="Arial"/>
                <w:color w:val="FFFFFF"/>
                <w:sz w:val="18"/>
                <w:szCs w:val="18"/>
                <w:lang w:eastAsia="en-AU"/>
              </w:rPr>
              <w:t> </w:t>
            </w:r>
          </w:p>
        </w:tc>
        <w:tc>
          <w:tcPr>
            <w:tcW w:w="1633" w:type="dxa"/>
            <w:tcBorders>
              <w:top w:val="nil"/>
              <w:left w:val="nil"/>
              <w:right w:val="nil"/>
            </w:tcBorders>
            <w:shd w:val="clear" w:color="000000" w:fill="1F698E"/>
            <w:vAlign w:val="center"/>
            <w:hideMark/>
          </w:tcPr>
          <w:p w14:paraId="37E6F09C" w14:textId="77777777" w:rsidR="00126C24" w:rsidRPr="00DD004E" w:rsidRDefault="00126C24" w:rsidP="00011EAE">
            <w:pPr>
              <w:spacing w:before="40" w:after="40"/>
              <w:jc w:val="center"/>
              <w:rPr>
                <w:rFonts w:eastAsia="Times New Roman" w:cs="Arial"/>
                <w:b/>
                <w:bCs/>
                <w:color w:val="FFFFFF"/>
                <w:sz w:val="18"/>
                <w:szCs w:val="18"/>
                <w:lang w:eastAsia="en-AU"/>
              </w:rPr>
            </w:pPr>
            <w:r w:rsidRPr="00DD004E">
              <w:rPr>
                <w:rFonts w:eastAsia="Times New Roman" w:cs="Arial"/>
                <w:b/>
                <w:bCs/>
                <w:color w:val="FFFFFF"/>
                <w:sz w:val="18"/>
                <w:szCs w:val="18"/>
                <w:lang w:eastAsia="en-AU"/>
              </w:rPr>
              <w:t> </w:t>
            </w:r>
          </w:p>
        </w:tc>
        <w:tc>
          <w:tcPr>
            <w:tcW w:w="1418" w:type="dxa"/>
            <w:tcBorders>
              <w:top w:val="nil"/>
              <w:left w:val="nil"/>
              <w:right w:val="nil"/>
            </w:tcBorders>
            <w:shd w:val="clear" w:color="000000" w:fill="1F698E"/>
            <w:vAlign w:val="bottom"/>
            <w:hideMark/>
          </w:tcPr>
          <w:p w14:paraId="31A96DCF" w14:textId="77777777" w:rsidR="00126C24" w:rsidRPr="00DD004E" w:rsidRDefault="00126C24" w:rsidP="00011EAE">
            <w:pPr>
              <w:spacing w:before="40" w:after="40"/>
              <w:jc w:val="center"/>
              <w:rPr>
                <w:rFonts w:eastAsia="Times New Roman" w:cs="Arial"/>
                <w:b/>
                <w:bCs/>
                <w:color w:val="FFFFFF"/>
                <w:sz w:val="18"/>
                <w:szCs w:val="18"/>
                <w:lang w:eastAsia="en-AU"/>
              </w:rPr>
            </w:pPr>
            <w:r w:rsidRPr="00DD004E">
              <w:rPr>
                <w:rFonts w:eastAsia="Times New Roman" w:cs="Arial"/>
                <w:b/>
                <w:bCs/>
                <w:color w:val="FFFFFF"/>
                <w:sz w:val="18"/>
                <w:szCs w:val="18"/>
                <w:lang w:eastAsia="en-AU"/>
              </w:rPr>
              <w:t>Premium Payer</w:t>
            </w:r>
          </w:p>
        </w:tc>
        <w:tc>
          <w:tcPr>
            <w:tcW w:w="1106" w:type="dxa"/>
            <w:gridSpan w:val="2"/>
            <w:tcBorders>
              <w:top w:val="nil"/>
              <w:left w:val="nil"/>
              <w:right w:val="nil"/>
            </w:tcBorders>
            <w:shd w:val="clear" w:color="000000" w:fill="1F698E"/>
            <w:vAlign w:val="bottom"/>
            <w:hideMark/>
          </w:tcPr>
          <w:p w14:paraId="4BE66F92" w14:textId="77777777" w:rsidR="00126C24" w:rsidRPr="00DD004E" w:rsidRDefault="00126C24" w:rsidP="00011EAE">
            <w:pPr>
              <w:spacing w:before="40" w:after="40"/>
              <w:jc w:val="center"/>
              <w:rPr>
                <w:rFonts w:eastAsia="Times New Roman" w:cs="Arial"/>
                <w:b/>
                <w:bCs/>
                <w:color w:val="FFFFFF"/>
                <w:sz w:val="18"/>
                <w:szCs w:val="18"/>
                <w:lang w:eastAsia="en-AU"/>
              </w:rPr>
            </w:pPr>
            <w:r w:rsidRPr="00DD004E">
              <w:rPr>
                <w:rFonts w:eastAsia="Times New Roman" w:cs="Arial"/>
                <w:b/>
                <w:bCs/>
                <w:color w:val="FFFFFF"/>
                <w:sz w:val="18"/>
                <w:szCs w:val="18"/>
                <w:lang w:eastAsia="en-AU"/>
              </w:rPr>
              <w:t>Self-Insurer</w:t>
            </w:r>
          </w:p>
        </w:tc>
        <w:tc>
          <w:tcPr>
            <w:tcW w:w="1110" w:type="dxa"/>
            <w:gridSpan w:val="2"/>
            <w:tcBorders>
              <w:top w:val="nil"/>
              <w:left w:val="nil"/>
              <w:right w:val="nil"/>
            </w:tcBorders>
            <w:shd w:val="clear" w:color="000000" w:fill="1F698E"/>
            <w:vAlign w:val="bottom"/>
            <w:hideMark/>
          </w:tcPr>
          <w:p w14:paraId="625317EB" w14:textId="77777777" w:rsidR="00126C24" w:rsidRPr="00DD004E" w:rsidRDefault="00126C24" w:rsidP="00011EAE">
            <w:pPr>
              <w:spacing w:before="40" w:after="40"/>
              <w:jc w:val="center"/>
              <w:rPr>
                <w:rFonts w:eastAsia="Times New Roman" w:cs="Arial"/>
                <w:b/>
                <w:bCs/>
                <w:color w:val="FFFFFF"/>
                <w:sz w:val="18"/>
                <w:szCs w:val="18"/>
                <w:lang w:eastAsia="en-AU"/>
              </w:rPr>
            </w:pPr>
            <w:r w:rsidRPr="00DD004E">
              <w:rPr>
                <w:rFonts w:eastAsia="Times New Roman" w:cs="Arial"/>
                <w:b/>
                <w:bCs/>
                <w:color w:val="FFFFFF"/>
                <w:sz w:val="18"/>
                <w:szCs w:val="18"/>
                <w:lang w:eastAsia="en-AU"/>
              </w:rPr>
              <w:t>Sub-total</w:t>
            </w:r>
          </w:p>
        </w:tc>
        <w:tc>
          <w:tcPr>
            <w:tcW w:w="1089" w:type="dxa"/>
            <w:tcBorders>
              <w:top w:val="nil"/>
              <w:left w:val="nil"/>
              <w:right w:val="nil"/>
            </w:tcBorders>
            <w:shd w:val="clear" w:color="000000" w:fill="1F698E"/>
            <w:vAlign w:val="bottom"/>
            <w:hideMark/>
          </w:tcPr>
          <w:p w14:paraId="28C97115" w14:textId="5CD29CAD" w:rsidR="00126C24" w:rsidRPr="00DD004E" w:rsidRDefault="00F66B4B" w:rsidP="00011EAE">
            <w:pPr>
              <w:spacing w:before="40" w:after="40"/>
              <w:jc w:val="center"/>
              <w:rPr>
                <w:rFonts w:eastAsia="Times New Roman" w:cs="Arial"/>
                <w:b/>
                <w:bCs/>
                <w:color w:val="FFFFFF"/>
                <w:sz w:val="18"/>
                <w:szCs w:val="18"/>
                <w:lang w:eastAsia="en-AU"/>
              </w:rPr>
            </w:pPr>
            <w:r w:rsidRPr="00DD004E">
              <w:rPr>
                <w:rFonts w:eastAsia="Times New Roman" w:cs="Arial"/>
                <w:b/>
                <w:bCs/>
                <w:color w:val="FFFFFF" w:themeColor="background1"/>
                <w:sz w:val="18"/>
                <w:szCs w:val="18"/>
                <w:lang w:eastAsia="en-AU"/>
              </w:rPr>
              <w:t>Total</w:t>
            </w:r>
          </w:p>
        </w:tc>
      </w:tr>
      <w:tr w:rsidR="00C2728A" w:rsidRPr="00DD004E" w14:paraId="42E7BB2F" w14:textId="77777777" w:rsidTr="00C2728A">
        <w:trPr>
          <w:gridAfter w:val="1"/>
          <w:wAfter w:w="10" w:type="dxa"/>
          <w:trHeight w:val="80"/>
        </w:trPr>
        <w:tc>
          <w:tcPr>
            <w:tcW w:w="2517" w:type="dxa"/>
            <w:tcBorders>
              <w:top w:val="nil"/>
              <w:left w:val="nil"/>
              <w:right w:val="nil"/>
            </w:tcBorders>
            <w:shd w:val="clear" w:color="auto" w:fill="FFFFFF" w:themeFill="background1"/>
            <w:vAlign w:val="center"/>
          </w:tcPr>
          <w:p w14:paraId="3D856BBF" w14:textId="5325DDCE" w:rsidR="00C2728A" w:rsidRPr="00DD004E" w:rsidRDefault="00C2728A" w:rsidP="00011EAE">
            <w:pPr>
              <w:spacing w:before="40" w:after="40"/>
              <w:rPr>
                <w:rFonts w:eastAsia="Times New Roman" w:cs="Arial"/>
                <w:color w:val="FFFFFF"/>
                <w:sz w:val="18"/>
                <w:szCs w:val="18"/>
                <w:lang w:eastAsia="en-AU"/>
              </w:rPr>
            </w:pPr>
            <w:r w:rsidRPr="00EB0ADA">
              <w:rPr>
                <w:rFonts w:eastAsia="Times New Roman" w:cs="Arial"/>
                <w:b/>
                <w:color w:val="000000"/>
                <w:sz w:val="18"/>
                <w:szCs w:val="18"/>
                <w:lang w:eastAsia="en-AU"/>
              </w:rPr>
              <w:t>Total</w:t>
            </w:r>
          </w:p>
        </w:tc>
        <w:tc>
          <w:tcPr>
            <w:tcW w:w="1633" w:type="dxa"/>
            <w:tcBorders>
              <w:top w:val="nil"/>
              <w:left w:val="nil"/>
              <w:right w:val="nil"/>
            </w:tcBorders>
            <w:shd w:val="clear" w:color="auto" w:fill="FFFFFF" w:themeFill="background1"/>
            <w:vAlign w:val="center"/>
          </w:tcPr>
          <w:p w14:paraId="428346EB" w14:textId="6EBB062B" w:rsidR="00C2728A" w:rsidRPr="00DD004E" w:rsidRDefault="00C2728A" w:rsidP="00011EAE">
            <w:pPr>
              <w:spacing w:before="40" w:after="40"/>
              <w:jc w:val="center"/>
              <w:rPr>
                <w:rFonts w:eastAsia="Times New Roman" w:cs="Arial"/>
                <w:b/>
                <w:bCs/>
                <w:color w:val="FFFFFF"/>
                <w:sz w:val="18"/>
                <w:szCs w:val="18"/>
                <w:lang w:eastAsia="en-AU"/>
              </w:rPr>
            </w:pPr>
            <w:r w:rsidRPr="00EB0ADA">
              <w:rPr>
                <w:rFonts w:eastAsia="Times New Roman" w:cs="Arial"/>
                <w:b/>
                <w:color w:val="000000"/>
                <w:sz w:val="18"/>
                <w:szCs w:val="18"/>
                <w:lang w:eastAsia="en-AU"/>
              </w:rPr>
              <w:t>1</w:t>
            </w:r>
            <w:r>
              <w:rPr>
                <w:rFonts w:eastAsia="Times New Roman" w:cs="Arial"/>
                <w:b/>
                <w:color w:val="000000"/>
                <w:sz w:val="18"/>
                <w:szCs w:val="18"/>
                <w:lang w:eastAsia="en-AU"/>
              </w:rPr>
              <w:t>,</w:t>
            </w:r>
            <w:r w:rsidRPr="00EB0ADA">
              <w:rPr>
                <w:rFonts w:eastAsia="Times New Roman" w:cs="Arial"/>
                <w:b/>
                <w:color w:val="000000"/>
                <w:sz w:val="18"/>
                <w:szCs w:val="18"/>
                <w:lang w:eastAsia="en-AU"/>
              </w:rPr>
              <w:t>889</w:t>
            </w:r>
          </w:p>
        </w:tc>
        <w:tc>
          <w:tcPr>
            <w:tcW w:w="1418" w:type="dxa"/>
            <w:tcBorders>
              <w:top w:val="nil"/>
              <w:left w:val="nil"/>
              <w:right w:val="nil"/>
            </w:tcBorders>
            <w:shd w:val="clear" w:color="auto" w:fill="FFFFFF" w:themeFill="background1"/>
            <w:vAlign w:val="center"/>
          </w:tcPr>
          <w:p w14:paraId="4144789E" w14:textId="17E893C3" w:rsidR="00C2728A" w:rsidRPr="00DD004E" w:rsidRDefault="00C2728A" w:rsidP="00011EAE">
            <w:pPr>
              <w:spacing w:before="40" w:after="40"/>
              <w:jc w:val="center"/>
              <w:rPr>
                <w:rFonts w:eastAsia="Times New Roman" w:cs="Arial"/>
                <w:b/>
                <w:bCs/>
                <w:color w:val="FFFFFF"/>
                <w:sz w:val="18"/>
                <w:szCs w:val="18"/>
                <w:lang w:eastAsia="en-AU"/>
              </w:rPr>
            </w:pPr>
            <w:r w:rsidRPr="00EB0ADA">
              <w:rPr>
                <w:rFonts w:eastAsia="Times New Roman" w:cs="Arial"/>
                <w:b/>
                <w:color w:val="000000"/>
                <w:sz w:val="18"/>
                <w:szCs w:val="18"/>
                <w:lang w:eastAsia="en-AU"/>
              </w:rPr>
              <w:t>1</w:t>
            </w:r>
            <w:r>
              <w:rPr>
                <w:rFonts w:eastAsia="Times New Roman" w:cs="Arial"/>
                <w:b/>
                <w:color w:val="000000"/>
                <w:sz w:val="18"/>
                <w:szCs w:val="18"/>
                <w:lang w:eastAsia="en-AU"/>
              </w:rPr>
              <w:t>,</w:t>
            </w:r>
            <w:r w:rsidRPr="00EB0ADA">
              <w:rPr>
                <w:rFonts w:eastAsia="Times New Roman" w:cs="Arial"/>
                <w:b/>
                <w:color w:val="000000"/>
                <w:sz w:val="18"/>
                <w:szCs w:val="18"/>
                <w:lang w:eastAsia="en-AU"/>
              </w:rPr>
              <w:t>989</w:t>
            </w:r>
          </w:p>
        </w:tc>
        <w:tc>
          <w:tcPr>
            <w:tcW w:w="1106" w:type="dxa"/>
            <w:gridSpan w:val="2"/>
            <w:tcBorders>
              <w:top w:val="nil"/>
              <w:left w:val="nil"/>
              <w:right w:val="nil"/>
            </w:tcBorders>
            <w:shd w:val="clear" w:color="auto" w:fill="FFFFFF" w:themeFill="background1"/>
            <w:vAlign w:val="center"/>
          </w:tcPr>
          <w:p w14:paraId="7AD417AB" w14:textId="5079684B" w:rsidR="00C2728A" w:rsidRPr="00DD004E" w:rsidRDefault="00C2728A" w:rsidP="00011EAE">
            <w:pPr>
              <w:spacing w:before="40" w:after="40"/>
              <w:jc w:val="center"/>
              <w:rPr>
                <w:rFonts w:eastAsia="Times New Roman" w:cs="Arial"/>
                <w:b/>
                <w:bCs/>
                <w:color w:val="FFFFFF"/>
                <w:sz w:val="18"/>
                <w:szCs w:val="18"/>
                <w:lang w:eastAsia="en-AU"/>
              </w:rPr>
            </w:pPr>
            <w:r w:rsidRPr="00EB0ADA">
              <w:rPr>
                <w:rFonts w:eastAsia="Times New Roman" w:cs="Arial"/>
                <w:b/>
                <w:color w:val="000000"/>
                <w:sz w:val="18"/>
                <w:szCs w:val="18"/>
                <w:lang w:eastAsia="en-AU"/>
              </w:rPr>
              <w:t>724</w:t>
            </w:r>
          </w:p>
        </w:tc>
        <w:tc>
          <w:tcPr>
            <w:tcW w:w="1110" w:type="dxa"/>
            <w:gridSpan w:val="2"/>
            <w:tcBorders>
              <w:top w:val="nil"/>
              <w:left w:val="nil"/>
              <w:right w:val="nil"/>
            </w:tcBorders>
            <w:shd w:val="clear" w:color="auto" w:fill="FFFFFF" w:themeFill="background1"/>
            <w:vAlign w:val="center"/>
          </w:tcPr>
          <w:p w14:paraId="359CE5E5" w14:textId="5CA2F7E3" w:rsidR="00C2728A" w:rsidRPr="00DD004E" w:rsidRDefault="00C2728A" w:rsidP="00011EAE">
            <w:pPr>
              <w:spacing w:before="40" w:after="40"/>
              <w:jc w:val="center"/>
              <w:rPr>
                <w:rFonts w:eastAsia="Times New Roman" w:cs="Arial"/>
                <w:b/>
                <w:bCs/>
                <w:color w:val="FFFFFF"/>
                <w:sz w:val="18"/>
                <w:szCs w:val="18"/>
                <w:lang w:eastAsia="en-AU"/>
              </w:rPr>
            </w:pPr>
            <w:r w:rsidRPr="00EB0ADA">
              <w:rPr>
                <w:rFonts w:eastAsia="Times New Roman" w:cs="Arial"/>
                <w:b/>
                <w:color w:val="000000"/>
                <w:sz w:val="18"/>
                <w:szCs w:val="18"/>
                <w:lang w:eastAsia="en-AU"/>
              </w:rPr>
              <w:t>2</w:t>
            </w:r>
            <w:r>
              <w:rPr>
                <w:rFonts w:eastAsia="Times New Roman" w:cs="Arial"/>
                <w:b/>
                <w:color w:val="000000"/>
                <w:sz w:val="18"/>
                <w:szCs w:val="18"/>
                <w:lang w:eastAsia="en-AU"/>
              </w:rPr>
              <w:t>,</w:t>
            </w:r>
            <w:r w:rsidRPr="00EB0ADA">
              <w:rPr>
                <w:rFonts w:eastAsia="Times New Roman" w:cs="Arial"/>
                <w:b/>
                <w:color w:val="000000"/>
                <w:sz w:val="18"/>
                <w:szCs w:val="18"/>
                <w:lang w:eastAsia="en-AU"/>
              </w:rPr>
              <w:t>713</w:t>
            </w:r>
          </w:p>
        </w:tc>
        <w:tc>
          <w:tcPr>
            <w:tcW w:w="1089" w:type="dxa"/>
            <w:tcBorders>
              <w:top w:val="nil"/>
              <w:left w:val="nil"/>
              <w:right w:val="nil"/>
            </w:tcBorders>
            <w:shd w:val="clear" w:color="auto" w:fill="FFFFFF" w:themeFill="background1"/>
            <w:vAlign w:val="center"/>
          </w:tcPr>
          <w:p w14:paraId="5F2C55E2" w14:textId="730C95DB" w:rsidR="00C2728A" w:rsidRPr="00DD004E" w:rsidRDefault="00C2728A" w:rsidP="00011EAE">
            <w:pPr>
              <w:spacing w:before="40" w:after="40"/>
              <w:jc w:val="center"/>
              <w:rPr>
                <w:rFonts w:eastAsia="Times New Roman" w:cs="Arial"/>
                <w:b/>
                <w:bCs/>
                <w:color w:val="FFFFFF" w:themeColor="background1"/>
                <w:sz w:val="18"/>
                <w:szCs w:val="18"/>
                <w:lang w:eastAsia="en-AU"/>
              </w:rPr>
            </w:pPr>
            <w:r w:rsidRPr="00EB0ADA">
              <w:rPr>
                <w:rFonts w:eastAsia="Times New Roman" w:cs="Arial"/>
                <w:b/>
                <w:color w:val="000000"/>
                <w:sz w:val="18"/>
                <w:szCs w:val="18"/>
                <w:lang w:eastAsia="en-AU"/>
              </w:rPr>
              <w:t>4</w:t>
            </w:r>
            <w:r>
              <w:rPr>
                <w:rFonts w:eastAsia="Times New Roman" w:cs="Arial"/>
                <w:b/>
                <w:color w:val="000000"/>
                <w:sz w:val="18"/>
                <w:szCs w:val="18"/>
                <w:lang w:eastAsia="en-AU"/>
              </w:rPr>
              <w:t>,</w:t>
            </w:r>
            <w:r w:rsidRPr="00EB0ADA">
              <w:rPr>
                <w:rFonts w:eastAsia="Times New Roman" w:cs="Arial"/>
                <w:b/>
                <w:color w:val="000000"/>
                <w:sz w:val="18"/>
                <w:szCs w:val="18"/>
                <w:lang w:eastAsia="en-AU"/>
              </w:rPr>
              <w:t>602</w:t>
            </w:r>
          </w:p>
        </w:tc>
      </w:tr>
      <w:tr w:rsidR="00C2728A" w:rsidRPr="00DD004E" w14:paraId="6061BB3E" w14:textId="77777777" w:rsidTr="00C2728A">
        <w:trPr>
          <w:trHeight w:val="340"/>
        </w:trPr>
        <w:tc>
          <w:tcPr>
            <w:tcW w:w="2517" w:type="dxa"/>
            <w:tcBorders>
              <w:left w:val="nil"/>
              <w:bottom w:val="nil"/>
              <w:right w:val="nil"/>
            </w:tcBorders>
            <w:shd w:val="clear" w:color="auto" w:fill="58AEDA"/>
            <w:vAlign w:val="center"/>
            <w:hideMark/>
          </w:tcPr>
          <w:p w14:paraId="5B09442A" w14:textId="5554F2FA" w:rsidR="00C2728A" w:rsidRPr="00EB0ADA" w:rsidRDefault="00C2728A" w:rsidP="00011EAE">
            <w:pPr>
              <w:spacing w:before="40" w:after="40"/>
              <w:rPr>
                <w:rFonts w:eastAsia="Times New Roman" w:cs="Arial"/>
                <w:b/>
                <w:color w:val="000000"/>
                <w:sz w:val="18"/>
                <w:szCs w:val="18"/>
                <w:lang w:eastAsia="en-AU"/>
              </w:rPr>
            </w:pPr>
            <w:r>
              <w:rPr>
                <w:rFonts w:eastAsia="Times New Roman" w:cs="Arial"/>
                <w:b/>
                <w:color w:val="000000"/>
                <w:sz w:val="18"/>
                <w:szCs w:val="18"/>
                <w:lang w:eastAsia="en-AU"/>
              </w:rPr>
              <w:t>Jurisdiction</w:t>
            </w:r>
          </w:p>
        </w:tc>
        <w:tc>
          <w:tcPr>
            <w:tcW w:w="1633" w:type="dxa"/>
            <w:tcBorders>
              <w:left w:val="nil"/>
              <w:bottom w:val="nil"/>
              <w:right w:val="single" w:sz="4" w:space="0" w:color="FFFFFF" w:themeColor="background1"/>
            </w:tcBorders>
            <w:shd w:val="clear" w:color="auto" w:fill="58AEDA"/>
            <w:vAlign w:val="center"/>
            <w:hideMark/>
          </w:tcPr>
          <w:p w14:paraId="0D88E5D7" w14:textId="36FA55EF" w:rsidR="00C2728A" w:rsidRPr="00EB0ADA" w:rsidRDefault="00C2728A" w:rsidP="00011EAE">
            <w:pPr>
              <w:spacing w:before="40" w:after="40"/>
              <w:ind w:right="510"/>
              <w:jc w:val="right"/>
              <w:rPr>
                <w:rFonts w:eastAsia="Times New Roman" w:cs="Arial"/>
                <w:b/>
                <w:color w:val="000000"/>
                <w:sz w:val="18"/>
                <w:szCs w:val="18"/>
                <w:lang w:eastAsia="en-AU"/>
              </w:rPr>
            </w:pPr>
          </w:p>
        </w:tc>
        <w:tc>
          <w:tcPr>
            <w:tcW w:w="1418" w:type="dxa"/>
            <w:tcBorders>
              <w:left w:val="single" w:sz="4" w:space="0" w:color="FFFFFF" w:themeColor="background1"/>
              <w:bottom w:val="nil"/>
              <w:right w:val="nil"/>
            </w:tcBorders>
            <w:shd w:val="clear" w:color="auto" w:fill="58AEDA"/>
            <w:vAlign w:val="center"/>
            <w:hideMark/>
          </w:tcPr>
          <w:p w14:paraId="57E60FC4" w14:textId="3CBF87FE" w:rsidR="00C2728A" w:rsidRPr="00EB0ADA" w:rsidRDefault="00C2728A" w:rsidP="00011EAE">
            <w:pPr>
              <w:spacing w:before="40" w:after="40"/>
              <w:ind w:right="454"/>
              <w:jc w:val="right"/>
              <w:rPr>
                <w:rFonts w:eastAsia="Times New Roman" w:cs="Arial"/>
                <w:b/>
                <w:color w:val="000000"/>
                <w:sz w:val="18"/>
                <w:szCs w:val="18"/>
                <w:lang w:eastAsia="en-AU"/>
              </w:rPr>
            </w:pPr>
          </w:p>
        </w:tc>
        <w:tc>
          <w:tcPr>
            <w:tcW w:w="1093" w:type="dxa"/>
            <w:tcBorders>
              <w:left w:val="nil"/>
              <w:bottom w:val="nil"/>
              <w:right w:val="nil"/>
            </w:tcBorders>
            <w:shd w:val="clear" w:color="auto" w:fill="58AEDA"/>
            <w:vAlign w:val="center"/>
            <w:hideMark/>
          </w:tcPr>
          <w:p w14:paraId="2FF7C7EB" w14:textId="1AD0F0C5" w:rsidR="00C2728A" w:rsidRPr="00EB0ADA" w:rsidRDefault="00C2728A" w:rsidP="00011EAE">
            <w:pPr>
              <w:spacing w:before="40" w:after="40"/>
              <w:ind w:right="283"/>
              <w:jc w:val="right"/>
              <w:rPr>
                <w:rFonts w:eastAsia="Times New Roman" w:cs="Arial"/>
                <w:b/>
                <w:color w:val="000000"/>
                <w:sz w:val="18"/>
                <w:szCs w:val="18"/>
                <w:lang w:eastAsia="en-AU"/>
              </w:rPr>
            </w:pPr>
          </w:p>
        </w:tc>
        <w:tc>
          <w:tcPr>
            <w:tcW w:w="1123" w:type="dxa"/>
            <w:gridSpan w:val="3"/>
            <w:tcBorders>
              <w:left w:val="nil"/>
              <w:bottom w:val="nil"/>
              <w:right w:val="single" w:sz="4" w:space="0" w:color="FFFFFF" w:themeColor="background1"/>
            </w:tcBorders>
            <w:shd w:val="clear" w:color="auto" w:fill="58AEDA"/>
            <w:vAlign w:val="center"/>
            <w:hideMark/>
          </w:tcPr>
          <w:p w14:paraId="4FBD438F" w14:textId="5CB172B5" w:rsidR="00C2728A" w:rsidRPr="00EB0ADA" w:rsidRDefault="00C2728A" w:rsidP="00011EAE">
            <w:pPr>
              <w:spacing w:before="40" w:after="40"/>
              <w:ind w:right="227"/>
              <w:jc w:val="right"/>
              <w:rPr>
                <w:rFonts w:eastAsia="Times New Roman" w:cs="Arial"/>
                <w:b/>
                <w:color w:val="000000"/>
                <w:sz w:val="18"/>
                <w:szCs w:val="18"/>
                <w:lang w:eastAsia="en-AU"/>
              </w:rPr>
            </w:pPr>
          </w:p>
        </w:tc>
        <w:tc>
          <w:tcPr>
            <w:tcW w:w="1099" w:type="dxa"/>
            <w:gridSpan w:val="2"/>
            <w:tcBorders>
              <w:left w:val="single" w:sz="4" w:space="0" w:color="FFFFFF" w:themeColor="background1"/>
              <w:bottom w:val="nil"/>
              <w:right w:val="nil"/>
            </w:tcBorders>
            <w:shd w:val="clear" w:color="auto" w:fill="58AEDA"/>
            <w:vAlign w:val="center"/>
            <w:hideMark/>
          </w:tcPr>
          <w:p w14:paraId="2AD59FD7" w14:textId="1E8A6BFD" w:rsidR="00C2728A" w:rsidRPr="00EB0ADA" w:rsidRDefault="00C2728A" w:rsidP="00011EAE">
            <w:pPr>
              <w:spacing w:before="40" w:after="40"/>
              <w:ind w:right="227"/>
              <w:jc w:val="right"/>
              <w:rPr>
                <w:rFonts w:eastAsia="Times New Roman" w:cs="Arial"/>
                <w:b/>
                <w:color w:val="000000"/>
                <w:sz w:val="18"/>
                <w:szCs w:val="18"/>
                <w:lang w:eastAsia="en-AU"/>
              </w:rPr>
            </w:pPr>
          </w:p>
        </w:tc>
      </w:tr>
      <w:tr w:rsidR="00C2728A" w:rsidRPr="00DD004E" w14:paraId="1BACA2A3" w14:textId="77777777" w:rsidTr="00C2728A">
        <w:trPr>
          <w:trHeight w:val="340"/>
        </w:trPr>
        <w:tc>
          <w:tcPr>
            <w:tcW w:w="2517" w:type="dxa"/>
            <w:tcBorders>
              <w:top w:val="nil"/>
              <w:left w:val="nil"/>
              <w:bottom w:val="nil"/>
              <w:right w:val="nil"/>
            </w:tcBorders>
            <w:shd w:val="clear" w:color="000000" w:fill="C7E4F3"/>
            <w:vAlign w:val="center"/>
            <w:hideMark/>
          </w:tcPr>
          <w:p w14:paraId="205925F2" w14:textId="77777777" w:rsidR="00C2728A" w:rsidRPr="00DD004E" w:rsidRDefault="00C2728A" w:rsidP="00011EAE">
            <w:pPr>
              <w:spacing w:before="40" w:after="40"/>
              <w:ind w:left="113"/>
              <w:rPr>
                <w:rFonts w:eastAsia="Times New Roman" w:cs="Arial"/>
                <w:color w:val="000000"/>
                <w:sz w:val="18"/>
                <w:szCs w:val="18"/>
                <w:lang w:eastAsia="en-AU"/>
              </w:rPr>
            </w:pPr>
            <w:r w:rsidRPr="00DD004E">
              <w:rPr>
                <w:rFonts w:eastAsia="Times New Roman" w:cs="Arial"/>
                <w:color w:val="000000"/>
                <w:sz w:val="18"/>
                <w:szCs w:val="18"/>
                <w:lang w:eastAsia="en-AU"/>
              </w:rPr>
              <w:t>New South Wales</w:t>
            </w:r>
          </w:p>
        </w:tc>
        <w:tc>
          <w:tcPr>
            <w:tcW w:w="1633" w:type="dxa"/>
            <w:tcBorders>
              <w:top w:val="nil"/>
              <w:left w:val="nil"/>
              <w:bottom w:val="nil"/>
              <w:right w:val="single" w:sz="4" w:space="0" w:color="FFFFFF" w:themeColor="background1"/>
            </w:tcBorders>
            <w:shd w:val="clear" w:color="000000" w:fill="C7E4F3"/>
            <w:vAlign w:val="center"/>
            <w:hideMark/>
          </w:tcPr>
          <w:p w14:paraId="17118863" w14:textId="77777777" w:rsidR="00C2728A" w:rsidRPr="00DD004E" w:rsidRDefault="00C2728A" w:rsidP="00011EAE">
            <w:pPr>
              <w:spacing w:before="40" w:after="40"/>
              <w:ind w:right="510"/>
              <w:jc w:val="right"/>
              <w:rPr>
                <w:rFonts w:eastAsia="Times New Roman" w:cs="Arial"/>
                <w:color w:val="000000"/>
                <w:sz w:val="18"/>
                <w:szCs w:val="18"/>
                <w:lang w:eastAsia="en-AU"/>
              </w:rPr>
            </w:pPr>
            <w:r w:rsidRPr="00DD004E">
              <w:rPr>
                <w:rFonts w:eastAsia="Times New Roman" w:cs="Arial"/>
                <w:color w:val="000000"/>
                <w:sz w:val="18"/>
                <w:szCs w:val="18"/>
                <w:lang w:eastAsia="en-AU"/>
              </w:rPr>
              <w:t>419</w:t>
            </w:r>
          </w:p>
        </w:tc>
        <w:tc>
          <w:tcPr>
            <w:tcW w:w="1418" w:type="dxa"/>
            <w:tcBorders>
              <w:top w:val="nil"/>
              <w:left w:val="single" w:sz="4" w:space="0" w:color="FFFFFF" w:themeColor="background1"/>
              <w:bottom w:val="nil"/>
              <w:right w:val="nil"/>
            </w:tcBorders>
            <w:shd w:val="clear" w:color="000000" w:fill="C7E4F3"/>
            <w:vAlign w:val="center"/>
            <w:hideMark/>
          </w:tcPr>
          <w:p w14:paraId="16A9FEC8" w14:textId="77777777" w:rsidR="00C2728A" w:rsidRPr="00DD004E" w:rsidRDefault="00C2728A" w:rsidP="00011EAE">
            <w:pPr>
              <w:spacing w:before="40" w:after="40"/>
              <w:ind w:right="454"/>
              <w:jc w:val="right"/>
              <w:rPr>
                <w:rFonts w:eastAsia="Times New Roman" w:cs="Arial"/>
                <w:color w:val="000000"/>
                <w:sz w:val="18"/>
                <w:szCs w:val="18"/>
                <w:lang w:eastAsia="en-AU"/>
              </w:rPr>
            </w:pPr>
            <w:r>
              <w:rPr>
                <w:rFonts w:eastAsia="Times New Roman" w:cs="Arial"/>
                <w:color w:val="000000"/>
                <w:sz w:val="18"/>
                <w:szCs w:val="18"/>
                <w:lang w:eastAsia="en-AU"/>
              </w:rPr>
              <w:t>255</w:t>
            </w:r>
          </w:p>
        </w:tc>
        <w:tc>
          <w:tcPr>
            <w:tcW w:w="1093" w:type="dxa"/>
            <w:tcBorders>
              <w:top w:val="nil"/>
              <w:left w:val="nil"/>
              <w:bottom w:val="nil"/>
              <w:right w:val="nil"/>
            </w:tcBorders>
            <w:shd w:val="clear" w:color="000000" w:fill="C7E4F3"/>
            <w:vAlign w:val="center"/>
            <w:hideMark/>
          </w:tcPr>
          <w:p w14:paraId="129FF6B5" w14:textId="77777777" w:rsidR="00C2728A" w:rsidRPr="00DD004E" w:rsidRDefault="00C2728A" w:rsidP="00011EAE">
            <w:pPr>
              <w:spacing w:before="40" w:after="40"/>
              <w:ind w:right="283"/>
              <w:jc w:val="right"/>
              <w:rPr>
                <w:rFonts w:eastAsia="Times New Roman" w:cs="Arial"/>
                <w:color w:val="000000"/>
                <w:sz w:val="18"/>
                <w:szCs w:val="18"/>
                <w:lang w:eastAsia="en-AU"/>
              </w:rPr>
            </w:pPr>
            <w:r>
              <w:rPr>
                <w:rFonts w:eastAsia="Times New Roman" w:cs="Arial"/>
                <w:color w:val="000000"/>
                <w:sz w:val="18"/>
                <w:szCs w:val="18"/>
                <w:lang w:eastAsia="en-AU"/>
              </w:rPr>
              <w:t>191</w:t>
            </w:r>
          </w:p>
        </w:tc>
        <w:tc>
          <w:tcPr>
            <w:tcW w:w="1123" w:type="dxa"/>
            <w:gridSpan w:val="3"/>
            <w:tcBorders>
              <w:top w:val="nil"/>
              <w:left w:val="nil"/>
              <w:bottom w:val="nil"/>
              <w:right w:val="single" w:sz="4" w:space="0" w:color="FFFFFF" w:themeColor="background1"/>
            </w:tcBorders>
            <w:shd w:val="clear" w:color="000000" w:fill="C7E4F3"/>
            <w:vAlign w:val="center"/>
            <w:hideMark/>
          </w:tcPr>
          <w:p w14:paraId="1DC82C23" w14:textId="77777777" w:rsidR="00C2728A" w:rsidRPr="00DD004E" w:rsidRDefault="00C2728A" w:rsidP="00011EAE">
            <w:pPr>
              <w:spacing w:before="40" w:after="40"/>
              <w:ind w:right="227"/>
              <w:jc w:val="right"/>
              <w:rPr>
                <w:rFonts w:eastAsia="Times New Roman" w:cs="Arial"/>
                <w:color w:val="000000"/>
                <w:sz w:val="18"/>
                <w:szCs w:val="18"/>
                <w:lang w:eastAsia="en-AU"/>
              </w:rPr>
            </w:pPr>
            <w:r>
              <w:rPr>
                <w:rFonts w:eastAsia="Times New Roman" w:cs="Arial"/>
                <w:color w:val="000000"/>
                <w:sz w:val="18"/>
                <w:szCs w:val="18"/>
                <w:lang w:eastAsia="en-AU"/>
              </w:rPr>
              <w:t>446</w:t>
            </w:r>
          </w:p>
        </w:tc>
        <w:tc>
          <w:tcPr>
            <w:tcW w:w="1099" w:type="dxa"/>
            <w:gridSpan w:val="2"/>
            <w:tcBorders>
              <w:top w:val="nil"/>
              <w:left w:val="single" w:sz="4" w:space="0" w:color="FFFFFF" w:themeColor="background1"/>
              <w:bottom w:val="nil"/>
              <w:right w:val="nil"/>
            </w:tcBorders>
            <w:shd w:val="clear" w:color="000000" w:fill="C7E4F3"/>
            <w:vAlign w:val="center"/>
            <w:hideMark/>
          </w:tcPr>
          <w:p w14:paraId="2351FEE7" w14:textId="77777777" w:rsidR="00C2728A" w:rsidRPr="00DD004E" w:rsidRDefault="00C2728A" w:rsidP="00011EAE">
            <w:pPr>
              <w:spacing w:before="40" w:after="40"/>
              <w:ind w:right="227"/>
              <w:jc w:val="right"/>
              <w:rPr>
                <w:rFonts w:eastAsia="Times New Roman" w:cs="Arial"/>
                <w:color w:val="000000"/>
                <w:sz w:val="18"/>
                <w:szCs w:val="18"/>
                <w:lang w:eastAsia="en-AU"/>
              </w:rPr>
            </w:pPr>
            <w:r>
              <w:rPr>
                <w:rFonts w:eastAsia="Times New Roman" w:cs="Arial"/>
                <w:color w:val="000000"/>
                <w:sz w:val="18"/>
                <w:szCs w:val="18"/>
                <w:lang w:eastAsia="en-AU"/>
              </w:rPr>
              <w:t>865</w:t>
            </w:r>
          </w:p>
        </w:tc>
      </w:tr>
      <w:tr w:rsidR="00C2728A" w:rsidRPr="00DD004E" w14:paraId="3C801628" w14:textId="77777777" w:rsidTr="00C2728A">
        <w:trPr>
          <w:trHeight w:val="340"/>
        </w:trPr>
        <w:tc>
          <w:tcPr>
            <w:tcW w:w="2517" w:type="dxa"/>
            <w:tcBorders>
              <w:top w:val="nil"/>
              <w:left w:val="nil"/>
              <w:bottom w:val="nil"/>
              <w:right w:val="nil"/>
            </w:tcBorders>
            <w:shd w:val="clear" w:color="auto" w:fill="auto"/>
            <w:vAlign w:val="center"/>
            <w:hideMark/>
          </w:tcPr>
          <w:p w14:paraId="48E7FBF7" w14:textId="77777777" w:rsidR="00C2728A" w:rsidRPr="00DD004E" w:rsidRDefault="00C2728A" w:rsidP="00011EAE">
            <w:pPr>
              <w:spacing w:before="40" w:after="40"/>
              <w:ind w:left="113"/>
              <w:rPr>
                <w:rFonts w:eastAsia="Times New Roman" w:cs="Arial"/>
                <w:color w:val="000000"/>
                <w:sz w:val="18"/>
                <w:szCs w:val="18"/>
                <w:lang w:eastAsia="en-AU"/>
              </w:rPr>
            </w:pPr>
            <w:r w:rsidRPr="00DD004E">
              <w:rPr>
                <w:rFonts w:eastAsia="Times New Roman" w:cs="Arial"/>
                <w:color w:val="000000"/>
                <w:sz w:val="18"/>
                <w:szCs w:val="18"/>
                <w:lang w:eastAsia="en-AU"/>
              </w:rPr>
              <w:t>Victoria</w:t>
            </w:r>
          </w:p>
        </w:tc>
        <w:tc>
          <w:tcPr>
            <w:tcW w:w="1633" w:type="dxa"/>
            <w:tcBorders>
              <w:top w:val="nil"/>
              <w:left w:val="nil"/>
              <w:bottom w:val="nil"/>
              <w:right w:val="single" w:sz="4" w:space="0" w:color="FFFFFF" w:themeColor="background1"/>
            </w:tcBorders>
            <w:shd w:val="clear" w:color="auto" w:fill="auto"/>
            <w:vAlign w:val="center"/>
            <w:hideMark/>
          </w:tcPr>
          <w:p w14:paraId="06BA07C7" w14:textId="77777777" w:rsidR="00C2728A" w:rsidRPr="00DD004E" w:rsidRDefault="00C2728A" w:rsidP="00011EAE">
            <w:pPr>
              <w:spacing w:before="40" w:after="40"/>
              <w:ind w:right="510"/>
              <w:jc w:val="right"/>
              <w:rPr>
                <w:rFonts w:eastAsia="Times New Roman" w:cs="Arial"/>
                <w:color w:val="000000"/>
                <w:sz w:val="18"/>
                <w:szCs w:val="18"/>
                <w:lang w:eastAsia="en-AU"/>
              </w:rPr>
            </w:pPr>
            <w:r w:rsidRPr="00DD004E">
              <w:rPr>
                <w:rFonts w:eastAsia="Times New Roman" w:cs="Arial"/>
                <w:color w:val="000000"/>
                <w:sz w:val="18"/>
                <w:szCs w:val="18"/>
                <w:lang w:eastAsia="en-AU"/>
              </w:rPr>
              <w:t>399</w:t>
            </w:r>
          </w:p>
        </w:tc>
        <w:tc>
          <w:tcPr>
            <w:tcW w:w="1418" w:type="dxa"/>
            <w:tcBorders>
              <w:top w:val="nil"/>
              <w:left w:val="single" w:sz="4" w:space="0" w:color="FFFFFF" w:themeColor="background1"/>
              <w:bottom w:val="nil"/>
              <w:right w:val="nil"/>
            </w:tcBorders>
            <w:shd w:val="clear" w:color="auto" w:fill="auto"/>
            <w:vAlign w:val="center"/>
            <w:hideMark/>
          </w:tcPr>
          <w:p w14:paraId="29C916FD" w14:textId="77777777" w:rsidR="00C2728A" w:rsidRPr="00DD004E" w:rsidRDefault="00C2728A" w:rsidP="00011EAE">
            <w:pPr>
              <w:spacing w:before="40" w:after="40"/>
              <w:ind w:right="454"/>
              <w:jc w:val="right"/>
              <w:rPr>
                <w:rFonts w:eastAsia="Times New Roman" w:cs="Arial"/>
                <w:color w:val="000000"/>
                <w:sz w:val="18"/>
                <w:szCs w:val="18"/>
                <w:lang w:eastAsia="en-AU"/>
              </w:rPr>
            </w:pPr>
            <w:r w:rsidRPr="00DD004E">
              <w:rPr>
                <w:rFonts w:eastAsia="Times New Roman" w:cs="Arial"/>
                <w:color w:val="000000"/>
                <w:sz w:val="18"/>
                <w:szCs w:val="18"/>
                <w:lang w:eastAsia="en-AU"/>
              </w:rPr>
              <w:t>369</w:t>
            </w:r>
          </w:p>
        </w:tc>
        <w:tc>
          <w:tcPr>
            <w:tcW w:w="1093" w:type="dxa"/>
            <w:tcBorders>
              <w:top w:val="nil"/>
              <w:left w:val="nil"/>
              <w:bottom w:val="nil"/>
              <w:right w:val="nil"/>
            </w:tcBorders>
            <w:shd w:val="clear" w:color="auto" w:fill="auto"/>
            <w:vAlign w:val="center"/>
            <w:hideMark/>
          </w:tcPr>
          <w:p w14:paraId="2283BC82" w14:textId="77777777" w:rsidR="00C2728A" w:rsidRPr="00DD004E" w:rsidRDefault="00C2728A" w:rsidP="00011EAE">
            <w:pPr>
              <w:spacing w:before="40" w:after="40"/>
              <w:ind w:right="283"/>
              <w:jc w:val="right"/>
              <w:rPr>
                <w:rFonts w:eastAsia="Times New Roman" w:cs="Arial"/>
                <w:color w:val="000000"/>
                <w:sz w:val="18"/>
                <w:szCs w:val="18"/>
                <w:lang w:eastAsia="en-AU"/>
              </w:rPr>
            </w:pPr>
            <w:r w:rsidRPr="00DD004E">
              <w:rPr>
                <w:rFonts w:eastAsia="Times New Roman" w:cs="Arial"/>
                <w:color w:val="000000"/>
                <w:sz w:val="18"/>
                <w:szCs w:val="18"/>
                <w:lang w:eastAsia="en-AU"/>
              </w:rPr>
              <w:t>37</w:t>
            </w:r>
          </w:p>
        </w:tc>
        <w:tc>
          <w:tcPr>
            <w:tcW w:w="1123" w:type="dxa"/>
            <w:gridSpan w:val="3"/>
            <w:tcBorders>
              <w:top w:val="nil"/>
              <w:left w:val="nil"/>
              <w:bottom w:val="nil"/>
              <w:right w:val="single" w:sz="4" w:space="0" w:color="FFFFFF" w:themeColor="background1"/>
            </w:tcBorders>
            <w:shd w:val="clear" w:color="auto" w:fill="auto"/>
            <w:vAlign w:val="center"/>
            <w:hideMark/>
          </w:tcPr>
          <w:p w14:paraId="32E37D7A" w14:textId="77777777" w:rsidR="00C2728A" w:rsidRPr="00DD004E" w:rsidRDefault="00C2728A" w:rsidP="00011EAE">
            <w:pPr>
              <w:spacing w:before="40" w:after="40"/>
              <w:ind w:right="227"/>
              <w:jc w:val="right"/>
              <w:rPr>
                <w:rFonts w:eastAsia="Times New Roman" w:cs="Arial"/>
                <w:color w:val="000000"/>
                <w:sz w:val="18"/>
                <w:szCs w:val="18"/>
                <w:lang w:eastAsia="en-AU"/>
              </w:rPr>
            </w:pPr>
            <w:r w:rsidRPr="00DD004E">
              <w:rPr>
                <w:rFonts w:eastAsia="Times New Roman" w:cs="Arial"/>
                <w:color w:val="000000"/>
                <w:sz w:val="18"/>
                <w:szCs w:val="18"/>
                <w:lang w:eastAsia="en-AU"/>
              </w:rPr>
              <w:t>406</w:t>
            </w:r>
          </w:p>
        </w:tc>
        <w:tc>
          <w:tcPr>
            <w:tcW w:w="1099" w:type="dxa"/>
            <w:gridSpan w:val="2"/>
            <w:tcBorders>
              <w:top w:val="nil"/>
              <w:left w:val="single" w:sz="4" w:space="0" w:color="FFFFFF" w:themeColor="background1"/>
              <w:bottom w:val="nil"/>
              <w:right w:val="nil"/>
            </w:tcBorders>
            <w:shd w:val="clear" w:color="auto" w:fill="auto"/>
            <w:vAlign w:val="center"/>
            <w:hideMark/>
          </w:tcPr>
          <w:p w14:paraId="5C517847" w14:textId="77777777" w:rsidR="00C2728A" w:rsidRPr="00DD004E" w:rsidRDefault="00C2728A" w:rsidP="00011EAE">
            <w:pPr>
              <w:spacing w:before="40" w:after="40"/>
              <w:ind w:right="227"/>
              <w:jc w:val="right"/>
              <w:rPr>
                <w:rFonts w:eastAsia="Times New Roman" w:cs="Arial"/>
                <w:color w:val="000000"/>
                <w:sz w:val="18"/>
                <w:szCs w:val="18"/>
                <w:lang w:eastAsia="en-AU"/>
              </w:rPr>
            </w:pPr>
            <w:r w:rsidRPr="00DD004E">
              <w:rPr>
                <w:rFonts w:eastAsia="Times New Roman" w:cs="Arial"/>
                <w:color w:val="000000"/>
                <w:sz w:val="18"/>
                <w:szCs w:val="18"/>
                <w:lang w:eastAsia="en-AU"/>
              </w:rPr>
              <w:t>805</w:t>
            </w:r>
          </w:p>
        </w:tc>
      </w:tr>
      <w:tr w:rsidR="00C2728A" w:rsidRPr="00DD004E" w14:paraId="278F8C07" w14:textId="77777777" w:rsidTr="00C2728A">
        <w:trPr>
          <w:trHeight w:val="340"/>
        </w:trPr>
        <w:tc>
          <w:tcPr>
            <w:tcW w:w="2517" w:type="dxa"/>
            <w:tcBorders>
              <w:top w:val="nil"/>
              <w:left w:val="nil"/>
              <w:bottom w:val="nil"/>
              <w:right w:val="nil"/>
            </w:tcBorders>
            <w:shd w:val="clear" w:color="000000" w:fill="C7E4F3"/>
            <w:vAlign w:val="center"/>
            <w:hideMark/>
          </w:tcPr>
          <w:p w14:paraId="18DED89F" w14:textId="77777777" w:rsidR="00C2728A" w:rsidRPr="00DD004E" w:rsidRDefault="00C2728A" w:rsidP="00011EAE">
            <w:pPr>
              <w:spacing w:before="40" w:after="40"/>
              <w:ind w:left="113"/>
              <w:rPr>
                <w:rFonts w:eastAsia="Times New Roman" w:cs="Arial"/>
                <w:color w:val="000000"/>
                <w:sz w:val="18"/>
                <w:szCs w:val="18"/>
                <w:lang w:eastAsia="en-AU"/>
              </w:rPr>
            </w:pPr>
            <w:r w:rsidRPr="00DD004E">
              <w:rPr>
                <w:rFonts w:eastAsia="Times New Roman" w:cs="Arial"/>
                <w:color w:val="000000"/>
                <w:sz w:val="18"/>
                <w:szCs w:val="18"/>
                <w:lang w:eastAsia="en-AU"/>
              </w:rPr>
              <w:t>Queensland</w:t>
            </w:r>
          </w:p>
        </w:tc>
        <w:tc>
          <w:tcPr>
            <w:tcW w:w="1633" w:type="dxa"/>
            <w:tcBorders>
              <w:top w:val="nil"/>
              <w:left w:val="nil"/>
              <w:bottom w:val="nil"/>
              <w:right w:val="single" w:sz="4" w:space="0" w:color="FFFFFF" w:themeColor="background1"/>
            </w:tcBorders>
            <w:shd w:val="clear" w:color="000000" w:fill="C7E4F3"/>
            <w:vAlign w:val="center"/>
            <w:hideMark/>
          </w:tcPr>
          <w:p w14:paraId="3829084E" w14:textId="77777777" w:rsidR="00C2728A" w:rsidRPr="00DD004E" w:rsidRDefault="00C2728A" w:rsidP="00011EAE">
            <w:pPr>
              <w:spacing w:before="40" w:after="40"/>
              <w:ind w:right="510"/>
              <w:jc w:val="right"/>
              <w:rPr>
                <w:rFonts w:eastAsia="Times New Roman" w:cs="Arial"/>
                <w:color w:val="000000"/>
                <w:sz w:val="18"/>
                <w:szCs w:val="18"/>
                <w:lang w:eastAsia="en-AU"/>
              </w:rPr>
            </w:pPr>
            <w:r w:rsidRPr="00DD004E">
              <w:rPr>
                <w:rFonts w:eastAsia="Times New Roman" w:cs="Arial"/>
                <w:color w:val="000000"/>
                <w:sz w:val="18"/>
                <w:szCs w:val="18"/>
                <w:lang w:eastAsia="en-AU"/>
              </w:rPr>
              <w:t>439</w:t>
            </w:r>
          </w:p>
        </w:tc>
        <w:tc>
          <w:tcPr>
            <w:tcW w:w="1418" w:type="dxa"/>
            <w:tcBorders>
              <w:top w:val="nil"/>
              <w:left w:val="single" w:sz="4" w:space="0" w:color="FFFFFF" w:themeColor="background1"/>
              <w:bottom w:val="nil"/>
              <w:right w:val="nil"/>
            </w:tcBorders>
            <w:shd w:val="clear" w:color="000000" w:fill="C7E4F3"/>
            <w:vAlign w:val="center"/>
            <w:hideMark/>
          </w:tcPr>
          <w:p w14:paraId="19306930" w14:textId="77777777" w:rsidR="00C2728A" w:rsidRPr="00DD004E" w:rsidRDefault="00C2728A" w:rsidP="00011EAE">
            <w:pPr>
              <w:spacing w:before="40" w:after="40"/>
              <w:ind w:right="454"/>
              <w:jc w:val="right"/>
              <w:rPr>
                <w:rFonts w:eastAsia="Times New Roman" w:cs="Arial"/>
                <w:color w:val="000000"/>
                <w:sz w:val="18"/>
                <w:szCs w:val="18"/>
                <w:lang w:eastAsia="en-AU"/>
              </w:rPr>
            </w:pPr>
            <w:r w:rsidRPr="00DD004E">
              <w:rPr>
                <w:rFonts w:eastAsia="Times New Roman" w:cs="Arial"/>
                <w:color w:val="000000"/>
                <w:sz w:val="18"/>
                <w:szCs w:val="18"/>
                <w:lang w:eastAsia="en-AU"/>
              </w:rPr>
              <w:t>339</w:t>
            </w:r>
          </w:p>
        </w:tc>
        <w:tc>
          <w:tcPr>
            <w:tcW w:w="1093" w:type="dxa"/>
            <w:tcBorders>
              <w:top w:val="nil"/>
              <w:left w:val="nil"/>
              <w:bottom w:val="nil"/>
              <w:right w:val="nil"/>
            </w:tcBorders>
            <w:shd w:val="clear" w:color="000000" w:fill="C7E4F3"/>
            <w:vAlign w:val="center"/>
            <w:hideMark/>
          </w:tcPr>
          <w:p w14:paraId="71400989" w14:textId="77777777" w:rsidR="00C2728A" w:rsidRPr="00DD004E" w:rsidRDefault="00C2728A" w:rsidP="00011EAE">
            <w:pPr>
              <w:spacing w:before="40" w:after="40"/>
              <w:ind w:right="283"/>
              <w:jc w:val="right"/>
              <w:rPr>
                <w:rFonts w:eastAsia="Times New Roman" w:cs="Arial"/>
                <w:color w:val="000000"/>
                <w:sz w:val="18"/>
                <w:szCs w:val="18"/>
                <w:lang w:eastAsia="en-AU"/>
              </w:rPr>
            </w:pPr>
            <w:r w:rsidRPr="00DD004E">
              <w:rPr>
                <w:rFonts w:eastAsia="Times New Roman" w:cs="Arial"/>
                <w:color w:val="000000"/>
                <w:sz w:val="18"/>
                <w:szCs w:val="18"/>
                <w:lang w:eastAsia="en-AU"/>
              </w:rPr>
              <w:t>31</w:t>
            </w:r>
          </w:p>
        </w:tc>
        <w:tc>
          <w:tcPr>
            <w:tcW w:w="1123" w:type="dxa"/>
            <w:gridSpan w:val="3"/>
            <w:tcBorders>
              <w:top w:val="nil"/>
              <w:left w:val="nil"/>
              <w:bottom w:val="nil"/>
              <w:right w:val="single" w:sz="4" w:space="0" w:color="FFFFFF" w:themeColor="background1"/>
            </w:tcBorders>
            <w:shd w:val="clear" w:color="000000" w:fill="C7E4F3"/>
            <w:vAlign w:val="center"/>
            <w:hideMark/>
          </w:tcPr>
          <w:p w14:paraId="40BAC854" w14:textId="77777777" w:rsidR="00C2728A" w:rsidRPr="00DD004E" w:rsidRDefault="00C2728A" w:rsidP="00011EAE">
            <w:pPr>
              <w:spacing w:before="40" w:after="40"/>
              <w:ind w:right="227"/>
              <w:jc w:val="right"/>
              <w:rPr>
                <w:rFonts w:eastAsia="Times New Roman" w:cs="Arial"/>
                <w:color w:val="000000"/>
                <w:sz w:val="18"/>
                <w:szCs w:val="18"/>
                <w:lang w:eastAsia="en-AU"/>
              </w:rPr>
            </w:pPr>
            <w:r w:rsidRPr="00DD004E">
              <w:rPr>
                <w:rFonts w:eastAsia="Times New Roman" w:cs="Arial"/>
                <w:color w:val="000000"/>
                <w:sz w:val="18"/>
                <w:szCs w:val="18"/>
                <w:lang w:eastAsia="en-AU"/>
              </w:rPr>
              <w:t>370</w:t>
            </w:r>
          </w:p>
        </w:tc>
        <w:tc>
          <w:tcPr>
            <w:tcW w:w="1099" w:type="dxa"/>
            <w:gridSpan w:val="2"/>
            <w:tcBorders>
              <w:top w:val="nil"/>
              <w:left w:val="single" w:sz="4" w:space="0" w:color="FFFFFF" w:themeColor="background1"/>
              <w:bottom w:val="nil"/>
              <w:right w:val="nil"/>
            </w:tcBorders>
            <w:shd w:val="clear" w:color="000000" w:fill="C7E4F3"/>
            <w:vAlign w:val="center"/>
            <w:hideMark/>
          </w:tcPr>
          <w:p w14:paraId="58A40639" w14:textId="77777777" w:rsidR="00C2728A" w:rsidRPr="00DD004E" w:rsidRDefault="00C2728A" w:rsidP="00011EAE">
            <w:pPr>
              <w:spacing w:before="40" w:after="40"/>
              <w:ind w:right="227"/>
              <w:jc w:val="right"/>
              <w:rPr>
                <w:rFonts w:eastAsia="Times New Roman" w:cs="Arial"/>
                <w:color w:val="000000"/>
                <w:sz w:val="18"/>
                <w:szCs w:val="18"/>
                <w:lang w:eastAsia="en-AU"/>
              </w:rPr>
            </w:pPr>
            <w:r w:rsidRPr="00DD004E">
              <w:rPr>
                <w:rFonts w:eastAsia="Times New Roman" w:cs="Arial"/>
                <w:color w:val="000000"/>
                <w:sz w:val="18"/>
                <w:szCs w:val="18"/>
                <w:lang w:eastAsia="en-AU"/>
              </w:rPr>
              <w:t>809</w:t>
            </w:r>
          </w:p>
        </w:tc>
      </w:tr>
      <w:tr w:rsidR="00C2728A" w:rsidRPr="00DD004E" w14:paraId="1BA22F0C" w14:textId="77777777" w:rsidTr="00C2728A">
        <w:trPr>
          <w:trHeight w:val="340"/>
        </w:trPr>
        <w:tc>
          <w:tcPr>
            <w:tcW w:w="2517" w:type="dxa"/>
            <w:tcBorders>
              <w:top w:val="nil"/>
              <w:left w:val="nil"/>
              <w:bottom w:val="nil"/>
              <w:right w:val="nil"/>
            </w:tcBorders>
            <w:shd w:val="clear" w:color="auto" w:fill="auto"/>
            <w:vAlign w:val="center"/>
            <w:hideMark/>
          </w:tcPr>
          <w:p w14:paraId="48FBC1C8" w14:textId="77777777" w:rsidR="00C2728A" w:rsidRPr="00DD004E" w:rsidRDefault="00C2728A" w:rsidP="00011EAE">
            <w:pPr>
              <w:spacing w:before="40" w:after="40"/>
              <w:ind w:left="113"/>
              <w:rPr>
                <w:rFonts w:eastAsia="Times New Roman" w:cs="Arial"/>
                <w:color w:val="000000"/>
                <w:sz w:val="18"/>
                <w:szCs w:val="18"/>
                <w:lang w:eastAsia="en-AU"/>
              </w:rPr>
            </w:pPr>
            <w:r w:rsidRPr="00DD004E">
              <w:rPr>
                <w:rFonts w:eastAsia="Times New Roman" w:cs="Arial"/>
                <w:color w:val="000000"/>
                <w:sz w:val="18"/>
                <w:szCs w:val="18"/>
                <w:lang w:eastAsia="en-AU"/>
              </w:rPr>
              <w:t>Australian Capital Territory</w:t>
            </w:r>
          </w:p>
        </w:tc>
        <w:tc>
          <w:tcPr>
            <w:tcW w:w="1633" w:type="dxa"/>
            <w:tcBorders>
              <w:top w:val="nil"/>
              <w:left w:val="nil"/>
              <w:bottom w:val="nil"/>
              <w:right w:val="single" w:sz="4" w:space="0" w:color="FFFFFF" w:themeColor="background1"/>
            </w:tcBorders>
            <w:shd w:val="clear" w:color="auto" w:fill="auto"/>
            <w:vAlign w:val="center"/>
            <w:hideMark/>
          </w:tcPr>
          <w:p w14:paraId="7D45FC4E" w14:textId="77777777" w:rsidR="00C2728A" w:rsidRPr="00DD004E" w:rsidRDefault="00C2728A" w:rsidP="00011EAE">
            <w:pPr>
              <w:spacing w:before="40" w:after="40"/>
              <w:ind w:right="510"/>
              <w:jc w:val="right"/>
              <w:rPr>
                <w:rFonts w:eastAsia="Times New Roman" w:cs="Arial"/>
                <w:color w:val="000000"/>
                <w:sz w:val="18"/>
                <w:szCs w:val="18"/>
                <w:lang w:eastAsia="en-AU"/>
              </w:rPr>
            </w:pPr>
            <w:r w:rsidRPr="00DD004E">
              <w:rPr>
                <w:rFonts w:eastAsia="Times New Roman" w:cs="Arial"/>
                <w:color w:val="000000"/>
                <w:sz w:val="18"/>
                <w:szCs w:val="18"/>
                <w:lang w:eastAsia="en-AU"/>
              </w:rPr>
              <w:t>39</w:t>
            </w:r>
          </w:p>
        </w:tc>
        <w:tc>
          <w:tcPr>
            <w:tcW w:w="1418" w:type="dxa"/>
            <w:tcBorders>
              <w:top w:val="nil"/>
              <w:left w:val="single" w:sz="4" w:space="0" w:color="FFFFFF" w:themeColor="background1"/>
              <w:bottom w:val="nil"/>
              <w:right w:val="nil"/>
            </w:tcBorders>
            <w:shd w:val="clear" w:color="auto" w:fill="auto"/>
            <w:vAlign w:val="center"/>
            <w:hideMark/>
          </w:tcPr>
          <w:p w14:paraId="00ED36B3" w14:textId="77777777" w:rsidR="00C2728A" w:rsidRPr="00DD004E" w:rsidRDefault="00C2728A" w:rsidP="00011EAE">
            <w:pPr>
              <w:spacing w:before="40" w:after="40"/>
              <w:ind w:right="454"/>
              <w:jc w:val="right"/>
              <w:rPr>
                <w:rFonts w:eastAsia="Times New Roman" w:cs="Arial"/>
                <w:color w:val="000000"/>
                <w:sz w:val="18"/>
                <w:szCs w:val="18"/>
                <w:lang w:eastAsia="en-AU"/>
              </w:rPr>
            </w:pPr>
            <w:r w:rsidRPr="00DD004E">
              <w:rPr>
                <w:rFonts w:eastAsia="Times New Roman" w:cs="Arial"/>
                <w:color w:val="000000"/>
                <w:sz w:val="18"/>
                <w:szCs w:val="18"/>
                <w:lang w:eastAsia="en-AU"/>
              </w:rPr>
              <w:t>96</w:t>
            </w:r>
          </w:p>
        </w:tc>
        <w:tc>
          <w:tcPr>
            <w:tcW w:w="1093" w:type="dxa"/>
            <w:tcBorders>
              <w:top w:val="nil"/>
              <w:left w:val="nil"/>
              <w:bottom w:val="nil"/>
              <w:right w:val="nil"/>
            </w:tcBorders>
            <w:shd w:val="clear" w:color="auto" w:fill="auto"/>
            <w:vAlign w:val="center"/>
            <w:hideMark/>
          </w:tcPr>
          <w:p w14:paraId="275815F8" w14:textId="77777777" w:rsidR="00C2728A" w:rsidRPr="00DD004E" w:rsidRDefault="00C2728A" w:rsidP="00011EAE">
            <w:pPr>
              <w:spacing w:before="40" w:after="40"/>
              <w:ind w:right="283"/>
              <w:jc w:val="right"/>
              <w:rPr>
                <w:rFonts w:eastAsia="Times New Roman" w:cs="Arial"/>
                <w:color w:val="000000"/>
                <w:sz w:val="18"/>
                <w:szCs w:val="18"/>
                <w:lang w:eastAsia="en-AU"/>
              </w:rPr>
            </w:pPr>
            <w:r w:rsidRPr="00DD004E">
              <w:rPr>
                <w:rFonts w:eastAsia="Times New Roman" w:cs="Arial"/>
                <w:color w:val="000000"/>
                <w:sz w:val="18"/>
                <w:szCs w:val="18"/>
                <w:lang w:eastAsia="en-AU"/>
              </w:rPr>
              <w:t>15</w:t>
            </w:r>
          </w:p>
        </w:tc>
        <w:tc>
          <w:tcPr>
            <w:tcW w:w="1123" w:type="dxa"/>
            <w:gridSpan w:val="3"/>
            <w:tcBorders>
              <w:top w:val="nil"/>
              <w:left w:val="nil"/>
              <w:bottom w:val="nil"/>
              <w:right w:val="single" w:sz="4" w:space="0" w:color="FFFFFF" w:themeColor="background1"/>
            </w:tcBorders>
            <w:shd w:val="clear" w:color="auto" w:fill="auto"/>
            <w:vAlign w:val="center"/>
            <w:hideMark/>
          </w:tcPr>
          <w:p w14:paraId="794F939F" w14:textId="77777777" w:rsidR="00C2728A" w:rsidRPr="00DD004E" w:rsidRDefault="00C2728A" w:rsidP="00011EAE">
            <w:pPr>
              <w:spacing w:before="40" w:after="40"/>
              <w:ind w:right="227"/>
              <w:jc w:val="right"/>
              <w:rPr>
                <w:rFonts w:eastAsia="Times New Roman" w:cs="Arial"/>
                <w:color w:val="000000"/>
                <w:sz w:val="18"/>
                <w:szCs w:val="18"/>
                <w:lang w:eastAsia="en-AU"/>
              </w:rPr>
            </w:pPr>
            <w:r w:rsidRPr="00DD004E">
              <w:rPr>
                <w:rFonts w:eastAsia="Times New Roman" w:cs="Arial"/>
                <w:color w:val="000000"/>
                <w:sz w:val="18"/>
                <w:szCs w:val="18"/>
                <w:lang w:eastAsia="en-AU"/>
              </w:rPr>
              <w:t>111</w:t>
            </w:r>
          </w:p>
        </w:tc>
        <w:tc>
          <w:tcPr>
            <w:tcW w:w="1099" w:type="dxa"/>
            <w:gridSpan w:val="2"/>
            <w:tcBorders>
              <w:top w:val="nil"/>
              <w:left w:val="single" w:sz="4" w:space="0" w:color="FFFFFF" w:themeColor="background1"/>
              <w:bottom w:val="nil"/>
              <w:right w:val="nil"/>
            </w:tcBorders>
            <w:shd w:val="clear" w:color="auto" w:fill="auto"/>
            <w:vAlign w:val="center"/>
            <w:hideMark/>
          </w:tcPr>
          <w:p w14:paraId="7CDF3FDE" w14:textId="77777777" w:rsidR="00C2728A" w:rsidRPr="00DD004E" w:rsidRDefault="00C2728A" w:rsidP="00011EAE">
            <w:pPr>
              <w:spacing w:before="40" w:after="40"/>
              <w:ind w:right="227"/>
              <w:jc w:val="right"/>
              <w:rPr>
                <w:rFonts w:eastAsia="Times New Roman" w:cs="Arial"/>
                <w:color w:val="000000"/>
                <w:sz w:val="18"/>
                <w:szCs w:val="18"/>
                <w:lang w:eastAsia="en-AU"/>
              </w:rPr>
            </w:pPr>
            <w:r w:rsidRPr="00DD004E">
              <w:rPr>
                <w:rFonts w:eastAsia="Times New Roman" w:cs="Arial"/>
                <w:color w:val="000000"/>
                <w:sz w:val="18"/>
                <w:szCs w:val="18"/>
                <w:lang w:eastAsia="en-AU"/>
              </w:rPr>
              <w:t>150</w:t>
            </w:r>
          </w:p>
        </w:tc>
      </w:tr>
      <w:tr w:rsidR="00C2728A" w:rsidRPr="00DD004E" w14:paraId="207F5110" w14:textId="77777777" w:rsidTr="00C2728A">
        <w:trPr>
          <w:trHeight w:val="340"/>
        </w:trPr>
        <w:tc>
          <w:tcPr>
            <w:tcW w:w="2517" w:type="dxa"/>
            <w:tcBorders>
              <w:top w:val="nil"/>
              <w:left w:val="nil"/>
              <w:bottom w:val="nil"/>
              <w:right w:val="nil"/>
            </w:tcBorders>
            <w:shd w:val="clear" w:color="000000" w:fill="C7E4F3"/>
            <w:vAlign w:val="center"/>
            <w:hideMark/>
          </w:tcPr>
          <w:p w14:paraId="37F39B87" w14:textId="77777777" w:rsidR="00C2728A" w:rsidRPr="00DD004E" w:rsidRDefault="00C2728A" w:rsidP="00011EAE">
            <w:pPr>
              <w:spacing w:before="40" w:after="40"/>
              <w:ind w:left="113"/>
              <w:rPr>
                <w:rFonts w:eastAsia="Times New Roman" w:cs="Arial"/>
                <w:color w:val="000000"/>
                <w:sz w:val="18"/>
                <w:szCs w:val="18"/>
                <w:lang w:eastAsia="en-AU"/>
              </w:rPr>
            </w:pPr>
            <w:r w:rsidRPr="00DD004E">
              <w:rPr>
                <w:rFonts w:eastAsia="Times New Roman" w:cs="Arial"/>
                <w:color w:val="000000"/>
                <w:sz w:val="18"/>
                <w:szCs w:val="18"/>
                <w:lang w:eastAsia="en-AU"/>
              </w:rPr>
              <w:t>Western Australia</w:t>
            </w:r>
          </w:p>
        </w:tc>
        <w:tc>
          <w:tcPr>
            <w:tcW w:w="1633" w:type="dxa"/>
            <w:tcBorders>
              <w:top w:val="nil"/>
              <w:left w:val="nil"/>
              <w:bottom w:val="nil"/>
              <w:right w:val="single" w:sz="4" w:space="0" w:color="FFFFFF" w:themeColor="background1"/>
            </w:tcBorders>
            <w:shd w:val="clear" w:color="000000" w:fill="C7E4F3"/>
            <w:vAlign w:val="center"/>
            <w:hideMark/>
          </w:tcPr>
          <w:p w14:paraId="17A25E6A" w14:textId="77777777" w:rsidR="00C2728A" w:rsidRPr="00DD004E" w:rsidRDefault="00C2728A" w:rsidP="00011EAE">
            <w:pPr>
              <w:spacing w:before="40" w:after="40"/>
              <w:ind w:right="510"/>
              <w:jc w:val="right"/>
              <w:rPr>
                <w:rFonts w:eastAsia="Times New Roman" w:cs="Arial"/>
                <w:color w:val="000000"/>
                <w:sz w:val="18"/>
                <w:szCs w:val="18"/>
                <w:lang w:eastAsia="en-AU"/>
              </w:rPr>
            </w:pPr>
            <w:r w:rsidRPr="00DD004E">
              <w:rPr>
                <w:rFonts w:eastAsia="Times New Roman" w:cs="Arial"/>
                <w:color w:val="000000"/>
                <w:sz w:val="18"/>
                <w:szCs w:val="18"/>
                <w:lang w:eastAsia="en-AU"/>
              </w:rPr>
              <w:t>373</w:t>
            </w:r>
          </w:p>
        </w:tc>
        <w:tc>
          <w:tcPr>
            <w:tcW w:w="1418" w:type="dxa"/>
            <w:tcBorders>
              <w:top w:val="nil"/>
              <w:left w:val="single" w:sz="4" w:space="0" w:color="FFFFFF" w:themeColor="background1"/>
              <w:bottom w:val="nil"/>
              <w:right w:val="nil"/>
            </w:tcBorders>
            <w:shd w:val="clear" w:color="000000" w:fill="C7E4F3"/>
            <w:vAlign w:val="center"/>
            <w:hideMark/>
          </w:tcPr>
          <w:p w14:paraId="4B0CD037" w14:textId="77777777" w:rsidR="00C2728A" w:rsidRPr="00DD004E" w:rsidRDefault="00C2728A" w:rsidP="00011EAE">
            <w:pPr>
              <w:spacing w:before="40" w:after="40"/>
              <w:ind w:right="454"/>
              <w:jc w:val="right"/>
              <w:rPr>
                <w:rFonts w:eastAsia="Times New Roman" w:cs="Arial"/>
                <w:color w:val="000000"/>
                <w:sz w:val="18"/>
                <w:szCs w:val="18"/>
                <w:lang w:eastAsia="en-AU"/>
              </w:rPr>
            </w:pPr>
            <w:r w:rsidRPr="00DD004E">
              <w:rPr>
                <w:rFonts w:eastAsia="Times New Roman" w:cs="Arial"/>
                <w:color w:val="000000"/>
                <w:sz w:val="18"/>
                <w:szCs w:val="18"/>
                <w:lang w:eastAsia="en-AU"/>
              </w:rPr>
              <w:t>125</w:t>
            </w:r>
          </w:p>
        </w:tc>
        <w:tc>
          <w:tcPr>
            <w:tcW w:w="1093" w:type="dxa"/>
            <w:tcBorders>
              <w:top w:val="nil"/>
              <w:left w:val="nil"/>
              <w:bottom w:val="nil"/>
              <w:right w:val="nil"/>
            </w:tcBorders>
            <w:shd w:val="clear" w:color="000000" w:fill="C7E4F3"/>
            <w:vAlign w:val="center"/>
            <w:hideMark/>
          </w:tcPr>
          <w:p w14:paraId="459CA14D" w14:textId="77777777" w:rsidR="00C2728A" w:rsidRPr="00DD004E" w:rsidRDefault="00C2728A" w:rsidP="00011EAE">
            <w:pPr>
              <w:spacing w:before="40" w:after="40"/>
              <w:ind w:right="283"/>
              <w:jc w:val="right"/>
              <w:rPr>
                <w:rFonts w:eastAsia="Times New Roman" w:cs="Arial"/>
                <w:color w:val="000000"/>
                <w:sz w:val="18"/>
                <w:szCs w:val="18"/>
                <w:lang w:eastAsia="en-AU"/>
              </w:rPr>
            </w:pPr>
            <w:r w:rsidRPr="00DD004E">
              <w:rPr>
                <w:rFonts w:eastAsia="Times New Roman" w:cs="Arial"/>
                <w:color w:val="000000"/>
                <w:sz w:val="18"/>
                <w:szCs w:val="18"/>
                <w:lang w:eastAsia="en-AU"/>
              </w:rPr>
              <w:t>15</w:t>
            </w:r>
          </w:p>
        </w:tc>
        <w:tc>
          <w:tcPr>
            <w:tcW w:w="1123" w:type="dxa"/>
            <w:gridSpan w:val="3"/>
            <w:tcBorders>
              <w:top w:val="nil"/>
              <w:left w:val="nil"/>
              <w:bottom w:val="nil"/>
              <w:right w:val="single" w:sz="4" w:space="0" w:color="FFFFFF" w:themeColor="background1"/>
            </w:tcBorders>
            <w:shd w:val="clear" w:color="000000" w:fill="C7E4F3"/>
            <w:vAlign w:val="center"/>
            <w:hideMark/>
          </w:tcPr>
          <w:p w14:paraId="24E4E037" w14:textId="77777777" w:rsidR="00C2728A" w:rsidRPr="00DD004E" w:rsidRDefault="00C2728A" w:rsidP="00011EAE">
            <w:pPr>
              <w:spacing w:before="40" w:after="40"/>
              <w:ind w:right="227"/>
              <w:jc w:val="right"/>
              <w:rPr>
                <w:rFonts w:eastAsia="Times New Roman" w:cs="Arial"/>
                <w:color w:val="000000"/>
                <w:sz w:val="18"/>
                <w:szCs w:val="18"/>
                <w:lang w:eastAsia="en-AU"/>
              </w:rPr>
            </w:pPr>
            <w:r w:rsidRPr="00DD004E">
              <w:rPr>
                <w:rFonts w:eastAsia="Times New Roman" w:cs="Arial"/>
                <w:color w:val="000000"/>
                <w:sz w:val="18"/>
                <w:szCs w:val="18"/>
                <w:lang w:eastAsia="en-AU"/>
              </w:rPr>
              <w:t>140</w:t>
            </w:r>
          </w:p>
        </w:tc>
        <w:tc>
          <w:tcPr>
            <w:tcW w:w="1099" w:type="dxa"/>
            <w:gridSpan w:val="2"/>
            <w:tcBorders>
              <w:top w:val="nil"/>
              <w:left w:val="single" w:sz="4" w:space="0" w:color="FFFFFF" w:themeColor="background1"/>
              <w:bottom w:val="nil"/>
              <w:right w:val="nil"/>
            </w:tcBorders>
            <w:shd w:val="clear" w:color="000000" w:fill="C7E4F3"/>
            <w:vAlign w:val="center"/>
            <w:hideMark/>
          </w:tcPr>
          <w:p w14:paraId="7B7A5E44" w14:textId="77777777" w:rsidR="00C2728A" w:rsidRPr="00DD004E" w:rsidRDefault="00C2728A" w:rsidP="00011EAE">
            <w:pPr>
              <w:spacing w:before="40" w:after="40"/>
              <w:ind w:right="227"/>
              <w:jc w:val="right"/>
              <w:rPr>
                <w:rFonts w:eastAsia="Times New Roman" w:cs="Arial"/>
                <w:color w:val="000000"/>
                <w:sz w:val="18"/>
                <w:szCs w:val="18"/>
                <w:lang w:eastAsia="en-AU"/>
              </w:rPr>
            </w:pPr>
            <w:r w:rsidRPr="00DD004E">
              <w:rPr>
                <w:rFonts w:eastAsia="Times New Roman" w:cs="Arial"/>
                <w:color w:val="000000"/>
                <w:sz w:val="18"/>
                <w:szCs w:val="18"/>
                <w:lang w:eastAsia="en-AU"/>
              </w:rPr>
              <w:t>513</w:t>
            </w:r>
          </w:p>
        </w:tc>
      </w:tr>
      <w:tr w:rsidR="00C2728A" w:rsidRPr="00DD004E" w14:paraId="0884D677" w14:textId="77777777" w:rsidTr="00C2728A">
        <w:trPr>
          <w:trHeight w:val="340"/>
        </w:trPr>
        <w:tc>
          <w:tcPr>
            <w:tcW w:w="2517" w:type="dxa"/>
            <w:tcBorders>
              <w:top w:val="nil"/>
              <w:left w:val="nil"/>
              <w:bottom w:val="nil"/>
              <w:right w:val="nil"/>
            </w:tcBorders>
            <w:shd w:val="clear" w:color="auto" w:fill="auto"/>
            <w:vAlign w:val="center"/>
            <w:hideMark/>
          </w:tcPr>
          <w:p w14:paraId="4F559E1D" w14:textId="77777777" w:rsidR="00C2728A" w:rsidRPr="00DD004E" w:rsidRDefault="00C2728A" w:rsidP="00011EAE">
            <w:pPr>
              <w:spacing w:before="40" w:after="40"/>
              <w:ind w:left="113"/>
              <w:rPr>
                <w:rFonts w:eastAsia="Times New Roman" w:cs="Arial"/>
                <w:color w:val="000000"/>
                <w:sz w:val="18"/>
                <w:szCs w:val="18"/>
                <w:lang w:eastAsia="en-AU"/>
              </w:rPr>
            </w:pPr>
            <w:r w:rsidRPr="00DD004E">
              <w:rPr>
                <w:rFonts w:eastAsia="Times New Roman" w:cs="Arial"/>
                <w:color w:val="000000"/>
                <w:sz w:val="18"/>
                <w:szCs w:val="18"/>
                <w:lang w:eastAsia="en-AU"/>
              </w:rPr>
              <w:t>Tasmania</w:t>
            </w:r>
          </w:p>
        </w:tc>
        <w:tc>
          <w:tcPr>
            <w:tcW w:w="1633" w:type="dxa"/>
            <w:tcBorders>
              <w:top w:val="nil"/>
              <w:left w:val="nil"/>
              <w:bottom w:val="nil"/>
              <w:right w:val="single" w:sz="4" w:space="0" w:color="FFFFFF" w:themeColor="background1"/>
            </w:tcBorders>
            <w:shd w:val="clear" w:color="auto" w:fill="auto"/>
            <w:vAlign w:val="center"/>
            <w:hideMark/>
          </w:tcPr>
          <w:p w14:paraId="229FAD6E" w14:textId="77777777" w:rsidR="00C2728A" w:rsidRPr="00DD004E" w:rsidRDefault="00C2728A" w:rsidP="00011EAE">
            <w:pPr>
              <w:spacing w:before="40" w:after="40"/>
              <w:ind w:right="510"/>
              <w:jc w:val="right"/>
              <w:rPr>
                <w:rFonts w:eastAsia="Times New Roman" w:cs="Arial"/>
                <w:color w:val="000000"/>
                <w:sz w:val="18"/>
                <w:szCs w:val="18"/>
                <w:lang w:eastAsia="en-AU"/>
              </w:rPr>
            </w:pPr>
            <w:r w:rsidRPr="00DD004E">
              <w:rPr>
                <w:rFonts w:eastAsia="Times New Roman" w:cs="Arial"/>
                <w:color w:val="000000"/>
                <w:sz w:val="18"/>
                <w:szCs w:val="18"/>
                <w:lang w:eastAsia="en-AU"/>
              </w:rPr>
              <w:t>123</w:t>
            </w:r>
          </w:p>
        </w:tc>
        <w:tc>
          <w:tcPr>
            <w:tcW w:w="1418" w:type="dxa"/>
            <w:tcBorders>
              <w:top w:val="nil"/>
              <w:left w:val="single" w:sz="4" w:space="0" w:color="FFFFFF" w:themeColor="background1"/>
              <w:bottom w:val="nil"/>
              <w:right w:val="nil"/>
            </w:tcBorders>
            <w:shd w:val="clear" w:color="auto" w:fill="auto"/>
            <w:vAlign w:val="center"/>
            <w:hideMark/>
          </w:tcPr>
          <w:p w14:paraId="62CD2834" w14:textId="77777777" w:rsidR="00C2728A" w:rsidRPr="00DD004E" w:rsidRDefault="00C2728A" w:rsidP="00011EAE">
            <w:pPr>
              <w:spacing w:before="40" w:after="40"/>
              <w:ind w:right="454"/>
              <w:jc w:val="right"/>
              <w:rPr>
                <w:rFonts w:eastAsia="Times New Roman" w:cs="Arial"/>
                <w:color w:val="000000"/>
                <w:sz w:val="18"/>
                <w:szCs w:val="18"/>
                <w:lang w:eastAsia="en-AU"/>
              </w:rPr>
            </w:pPr>
            <w:r w:rsidRPr="00DD004E">
              <w:rPr>
                <w:rFonts w:eastAsia="Times New Roman" w:cs="Arial"/>
                <w:color w:val="000000"/>
                <w:sz w:val="18"/>
                <w:szCs w:val="18"/>
                <w:lang w:eastAsia="en-AU"/>
              </w:rPr>
              <w:t>332</w:t>
            </w:r>
          </w:p>
        </w:tc>
        <w:tc>
          <w:tcPr>
            <w:tcW w:w="1093" w:type="dxa"/>
            <w:tcBorders>
              <w:top w:val="nil"/>
              <w:left w:val="nil"/>
              <w:bottom w:val="nil"/>
              <w:right w:val="nil"/>
            </w:tcBorders>
            <w:shd w:val="clear" w:color="auto" w:fill="auto"/>
            <w:vAlign w:val="center"/>
            <w:hideMark/>
          </w:tcPr>
          <w:p w14:paraId="738C4B86" w14:textId="77777777" w:rsidR="00C2728A" w:rsidRPr="00DD004E" w:rsidRDefault="00C2728A" w:rsidP="00011EAE">
            <w:pPr>
              <w:spacing w:before="40" w:after="40"/>
              <w:ind w:right="283"/>
              <w:jc w:val="right"/>
              <w:rPr>
                <w:rFonts w:eastAsia="Times New Roman" w:cs="Arial"/>
                <w:color w:val="000000"/>
                <w:sz w:val="18"/>
                <w:szCs w:val="18"/>
                <w:lang w:eastAsia="en-AU"/>
              </w:rPr>
            </w:pPr>
            <w:r w:rsidRPr="00DD004E">
              <w:rPr>
                <w:rFonts w:eastAsia="Times New Roman" w:cs="Arial"/>
                <w:color w:val="000000"/>
                <w:sz w:val="18"/>
                <w:szCs w:val="18"/>
                <w:lang w:eastAsia="en-AU"/>
              </w:rPr>
              <w:t>27</w:t>
            </w:r>
          </w:p>
        </w:tc>
        <w:tc>
          <w:tcPr>
            <w:tcW w:w="1123" w:type="dxa"/>
            <w:gridSpan w:val="3"/>
            <w:tcBorders>
              <w:top w:val="nil"/>
              <w:left w:val="nil"/>
              <w:bottom w:val="nil"/>
              <w:right w:val="single" w:sz="4" w:space="0" w:color="FFFFFF" w:themeColor="background1"/>
            </w:tcBorders>
            <w:shd w:val="clear" w:color="auto" w:fill="auto"/>
            <w:vAlign w:val="center"/>
            <w:hideMark/>
          </w:tcPr>
          <w:p w14:paraId="683A3E73" w14:textId="77777777" w:rsidR="00C2728A" w:rsidRPr="00DD004E" w:rsidRDefault="00C2728A" w:rsidP="00011EAE">
            <w:pPr>
              <w:spacing w:before="40" w:after="40"/>
              <w:ind w:right="227"/>
              <w:jc w:val="right"/>
              <w:rPr>
                <w:rFonts w:eastAsia="Times New Roman" w:cs="Arial"/>
                <w:color w:val="000000"/>
                <w:sz w:val="18"/>
                <w:szCs w:val="18"/>
                <w:lang w:eastAsia="en-AU"/>
              </w:rPr>
            </w:pPr>
            <w:r w:rsidRPr="00DD004E">
              <w:rPr>
                <w:rFonts w:eastAsia="Times New Roman" w:cs="Arial"/>
                <w:color w:val="000000"/>
                <w:sz w:val="18"/>
                <w:szCs w:val="18"/>
                <w:lang w:eastAsia="en-AU"/>
              </w:rPr>
              <w:t>359</w:t>
            </w:r>
          </w:p>
        </w:tc>
        <w:tc>
          <w:tcPr>
            <w:tcW w:w="1099" w:type="dxa"/>
            <w:gridSpan w:val="2"/>
            <w:tcBorders>
              <w:top w:val="nil"/>
              <w:left w:val="single" w:sz="4" w:space="0" w:color="FFFFFF" w:themeColor="background1"/>
              <w:bottom w:val="nil"/>
              <w:right w:val="nil"/>
            </w:tcBorders>
            <w:shd w:val="clear" w:color="auto" w:fill="auto"/>
            <w:vAlign w:val="center"/>
            <w:hideMark/>
          </w:tcPr>
          <w:p w14:paraId="1D7ABBD7" w14:textId="77777777" w:rsidR="00C2728A" w:rsidRPr="00DD004E" w:rsidRDefault="00C2728A" w:rsidP="00011EAE">
            <w:pPr>
              <w:spacing w:before="40" w:after="40"/>
              <w:ind w:right="227"/>
              <w:jc w:val="right"/>
              <w:rPr>
                <w:rFonts w:eastAsia="Times New Roman" w:cs="Arial"/>
                <w:color w:val="000000"/>
                <w:sz w:val="18"/>
                <w:szCs w:val="18"/>
                <w:lang w:eastAsia="en-AU"/>
              </w:rPr>
            </w:pPr>
            <w:r w:rsidRPr="00DD004E">
              <w:rPr>
                <w:rFonts w:eastAsia="Times New Roman" w:cs="Arial"/>
                <w:color w:val="000000"/>
                <w:sz w:val="18"/>
                <w:szCs w:val="18"/>
                <w:lang w:eastAsia="en-AU"/>
              </w:rPr>
              <w:t>482</w:t>
            </w:r>
          </w:p>
        </w:tc>
      </w:tr>
      <w:tr w:rsidR="00C2728A" w:rsidRPr="00DD004E" w14:paraId="20AD9E99" w14:textId="77777777" w:rsidTr="00C2728A">
        <w:trPr>
          <w:trHeight w:val="340"/>
        </w:trPr>
        <w:tc>
          <w:tcPr>
            <w:tcW w:w="2517" w:type="dxa"/>
            <w:tcBorders>
              <w:top w:val="nil"/>
              <w:left w:val="nil"/>
              <w:bottom w:val="nil"/>
              <w:right w:val="nil"/>
            </w:tcBorders>
            <w:shd w:val="clear" w:color="000000" w:fill="C7E4F3"/>
            <w:vAlign w:val="center"/>
            <w:hideMark/>
          </w:tcPr>
          <w:p w14:paraId="6B243EE9" w14:textId="37DDB224" w:rsidR="00C2728A" w:rsidRPr="00DD004E" w:rsidRDefault="00C2728A" w:rsidP="00011EAE">
            <w:pPr>
              <w:spacing w:before="40" w:after="40"/>
              <w:ind w:left="113"/>
              <w:rPr>
                <w:rFonts w:eastAsia="Times New Roman" w:cs="Arial"/>
                <w:color w:val="000000"/>
                <w:sz w:val="18"/>
                <w:szCs w:val="18"/>
                <w:lang w:eastAsia="en-AU"/>
              </w:rPr>
            </w:pPr>
            <w:r w:rsidRPr="00DD004E">
              <w:rPr>
                <w:rFonts w:eastAsia="Times New Roman" w:cs="Arial"/>
                <w:color w:val="000000"/>
                <w:sz w:val="18"/>
                <w:szCs w:val="18"/>
                <w:lang w:eastAsia="en-AU"/>
              </w:rPr>
              <w:t>Comcare</w:t>
            </w:r>
          </w:p>
        </w:tc>
        <w:tc>
          <w:tcPr>
            <w:tcW w:w="1633" w:type="dxa"/>
            <w:tcBorders>
              <w:top w:val="nil"/>
              <w:left w:val="nil"/>
              <w:bottom w:val="nil"/>
              <w:right w:val="single" w:sz="4" w:space="0" w:color="FFFFFF" w:themeColor="background1"/>
            </w:tcBorders>
            <w:shd w:val="clear" w:color="000000" w:fill="C7E4F3"/>
            <w:vAlign w:val="center"/>
            <w:hideMark/>
          </w:tcPr>
          <w:p w14:paraId="688E6CE0" w14:textId="77777777" w:rsidR="00C2728A" w:rsidRPr="00DD004E" w:rsidRDefault="00C2728A" w:rsidP="00011EAE">
            <w:pPr>
              <w:spacing w:before="40" w:after="40"/>
              <w:ind w:right="510"/>
              <w:jc w:val="right"/>
              <w:rPr>
                <w:rFonts w:eastAsia="Times New Roman" w:cs="Arial"/>
                <w:color w:val="000000"/>
                <w:sz w:val="18"/>
                <w:szCs w:val="18"/>
                <w:lang w:eastAsia="en-AU"/>
              </w:rPr>
            </w:pPr>
            <w:r w:rsidRPr="00DD004E">
              <w:rPr>
                <w:rFonts w:eastAsia="Times New Roman" w:cs="Arial"/>
                <w:color w:val="000000"/>
                <w:sz w:val="18"/>
                <w:szCs w:val="18"/>
                <w:lang w:eastAsia="en-AU"/>
              </w:rPr>
              <w:t>51</w:t>
            </w:r>
          </w:p>
        </w:tc>
        <w:tc>
          <w:tcPr>
            <w:tcW w:w="1418" w:type="dxa"/>
            <w:tcBorders>
              <w:top w:val="nil"/>
              <w:left w:val="single" w:sz="4" w:space="0" w:color="FFFFFF" w:themeColor="background1"/>
              <w:bottom w:val="nil"/>
              <w:right w:val="nil"/>
            </w:tcBorders>
            <w:shd w:val="clear" w:color="000000" w:fill="C7E4F3"/>
            <w:vAlign w:val="center"/>
            <w:hideMark/>
          </w:tcPr>
          <w:p w14:paraId="3AF3AD82" w14:textId="77777777" w:rsidR="00C2728A" w:rsidRPr="00DD004E" w:rsidRDefault="00C2728A" w:rsidP="00011EAE">
            <w:pPr>
              <w:spacing w:before="40" w:after="40"/>
              <w:ind w:right="454"/>
              <w:jc w:val="right"/>
              <w:rPr>
                <w:rFonts w:eastAsia="Times New Roman" w:cs="Arial"/>
                <w:color w:val="000000"/>
                <w:sz w:val="18"/>
                <w:szCs w:val="18"/>
                <w:lang w:eastAsia="en-AU"/>
              </w:rPr>
            </w:pPr>
            <w:r w:rsidRPr="00DD004E">
              <w:rPr>
                <w:rFonts w:eastAsia="Times New Roman" w:cs="Arial"/>
                <w:color w:val="000000"/>
                <w:sz w:val="18"/>
                <w:szCs w:val="18"/>
                <w:lang w:eastAsia="en-AU"/>
              </w:rPr>
              <w:t>326</w:t>
            </w:r>
          </w:p>
        </w:tc>
        <w:tc>
          <w:tcPr>
            <w:tcW w:w="1093" w:type="dxa"/>
            <w:tcBorders>
              <w:top w:val="nil"/>
              <w:left w:val="nil"/>
              <w:bottom w:val="nil"/>
              <w:right w:val="nil"/>
            </w:tcBorders>
            <w:shd w:val="clear" w:color="000000" w:fill="C7E4F3"/>
            <w:vAlign w:val="center"/>
            <w:hideMark/>
          </w:tcPr>
          <w:p w14:paraId="31542FCA" w14:textId="77777777" w:rsidR="00C2728A" w:rsidRPr="00DD004E" w:rsidRDefault="00C2728A" w:rsidP="00011EAE">
            <w:pPr>
              <w:spacing w:before="40" w:after="40"/>
              <w:ind w:right="283"/>
              <w:jc w:val="right"/>
              <w:rPr>
                <w:rFonts w:eastAsia="Times New Roman" w:cs="Arial"/>
                <w:color w:val="000000"/>
                <w:sz w:val="18"/>
                <w:szCs w:val="18"/>
                <w:lang w:eastAsia="en-AU"/>
              </w:rPr>
            </w:pPr>
            <w:r w:rsidRPr="00DD004E">
              <w:rPr>
                <w:rFonts w:eastAsia="Times New Roman" w:cs="Arial"/>
                <w:color w:val="000000"/>
                <w:sz w:val="18"/>
                <w:szCs w:val="18"/>
                <w:lang w:eastAsia="en-AU"/>
              </w:rPr>
              <w:t>393</w:t>
            </w:r>
          </w:p>
        </w:tc>
        <w:tc>
          <w:tcPr>
            <w:tcW w:w="1123" w:type="dxa"/>
            <w:gridSpan w:val="3"/>
            <w:tcBorders>
              <w:top w:val="nil"/>
              <w:left w:val="nil"/>
              <w:bottom w:val="nil"/>
              <w:right w:val="single" w:sz="4" w:space="0" w:color="FFFFFF" w:themeColor="background1"/>
            </w:tcBorders>
            <w:shd w:val="clear" w:color="000000" w:fill="C7E4F3"/>
            <w:vAlign w:val="center"/>
            <w:hideMark/>
          </w:tcPr>
          <w:p w14:paraId="05BA30E1" w14:textId="77777777" w:rsidR="00C2728A" w:rsidRPr="00DD004E" w:rsidRDefault="00C2728A" w:rsidP="00011EAE">
            <w:pPr>
              <w:spacing w:before="40" w:after="40"/>
              <w:ind w:right="227"/>
              <w:jc w:val="right"/>
              <w:rPr>
                <w:rFonts w:eastAsia="Times New Roman" w:cs="Arial"/>
                <w:color w:val="000000"/>
                <w:sz w:val="18"/>
                <w:szCs w:val="18"/>
                <w:lang w:eastAsia="en-AU"/>
              </w:rPr>
            </w:pPr>
            <w:r w:rsidRPr="00DD004E">
              <w:rPr>
                <w:rFonts w:eastAsia="Times New Roman" w:cs="Arial"/>
                <w:color w:val="000000"/>
                <w:sz w:val="18"/>
                <w:szCs w:val="18"/>
                <w:lang w:eastAsia="en-AU"/>
              </w:rPr>
              <w:t>719</w:t>
            </w:r>
          </w:p>
        </w:tc>
        <w:tc>
          <w:tcPr>
            <w:tcW w:w="1099" w:type="dxa"/>
            <w:gridSpan w:val="2"/>
            <w:tcBorders>
              <w:top w:val="nil"/>
              <w:left w:val="single" w:sz="4" w:space="0" w:color="FFFFFF" w:themeColor="background1"/>
              <w:bottom w:val="nil"/>
              <w:right w:val="nil"/>
            </w:tcBorders>
            <w:shd w:val="clear" w:color="000000" w:fill="C7E4F3"/>
            <w:vAlign w:val="center"/>
            <w:hideMark/>
          </w:tcPr>
          <w:p w14:paraId="52F1C8B5" w14:textId="77777777" w:rsidR="00C2728A" w:rsidRPr="00DD004E" w:rsidRDefault="00C2728A" w:rsidP="00011EAE">
            <w:pPr>
              <w:spacing w:before="40" w:after="40"/>
              <w:ind w:right="227"/>
              <w:jc w:val="right"/>
              <w:rPr>
                <w:rFonts w:eastAsia="Times New Roman" w:cs="Arial"/>
                <w:color w:val="000000"/>
                <w:sz w:val="18"/>
                <w:szCs w:val="18"/>
                <w:lang w:eastAsia="en-AU"/>
              </w:rPr>
            </w:pPr>
            <w:r w:rsidRPr="00DD004E">
              <w:rPr>
                <w:rFonts w:eastAsia="Times New Roman" w:cs="Arial"/>
                <w:color w:val="000000"/>
                <w:sz w:val="18"/>
                <w:szCs w:val="18"/>
                <w:lang w:eastAsia="en-AU"/>
              </w:rPr>
              <w:t>770</w:t>
            </w:r>
          </w:p>
        </w:tc>
      </w:tr>
      <w:tr w:rsidR="00C2728A" w:rsidRPr="00DD004E" w14:paraId="74DFBBD7" w14:textId="77777777" w:rsidTr="00C2728A">
        <w:trPr>
          <w:trHeight w:val="340"/>
        </w:trPr>
        <w:tc>
          <w:tcPr>
            <w:tcW w:w="2517" w:type="dxa"/>
            <w:tcBorders>
              <w:top w:val="nil"/>
              <w:left w:val="nil"/>
              <w:right w:val="nil"/>
            </w:tcBorders>
            <w:shd w:val="clear" w:color="auto" w:fill="auto"/>
            <w:vAlign w:val="center"/>
            <w:hideMark/>
          </w:tcPr>
          <w:p w14:paraId="3FAA1B10" w14:textId="069E7277" w:rsidR="00C2728A" w:rsidRPr="00DD004E" w:rsidRDefault="00C2728A" w:rsidP="00011EAE">
            <w:pPr>
              <w:spacing w:before="40" w:after="40"/>
              <w:ind w:left="113"/>
              <w:rPr>
                <w:rFonts w:eastAsia="Times New Roman" w:cs="Arial"/>
                <w:color w:val="000000"/>
                <w:sz w:val="18"/>
                <w:szCs w:val="18"/>
                <w:lang w:eastAsia="en-AU"/>
              </w:rPr>
            </w:pPr>
            <w:r w:rsidRPr="00DD004E">
              <w:rPr>
                <w:rFonts w:eastAsia="Times New Roman" w:cs="Arial"/>
                <w:color w:val="000000"/>
                <w:sz w:val="18"/>
                <w:szCs w:val="18"/>
                <w:lang w:eastAsia="en-AU"/>
              </w:rPr>
              <w:t>Seacare</w:t>
            </w:r>
          </w:p>
        </w:tc>
        <w:tc>
          <w:tcPr>
            <w:tcW w:w="1633" w:type="dxa"/>
            <w:tcBorders>
              <w:top w:val="nil"/>
              <w:left w:val="nil"/>
              <w:right w:val="single" w:sz="4" w:space="0" w:color="FFFFFF" w:themeColor="background1"/>
            </w:tcBorders>
            <w:shd w:val="clear" w:color="auto" w:fill="auto"/>
            <w:vAlign w:val="center"/>
            <w:hideMark/>
          </w:tcPr>
          <w:p w14:paraId="7BDD1996" w14:textId="77777777" w:rsidR="00C2728A" w:rsidRPr="00DD004E" w:rsidRDefault="00C2728A" w:rsidP="00011EAE">
            <w:pPr>
              <w:spacing w:before="40" w:after="40"/>
              <w:ind w:right="510"/>
              <w:jc w:val="right"/>
              <w:rPr>
                <w:rFonts w:eastAsia="Times New Roman" w:cs="Arial"/>
                <w:color w:val="000000"/>
                <w:sz w:val="18"/>
                <w:szCs w:val="18"/>
                <w:lang w:eastAsia="en-AU"/>
              </w:rPr>
            </w:pPr>
            <w:r w:rsidRPr="00DD004E">
              <w:rPr>
                <w:rFonts w:eastAsia="Times New Roman" w:cs="Arial"/>
                <w:color w:val="000000"/>
                <w:sz w:val="18"/>
                <w:szCs w:val="18"/>
                <w:lang w:eastAsia="en-AU"/>
              </w:rPr>
              <w:t>7</w:t>
            </w:r>
          </w:p>
        </w:tc>
        <w:tc>
          <w:tcPr>
            <w:tcW w:w="1418" w:type="dxa"/>
            <w:tcBorders>
              <w:top w:val="nil"/>
              <w:left w:val="single" w:sz="4" w:space="0" w:color="FFFFFF" w:themeColor="background1"/>
              <w:right w:val="nil"/>
            </w:tcBorders>
            <w:shd w:val="clear" w:color="auto" w:fill="auto"/>
            <w:vAlign w:val="center"/>
            <w:hideMark/>
          </w:tcPr>
          <w:p w14:paraId="6C2B9B75" w14:textId="77777777" w:rsidR="00C2728A" w:rsidRPr="00DD004E" w:rsidRDefault="00C2728A" w:rsidP="00011EAE">
            <w:pPr>
              <w:spacing w:before="40" w:after="40"/>
              <w:ind w:right="454"/>
              <w:jc w:val="right"/>
              <w:rPr>
                <w:rFonts w:eastAsia="Times New Roman" w:cs="Arial"/>
                <w:color w:val="000000"/>
                <w:sz w:val="18"/>
                <w:szCs w:val="18"/>
                <w:lang w:eastAsia="en-AU"/>
              </w:rPr>
            </w:pPr>
            <w:r w:rsidRPr="00DD004E">
              <w:rPr>
                <w:rFonts w:eastAsia="Times New Roman" w:cs="Arial"/>
                <w:color w:val="000000"/>
                <w:sz w:val="18"/>
                <w:szCs w:val="18"/>
                <w:lang w:eastAsia="en-AU"/>
              </w:rPr>
              <w:t>51</w:t>
            </w:r>
          </w:p>
        </w:tc>
        <w:tc>
          <w:tcPr>
            <w:tcW w:w="1093" w:type="dxa"/>
            <w:tcBorders>
              <w:top w:val="nil"/>
              <w:left w:val="nil"/>
              <w:right w:val="nil"/>
            </w:tcBorders>
            <w:shd w:val="clear" w:color="auto" w:fill="auto"/>
            <w:vAlign w:val="center"/>
            <w:hideMark/>
          </w:tcPr>
          <w:p w14:paraId="5FF7BD08" w14:textId="77777777" w:rsidR="00C2728A" w:rsidRPr="00DD004E" w:rsidRDefault="00C2728A" w:rsidP="00011EAE">
            <w:pPr>
              <w:spacing w:before="40" w:after="40"/>
              <w:ind w:right="283"/>
              <w:jc w:val="right"/>
              <w:rPr>
                <w:rFonts w:eastAsia="Times New Roman" w:cs="Arial"/>
                <w:color w:val="000000"/>
                <w:sz w:val="18"/>
                <w:szCs w:val="18"/>
                <w:lang w:eastAsia="en-AU"/>
              </w:rPr>
            </w:pPr>
            <w:r w:rsidRPr="00DD004E">
              <w:rPr>
                <w:rFonts w:eastAsia="Times New Roman" w:cs="Arial"/>
                <w:color w:val="000000"/>
                <w:sz w:val="18"/>
                <w:szCs w:val="18"/>
                <w:lang w:eastAsia="en-AU"/>
              </w:rPr>
              <w:t>0</w:t>
            </w:r>
          </w:p>
        </w:tc>
        <w:tc>
          <w:tcPr>
            <w:tcW w:w="1123" w:type="dxa"/>
            <w:gridSpan w:val="3"/>
            <w:tcBorders>
              <w:top w:val="nil"/>
              <w:left w:val="nil"/>
              <w:right w:val="single" w:sz="4" w:space="0" w:color="FFFFFF" w:themeColor="background1"/>
            </w:tcBorders>
            <w:shd w:val="clear" w:color="auto" w:fill="auto"/>
            <w:vAlign w:val="center"/>
            <w:hideMark/>
          </w:tcPr>
          <w:p w14:paraId="3E1BBA8B" w14:textId="77777777" w:rsidR="00C2728A" w:rsidRPr="00DD004E" w:rsidRDefault="00C2728A" w:rsidP="00011EAE">
            <w:pPr>
              <w:spacing w:before="40" w:after="40"/>
              <w:ind w:right="227"/>
              <w:jc w:val="right"/>
              <w:rPr>
                <w:rFonts w:eastAsia="Times New Roman" w:cs="Arial"/>
                <w:color w:val="000000"/>
                <w:sz w:val="18"/>
                <w:szCs w:val="18"/>
                <w:lang w:eastAsia="en-AU"/>
              </w:rPr>
            </w:pPr>
            <w:r w:rsidRPr="00DD004E">
              <w:rPr>
                <w:rFonts w:eastAsia="Times New Roman" w:cs="Arial"/>
                <w:color w:val="000000"/>
                <w:sz w:val="18"/>
                <w:szCs w:val="18"/>
                <w:lang w:eastAsia="en-AU"/>
              </w:rPr>
              <w:t>51</w:t>
            </w:r>
          </w:p>
        </w:tc>
        <w:tc>
          <w:tcPr>
            <w:tcW w:w="1099" w:type="dxa"/>
            <w:gridSpan w:val="2"/>
            <w:tcBorders>
              <w:top w:val="nil"/>
              <w:left w:val="single" w:sz="4" w:space="0" w:color="FFFFFF" w:themeColor="background1"/>
              <w:right w:val="nil"/>
            </w:tcBorders>
            <w:shd w:val="clear" w:color="auto" w:fill="auto"/>
            <w:vAlign w:val="center"/>
            <w:hideMark/>
          </w:tcPr>
          <w:p w14:paraId="48D029C8" w14:textId="77777777" w:rsidR="00C2728A" w:rsidRPr="00DD004E" w:rsidRDefault="00C2728A" w:rsidP="00011EAE">
            <w:pPr>
              <w:spacing w:before="40" w:after="40"/>
              <w:ind w:right="227"/>
              <w:jc w:val="right"/>
              <w:rPr>
                <w:rFonts w:eastAsia="Times New Roman" w:cs="Arial"/>
                <w:color w:val="000000"/>
                <w:sz w:val="18"/>
                <w:szCs w:val="18"/>
                <w:lang w:eastAsia="en-AU"/>
              </w:rPr>
            </w:pPr>
            <w:r w:rsidRPr="00DD004E">
              <w:rPr>
                <w:rFonts w:eastAsia="Times New Roman" w:cs="Arial"/>
                <w:color w:val="000000"/>
                <w:sz w:val="18"/>
                <w:szCs w:val="18"/>
                <w:lang w:eastAsia="en-AU"/>
              </w:rPr>
              <w:t>58</w:t>
            </w:r>
          </w:p>
        </w:tc>
      </w:tr>
      <w:tr w:rsidR="00C2728A" w:rsidRPr="00DD004E" w14:paraId="11F7995E" w14:textId="77777777" w:rsidTr="00C2728A">
        <w:trPr>
          <w:trHeight w:val="340"/>
        </w:trPr>
        <w:tc>
          <w:tcPr>
            <w:tcW w:w="2517" w:type="dxa"/>
            <w:tcBorders>
              <w:top w:val="nil"/>
              <w:left w:val="nil"/>
              <w:bottom w:val="single" w:sz="4" w:space="0" w:color="1F698E"/>
              <w:right w:val="nil"/>
            </w:tcBorders>
            <w:shd w:val="clear" w:color="000000" w:fill="C7E4F3"/>
            <w:vAlign w:val="center"/>
            <w:hideMark/>
          </w:tcPr>
          <w:p w14:paraId="46360D4F" w14:textId="77777777" w:rsidR="00C2728A" w:rsidRPr="00DD004E" w:rsidRDefault="00C2728A" w:rsidP="00011EAE">
            <w:pPr>
              <w:spacing w:before="40" w:after="40"/>
              <w:ind w:left="113"/>
              <w:rPr>
                <w:rFonts w:eastAsia="Times New Roman" w:cs="Arial"/>
                <w:color w:val="000000"/>
                <w:sz w:val="18"/>
                <w:szCs w:val="18"/>
                <w:lang w:eastAsia="en-AU"/>
              </w:rPr>
            </w:pPr>
            <w:r w:rsidRPr="00DD004E">
              <w:rPr>
                <w:rFonts w:eastAsia="Times New Roman" w:cs="Arial"/>
                <w:color w:val="000000"/>
                <w:sz w:val="18"/>
                <w:szCs w:val="18"/>
                <w:lang w:eastAsia="en-AU"/>
              </w:rPr>
              <w:t>Northern Territory</w:t>
            </w:r>
          </w:p>
        </w:tc>
        <w:tc>
          <w:tcPr>
            <w:tcW w:w="1633" w:type="dxa"/>
            <w:tcBorders>
              <w:top w:val="nil"/>
              <w:left w:val="nil"/>
              <w:bottom w:val="single" w:sz="4" w:space="0" w:color="1F698E"/>
              <w:right w:val="single" w:sz="4" w:space="0" w:color="FFFFFF" w:themeColor="background1"/>
            </w:tcBorders>
            <w:shd w:val="clear" w:color="000000" w:fill="C7E4F3"/>
            <w:vAlign w:val="center"/>
            <w:hideMark/>
          </w:tcPr>
          <w:p w14:paraId="22A96040" w14:textId="77777777" w:rsidR="00C2728A" w:rsidRPr="00DD004E" w:rsidRDefault="00C2728A" w:rsidP="00011EAE">
            <w:pPr>
              <w:spacing w:before="40" w:after="40"/>
              <w:ind w:right="510"/>
              <w:jc w:val="right"/>
              <w:rPr>
                <w:rFonts w:eastAsia="Times New Roman" w:cs="Arial"/>
                <w:color w:val="000000"/>
                <w:sz w:val="18"/>
                <w:szCs w:val="18"/>
                <w:lang w:eastAsia="en-AU"/>
              </w:rPr>
            </w:pPr>
            <w:r w:rsidRPr="00DD004E">
              <w:rPr>
                <w:rFonts w:eastAsia="Times New Roman" w:cs="Arial"/>
                <w:color w:val="000000"/>
                <w:sz w:val="18"/>
                <w:szCs w:val="18"/>
                <w:lang w:eastAsia="en-AU"/>
              </w:rPr>
              <w:t>39</w:t>
            </w:r>
          </w:p>
        </w:tc>
        <w:tc>
          <w:tcPr>
            <w:tcW w:w="1418" w:type="dxa"/>
            <w:tcBorders>
              <w:top w:val="nil"/>
              <w:left w:val="single" w:sz="4" w:space="0" w:color="FFFFFF" w:themeColor="background1"/>
              <w:bottom w:val="single" w:sz="4" w:space="0" w:color="1F698E"/>
              <w:right w:val="nil"/>
            </w:tcBorders>
            <w:shd w:val="clear" w:color="000000" w:fill="C7E4F3"/>
            <w:vAlign w:val="center"/>
            <w:hideMark/>
          </w:tcPr>
          <w:p w14:paraId="56DE34D7" w14:textId="77777777" w:rsidR="00C2728A" w:rsidRPr="00DD004E" w:rsidRDefault="00C2728A" w:rsidP="00011EAE">
            <w:pPr>
              <w:spacing w:before="40" w:after="40"/>
              <w:ind w:right="454"/>
              <w:jc w:val="right"/>
              <w:rPr>
                <w:rFonts w:eastAsia="Times New Roman" w:cs="Arial"/>
                <w:color w:val="000000"/>
                <w:sz w:val="18"/>
                <w:szCs w:val="18"/>
                <w:lang w:eastAsia="en-AU"/>
              </w:rPr>
            </w:pPr>
            <w:r w:rsidRPr="00DD004E">
              <w:rPr>
                <w:rFonts w:eastAsia="Times New Roman" w:cs="Arial"/>
                <w:color w:val="000000"/>
                <w:sz w:val="18"/>
                <w:szCs w:val="18"/>
                <w:lang w:eastAsia="en-AU"/>
              </w:rPr>
              <w:t>96</w:t>
            </w:r>
          </w:p>
        </w:tc>
        <w:tc>
          <w:tcPr>
            <w:tcW w:w="1093" w:type="dxa"/>
            <w:tcBorders>
              <w:top w:val="nil"/>
              <w:left w:val="nil"/>
              <w:bottom w:val="single" w:sz="4" w:space="0" w:color="1F698E"/>
              <w:right w:val="nil"/>
            </w:tcBorders>
            <w:shd w:val="clear" w:color="000000" w:fill="C7E4F3"/>
            <w:vAlign w:val="center"/>
            <w:hideMark/>
          </w:tcPr>
          <w:p w14:paraId="259E01C9" w14:textId="77777777" w:rsidR="00C2728A" w:rsidRPr="00DD004E" w:rsidRDefault="00C2728A" w:rsidP="00011EAE">
            <w:pPr>
              <w:spacing w:before="40" w:after="40"/>
              <w:ind w:right="283"/>
              <w:jc w:val="right"/>
              <w:rPr>
                <w:rFonts w:eastAsia="Times New Roman" w:cs="Arial"/>
                <w:color w:val="000000"/>
                <w:sz w:val="18"/>
                <w:szCs w:val="18"/>
                <w:lang w:eastAsia="en-AU"/>
              </w:rPr>
            </w:pPr>
            <w:r w:rsidRPr="00DD004E">
              <w:rPr>
                <w:rFonts w:eastAsia="Times New Roman" w:cs="Arial"/>
                <w:color w:val="000000"/>
                <w:sz w:val="18"/>
                <w:szCs w:val="18"/>
                <w:lang w:eastAsia="en-AU"/>
              </w:rPr>
              <w:t>15</w:t>
            </w:r>
          </w:p>
        </w:tc>
        <w:tc>
          <w:tcPr>
            <w:tcW w:w="1123" w:type="dxa"/>
            <w:gridSpan w:val="3"/>
            <w:tcBorders>
              <w:top w:val="nil"/>
              <w:left w:val="nil"/>
              <w:bottom w:val="single" w:sz="4" w:space="0" w:color="1F698E"/>
              <w:right w:val="single" w:sz="4" w:space="0" w:color="FFFFFF" w:themeColor="background1"/>
            </w:tcBorders>
            <w:shd w:val="clear" w:color="000000" w:fill="C7E4F3"/>
            <w:vAlign w:val="center"/>
            <w:hideMark/>
          </w:tcPr>
          <w:p w14:paraId="39B74227" w14:textId="77777777" w:rsidR="00C2728A" w:rsidRPr="00DD004E" w:rsidRDefault="00C2728A" w:rsidP="00011EAE">
            <w:pPr>
              <w:spacing w:before="40" w:after="40"/>
              <w:ind w:right="227"/>
              <w:jc w:val="right"/>
              <w:rPr>
                <w:rFonts w:eastAsia="Times New Roman" w:cs="Arial"/>
                <w:color w:val="000000"/>
                <w:sz w:val="18"/>
                <w:szCs w:val="18"/>
                <w:lang w:eastAsia="en-AU"/>
              </w:rPr>
            </w:pPr>
            <w:r w:rsidRPr="00DD004E">
              <w:rPr>
                <w:rFonts w:eastAsia="Times New Roman" w:cs="Arial"/>
                <w:color w:val="000000"/>
                <w:sz w:val="18"/>
                <w:szCs w:val="18"/>
                <w:lang w:eastAsia="en-AU"/>
              </w:rPr>
              <w:t>111</w:t>
            </w:r>
          </w:p>
        </w:tc>
        <w:tc>
          <w:tcPr>
            <w:tcW w:w="1099" w:type="dxa"/>
            <w:gridSpan w:val="2"/>
            <w:tcBorders>
              <w:top w:val="nil"/>
              <w:left w:val="single" w:sz="4" w:space="0" w:color="FFFFFF" w:themeColor="background1"/>
              <w:bottom w:val="single" w:sz="4" w:space="0" w:color="1F698E"/>
              <w:right w:val="nil"/>
            </w:tcBorders>
            <w:shd w:val="clear" w:color="000000" w:fill="C7E4F3"/>
            <w:vAlign w:val="center"/>
            <w:hideMark/>
          </w:tcPr>
          <w:p w14:paraId="4671AC9B" w14:textId="77777777" w:rsidR="00C2728A" w:rsidRPr="00DD004E" w:rsidRDefault="00C2728A" w:rsidP="00011EAE">
            <w:pPr>
              <w:spacing w:before="40" w:after="40"/>
              <w:ind w:right="227"/>
              <w:jc w:val="right"/>
              <w:rPr>
                <w:rFonts w:eastAsia="Times New Roman" w:cs="Arial"/>
                <w:color w:val="000000"/>
                <w:sz w:val="18"/>
                <w:szCs w:val="18"/>
                <w:lang w:eastAsia="en-AU"/>
              </w:rPr>
            </w:pPr>
            <w:r w:rsidRPr="00DD004E">
              <w:rPr>
                <w:rFonts w:eastAsia="Times New Roman" w:cs="Arial"/>
                <w:color w:val="000000"/>
                <w:sz w:val="18"/>
                <w:szCs w:val="18"/>
                <w:lang w:eastAsia="en-AU"/>
              </w:rPr>
              <w:t>150</w:t>
            </w:r>
          </w:p>
        </w:tc>
      </w:tr>
    </w:tbl>
    <w:p w14:paraId="7BE35D76" w14:textId="1F6D342A" w:rsidR="00075E1D" w:rsidRDefault="00075E1D" w:rsidP="00075E1D">
      <w:pPr>
        <w:pStyle w:val="Heading3"/>
      </w:pPr>
      <w:bookmarkStart w:id="21" w:name="_Toc528056007"/>
      <w:r>
        <w:t>Weighting</w:t>
      </w:r>
      <w:bookmarkEnd w:id="21"/>
    </w:p>
    <w:p w14:paraId="1A9C108A" w14:textId="34AD233C" w:rsidR="00841DAB" w:rsidRDefault="00BC153F" w:rsidP="00BC153F">
      <w:pPr>
        <w:pStyle w:val="Body"/>
      </w:pPr>
      <w:r w:rsidRPr="00841DAB">
        <w:t xml:space="preserve">To ensure results calculated from the dataset represent the target population as closely as possible, a weight was calculated for each survey respondent. Weights adjust for the disproportionate sample design </w:t>
      </w:r>
      <w:r w:rsidR="005C7FED">
        <w:t xml:space="preserve">(smaller jurisdictions are typically over-sampled in order to generate a robust base number of completed surveys, and larger jurisdictions capped) </w:t>
      </w:r>
      <w:r w:rsidRPr="00841DAB">
        <w:t>as well as for differential non-response among sub-groups of persons selected to take part in the survey.</w:t>
      </w:r>
      <w:r w:rsidR="004107C3">
        <w:t xml:space="preserve"> </w:t>
      </w:r>
      <w:r w:rsidR="00C35D1B">
        <w:t>A</w:t>
      </w:r>
      <w:r w:rsidR="00841DAB" w:rsidRPr="00841DAB">
        <w:t>ll data presented in this report use weighted data</w:t>
      </w:r>
      <w:r w:rsidR="00C35D1B">
        <w:t>, unless otherwise noted</w:t>
      </w:r>
      <w:r w:rsidR="00841DAB" w:rsidRPr="00841DAB">
        <w:t>.</w:t>
      </w:r>
    </w:p>
    <w:p w14:paraId="78E3B2B1" w14:textId="17470288" w:rsidR="007F16F7" w:rsidRDefault="007F16F7" w:rsidP="007F16F7">
      <w:pPr>
        <w:pStyle w:val="Heading3"/>
      </w:pPr>
      <w:bookmarkStart w:id="22" w:name="_Toc528056008"/>
      <w:r>
        <w:lastRenderedPageBreak/>
        <w:t>Quality standards</w:t>
      </w:r>
      <w:bookmarkEnd w:id="22"/>
    </w:p>
    <w:p w14:paraId="39810431" w14:textId="77777777" w:rsidR="007F16F7" w:rsidRPr="00707EF5" w:rsidRDefault="007F16F7" w:rsidP="007F16F7">
      <w:pPr>
        <w:pStyle w:val="Body"/>
      </w:pPr>
      <w:r w:rsidRPr="00707EF5">
        <w:t xml:space="preserve">All </w:t>
      </w:r>
      <w:r>
        <w:t>research</w:t>
      </w:r>
      <w:r w:rsidRPr="00707EF5">
        <w:t xml:space="preserve"> </w:t>
      </w:r>
      <w:r>
        <w:t xml:space="preserve">was </w:t>
      </w:r>
      <w:r w:rsidRPr="00707EF5">
        <w:t xml:space="preserve">undertaken in </w:t>
      </w:r>
      <w:r>
        <w:t xml:space="preserve">compliance </w:t>
      </w:r>
      <w:r w:rsidRPr="00707EF5">
        <w:t>with the</w:t>
      </w:r>
      <w:r>
        <w:t xml:space="preserve"> International Standard of </w:t>
      </w:r>
      <w:r w:rsidRPr="00707EF5">
        <w:t xml:space="preserve">ISO 20252 </w:t>
      </w:r>
      <w:r>
        <w:t>Market, opinion and social research,</w:t>
      </w:r>
      <w:r w:rsidRPr="00707EF5">
        <w:t xml:space="preserve"> AMSRS code of practice, standards and the Market and Social Research Privacy Principles.</w:t>
      </w:r>
    </w:p>
    <w:p w14:paraId="10523FFD" w14:textId="3232DA71" w:rsidR="00075E1D" w:rsidRDefault="00075E1D" w:rsidP="005755C8">
      <w:pPr>
        <w:pStyle w:val="Heading2"/>
      </w:pPr>
      <w:bookmarkStart w:id="23" w:name="_Toc528056009"/>
      <w:r>
        <w:t>About this report</w:t>
      </w:r>
      <w:bookmarkEnd w:id="23"/>
      <w:r w:rsidR="00D911EB" w:rsidRPr="006E72F3">
        <w:rPr>
          <w:color w:val="C00000"/>
        </w:rPr>
        <w:t xml:space="preserve"> </w:t>
      </w:r>
    </w:p>
    <w:p w14:paraId="5677613C" w14:textId="1692F0E8" w:rsidR="00FD723E" w:rsidRDefault="00FD723E" w:rsidP="00FD723E">
      <w:pPr>
        <w:pStyle w:val="Heading3"/>
      </w:pPr>
      <w:bookmarkStart w:id="24" w:name="_Toc528056010"/>
      <w:r>
        <w:t>Time series analysis</w:t>
      </w:r>
      <w:bookmarkEnd w:id="24"/>
      <w:r w:rsidRPr="00030876">
        <w:t xml:space="preserve"> </w:t>
      </w:r>
    </w:p>
    <w:p w14:paraId="0BD31726" w14:textId="3418152A" w:rsidR="00D911EB" w:rsidRDefault="00FD723E" w:rsidP="00D911EB">
      <w:pPr>
        <w:pStyle w:val="Body"/>
      </w:pPr>
      <w:r w:rsidRPr="00030876">
        <w:t>Th</w:t>
      </w:r>
      <w:r>
        <w:t>is report includes a balance of measurement items that have been collected in previous years of the</w:t>
      </w:r>
      <w:r w:rsidR="00EC4C8C">
        <w:t xml:space="preserve"> NRTWS and those which are new to</w:t>
      </w:r>
      <w:r>
        <w:t xml:space="preserve"> the </w:t>
      </w:r>
      <w:r w:rsidR="00E92B2B">
        <w:t>2018</w:t>
      </w:r>
      <w:r>
        <w:t xml:space="preserve"> survey.</w:t>
      </w:r>
      <w:r w:rsidR="00D911EB">
        <w:t xml:space="preserve"> </w:t>
      </w:r>
      <w:r w:rsidR="00AA5106">
        <w:t xml:space="preserve">Unless otherwise noted, results presented are based on 2018 data. </w:t>
      </w:r>
      <w:r w:rsidR="00D911EB">
        <w:t>Time series data are presented where available, for the four most recent waves</w:t>
      </w:r>
      <w:r w:rsidR="00334952">
        <w:t xml:space="preserve"> (including the current wave)</w:t>
      </w:r>
      <w:r w:rsidR="00D911EB">
        <w:t xml:space="preserve"> of the survey: 2013, 2014, </w:t>
      </w:r>
      <w:r w:rsidR="00E92B2B">
        <w:t>2016</w:t>
      </w:r>
      <w:r w:rsidR="00D911EB">
        <w:t xml:space="preserve"> and </w:t>
      </w:r>
      <w:r w:rsidR="00E92B2B">
        <w:t>2018</w:t>
      </w:r>
      <w:r w:rsidR="00D911EB">
        <w:t>.</w:t>
      </w:r>
      <w:r w:rsidR="00AA5106">
        <w:t xml:space="preserve"> </w:t>
      </w:r>
    </w:p>
    <w:p w14:paraId="1AF023C1" w14:textId="1C8D69FA" w:rsidR="00812983" w:rsidRDefault="00812983" w:rsidP="00D911EB">
      <w:pPr>
        <w:pStyle w:val="Heading3"/>
      </w:pPr>
      <w:bookmarkStart w:id="25" w:name="_Toc528056011"/>
      <w:r w:rsidRPr="00030876">
        <w:t>S</w:t>
      </w:r>
      <w:r>
        <w:t>ub-group analysis</w:t>
      </w:r>
      <w:bookmarkEnd w:id="25"/>
      <w:r w:rsidRPr="00030876">
        <w:t xml:space="preserve"> </w:t>
      </w:r>
    </w:p>
    <w:p w14:paraId="6A9AF81E" w14:textId="1AF0B611" w:rsidR="00D911EB" w:rsidRDefault="00D911EB" w:rsidP="00D911EB">
      <w:pPr>
        <w:pStyle w:val="Body"/>
      </w:pPr>
      <w:r>
        <w:t>Time series analysis is not possible for survey items added t</w:t>
      </w:r>
      <w:r w:rsidR="00EC4C8C">
        <w:t>o the questionnaire this year. S</w:t>
      </w:r>
      <w:r>
        <w:t>ub-group analysis is presented</w:t>
      </w:r>
      <w:r w:rsidR="00EC4C8C">
        <w:t xml:space="preserve"> for these items</w:t>
      </w:r>
      <w:r>
        <w:t xml:space="preserve"> to highlight </w:t>
      </w:r>
      <w:r w:rsidR="00EC4C8C">
        <w:t xml:space="preserve">any </w:t>
      </w:r>
      <w:r>
        <w:t>differences that exist between particular cohorts of workers.</w:t>
      </w:r>
    </w:p>
    <w:p w14:paraId="5E6554C9" w14:textId="0858C490" w:rsidR="00FD723E" w:rsidRDefault="00FD723E" w:rsidP="00812983">
      <w:pPr>
        <w:pStyle w:val="Body"/>
      </w:pPr>
      <w:r>
        <w:t xml:space="preserve">All </w:t>
      </w:r>
      <w:r w:rsidR="00812983">
        <w:t>measures included in this report are shown at an overall (</w:t>
      </w:r>
      <w:r w:rsidR="00B64859">
        <w:t>n</w:t>
      </w:r>
      <w:r w:rsidR="00812983">
        <w:t>ational) level a</w:t>
      </w:r>
      <w:r>
        <w:t>nd</w:t>
      </w:r>
      <w:r w:rsidR="00812983">
        <w:t xml:space="preserve"> by jurisdiction. Additionally, measurement items </w:t>
      </w:r>
      <w:r>
        <w:t>may be presented for some, or all, of the following sub-groups.</w:t>
      </w:r>
    </w:p>
    <w:p w14:paraId="6ACCE9CF" w14:textId="5B8B7098" w:rsidR="00FD723E" w:rsidRDefault="00FD723E" w:rsidP="00FD723E">
      <w:pPr>
        <w:pStyle w:val="Heading4"/>
      </w:pPr>
      <w:r>
        <w:t>Injury</w:t>
      </w:r>
      <w:r w:rsidR="00316A21">
        <w:t>/illness</w:t>
      </w:r>
      <w:r>
        <w:t xml:space="preserve"> type</w:t>
      </w:r>
    </w:p>
    <w:p w14:paraId="30CCCD79" w14:textId="41D8B16D" w:rsidR="00FD723E" w:rsidRDefault="00FD723E" w:rsidP="00812983">
      <w:pPr>
        <w:pStyle w:val="Body"/>
      </w:pPr>
      <w:r>
        <w:t xml:space="preserve">Five </w:t>
      </w:r>
      <w:r w:rsidR="00D911EB">
        <w:t xml:space="preserve">broad </w:t>
      </w:r>
      <w:r>
        <w:t>injury</w:t>
      </w:r>
      <w:r w:rsidR="00316A21">
        <w:t>/illness</w:t>
      </w:r>
      <w:r>
        <w:t xml:space="preserve"> categories were identified, using the </w:t>
      </w:r>
      <w:r w:rsidR="00C33C8C">
        <w:t xml:space="preserve">nature coding in the </w:t>
      </w:r>
      <w:r w:rsidR="00C8738A" w:rsidRPr="00C8738A">
        <w:t>Type of Occurrence Classification System</w:t>
      </w:r>
      <w:r w:rsidR="00C8738A">
        <w:t xml:space="preserve"> (TOOCS) (</w:t>
      </w:r>
      <w:r w:rsidR="00C8738A" w:rsidRPr="00C8738A">
        <w:t>3</w:t>
      </w:r>
      <w:r w:rsidR="00C8738A" w:rsidRPr="00C8738A">
        <w:rPr>
          <w:vertAlign w:val="superscript"/>
        </w:rPr>
        <w:t>rd</w:t>
      </w:r>
      <w:r w:rsidR="00C8738A">
        <w:t xml:space="preserve"> </w:t>
      </w:r>
      <w:r w:rsidR="00C8738A" w:rsidRPr="00C8738A">
        <w:t>Edition</w:t>
      </w:r>
      <w:r w:rsidR="00C8738A">
        <w:t>, Revision 1)</w:t>
      </w:r>
      <w:r w:rsidR="00C8738A" w:rsidRPr="00C8738A">
        <w:t xml:space="preserve"> </w:t>
      </w:r>
      <w:r w:rsidR="00C8738A">
        <w:t>framework</w:t>
      </w:r>
      <w:r w:rsidR="00C33C8C">
        <w:rPr>
          <w:rStyle w:val="FootnoteReference"/>
        </w:rPr>
        <w:footnoteReference w:id="3"/>
      </w:r>
      <w:r w:rsidR="00C8738A">
        <w:t>:</w:t>
      </w:r>
    </w:p>
    <w:p w14:paraId="483E015D" w14:textId="347D4634" w:rsidR="00FD723E" w:rsidRDefault="00D911EB" w:rsidP="00FD723E">
      <w:pPr>
        <w:pStyle w:val="Body"/>
        <w:numPr>
          <w:ilvl w:val="0"/>
          <w:numId w:val="10"/>
        </w:numPr>
      </w:pPr>
      <w:r>
        <w:t>Fractures (TOOCS c</w:t>
      </w:r>
      <w:r w:rsidR="001C65AF">
        <w:t>ode</w:t>
      </w:r>
      <w:r>
        <w:t xml:space="preserve"> B)</w:t>
      </w:r>
    </w:p>
    <w:p w14:paraId="2989DEB2" w14:textId="3B2DFEA0" w:rsidR="00FD723E" w:rsidRDefault="00D911EB" w:rsidP="00FD723E">
      <w:pPr>
        <w:pStyle w:val="Body"/>
        <w:numPr>
          <w:ilvl w:val="0"/>
          <w:numId w:val="10"/>
        </w:numPr>
      </w:pPr>
      <w:r>
        <w:t xml:space="preserve">Musculoskeletal Disorders (TOOCS </w:t>
      </w:r>
      <w:r w:rsidR="001C65AF">
        <w:t xml:space="preserve">codes </w:t>
      </w:r>
      <w:r>
        <w:t>F &amp; H)</w:t>
      </w:r>
    </w:p>
    <w:p w14:paraId="42576C09" w14:textId="0538A647" w:rsidR="00FD723E" w:rsidRDefault="00D911EB" w:rsidP="00FD723E">
      <w:pPr>
        <w:pStyle w:val="Body"/>
        <w:numPr>
          <w:ilvl w:val="0"/>
          <w:numId w:val="10"/>
        </w:numPr>
      </w:pPr>
      <w:r>
        <w:t xml:space="preserve">Other Trauma (TOOCS </w:t>
      </w:r>
      <w:r w:rsidR="001C65AF">
        <w:t xml:space="preserve">codes </w:t>
      </w:r>
      <w:r>
        <w:t>A, C, D, E &amp; G)</w:t>
      </w:r>
    </w:p>
    <w:p w14:paraId="5A0CCD2D" w14:textId="3559411B" w:rsidR="00FD723E" w:rsidRDefault="00D911EB" w:rsidP="00FD723E">
      <w:pPr>
        <w:pStyle w:val="Body"/>
        <w:numPr>
          <w:ilvl w:val="0"/>
          <w:numId w:val="10"/>
        </w:numPr>
      </w:pPr>
      <w:r>
        <w:t xml:space="preserve">Mental Illness (TOOCS </w:t>
      </w:r>
      <w:r w:rsidR="001C65AF">
        <w:t xml:space="preserve">code </w:t>
      </w:r>
      <w:r>
        <w:t>I)</w:t>
      </w:r>
    </w:p>
    <w:p w14:paraId="28766B2C" w14:textId="7EAF1798" w:rsidR="00FD723E" w:rsidRDefault="00D911EB" w:rsidP="00FD723E">
      <w:pPr>
        <w:pStyle w:val="Body"/>
        <w:numPr>
          <w:ilvl w:val="0"/>
          <w:numId w:val="10"/>
        </w:numPr>
      </w:pPr>
      <w:r>
        <w:t xml:space="preserve">Other Diseases (TOOCS </w:t>
      </w:r>
      <w:r w:rsidR="001C65AF">
        <w:t xml:space="preserve">codes </w:t>
      </w:r>
      <w:r>
        <w:t>J to R)</w:t>
      </w:r>
      <w:r w:rsidR="00D8155C">
        <w:t>.</w:t>
      </w:r>
    </w:p>
    <w:p w14:paraId="6627A459" w14:textId="2D7FBF3B" w:rsidR="00FD723E" w:rsidRDefault="00FD723E" w:rsidP="00FD723E">
      <w:pPr>
        <w:pStyle w:val="Heading4"/>
      </w:pPr>
      <w:r>
        <w:t>Current work status</w:t>
      </w:r>
    </w:p>
    <w:p w14:paraId="18D80165" w14:textId="1F855A6F" w:rsidR="00FD723E" w:rsidRDefault="00FD723E" w:rsidP="00FD723E">
      <w:pPr>
        <w:pStyle w:val="Body"/>
      </w:pPr>
      <w:r>
        <w:t>Whether or not the worker reported that they were working at the time of survey.</w:t>
      </w:r>
    </w:p>
    <w:p w14:paraId="176F4B78" w14:textId="7750364C" w:rsidR="00FD723E" w:rsidRDefault="00FD723E" w:rsidP="00FD723E">
      <w:pPr>
        <w:pStyle w:val="Heading4"/>
      </w:pPr>
      <w:r>
        <w:t>Employer size</w:t>
      </w:r>
    </w:p>
    <w:p w14:paraId="5B3FF30D" w14:textId="59EB06E6" w:rsidR="00FD723E" w:rsidRDefault="00FD723E" w:rsidP="00FD723E">
      <w:pPr>
        <w:pStyle w:val="Body"/>
      </w:pPr>
      <w:r>
        <w:t xml:space="preserve">Based on </w:t>
      </w:r>
      <w:r w:rsidR="008F1945">
        <w:t xml:space="preserve">the </w:t>
      </w:r>
      <w:r>
        <w:t>total remuneration</w:t>
      </w:r>
      <w:r w:rsidR="008F1945" w:rsidRPr="008F1945">
        <w:t xml:space="preserve"> on which</w:t>
      </w:r>
      <w:r w:rsidR="008F1945">
        <w:t xml:space="preserve"> (the worker’s employer’s)</w:t>
      </w:r>
      <w:r w:rsidR="008F1945" w:rsidRPr="008F1945">
        <w:t xml:space="preserve"> workers’ compensation premium is calculated</w:t>
      </w:r>
      <w:r>
        <w:t xml:space="preserve">. </w:t>
      </w:r>
      <w:r w:rsidR="008F1945">
        <w:t>Consistent with previous reporting, t</w:t>
      </w:r>
      <w:r>
        <w:t xml:space="preserve">hree </w:t>
      </w:r>
      <w:r w:rsidR="008F1945">
        <w:t xml:space="preserve">employer size </w:t>
      </w:r>
      <w:r>
        <w:t>bands</w:t>
      </w:r>
      <w:r w:rsidR="008F1945">
        <w:t xml:space="preserve"> have been identified</w:t>
      </w:r>
      <w:r>
        <w:t>:</w:t>
      </w:r>
    </w:p>
    <w:p w14:paraId="72ADDAE7" w14:textId="6B33BD5D" w:rsidR="00FD723E" w:rsidRDefault="00FD723E" w:rsidP="00FD723E">
      <w:pPr>
        <w:pStyle w:val="Body"/>
        <w:numPr>
          <w:ilvl w:val="0"/>
          <w:numId w:val="11"/>
        </w:numPr>
      </w:pPr>
      <w:r>
        <w:t>Small</w:t>
      </w:r>
      <w:r w:rsidR="001C65AF">
        <w:t xml:space="preserve"> (Less than $1 million)</w:t>
      </w:r>
    </w:p>
    <w:p w14:paraId="336A6C31" w14:textId="220C7E9E" w:rsidR="00FD723E" w:rsidRDefault="00FD723E" w:rsidP="00FD723E">
      <w:pPr>
        <w:pStyle w:val="Body"/>
        <w:numPr>
          <w:ilvl w:val="0"/>
          <w:numId w:val="11"/>
        </w:numPr>
      </w:pPr>
      <w:r>
        <w:t>Medium</w:t>
      </w:r>
      <w:r w:rsidR="001C65AF">
        <w:t xml:space="preserve"> (Between $1 million and less than $20 million)</w:t>
      </w:r>
    </w:p>
    <w:p w14:paraId="458DA560" w14:textId="4E0808F8" w:rsidR="00FD723E" w:rsidRDefault="00FD723E" w:rsidP="00FD723E">
      <w:pPr>
        <w:pStyle w:val="Body"/>
        <w:numPr>
          <w:ilvl w:val="0"/>
          <w:numId w:val="11"/>
        </w:numPr>
      </w:pPr>
      <w:r>
        <w:t>Large</w:t>
      </w:r>
      <w:r w:rsidR="001C65AF">
        <w:t xml:space="preserve"> ($20 million or more)</w:t>
      </w:r>
      <w:r w:rsidR="00EB01F3">
        <w:t xml:space="preserve">. </w:t>
      </w:r>
    </w:p>
    <w:p w14:paraId="10122C4F" w14:textId="7118737F" w:rsidR="00FD723E" w:rsidRDefault="00FD723E" w:rsidP="00FD723E">
      <w:pPr>
        <w:pStyle w:val="Heading4"/>
      </w:pPr>
      <w:r>
        <w:lastRenderedPageBreak/>
        <w:t>Claim duration</w:t>
      </w:r>
    </w:p>
    <w:p w14:paraId="5213B56A" w14:textId="15BB69CB" w:rsidR="00FD723E" w:rsidRDefault="003E563E" w:rsidP="00FD723E">
      <w:pPr>
        <w:pStyle w:val="Body"/>
      </w:pPr>
      <w:r>
        <w:t>Five claim</w:t>
      </w:r>
      <w:r w:rsidR="00EB01F3">
        <w:t xml:space="preserve"> duration bands were calculated based on </w:t>
      </w:r>
      <w:r>
        <w:t>the n</w:t>
      </w:r>
      <w:r w:rsidR="00FD723E">
        <w:t xml:space="preserve">umber of days between the date of claim lodgement and the date </w:t>
      </w:r>
      <w:r w:rsidR="00EB01F3">
        <w:t xml:space="preserve">of </w:t>
      </w:r>
      <w:r w:rsidR="00FD723E">
        <w:t>survey</w:t>
      </w:r>
      <w:r w:rsidR="00EB01F3">
        <w:t xml:space="preserve"> </w:t>
      </w:r>
      <w:r w:rsidR="00FD723E">
        <w:t>complet</w:t>
      </w:r>
      <w:r w:rsidR="00EB01F3">
        <w:t>ion</w:t>
      </w:r>
      <w:r w:rsidR="00FD723E">
        <w:t>.</w:t>
      </w:r>
      <w:r w:rsidR="00E56EC2">
        <w:t xml:space="preserve"> In the absence of any further characteristics, claim duration may be interpreted as a proxy for claim complexity.</w:t>
      </w:r>
    </w:p>
    <w:p w14:paraId="4F17003E" w14:textId="7FADBA28" w:rsidR="00FD723E" w:rsidRDefault="008F1945" w:rsidP="00011EAE">
      <w:pPr>
        <w:pStyle w:val="Bullets1"/>
        <w:spacing w:before="60" w:after="60"/>
        <w:ind w:left="850" w:hanging="425"/>
      </w:pPr>
      <w:r>
        <w:t>Up to 180 days</w:t>
      </w:r>
    </w:p>
    <w:p w14:paraId="175353ED" w14:textId="4D39A56E" w:rsidR="00FD723E" w:rsidRDefault="008F1945" w:rsidP="00011EAE">
      <w:pPr>
        <w:pStyle w:val="Bullets1"/>
        <w:spacing w:before="60" w:after="60"/>
        <w:ind w:left="850" w:hanging="425"/>
      </w:pPr>
      <w:r>
        <w:t>181 to 270 days</w:t>
      </w:r>
    </w:p>
    <w:p w14:paraId="453C4F91" w14:textId="6FA9D2D0" w:rsidR="00FD723E" w:rsidRDefault="008F1945" w:rsidP="00011EAE">
      <w:pPr>
        <w:pStyle w:val="Bullets1"/>
        <w:spacing w:before="60" w:after="60"/>
        <w:ind w:left="850" w:hanging="425"/>
      </w:pPr>
      <w:r>
        <w:t>271 to 365 days</w:t>
      </w:r>
    </w:p>
    <w:p w14:paraId="71A32D50" w14:textId="719CA16C" w:rsidR="00FD723E" w:rsidRDefault="008F1945" w:rsidP="00011EAE">
      <w:pPr>
        <w:pStyle w:val="Bullets1"/>
        <w:spacing w:before="60" w:after="60"/>
        <w:ind w:left="850" w:hanging="425"/>
      </w:pPr>
      <w:r>
        <w:t>366 to 730 days</w:t>
      </w:r>
    </w:p>
    <w:p w14:paraId="363048A6" w14:textId="712D8FFB" w:rsidR="00FD723E" w:rsidRDefault="008F1945" w:rsidP="00011EAE">
      <w:pPr>
        <w:pStyle w:val="Bullets1"/>
        <w:spacing w:before="60" w:after="60"/>
        <w:ind w:left="850" w:hanging="425"/>
      </w:pPr>
      <w:r>
        <w:t>More than 730 days</w:t>
      </w:r>
      <w:r w:rsidR="00EB01F3">
        <w:t>.</w:t>
      </w:r>
    </w:p>
    <w:p w14:paraId="674A7536" w14:textId="738F8FB9" w:rsidR="008A7ADE" w:rsidRDefault="00EB01F3" w:rsidP="00075E1D">
      <w:pPr>
        <w:pStyle w:val="Heading3"/>
      </w:pPr>
      <w:bookmarkStart w:id="26" w:name="_Toc528056012"/>
      <w:r>
        <w:t xml:space="preserve">Responses of ‘Prefer not to say’ </w:t>
      </w:r>
      <w:r w:rsidR="00E56EC2">
        <w:t xml:space="preserve">and </w:t>
      </w:r>
      <w:r>
        <w:t>‘</w:t>
      </w:r>
      <w:r w:rsidR="00E56EC2">
        <w:t>Don’t know</w:t>
      </w:r>
      <w:r>
        <w:t>’</w:t>
      </w:r>
      <w:bookmarkEnd w:id="26"/>
      <w:r w:rsidR="008A7ADE">
        <w:t xml:space="preserve"> </w:t>
      </w:r>
    </w:p>
    <w:p w14:paraId="23ADC368" w14:textId="5C6E5F93" w:rsidR="008A7ADE" w:rsidRDefault="008A7ADE" w:rsidP="008A7ADE">
      <w:pPr>
        <w:pStyle w:val="Body"/>
      </w:pPr>
      <w:r>
        <w:t xml:space="preserve">Throughout the survey, respondents </w:t>
      </w:r>
      <w:r w:rsidR="00EB01F3">
        <w:t xml:space="preserve">were able to skip past any question </w:t>
      </w:r>
      <w:r>
        <w:t xml:space="preserve">they felt uncomfortable with or were </w:t>
      </w:r>
      <w:r w:rsidR="00EB01F3">
        <w:t>unable</w:t>
      </w:r>
      <w:r>
        <w:t xml:space="preserve"> to answer</w:t>
      </w:r>
      <w:r w:rsidR="00EB01F3">
        <w:t xml:space="preserve">. Interviewers code such responses to the appropriate response-option of either </w:t>
      </w:r>
      <w:r w:rsidR="00E56EC2">
        <w:t>‘</w:t>
      </w:r>
      <w:r w:rsidR="00774E19">
        <w:t>Refused</w:t>
      </w:r>
      <w:r w:rsidR="00E56EC2">
        <w:t>’</w:t>
      </w:r>
      <w:r w:rsidR="00EB01F3">
        <w:t xml:space="preserve"> or ‘Don’t know’. As a general rule, </w:t>
      </w:r>
      <w:r w:rsidR="00774E19">
        <w:t xml:space="preserve">items where the proportion of </w:t>
      </w:r>
      <w:r w:rsidR="00EB01F3">
        <w:t>‘</w:t>
      </w:r>
      <w:r w:rsidR="00E56EC2">
        <w:t>R</w:t>
      </w:r>
      <w:r w:rsidR="00774E19">
        <w:t>efused</w:t>
      </w:r>
      <w:r w:rsidR="00EB01F3">
        <w:t>’</w:t>
      </w:r>
      <w:r w:rsidR="00E56EC2">
        <w:t xml:space="preserve"> and </w:t>
      </w:r>
      <w:r w:rsidR="00EB01F3">
        <w:t>‘</w:t>
      </w:r>
      <w:r w:rsidR="00E56EC2">
        <w:t>Don’t know</w:t>
      </w:r>
      <w:r w:rsidR="00EB01F3">
        <w:t>’</w:t>
      </w:r>
      <w:r w:rsidR="00774E19">
        <w:t xml:space="preserve"> responses </w:t>
      </w:r>
      <w:r w:rsidR="00EB01F3">
        <w:t>wa</w:t>
      </w:r>
      <w:r w:rsidR="00774E19">
        <w:t>s less than 5% for all sub-groups, these responses have been excluded from the calculation of item results.</w:t>
      </w:r>
    </w:p>
    <w:p w14:paraId="3F2D37FE" w14:textId="4F393596" w:rsidR="00C748F5" w:rsidRPr="00E56EC2" w:rsidRDefault="00C748F5" w:rsidP="008A7ADE">
      <w:pPr>
        <w:pStyle w:val="Body"/>
      </w:pPr>
      <w:r w:rsidRPr="00E56EC2">
        <w:t>For derived variables</w:t>
      </w:r>
      <w:r w:rsidR="00E56EC2">
        <w:t>, such as aggregate</w:t>
      </w:r>
      <w:r w:rsidR="00EB01F3">
        <w:t>d scores (e.g. Kessler 6 score)</w:t>
      </w:r>
      <w:r w:rsidR="00E56EC2">
        <w:t xml:space="preserve"> and mean calculations, </w:t>
      </w:r>
      <w:r w:rsidRPr="00E56EC2">
        <w:t>only valid responses have been included.</w:t>
      </w:r>
      <w:r w:rsidR="00E56EC2" w:rsidRPr="00E56EC2">
        <w:t xml:space="preserve"> </w:t>
      </w:r>
      <w:r w:rsidR="00E56EC2">
        <w:t xml:space="preserve">For these variables, </w:t>
      </w:r>
      <w:r w:rsidR="00EB01F3">
        <w:t>‘</w:t>
      </w:r>
      <w:r w:rsidR="00E56EC2" w:rsidRPr="00E56EC2">
        <w:t>Refused</w:t>
      </w:r>
      <w:r w:rsidR="00EB01F3">
        <w:t>’</w:t>
      </w:r>
      <w:r w:rsidR="00E56EC2" w:rsidRPr="00E56EC2">
        <w:t xml:space="preserve"> and </w:t>
      </w:r>
      <w:r w:rsidR="00EB01F3">
        <w:t>‘</w:t>
      </w:r>
      <w:r w:rsidR="00E56EC2" w:rsidRPr="00E56EC2">
        <w:t>Don’t know</w:t>
      </w:r>
      <w:r w:rsidR="00EB01F3">
        <w:t>’</w:t>
      </w:r>
      <w:r w:rsidR="00E56EC2" w:rsidRPr="00E56EC2">
        <w:t xml:space="preserve"> responses </w:t>
      </w:r>
      <w:r w:rsidR="00EB01F3">
        <w:t xml:space="preserve">are set </w:t>
      </w:r>
      <w:r w:rsidRPr="00E56EC2">
        <w:t>as ‘missing’ data.</w:t>
      </w:r>
      <w:r w:rsidR="00E56EC2">
        <w:t xml:space="preserve"> </w:t>
      </w:r>
      <w:r w:rsidR="00EB01F3">
        <w:t xml:space="preserve">Each table and figure in the report specifies the base for the data presented and the </w:t>
      </w:r>
      <w:r w:rsidR="00E56EC2">
        <w:t xml:space="preserve">treatment of </w:t>
      </w:r>
      <w:r w:rsidR="00EB01F3">
        <w:t>‘</w:t>
      </w:r>
      <w:r w:rsidR="00E56EC2">
        <w:t>Refused</w:t>
      </w:r>
      <w:r w:rsidR="00EB01F3">
        <w:t>’</w:t>
      </w:r>
      <w:r w:rsidR="00E56EC2">
        <w:t xml:space="preserve"> and </w:t>
      </w:r>
      <w:r w:rsidR="00C33C8C">
        <w:t>‘</w:t>
      </w:r>
      <w:r w:rsidR="00E56EC2">
        <w:t>Don’t know</w:t>
      </w:r>
      <w:r w:rsidR="00C33C8C">
        <w:t>’</w:t>
      </w:r>
      <w:r w:rsidR="00E56EC2">
        <w:t xml:space="preserve"> responses</w:t>
      </w:r>
      <w:r w:rsidR="00EB01F3">
        <w:t xml:space="preserve"> for the particular measure.</w:t>
      </w:r>
    </w:p>
    <w:p w14:paraId="3E6D7825" w14:textId="7B863920" w:rsidR="00075E1D" w:rsidRDefault="00075E1D" w:rsidP="00075E1D">
      <w:pPr>
        <w:pStyle w:val="Heading3"/>
      </w:pPr>
      <w:bookmarkStart w:id="27" w:name="_Toc528056013"/>
      <w:r w:rsidRPr="00030876">
        <w:t>S</w:t>
      </w:r>
      <w:r>
        <w:t>ignificance test</w:t>
      </w:r>
      <w:r w:rsidRPr="00030876">
        <w:t>ing</w:t>
      </w:r>
      <w:bookmarkEnd w:id="27"/>
      <w:r w:rsidRPr="00030876">
        <w:t xml:space="preserve"> </w:t>
      </w:r>
    </w:p>
    <w:p w14:paraId="0832F1A3" w14:textId="227046DC" w:rsidR="00075E1D" w:rsidRDefault="000F3C9F" w:rsidP="004B2E42">
      <w:pPr>
        <w:pStyle w:val="Body"/>
      </w:pPr>
      <w:r>
        <w:t>S</w:t>
      </w:r>
      <w:r w:rsidR="00075E1D">
        <w:t>tatistically si</w:t>
      </w:r>
      <w:r w:rsidR="004B2E42">
        <w:t>gnificant differences are indicate</w:t>
      </w:r>
      <w:r w:rsidR="00075E1D">
        <w:t>d</w:t>
      </w:r>
      <w:r>
        <w:t xml:space="preserve"> throughout the report</w:t>
      </w:r>
      <w:r w:rsidR="00075E1D">
        <w:t xml:space="preserve">. </w:t>
      </w:r>
      <w:r w:rsidR="00075E1D" w:rsidRPr="00FE2553">
        <w:t>Significance testing has been conducted at the 9</w:t>
      </w:r>
      <w:r w:rsidR="00075E1D">
        <w:t>5</w:t>
      </w:r>
      <w:r w:rsidR="00075E1D" w:rsidRPr="00FE2553">
        <w:t xml:space="preserve"> per cent confidence </w:t>
      </w:r>
      <w:r w:rsidR="00075E1D">
        <w:t>level (i.e. a p-value of &lt;=0.05).</w:t>
      </w:r>
      <w:r w:rsidR="004B2E42">
        <w:t xml:space="preserve"> </w:t>
      </w:r>
      <w:r w:rsidR="00075E1D">
        <w:t>Where an estimate is noted as being statistically significant, the interpretation is as follows:</w:t>
      </w:r>
    </w:p>
    <w:p w14:paraId="532569EF" w14:textId="20812E21" w:rsidR="00075E1D" w:rsidRDefault="00075E1D" w:rsidP="00AC6551">
      <w:pPr>
        <w:pStyle w:val="Bullets1"/>
        <w:numPr>
          <w:ilvl w:val="0"/>
          <w:numId w:val="3"/>
        </w:numPr>
      </w:pPr>
      <w:r w:rsidRPr="001E07AD">
        <w:rPr>
          <w:b/>
        </w:rPr>
        <w:t>Time series</w:t>
      </w:r>
      <w:r>
        <w:t xml:space="preserve"> – estimates have been tested against each other</w:t>
      </w:r>
      <w:r w:rsidR="00E526DE">
        <w:t xml:space="preserve"> survey</w:t>
      </w:r>
      <w:r>
        <w:t xml:space="preserve"> year </w:t>
      </w:r>
      <w:r w:rsidR="00E526DE">
        <w:t>chronologically</w:t>
      </w:r>
      <w:r>
        <w:t xml:space="preserve">. For example, </w:t>
      </w:r>
      <w:r w:rsidR="00E92B2B">
        <w:t>2018</w:t>
      </w:r>
      <w:r>
        <w:t xml:space="preserve"> vs </w:t>
      </w:r>
      <w:r w:rsidR="00E92B2B">
        <w:t>2016</w:t>
      </w:r>
      <w:r>
        <w:t xml:space="preserve">, </w:t>
      </w:r>
      <w:r w:rsidR="00E92B2B">
        <w:t>2016</w:t>
      </w:r>
      <w:r>
        <w:t xml:space="preserve"> vs 2014, 201</w:t>
      </w:r>
      <w:r w:rsidR="00E526DE">
        <w:t>4</w:t>
      </w:r>
      <w:r>
        <w:t xml:space="preserve"> vs 2013.</w:t>
      </w:r>
    </w:p>
    <w:p w14:paraId="40FB7DDA" w14:textId="287496B3" w:rsidR="00E526DE" w:rsidRDefault="00E526DE" w:rsidP="00E526DE">
      <w:pPr>
        <w:pStyle w:val="Bullets1"/>
        <w:numPr>
          <w:ilvl w:val="0"/>
          <w:numId w:val="3"/>
        </w:numPr>
      </w:pPr>
      <w:r>
        <w:rPr>
          <w:b/>
        </w:rPr>
        <w:t>Sub-groups (</w:t>
      </w:r>
      <w:r w:rsidR="00AC7A8C">
        <w:rPr>
          <w:b/>
        </w:rPr>
        <w:t>four</w:t>
      </w:r>
      <w:r>
        <w:rPr>
          <w:b/>
        </w:rPr>
        <w:t xml:space="preserve"> or more categories) </w:t>
      </w:r>
      <w:r>
        <w:t xml:space="preserve">– the estimate for a given category has been tested against the equivalent estimate for all other categories in aggregate. For example, Comcare vs all other jurisdictions. Or, to put it another way, Comcare vs (Total </w:t>
      </w:r>
      <w:r w:rsidR="004107C3">
        <w:t xml:space="preserve">- </w:t>
      </w:r>
      <w:r>
        <w:t>Comcare).</w:t>
      </w:r>
    </w:p>
    <w:p w14:paraId="0422AAB4" w14:textId="1BC60F25" w:rsidR="00E526DE" w:rsidRDefault="00E526DE" w:rsidP="00674ACE">
      <w:pPr>
        <w:pStyle w:val="Bullets1"/>
        <w:numPr>
          <w:ilvl w:val="0"/>
          <w:numId w:val="3"/>
        </w:numPr>
      </w:pPr>
      <w:r w:rsidRPr="00E526DE">
        <w:rPr>
          <w:b/>
        </w:rPr>
        <w:t>Sub-groups (</w:t>
      </w:r>
      <w:r w:rsidR="00AC7A8C">
        <w:rPr>
          <w:b/>
        </w:rPr>
        <w:t>three</w:t>
      </w:r>
      <w:r w:rsidRPr="00E526DE">
        <w:rPr>
          <w:b/>
        </w:rPr>
        <w:t xml:space="preserve"> or fewer categories) </w:t>
      </w:r>
      <w:r>
        <w:t>– the estimate for a given category has been tested against the equivalent estimate for all other categories independently. For example, Small (employer size) vs Medium vs Large.</w:t>
      </w:r>
    </w:p>
    <w:p w14:paraId="05D504C1" w14:textId="183FC82C" w:rsidR="00925795" w:rsidRDefault="00674ACE" w:rsidP="00925795">
      <w:pPr>
        <w:pStyle w:val="Body"/>
      </w:pPr>
      <w:bookmarkStart w:id="28" w:name="_Hlk523917108"/>
      <w:r w:rsidRPr="00F42ED0">
        <w:t xml:space="preserve">In tables and figures presented throughout the report, statistically significant differences are indicated by asterisks, whereby </w:t>
      </w:r>
      <w:r w:rsidRPr="00467D4A">
        <w:t xml:space="preserve">a single asterisk (*) indicates </w:t>
      </w:r>
      <w:r w:rsidRPr="00F42ED0">
        <w:t>an estimate that is significantly lower, and a double asteris</w:t>
      </w:r>
      <w:r w:rsidRPr="00467D4A">
        <w:t>k (**)</w:t>
      </w:r>
      <w:r w:rsidRPr="00F42ED0">
        <w:t xml:space="preserve"> indicates an estimate that is significantly higher. For time series data, the estimate </w:t>
      </w:r>
      <w:r w:rsidR="00821992" w:rsidRPr="00F42ED0">
        <w:t>denoted</w:t>
      </w:r>
      <w:r w:rsidRPr="00F42ED0">
        <w:t xml:space="preserve"> with an asterisk </w:t>
      </w:r>
      <w:r w:rsidR="00821992" w:rsidRPr="00F42ED0">
        <w:t xml:space="preserve">is </w:t>
      </w:r>
      <w:r w:rsidRPr="00F42ED0">
        <w:t>significant</w:t>
      </w:r>
      <w:r w:rsidR="00821992" w:rsidRPr="00F42ED0">
        <w:t>ly</w:t>
      </w:r>
      <w:r w:rsidRPr="00F42ED0">
        <w:t xml:space="preserve"> different from the immediately </w:t>
      </w:r>
      <w:r w:rsidR="00821992" w:rsidRPr="00F42ED0">
        <w:t>preceding</w:t>
      </w:r>
      <w:r w:rsidRPr="00F42ED0">
        <w:t xml:space="preserve"> period. </w:t>
      </w:r>
      <w:r w:rsidR="00821992" w:rsidRPr="00F42ED0">
        <w:t xml:space="preserve">For sub-group analysis, where </w:t>
      </w:r>
      <w:r w:rsidR="00AC7A8C">
        <w:t>four</w:t>
      </w:r>
      <w:r w:rsidR="00821992" w:rsidRPr="00F42ED0">
        <w:t xml:space="preserve"> or more sub-groups are presented, asterisks indicate an estimate which is significantly higher or lower than the aggregate of all other sub-groups. For sub-group analysis, where 3 or fewer sub-groups are presented, both the higher and lower estimates are denoted with asterisks.</w:t>
      </w:r>
      <w:bookmarkEnd w:id="28"/>
    </w:p>
    <w:p w14:paraId="335471F4" w14:textId="0311B923" w:rsidR="003B5D9B" w:rsidRDefault="003B5D9B" w:rsidP="003B5D9B">
      <w:pPr>
        <w:pStyle w:val="Body"/>
      </w:pPr>
      <w:r>
        <w:t>There are some instances in the report where an estimate might seem that it would be significant (if,</w:t>
      </w:r>
      <w:r w:rsidR="00AC7A8C">
        <w:t> </w:t>
      </w:r>
      <w:r>
        <w:t xml:space="preserve">for example, another </w:t>
      </w:r>
      <w:r w:rsidR="003E25AE">
        <w:t>estimate</w:t>
      </w:r>
      <w:r>
        <w:t xml:space="preserve"> has a similar </w:t>
      </w:r>
      <w:r w:rsidR="003E25AE">
        <w:t>value</w:t>
      </w:r>
      <w:r>
        <w:t xml:space="preserve"> and </w:t>
      </w:r>
      <w:r w:rsidR="003E25AE">
        <w:t xml:space="preserve">is indicated as </w:t>
      </w:r>
      <w:r>
        <w:t>significant) but has not been indicated as significant. This is usually due to the non-significant result having a relatively small base size and thus not meeting the requirements for a statistically significant difference.</w:t>
      </w:r>
    </w:p>
    <w:p w14:paraId="393D2A32" w14:textId="4EB5E664" w:rsidR="00664F90" w:rsidRPr="00A071BF" w:rsidRDefault="00841DAB" w:rsidP="003B5D9B">
      <w:pPr>
        <w:pStyle w:val="Heading1"/>
      </w:pPr>
      <w:bookmarkStart w:id="29" w:name="_Toc528056014"/>
      <w:r>
        <w:lastRenderedPageBreak/>
        <w:t xml:space="preserve">Sample </w:t>
      </w:r>
      <w:r w:rsidR="00FC415A">
        <w:t>C</w:t>
      </w:r>
      <w:r w:rsidR="00DC455A" w:rsidRPr="00A071BF">
        <w:t>haracteristics</w:t>
      </w:r>
      <w:bookmarkEnd w:id="29"/>
      <w:r w:rsidR="00DC455A" w:rsidRPr="00A071BF">
        <w:t xml:space="preserve"> </w:t>
      </w:r>
    </w:p>
    <w:p w14:paraId="12B81758" w14:textId="1FE4B5E6" w:rsidR="00E96605" w:rsidRDefault="00E96605" w:rsidP="00DC455A">
      <w:pPr>
        <w:pStyle w:val="Body"/>
      </w:pPr>
      <w:bookmarkStart w:id="30" w:name="_Hlk524105667"/>
      <w:r>
        <w:t>A</w:t>
      </w:r>
      <w:r w:rsidR="00EB0ADA">
        <w:t xml:space="preserve">s noted in </w:t>
      </w:r>
      <w:r w:rsidR="004107C3">
        <w:t>Section 1.4.2 ‘</w:t>
      </w:r>
      <w:r w:rsidR="004107C3" w:rsidRPr="00030876">
        <w:t>Sampl</w:t>
      </w:r>
      <w:r w:rsidR="004107C3">
        <w:t>e design and selection’</w:t>
      </w:r>
      <w:r w:rsidR="00EB0ADA">
        <w:t>, a</w:t>
      </w:r>
      <w:r>
        <w:t xml:space="preserve"> random sample of workers was selected from </w:t>
      </w:r>
      <w:r w:rsidR="00EB0ADA">
        <w:t>the population of all eligible workers</w:t>
      </w:r>
      <w:r>
        <w:t xml:space="preserve">. </w:t>
      </w:r>
      <w:r w:rsidR="00EB0ADA">
        <w:t>All s</w:t>
      </w:r>
      <w:r>
        <w:t xml:space="preserve">elected sample members had the opportunity to participate </w:t>
      </w:r>
      <w:r w:rsidR="009058CE">
        <w:t>and</w:t>
      </w:r>
      <w:r>
        <w:t xml:space="preserve"> all </w:t>
      </w:r>
      <w:r w:rsidR="00F32633">
        <w:t xml:space="preserve">were sent </w:t>
      </w:r>
      <w:r>
        <w:t xml:space="preserve">a primary approach letter (PAL) containing details of the survey and all </w:t>
      </w:r>
      <w:r w:rsidR="00EB0ADA">
        <w:t>t</w:t>
      </w:r>
      <w:r>
        <w:t xml:space="preserve">elephone numbers were attempted at least once. Participation was voluntary and no further eligibility criteria were enforced upon </w:t>
      </w:r>
      <w:r w:rsidR="00EB0ADA">
        <w:t xml:space="preserve">successfully </w:t>
      </w:r>
      <w:r>
        <w:t>contacting sample members by telephone.</w:t>
      </w:r>
    </w:p>
    <w:bookmarkEnd w:id="30"/>
    <w:p w14:paraId="52D44026" w14:textId="036C544E" w:rsidR="00145781" w:rsidRDefault="00145781" w:rsidP="00DC455A">
      <w:pPr>
        <w:pStyle w:val="Body"/>
      </w:pPr>
      <w:r>
        <w:t>Soft quota targets were in place to achieve a desired number of completed surveys for each jurisdiction which, along with size of the available population, informed the number of sample records selected for each jurisdiction.</w:t>
      </w:r>
    </w:p>
    <w:p w14:paraId="7441FA53" w14:textId="79E83076" w:rsidR="00DC455A" w:rsidRDefault="00EB0ADA" w:rsidP="00DC455A">
      <w:pPr>
        <w:pStyle w:val="Body"/>
      </w:pPr>
      <w:r>
        <w:t>Table 2</w:t>
      </w:r>
      <w:r w:rsidR="00E96605">
        <w:t xml:space="preserve"> shows the profile of the final sample (i.e. those who completed the survey) for the past four waves, across a range of demographic attributes and </w:t>
      </w:r>
      <w:r>
        <w:t xml:space="preserve">other </w:t>
      </w:r>
      <w:r w:rsidR="00E96605">
        <w:t xml:space="preserve">characteristics </w:t>
      </w:r>
      <w:r>
        <w:t>of t</w:t>
      </w:r>
      <w:r w:rsidR="00E96605">
        <w:t>he worker</w:t>
      </w:r>
      <w:r>
        <w:t xml:space="preserve">, their </w:t>
      </w:r>
      <w:r w:rsidR="00E96605">
        <w:t>work-related injury or illness</w:t>
      </w:r>
      <w:r w:rsidR="001D5FF1">
        <w:t>,</w:t>
      </w:r>
      <w:r>
        <w:t xml:space="preserve"> </w:t>
      </w:r>
      <w:r w:rsidR="00D245EA">
        <w:t>and</w:t>
      </w:r>
      <w:r>
        <w:t xml:space="preserve"> their employer</w:t>
      </w:r>
      <w:r w:rsidR="00E96605">
        <w:t>.</w:t>
      </w:r>
    </w:p>
    <w:p w14:paraId="393D2A33" w14:textId="7778614C" w:rsidR="00ED5B12" w:rsidRDefault="0021348F" w:rsidP="00D0461D">
      <w:pPr>
        <w:pStyle w:val="Caption"/>
      </w:pPr>
      <w:bookmarkStart w:id="31" w:name="_Ref524078243"/>
      <w:bookmarkStart w:id="32" w:name="_Toc528056601"/>
      <w:r>
        <w:t xml:space="preserve">Table </w:t>
      </w:r>
      <w:r w:rsidR="006A2841">
        <w:rPr>
          <w:noProof/>
        </w:rPr>
        <w:fldChar w:fldCharType="begin"/>
      </w:r>
      <w:r w:rsidR="006A2841">
        <w:rPr>
          <w:noProof/>
        </w:rPr>
        <w:instrText xml:space="preserve"> SEQ Table \* ARABIC </w:instrText>
      </w:r>
      <w:r w:rsidR="006A2841">
        <w:rPr>
          <w:noProof/>
        </w:rPr>
        <w:fldChar w:fldCharType="separate"/>
      </w:r>
      <w:r w:rsidR="00B9340A">
        <w:rPr>
          <w:noProof/>
        </w:rPr>
        <w:t>2</w:t>
      </w:r>
      <w:r w:rsidR="006A2841">
        <w:rPr>
          <w:noProof/>
        </w:rPr>
        <w:fldChar w:fldCharType="end"/>
      </w:r>
      <w:bookmarkEnd w:id="31"/>
      <w:r w:rsidR="00ED5B12">
        <w:tab/>
      </w:r>
      <w:r w:rsidR="002A1C20">
        <w:t xml:space="preserve">Sample </w:t>
      </w:r>
      <w:r w:rsidR="004D4F1C">
        <w:t>c</w:t>
      </w:r>
      <w:r w:rsidR="002A1C20">
        <w:t>haracteristics</w:t>
      </w:r>
      <w:r w:rsidR="00864789">
        <w:t xml:space="preserve"> by </w:t>
      </w:r>
      <w:r w:rsidR="004D4F1C">
        <w:t>s</w:t>
      </w:r>
      <w:r w:rsidR="00864789">
        <w:t xml:space="preserve">urvey </w:t>
      </w:r>
      <w:r w:rsidR="004D4F1C">
        <w:t>y</w:t>
      </w:r>
      <w:r w:rsidR="00864789">
        <w:t>ear (%)</w:t>
      </w:r>
      <w:bookmarkEnd w:id="32"/>
    </w:p>
    <w:tbl>
      <w:tblPr>
        <w:tblW w:w="9071" w:type="dxa"/>
        <w:tblLayout w:type="fixed"/>
        <w:tblLook w:val="04A0" w:firstRow="1" w:lastRow="0" w:firstColumn="1" w:lastColumn="0" w:noHBand="0" w:noVBand="1"/>
        <w:tblDescription w:val="This tabel presents the weighted sample characteristics for the past four waves of the survey."/>
      </w:tblPr>
      <w:tblGrid>
        <w:gridCol w:w="4535"/>
        <w:gridCol w:w="1134"/>
        <w:gridCol w:w="1134"/>
        <w:gridCol w:w="1134"/>
        <w:gridCol w:w="1134"/>
      </w:tblGrid>
      <w:tr w:rsidR="00754DA3" w:rsidRPr="008B2C65" w14:paraId="0BC46518" w14:textId="77777777" w:rsidTr="003D6248">
        <w:trPr>
          <w:trHeight w:val="80"/>
          <w:tblHeader/>
        </w:trPr>
        <w:tc>
          <w:tcPr>
            <w:tcW w:w="4535" w:type="dxa"/>
            <w:tcBorders>
              <w:top w:val="nil"/>
              <w:left w:val="nil"/>
              <w:bottom w:val="nil"/>
              <w:right w:val="nil"/>
            </w:tcBorders>
            <w:shd w:val="clear" w:color="000000" w:fill="1F698E"/>
            <w:vAlign w:val="center"/>
            <w:hideMark/>
          </w:tcPr>
          <w:p w14:paraId="69ED90D0" w14:textId="77777777" w:rsidR="00754DA3" w:rsidRPr="008B2C65" w:rsidRDefault="00754DA3" w:rsidP="003D6248">
            <w:pPr>
              <w:spacing w:before="40" w:after="40"/>
              <w:jc w:val="right"/>
              <w:rPr>
                <w:rFonts w:eastAsia="Times New Roman" w:cs="Arial"/>
                <w:b/>
                <w:bCs/>
                <w:color w:val="FFFFFF"/>
                <w:sz w:val="18"/>
                <w:szCs w:val="18"/>
                <w:lang w:eastAsia="en-AU"/>
              </w:rPr>
            </w:pPr>
            <w:r w:rsidRPr="008B2C65">
              <w:rPr>
                <w:rFonts w:eastAsia="Times New Roman" w:cs="Arial"/>
                <w:b/>
                <w:bCs/>
                <w:color w:val="FFFFFF"/>
                <w:sz w:val="18"/>
                <w:szCs w:val="18"/>
                <w:lang w:eastAsia="en-AU"/>
              </w:rPr>
              <w:t> </w:t>
            </w:r>
          </w:p>
        </w:tc>
        <w:tc>
          <w:tcPr>
            <w:tcW w:w="1134" w:type="dxa"/>
            <w:tcBorders>
              <w:top w:val="nil"/>
              <w:left w:val="nil"/>
              <w:bottom w:val="nil"/>
              <w:right w:val="nil"/>
            </w:tcBorders>
            <w:shd w:val="clear" w:color="000000" w:fill="1F698E"/>
            <w:vAlign w:val="center"/>
            <w:hideMark/>
          </w:tcPr>
          <w:p w14:paraId="59D9613D" w14:textId="77777777" w:rsidR="00754DA3" w:rsidRPr="008B2C65" w:rsidRDefault="00754DA3" w:rsidP="003D6248">
            <w:pPr>
              <w:spacing w:before="40" w:after="40"/>
              <w:jc w:val="center"/>
              <w:rPr>
                <w:rFonts w:eastAsia="Times New Roman" w:cs="Arial"/>
                <w:b/>
                <w:bCs/>
                <w:color w:val="FFFFFF"/>
                <w:sz w:val="18"/>
                <w:szCs w:val="18"/>
                <w:lang w:eastAsia="en-AU"/>
              </w:rPr>
            </w:pPr>
            <w:r w:rsidRPr="008B2C65">
              <w:rPr>
                <w:rFonts w:eastAsia="Times New Roman" w:cs="Arial"/>
                <w:b/>
                <w:bCs/>
                <w:color w:val="FFFFFF"/>
                <w:sz w:val="18"/>
                <w:szCs w:val="18"/>
                <w:lang w:eastAsia="en-AU"/>
              </w:rPr>
              <w:t>2013</w:t>
            </w:r>
          </w:p>
        </w:tc>
        <w:tc>
          <w:tcPr>
            <w:tcW w:w="1134" w:type="dxa"/>
            <w:tcBorders>
              <w:top w:val="nil"/>
              <w:left w:val="nil"/>
              <w:bottom w:val="nil"/>
              <w:right w:val="nil"/>
            </w:tcBorders>
            <w:shd w:val="clear" w:color="000000" w:fill="1F698E"/>
            <w:vAlign w:val="center"/>
            <w:hideMark/>
          </w:tcPr>
          <w:p w14:paraId="03744DA9" w14:textId="77777777" w:rsidR="00754DA3" w:rsidRPr="008B2C65" w:rsidRDefault="00754DA3" w:rsidP="003D6248">
            <w:pPr>
              <w:spacing w:before="40" w:after="40"/>
              <w:jc w:val="center"/>
              <w:rPr>
                <w:rFonts w:eastAsia="Times New Roman" w:cs="Arial"/>
                <w:b/>
                <w:bCs/>
                <w:color w:val="FFFFFF"/>
                <w:sz w:val="18"/>
                <w:szCs w:val="18"/>
                <w:lang w:eastAsia="en-AU"/>
              </w:rPr>
            </w:pPr>
            <w:r w:rsidRPr="008B2C65">
              <w:rPr>
                <w:rFonts w:eastAsia="Times New Roman" w:cs="Arial"/>
                <w:b/>
                <w:bCs/>
                <w:color w:val="FFFFFF"/>
                <w:sz w:val="18"/>
                <w:szCs w:val="18"/>
                <w:lang w:eastAsia="en-AU"/>
              </w:rPr>
              <w:t>2014</w:t>
            </w:r>
          </w:p>
        </w:tc>
        <w:tc>
          <w:tcPr>
            <w:tcW w:w="1134" w:type="dxa"/>
            <w:tcBorders>
              <w:top w:val="nil"/>
              <w:left w:val="nil"/>
              <w:bottom w:val="nil"/>
              <w:right w:val="nil"/>
            </w:tcBorders>
            <w:shd w:val="clear" w:color="000000" w:fill="1F698E"/>
            <w:vAlign w:val="center"/>
            <w:hideMark/>
          </w:tcPr>
          <w:p w14:paraId="1FD40079" w14:textId="77777777" w:rsidR="00754DA3" w:rsidRPr="008B2C65" w:rsidRDefault="00754DA3" w:rsidP="003D6248">
            <w:pPr>
              <w:spacing w:before="40" w:after="40"/>
              <w:jc w:val="center"/>
              <w:rPr>
                <w:rFonts w:eastAsia="Times New Roman" w:cs="Arial"/>
                <w:b/>
                <w:bCs/>
                <w:color w:val="FFFFFF"/>
                <w:sz w:val="18"/>
                <w:szCs w:val="18"/>
                <w:lang w:eastAsia="en-AU"/>
              </w:rPr>
            </w:pPr>
            <w:r w:rsidRPr="008B2C65">
              <w:rPr>
                <w:rFonts w:eastAsia="Times New Roman" w:cs="Arial"/>
                <w:b/>
                <w:bCs/>
                <w:color w:val="FFFFFF"/>
                <w:sz w:val="18"/>
                <w:szCs w:val="18"/>
                <w:lang w:eastAsia="en-AU"/>
              </w:rPr>
              <w:t>2016</w:t>
            </w:r>
          </w:p>
        </w:tc>
        <w:tc>
          <w:tcPr>
            <w:tcW w:w="1134" w:type="dxa"/>
            <w:tcBorders>
              <w:top w:val="nil"/>
              <w:left w:val="nil"/>
              <w:bottom w:val="nil"/>
              <w:right w:val="nil"/>
            </w:tcBorders>
            <w:shd w:val="clear" w:color="000000" w:fill="1F698E"/>
            <w:vAlign w:val="center"/>
            <w:hideMark/>
          </w:tcPr>
          <w:p w14:paraId="2322DEA7" w14:textId="77777777" w:rsidR="00754DA3" w:rsidRPr="008B2C65" w:rsidRDefault="00754DA3" w:rsidP="003D6248">
            <w:pPr>
              <w:spacing w:before="40" w:after="40"/>
              <w:jc w:val="center"/>
              <w:rPr>
                <w:rFonts w:eastAsia="Times New Roman" w:cs="Arial"/>
                <w:b/>
                <w:bCs/>
                <w:color w:val="FFFFFF"/>
                <w:sz w:val="18"/>
                <w:szCs w:val="18"/>
                <w:lang w:eastAsia="en-AU"/>
              </w:rPr>
            </w:pPr>
            <w:r w:rsidRPr="008B2C65">
              <w:rPr>
                <w:rFonts w:eastAsia="Times New Roman" w:cs="Arial"/>
                <w:b/>
                <w:bCs/>
                <w:color w:val="FFFFFF"/>
                <w:sz w:val="18"/>
                <w:szCs w:val="18"/>
                <w:lang w:eastAsia="en-AU"/>
              </w:rPr>
              <w:t>2018</w:t>
            </w:r>
          </w:p>
        </w:tc>
      </w:tr>
      <w:tr w:rsidR="00754DA3" w:rsidRPr="008B2C65" w14:paraId="673DD9D6" w14:textId="77777777" w:rsidTr="003D6248">
        <w:trPr>
          <w:trHeight w:val="80"/>
        </w:trPr>
        <w:tc>
          <w:tcPr>
            <w:tcW w:w="4535" w:type="dxa"/>
            <w:tcBorders>
              <w:top w:val="nil"/>
              <w:left w:val="nil"/>
              <w:bottom w:val="nil"/>
              <w:right w:val="nil"/>
            </w:tcBorders>
            <w:shd w:val="clear" w:color="auto" w:fill="58AEDA"/>
            <w:vAlign w:val="center"/>
            <w:hideMark/>
          </w:tcPr>
          <w:p w14:paraId="0866F495" w14:textId="77777777" w:rsidR="00754DA3" w:rsidRPr="008B2C65" w:rsidRDefault="00754DA3" w:rsidP="003D6248">
            <w:pPr>
              <w:spacing w:before="40" w:after="40"/>
              <w:rPr>
                <w:rFonts w:eastAsia="Times New Roman" w:cs="Arial"/>
                <w:b/>
                <w:bCs/>
                <w:color w:val="000000"/>
                <w:sz w:val="18"/>
                <w:szCs w:val="18"/>
                <w:lang w:eastAsia="en-AU"/>
              </w:rPr>
            </w:pPr>
            <w:r w:rsidRPr="008B2C65">
              <w:rPr>
                <w:rFonts w:eastAsia="Times New Roman" w:cs="Arial"/>
                <w:b/>
                <w:bCs/>
                <w:color w:val="000000"/>
                <w:sz w:val="18"/>
                <w:szCs w:val="18"/>
                <w:lang w:eastAsia="en-AU"/>
              </w:rPr>
              <w:t xml:space="preserve">Age </w:t>
            </w:r>
          </w:p>
        </w:tc>
        <w:tc>
          <w:tcPr>
            <w:tcW w:w="1134" w:type="dxa"/>
            <w:tcBorders>
              <w:top w:val="nil"/>
              <w:left w:val="nil"/>
              <w:bottom w:val="nil"/>
              <w:right w:val="nil"/>
            </w:tcBorders>
            <w:shd w:val="clear" w:color="auto" w:fill="58AEDA"/>
            <w:vAlign w:val="center"/>
            <w:hideMark/>
          </w:tcPr>
          <w:p w14:paraId="70C1A7B5" w14:textId="77777777" w:rsidR="00754DA3" w:rsidRPr="008B2C65" w:rsidRDefault="00754DA3" w:rsidP="003D6248">
            <w:pPr>
              <w:spacing w:before="40" w:after="40"/>
              <w:jc w:val="right"/>
              <w:rPr>
                <w:rFonts w:eastAsia="Times New Roman" w:cs="Arial"/>
                <w:b/>
                <w:bCs/>
                <w:color w:val="FFFFFF"/>
                <w:sz w:val="18"/>
                <w:szCs w:val="18"/>
                <w:lang w:eastAsia="en-AU"/>
              </w:rPr>
            </w:pPr>
            <w:r w:rsidRPr="008B2C65">
              <w:rPr>
                <w:rFonts w:eastAsia="Times New Roman" w:cs="Arial"/>
                <w:b/>
                <w:bCs/>
                <w:color w:val="FFFFFF"/>
                <w:sz w:val="18"/>
                <w:szCs w:val="18"/>
                <w:lang w:eastAsia="en-AU"/>
              </w:rPr>
              <w:t> </w:t>
            </w:r>
          </w:p>
        </w:tc>
        <w:tc>
          <w:tcPr>
            <w:tcW w:w="1134" w:type="dxa"/>
            <w:tcBorders>
              <w:top w:val="nil"/>
              <w:left w:val="nil"/>
              <w:bottom w:val="nil"/>
              <w:right w:val="nil"/>
            </w:tcBorders>
            <w:shd w:val="clear" w:color="auto" w:fill="58AEDA"/>
            <w:vAlign w:val="center"/>
            <w:hideMark/>
          </w:tcPr>
          <w:p w14:paraId="504BB1B4" w14:textId="77777777" w:rsidR="00754DA3" w:rsidRPr="008B2C65" w:rsidRDefault="00754DA3" w:rsidP="003D6248">
            <w:pPr>
              <w:spacing w:before="40" w:after="40"/>
              <w:jc w:val="right"/>
              <w:rPr>
                <w:rFonts w:eastAsia="Times New Roman" w:cs="Arial"/>
                <w:b/>
                <w:bCs/>
                <w:color w:val="FFFFFF"/>
                <w:sz w:val="18"/>
                <w:szCs w:val="18"/>
                <w:lang w:eastAsia="en-AU"/>
              </w:rPr>
            </w:pPr>
            <w:r w:rsidRPr="008B2C65">
              <w:rPr>
                <w:rFonts w:eastAsia="Times New Roman" w:cs="Arial"/>
                <w:b/>
                <w:bCs/>
                <w:color w:val="FFFFFF"/>
                <w:sz w:val="18"/>
                <w:szCs w:val="18"/>
                <w:lang w:eastAsia="en-AU"/>
              </w:rPr>
              <w:t> </w:t>
            </w:r>
          </w:p>
        </w:tc>
        <w:tc>
          <w:tcPr>
            <w:tcW w:w="1134" w:type="dxa"/>
            <w:tcBorders>
              <w:top w:val="nil"/>
              <w:left w:val="nil"/>
              <w:bottom w:val="nil"/>
              <w:right w:val="nil"/>
            </w:tcBorders>
            <w:shd w:val="clear" w:color="auto" w:fill="58AEDA"/>
            <w:vAlign w:val="center"/>
            <w:hideMark/>
          </w:tcPr>
          <w:p w14:paraId="02ED366A" w14:textId="77777777" w:rsidR="00754DA3" w:rsidRPr="008B2C65" w:rsidRDefault="00754DA3" w:rsidP="003D6248">
            <w:pPr>
              <w:spacing w:before="40" w:after="40"/>
              <w:jc w:val="right"/>
              <w:rPr>
                <w:rFonts w:eastAsia="Times New Roman" w:cs="Arial"/>
                <w:b/>
                <w:bCs/>
                <w:color w:val="FFFFFF"/>
                <w:sz w:val="18"/>
                <w:szCs w:val="18"/>
                <w:lang w:eastAsia="en-AU"/>
              </w:rPr>
            </w:pPr>
            <w:r w:rsidRPr="008B2C65">
              <w:rPr>
                <w:rFonts w:eastAsia="Times New Roman" w:cs="Arial"/>
                <w:b/>
                <w:bCs/>
                <w:color w:val="FFFFFF"/>
                <w:sz w:val="18"/>
                <w:szCs w:val="18"/>
                <w:lang w:eastAsia="en-AU"/>
              </w:rPr>
              <w:t> </w:t>
            </w:r>
          </w:p>
        </w:tc>
        <w:tc>
          <w:tcPr>
            <w:tcW w:w="1134" w:type="dxa"/>
            <w:tcBorders>
              <w:top w:val="nil"/>
              <w:left w:val="nil"/>
              <w:bottom w:val="nil"/>
              <w:right w:val="nil"/>
            </w:tcBorders>
            <w:shd w:val="clear" w:color="auto" w:fill="58AEDA"/>
            <w:vAlign w:val="center"/>
            <w:hideMark/>
          </w:tcPr>
          <w:p w14:paraId="614D22D3" w14:textId="77777777" w:rsidR="00754DA3" w:rsidRPr="008B2C65" w:rsidRDefault="00754DA3" w:rsidP="003D6248">
            <w:pPr>
              <w:spacing w:before="40" w:after="40"/>
              <w:jc w:val="right"/>
              <w:rPr>
                <w:rFonts w:eastAsia="Times New Roman" w:cs="Arial"/>
                <w:b/>
                <w:bCs/>
                <w:color w:val="FFFFFF"/>
                <w:sz w:val="18"/>
                <w:szCs w:val="18"/>
                <w:lang w:eastAsia="en-AU"/>
              </w:rPr>
            </w:pPr>
            <w:r w:rsidRPr="008B2C65">
              <w:rPr>
                <w:rFonts w:eastAsia="Times New Roman" w:cs="Arial"/>
                <w:b/>
                <w:bCs/>
                <w:color w:val="FFFFFF"/>
                <w:sz w:val="18"/>
                <w:szCs w:val="18"/>
                <w:lang w:eastAsia="en-AU"/>
              </w:rPr>
              <w:t> </w:t>
            </w:r>
          </w:p>
        </w:tc>
      </w:tr>
      <w:tr w:rsidR="00754DA3" w:rsidRPr="008B2C65" w14:paraId="2FECC1F7" w14:textId="77777777" w:rsidTr="003D6248">
        <w:trPr>
          <w:trHeight w:val="80"/>
        </w:trPr>
        <w:tc>
          <w:tcPr>
            <w:tcW w:w="4535" w:type="dxa"/>
            <w:tcBorders>
              <w:top w:val="nil"/>
              <w:left w:val="nil"/>
              <w:bottom w:val="nil"/>
              <w:right w:val="nil"/>
            </w:tcBorders>
            <w:shd w:val="clear" w:color="000000" w:fill="C7E4F3"/>
            <w:vAlign w:val="center"/>
            <w:hideMark/>
          </w:tcPr>
          <w:p w14:paraId="4ADAC7C6" w14:textId="77777777" w:rsidR="00754DA3" w:rsidRPr="008B2C65" w:rsidRDefault="00754DA3" w:rsidP="003D6248">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15 - 20 years</w:t>
            </w:r>
          </w:p>
        </w:tc>
        <w:tc>
          <w:tcPr>
            <w:tcW w:w="1134" w:type="dxa"/>
            <w:tcBorders>
              <w:top w:val="nil"/>
              <w:left w:val="nil"/>
              <w:bottom w:val="nil"/>
              <w:right w:val="nil"/>
            </w:tcBorders>
            <w:shd w:val="clear" w:color="000000" w:fill="C7E4F3"/>
            <w:vAlign w:val="bottom"/>
            <w:hideMark/>
          </w:tcPr>
          <w:p w14:paraId="462ED963" w14:textId="77777777" w:rsidR="00754DA3" w:rsidRPr="005220BD" w:rsidRDefault="00754DA3" w:rsidP="003D6248">
            <w:pPr>
              <w:spacing w:before="40" w:after="40"/>
              <w:ind w:right="227"/>
              <w:jc w:val="right"/>
              <w:rPr>
                <w:rFonts w:eastAsia="Times New Roman" w:cs="Arial"/>
                <w:color w:val="000000"/>
                <w:sz w:val="18"/>
                <w:szCs w:val="18"/>
                <w:lang w:eastAsia="en-AU"/>
              </w:rPr>
            </w:pPr>
            <w:r w:rsidRPr="005220BD">
              <w:rPr>
                <w:rFonts w:cs="Arial"/>
                <w:color w:val="000000"/>
                <w:sz w:val="18"/>
              </w:rPr>
              <w:t>3.4</w:t>
            </w:r>
          </w:p>
        </w:tc>
        <w:tc>
          <w:tcPr>
            <w:tcW w:w="1134" w:type="dxa"/>
            <w:tcBorders>
              <w:top w:val="nil"/>
              <w:left w:val="nil"/>
              <w:bottom w:val="nil"/>
              <w:right w:val="nil"/>
            </w:tcBorders>
            <w:shd w:val="clear" w:color="000000" w:fill="C7E4F3"/>
            <w:vAlign w:val="bottom"/>
            <w:hideMark/>
          </w:tcPr>
          <w:p w14:paraId="0E56785E" w14:textId="77777777" w:rsidR="00754DA3" w:rsidRPr="005220BD" w:rsidRDefault="00754DA3" w:rsidP="003D6248">
            <w:pPr>
              <w:spacing w:before="40" w:after="40"/>
              <w:ind w:right="227"/>
              <w:jc w:val="right"/>
              <w:rPr>
                <w:rFonts w:eastAsia="Times New Roman" w:cs="Arial"/>
                <w:color w:val="000000"/>
                <w:sz w:val="18"/>
                <w:szCs w:val="18"/>
                <w:lang w:eastAsia="en-AU"/>
              </w:rPr>
            </w:pPr>
            <w:r w:rsidRPr="005220BD">
              <w:rPr>
                <w:rFonts w:cs="Arial"/>
                <w:color w:val="000000"/>
                <w:sz w:val="18"/>
              </w:rPr>
              <w:t>2.4</w:t>
            </w:r>
          </w:p>
        </w:tc>
        <w:tc>
          <w:tcPr>
            <w:tcW w:w="1134" w:type="dxa"/>
            <w:tcBorders>
              <w:top w:val="nil"/>
              <w:left w:val="nil"/>
              <w:bottom w:val="nil"/>
              <w:right w:val="nil"/>
            </w:tcBorders>
            <w:shd w:val="clear" w:color="000000" w:fill="C7E4F3"/>
            <w:vAlign w:val="bottom"/>
            <w:hideMark/>
          </w:tcPr>
          <w:p w14:paraId="265479FA" w14:textId="77777777" w:rsidR="00754DA3" w:rsidRPr="005220BD" w:rsidRDefault="00754DA3" w:rsidP="003D6248">
            <w:pPr>
              <w:spacing w:before="40" w:after="40"/>
              <w:ind w:right="227"/>
              <w:jc w:val="right"/>
              <w:rPr>
                <w:rFonts w:eastAsia="Times New Roman" w:cs="Arial"/>
                <w:color w:val="000000"/>
                <w:sz w:val="18"/>
                <w:szCs w:val="18"/>
                <w:lang w:eastAsia="en-AU"/>
              </w:rPr>
            </w:pPr>
            <w:r w:rsidRPr="005220BD">
              <w:rPr>
                <w:rFonts w:cs="Arial"/>
                <w:color w:val="000000"/>
                <w:sz w:val="18"/>
              </w:rPr>
              <w:t>2.1</w:t>
            </w:r>
          </w:p>
        </w:tc>
        <w:tc>
          <w:tcPr>
            <w:tcW w:w="1134" w:type="dxa"/>
            <w:tcBorders>
              <w:top w:val="nil"/>
              <w:left w:val="nil"/>
              <w:bottom w:val="nil"/>
              <w:right w:val="nil"/>
            </w:tcBorders>
            <w:shd w:val="clear" w:color="000000" w:fill="C7E4F3"/>
            <w:vAlign w:val="bottom"/>
            <w:hideMark/>
          </w:tcPr>
          <w:p w14:paraId="11D83EC5" w14:textId="77777777" w:rsidR="00754DA3" w:rsidRPr="005220BD" w:rsidRDefault="00754DA3" w:rsidP="003D6248">
            <w:pPr>
              <w:spacing w:before="40" w:after="40"/>
              <w:ind w:right="227"/>
              <w:jc w:val="right"/>
              <w:rPr>
                <w:rFonts w:eastAsia="Times New Roman" w:cs="Arial"/>
                <w:color w:val="000000"/>
                <w:sz w:val="18"/>
                <w:szCs w:val="18"/>
                <w:lang w:eastAsia="en-AU"/>
              </w:rPr>
            </w:pPr>
            <w:r w:rsidRPr="005220BD">
              <w:rPr>
                <w:rFonts w:cs="Arial"/>
                <w:color w:val="000000"/>
                <w:sz w:val="18"/>
              </w:rPr>
              <w:t>2.8</w:t>
            </w:r>
          </w:p>
        </w:tc>
      </w:tr>
      <w:tr w:rsidR="00754DA3" w:rsidRPr="008B2C65" w14:paraId="7A0AE66A" w14:textId="77777777" w:rsidTr="003D6248">
        <w:trPr>
          <w:trHeight w:val="80"/>
        </w:trPr>
        <w:tc>
          <w:tcPr>
            <w:tcW w:w="4535" w:type="dxa"/>
            <w:tcBorders>
              <w:top w:val="nil"/>
              <w:left w:val="nil"/>
              <w:bottom w:val="nil"/>
              <w:right w:val="nil"/>
            </w:tcBorders>
            <w:shd w:val="clear" w:color="auto" w:fill="auto"/>
            <w:vAlign w:val="center"/>
            <w:hideMark/>
          </w:tcPr>
          <w:p w14:paraId="28D9F5A0" w14:textId="77777777" w:rsidR="00754DA3" w:rsidRPr="008B2C65" w:rsidRDefault="00754DA3" w:rsidP="003D6248">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21 - 30 years</w:t>
            </w:r>
          </w:p>
        </w:tc>
        <w:tc>
          <w:tcPr>
            <w:tcW w:w="1134" w:type="dxa"/>
            <w:tcBorders>
              <w:top w:val="nil"/>
              <w:left w:val="nil"/>
              <w:bottom w:val="nil"/>
              <w:right w:val="nil"/>
            </w:tcBorders>
            <w:shd w:val="clear" w:color="auto" w:fill="auto"/>
            <w:vAlign w:val="bottom"/>
          </w:tcPr>
          <w:p w14:paraId="4CB0CD3F" w14:textId="77777777" w:rsidR="00754DA3" w:rsidRPr="005220BD" w:rsidRDefault="00754DA3" w:rsidP="003D6248">
            <w:pPr>
              <w:spacing w:before="40" w:after="40"/>
              <w:ind w:right="227"/>
              <w:jc w:val="right"/>
              <w:rPr>
                <w:rFonts w:eastAsia="Times New Roman" w:cs="Arial"/>
                <w:color w:val="000000"/>
                <w:sz w:val="18"/>
                <w:szCs w:val="18"/>
                <w:lang w:eastAsia="en-AU"/>
              </w:rPr>
            </w:pPr>
            <w:r w:rsidRPr="005220BD">
              <w:rPr>
                <w:rFonts w:cs="Arial"/>
                <w:color w:val="000000"/>
                <w:sz w:val="18"/>
              </w:rPr>
              <w:t>15.2</w:t>
            </w:r>
          </w:p>
        </w:tc>
        <w:tc>
          <w:tcPr>
            <w:tcW w:w="1134" w:type="dxa"/>
            <w:tcBorders>
              <w:top w:val="nil"/>
              <w:left w:val="nil"/>
              <w:bottom w:val="nil"/>
              <w:right w:val="nil"/>
            </w:tcBorders>
            <w:shd w:val="clear" w:color="auto" w:fill="auto"/>
            <w:vAlign w:val="bottom"/>
          </w:tcPr>
          <w:p w14:paraId="35BEC6B9" w14:textId="77777777" w:rsidR="00754DA3" w:rsidRPr="005220BD" w:rsidRDefault="00754DA3" w:rsidP="003D6248">
            <w:pPr>
              <w:spacing w:before="40" w:after="40"/>
              <w:ind w:right="227"/>
              <w:jc w:val="right"/>
              <w:rPr>
                <w:rFonts w:eastAsia="Times New Roman" w:cs="Arial"/>
                <w:color w:val="000000"/>
                <w:sz w:val="18"/>
                <w:szCs w:val="18"/>
                <w:lang w:eastAsia="en-AU"/>
              </w:rPr>
            </w:pPr>
            <w:r w:rsidRPr="005220BD">
              <w:rPr>
                <w:rFonts w:cs="Arial"/>
                <w:color w:val="000000"/>
                <w:sz w:val="18"/>
              </w:rPr>
              <w:t>16.4</w:t>
            </w:r>
          </w:p>
        </w:tc>
        <w:tc>
          <w:tcPr>
            <w:tcW w:w="1134" w:type="dxa"/>
            <w:tcBorders>
              <w:top w:val="nil"/>
              <w:left w:val="nil"/>
              <w:bottom w:val="nil"/>
              <w:right w:val="nil"/>
            </w:tcBorders>
            <w:shd w:val="clear" w:color="auto" w:fill="auto"/>
            <w:vAlign w:val="bottom"/>
          </w:tcPr>
          <w:p w14:paraId="72DA8311" w14:textId="77777777" w:rsidR="00754DA3" w:rsidRPr="005220BD" w:rsidRDefault="00754DA3" w:rsidP="003D6248">
            <w:pPr>
              <w:spacing w:before="40" w:after="40"/>
              <w:ind w:right="227"/>
              <w:jc w:val="right"/>
              <w:rPr>
                <w:rFonts w:eastAsia="Times New Roman" w:cs="Arial"/>
                <w:color w:val="000000"/>
                <w:sz w:val="18"/>
                <w:szCs w:val="18"/>
                <w:lang w:eastAsia="en-AU"/>
              </w:rPr>
            </w:pPr>
            <w:r w:rsidRPr="005220BD">
              <w:rPr>
                <w:rFonts w:cs="Arial"/>
                <w:color w:val="000000"/>
                <w:sz w:val="18"/>
              </w:rPr>
              <w:t>14.7</w:t>
            </w:r>
          </w:p>
        </w:tc>
        <w:tc>
          <w:tcPr>
            <w:tcW w:w="1134" w:type="dxa"/>
            <w:tcBorders>
              <w:top w:val="nil"/>
              <w:left w:val="nil"/>
              <w:bottom w:val="nil"/>
              <w:right w:val="nil"/>
            </w:tcBorders>
            <w:shd w:val="clear" w:color="auto" w:fill="auto"/>
            <w:vAlign w:val="bottom"/>
          </w:tcPr>
          <w:p w14:paraId="43E3178A" w14:textId="77777777" w:rsidR="00754DA3" w:rsidRPr="005220BD" w:rsidRDefault="00754DA3" w:rsidP="003D6248">
            <w:pPr>
              <w:spacing w:before="40" w:after="40"/>
              <w:ind w:right="227"/>
              <w:jc w:val="right"/>
              <w:rPr>
                <w:rFonts w:eastAsia="Times New Roman" w:cs="Arial"/>
                <w:color w:val="000000"/>
                <w:sz w:val="18"/>
                <w:szCs w:val="18"/>
                <w:lang w:eastAsia="en-AU"/>
              </w:rPr>
            </w:pPr>
            <w:r w:rsidRPr="005220BD">
              <w:rPr>
                <w:rFonts w:cs="Arial"/>
                <w:color w:val="000000"/>
                <w:sz w:val="18"/>
              </w:rPr>
              <w:t>17.4</w:t>
            </w:r>
          </w:p>
        </w:tc>
      </w:tr>
      <w:tr w:rsidR="00754DA3" w:rsidRPr="008B2C65" w14:paraId="646509AA" w14:textId="77777777" w:rsidTr="003D6248">
        <w:trPr>
          <w:trHeight w:val="80"/>
        </w:trPr>
        <w:tc>
          <w:tcPr>
            <w:tcW w:w="4535" w:type="dxa"/>
            <w:tcBorders>
              <w:top w:val="nil"/>
              <w:left w:val="nil"/>
              <w:bottom w:val="nil"/>
              <w:right w:val="nil"/>
            </w:tcBorders>
            <w:shd w:val="clear" w:color="000000" w:fill="C7E4F3"/>
            <w:vAlign w:val="center"/>
          </w:tcPr>
          <w:p w14:paraId="0F36762F" w14:textId="77777777" w:rsidR="00754DA3" w:rsidRPr="008B2C65" w:rsidRDefault="00754DA3" w:rsidP="003D6248">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31 - 40 years</w:t>
            </w:r>
          </w:p>
        </w:tc>
        <w:tc>
          <w:tcPr>
            <w:tcW w:w="1134" w:type="dxa"/>
            <w:tcBorders>
              <w:top w:val="nil"/>
              <w:left w:val="nil"/>
              <w:bottom w:val="nil"/>
              <w:right w:val="nil"/>
            </w:tcBorders>
            <w:shd w:val="clear" w:color="000000" w:fill="C7E4F3"/>
            <w:vAlign w:val="bottom"/>
          </w:tcPr>
          <w:p w14:paraId="37609E59" w14:textId="77777777" w:rsidR="00754DA3" w:rsidRPr="005220BD" w:rsidRDefault="00754DA3" w:rsidP="003D6248">
            <w:pPr>
              <w:spacing w:before="40" w:after="40"/>
              <w:ind w:right="227"/>
              <w:jc w:val="right"/>
              <w:rPr>
                <w:rFonts w:eastAsia="Times New Roman" w:cs="Arial"/>
                <w:color w:val="000000"/>
                <w:sz w:val="18"/>
                <w:szCs w:val="18"/>
                <w:lang w:eastAsia="en-AU"/>
              </w:rPr>
            </w:pPr>
            <w:r w:rsidRPr="005220BD">
              <w:rPr>
                <w:rFonts w:cs="Arial"/>
                <w:color w:val="000000"/>
                <w:sz w:val="18"/>
              </w:rPr>
              <w:t>18.0</w:t>
            </w:r>
          </w:p>
        </w:tc>
        <w:tc>
          <w:tcPr>
            <w:tcW w:w="1134" w:type="dxa"/>
            <w:tcBorders>
              <w:top w:val="nil"/>
              <w:left w:val="nil"/>
              <w:bottom w:val="nil"/>
              <w:right w:val="nil"/>
            </w:tcBorders>
            <w:shd w:val="clear" w:color="000000" w:fill="C7E4F3"/>
            <w:vAlign w:val="bottom"/>
          </w:tcPr>
          <w:p w14:paraId="10A79BCB" w14:textId="77777777" w:rsidR="00754DA3" w:rsidRPr="005220BD" w:rsidRDefault="00754DA3" w:rsidP="003D6248">
            <w:pPr>
              <w:spacing w:before="40" w:after="40"/>
              <w:ind w:right="227"/>
              <w:jc w:val="right"/>
              <w:rPr>
                <w:rFonts w:eastAsia="Times New Roman" w:cs="Arial"/>
                <w:color w:val="000000"/>
                <w:sz w:val="18"/>
                <w:szCs w:val="18"/>
                <w:lang w:eastAsia="en-AU"/>
              </w:rPr>
            </w:pPr>
            <w:r w:rsidRPr="005220BD">
              <w:rPr>
                <w:rFonts w:cs="Arial"/>
                <w:color w:val="000000"/>
                <w:sz w:val="18"/>
              </w:rPr>
              <w:t>17.2</w:t>
            </w:r>
          </w:p>
        </w:tc>
        <w:tc>
          <w:tcPr>
            <w:tcW w:w="1134" w:type="dxa"/>
            <w:tcBorders>
              <w:top w:val="nil"/>
              <w:left w:val="nil"/>
              <w:bottom w:val="nil"/>
              <w:right w:val="nil"/>
            </w:tcBorders>
            <w:shd w:val="clear" w:color="000000" w:fill="C7E4F3"/>
            <w:vAlign w:val="bottom"/>
          </w:tcPr>
          <w:p w14:paraId="09107DF6" w14:textId="77777777" w:rsidR="00754DA3" w:rsidRPr="005220BD" w:rsidRDefault="00754DA3" w:rsidP="003D6248">
            <w:pPr>
              <w:spacing w:before="40" w:after="40"/>
              <w:ind w:right="227"/>
              <w:jc w:val="right"/>
              <w:rPr>
                <w:rFonts w:eastAsia="Times New Roman" w:cs="Arial"/>
                <w:color w:val="000000"/>
                <w:sz w:val="18"/>
                <w:szCs w:val="18"/>
                <w:lang w:eastAsia="en-AU"/>
              </w:rPr>
            </w:pPr>
            <w:r w:rsidRPr="005220BD">
              <w:rPr>
                <w:rFonts w:cs="Arial"/>
                <w:color w:val="000000"/>
                <w:sz w:val="18"/>
              </w:rPr>
              <w:t>17.1</w:t>
            </w:r>
          </w:p>
        </w:tc>
        <w:tc>
          <w:tcPr>
            <w:tcW w:w="1134" w:type="dxa"/>
            <w:tcBorders>
              <w:top w:val="nil"/>
              <w:left w:val="nil"/>
              <w:bottom w:val="nil"/>
              <w:right w:val="nil"/>
            </w:tcBorders>
            <w:shd w:val="clear" w:color="000000" w:fill="C7E4F3"/>
            <w:vAlign w:val="bottom"/>
          </w:tcPr>
          <w:p w14:paraId="58BCF738" w14:textId="77777777" w:rsidR="00754DA3" w:rsidRPr="005220BD" w:rsidRDefault="00754DA3" w:rsidP="003D6248">
            <w:pPr>
              <w:spacing w:before="40" w:after="40"/>
              <w:ind w:right="227"/>
              <w:jc w:val="right"/>
              <w:rPr>
                <w:rFonts w:eastAsia="Times New Roman" w:cs="Arial"/>
                <w:color w:val="000000"/>
                <w:sz w:val="18"/>
                <w:szCs w:val="18"/>
                <w:lang w:eastAsia="en-AU"/>
              </w:rPr>
            </w:pPr>
            <w:r w:rsidRPr="005220BD">
              <w:rPr>
                <w:rFonts w:cs="Arial"/>
                <w:color w:val="000000"/>
                <w:sz w:val="18"/>
              </w:rPr>
              <w:t>15.0</w:t>
            </w:r>
          </w:p>
        </w:tc>
      </w:tr>
      <w:tr w:rsidR="00754DA3" w:rsidRPr="008B2C65" w14:paraId="3365AFD1" w14:textId="77777777" w:rsidTr="003D6248">
        <w:trPr>
          <w:trHeight w:val="80"/>
        </w:trPr>
        <w:tc>
          <w:tcPr>
            <w:tcW w:w="4535" w:type="dxa"/>
            <w:tcBorders>
              <w:top w:val="nil"/>
              <w:left w:val="nil"/>
              <w:bottom w:val="nil"/>
              <w:right w:val="nil"/>
            </w:tcBorders>
            <w:shd w:val="clear" w:color="auto" w:fill="auto"/>
            <w:vAlign w:val="center"/>
            <w:hideMark/>
          </w:tcPr>
          <w:p w14:paraId="1330B54C" w14:textId="77777777" w:rsidR="00754DA3" w:rsidRPr="008B2C65" w:rsidRDefault="00754DA3" w:rsidP="003D6248">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41 - 50 years</w:t>
            </w:r>
          </w:p>
        </w:tc>
        <w:tc>
          <w:tcPr>
            <w:tcW w:w="1134" w:type="dxa"/>
            <w:tcBorders>
              <w:top w:val="nil"/>
              <w:left w:val="nil"/>
              <w:bottom w:val="nil"/>
              <w:right w:val="nil"/>
            </w:tcBorders>
            <w:shd w:val="clear" w:color="auto" w:fill="auto"/>
            <w:vAlign w:val="bottom"/>
          </w:tcPr>
          <w:p w14:paraId="4EA7E5B9" w14:textId="77777777" w:rsidR="00754DA3" w:rsidRPr="005220BD" w:rsidRDefault="00754DA3" w:rsidP="003D6248">
            <w:pPr>
              <w:spacing w:before="40" w:after="40"/>
              <w:ind w:right="227"/>
              <w:jc w:val="right"/>
              <w:rPr>
                <w:rFonts w:eastAsia="Times New Roman" w:cs="Arial"/>
                <w:sz w:val="18"/>
                <w:szCs w:val="18"/>
                <w:lang w:eastAsia="en-AU"/>
              </w:rPr>
            </w:pPr>
            <w:r w:rsidRPr="005220BD">
              <w:rPr>
                <w:rFonts w:cs="Arial"/>
                <w:color w:val="000000"/>
                <w:sz w:val="18"/>
              </w:rPr>
              <w:t>26.1</w:t>
            </w:r>
          </w:p>
        </w:tc>
        <w:tc>
          <w:tcPr>
            <w:tcW w:w="1134" w:type="dxa"/>
            <w:tcBorders>
              <w:top w:val="nil"/>
              <w:left w:val="nil"/>
              <w:bottom w:val="nil"/>
              <w:right w:val="nil"/>
            </w:tcBorders>
            <w:shd w:val="clear" w:color="auto" w:fill="auto"/>
            <w:vAlign w:val="bottom"/>
          </w:tcPr>
          <w:p w14:paraId="1A24BE21" w14:textId="77777777" w:rsidR="00754DA3" w:rsidRPr="005220BD" w:rsidRDefault="00754DA3" w:rsidP="003D6248">
            <w:pPr>
              <w:spacing w:before="40" w:after="40"/>
              <w:ind w:right="227"/>
              <w:jc w:val="right"/>
              <w:rPr>
                <w:rFonts w:eastAsia="Times New Roman" w:cs="Arial"/>
                <w:sz w:val="18"/>
                <w:szCs w:val="18"/>
                <w:lang w:eastAsia="en-AU"/>
              </w:rPr>
            </w:pPr>
            <w:r w:rsidRPr="005220BD">
              <w:rPr>
                <w:rFonts w:cs="Arial"/>
                <w:color w:val="000000"/>
                <w:sz w:val="18"/>
              </w:rPr>
              <w:t>26.1</w:t>
            </w:r>
          </w:p>
        </w:tc>
        <w:tc>
          <w:tcPr>
            <w:tcW w:w="1134" w:type="dxa"/>
            <w:tcBorders>
              <w:top w:val="nil"/>
              <w:left w:val="nil"/>
              <w:bottom w:val="nil"/>
              <w:right w:val="nil"/>
            </w:tcBorders>
            <w:shd w:val="clear" w:color="auto" w:fill="auto"/>
            <w:vAlign w:val="bottom"/>
          </w:tcPr>
          <w:p w14:paraId="0E9EBC40" w14:textId="77777777" w:rsidR="00754DA3" w:rsidRPr="005220BD" w:rsidRDefault="00754DA3" w:rsidP="003D6248">
            <w:pPr>
              <w:spacing w:before="40" w:after="40"/>
              <w:ind w:right="227"/>
              <w:jc w:val="right"/>
              <w:rPr>
                <w:rFonts w:eastAsia="Times New Roman" w:cs="Arial"/>
                <w:sz w:val="18"/>
                <w:szCs w:val="18"/>
                <w:lang w:eastAsia="en-AU"/>
              </w:rPr>
            </w:pPr>
            <w:r w:rsidRPr="005220BD">
              <w:rPr>
                <w:rFonts w:cs="Arial"/>
                <w:color w:val="000000"/>
                <w:sz w:val="18"/>
              </w:rPr>
              <w:t>23.9</w:t>
            </w:r>
          </w:p>
        </w:tc>
        <w:tc>
          <w:tcPr>
            <w:tcW w:w="1134" w:type="dxa"/>
            <w:tcBorders>
              <w:top w:val="nil"/>
              <w:left w:val="nil"/>
              <w:bottom w:val="nil"/>
              <w:right w:val="nil"/>
            </w:tcBorders>
            <w:shd w:val="clear" w:color="auto" w:fill="auto"/>
            <w:vAlign w:val="bottom"/>
          </w:tcPr>
          <w:p w14:paraId="7AA8A8EE" w14:textId="77777777" w:rsidR="00754DA3" w:rsidRPr="005220BD" w:rsidRDefault="00754DA3" w:rsidP="003D6248">
            <w:pPr>
              <w:spacing w:before="40" w:after="40"/>
              <w:ind w:right="227"/>
              <w:jc w:val="right"/>
              <w:rPr>
                <w:rFonts w:eastAsia="Times New Roman" w:cs="Arial"/>
                <w:sz w:val="18"/>
                <w:szCs w:val="18"/>
                <w:lang w:eastAsia="en-AU"/>
              </w:rPr>
            </w:pPr>
            <w:r w:rsidRPr="005220BD">
              <w:rPr>
                <w:rFonts w:cs="Arial"/>
                <w:color w:val="000000"/>
                <w:sz w:val="18"/>
              </w:rPr>
              <w:t>22.4</w:t>
            </w:r>
          </w:p>
        </w:tc>
      </w:tr>
      <w:tr w:rsidR="00754DA3" w:rsidRPr="008B2C65" w14:paraId="1F9517A1" w14:textId="77777777" w:rsidTr="003D6248">
        <w:trPr>
          <w:trHeight w:val="80"/>
        </w:trPr>
        <w:tc>
          <w:tcPr>
            <w:tcW w:w="4535" w:type="dxa"/>
            <w:tcBorders>
              <w:top w:val="nil"/>
              <w:left w:val="nil"/>
              <w:bottom w:val="nil"/>
              <w:right w:val="nil"/>
            </w:tcBorders>
            <w:shd w:val="clear" w:color="000000" w:fill="C7E4F3"/>
            <w:vAlign w:val="center"/>
            <w:hideMark/>
          </w:tcPr>
          <w:p w14:paraId="5F16BA6B" w14:textId="77777777" w:rsidR="00754DA3" w:rsidRPr="008B2C65" w:rsidRDefault="00754DA3" w:rsidP="003D6248">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51 - 60 years</w:t>
            </w:r>
          </w:p>
        </w:tc>
        <w:tc>
          <w:tcPr>
            <w:tcW w:w="1134" w:type="dxa"/>
            <w:tcBorders>
              <w:top w:val="nil"/>
              <w:left w:val="nil"/>
              <w:bottom w:val="nil"/>
              <w:right w:val="nil"/>
            </w:tcBorders>
            <w:shd w:val="clear" w:color="000000" w:fill="C7E4F3"/>
            <w:vAlign w:val="bottom"/>
          </w:tcPr>
          <w:p w14:paraId="05FA7E61" w14:textId="77777777" w:rsidR="00754DA3" w:rsidRPr="005220BD" w:rsidRDefault="00754DA3" w:rsidP="003D6248">
            <w:pPr>
              <w:spacing w:before="40" w:after="40"/>
              <w:ind w:right="227"/>
              <w:jc w:val="right"/>
              <w:rPr>
                <w:rFonts w:eastAsia="Times New Roman" w:cs="Arial"/>
                <w:sz w:val="18"/>
                <w:szCs w:val="18"/>
                <w:lang w:eastAsia="en-AU"/>
              </w:rPr>
            </w:pPr>
            <w:r w:rsidRPr="005220BD">
              <w:rPr>
                <w:rFonts w:cs="Arial"/>
                <w:color w:val="000000"/>
                <w:sz w:val="18"/>
              </w:rPr>
              <w:t>27.2</w:t>
            </w:r>
          </w:p>
        </w:tc>
        <w:tc>
          <w:tcPr>
            <w:tcW w:w="1134" w:type="dxa"/>
            <w:tcBorders>
              <w:top w:val="nil"/>
              <w:left w:val="nil"/>
              <w:bottom w:val="nil"/>
              <w:right w:val="nil"/>
            </w:tcBorders>
            <w:shd w:val="clear" w:color="000000" w:fill="C7E4F3"/>
            <w:vAlign w:val="bottom"/>
          </w:tcPr>
          <w:p w14:paraId="75CF0B1A" w14:textId="77777777" w:rsidR="00754DA3" w:rsidRPr="005220BD" w:rsidRDefault="00754DA3" w:rsidP="003D6248">
            <w:pPr>
              <w:spacing w:before="40" w:after="40"/>
              <w:ind w:right="227"/>
              <w:jc w:val="right"/>
              <w:rPr>
                <w:rFonts w:eastAsia="Times New Roman" w:cs="Arial"/>
                <w:sz w:val="18"/>
                <w:szCs w:val="18"/>
                <w:lang w:eastAsia="en-AU"/>
              </w:rPr>
            </w:pPr>
            <w:r w:rsidRPr="005220BD">
              <w:rPr>
                <w:rFonts w:cs="Arial"/>
                <w:color w:val="000000"/>
                <w:sz w:val="18"/>
              </w:rPr>
              <w:t>26.8</w:t>
            </w:r>
          </w:p>
        </w:tc>
        <w:tc>
          <w:tcPr>
            <w:tcW w:w="1134" w:type="dxa"/>
            <w:tcBorders>
              <w:top w:val="nil"/>
              <w:left w:val="nil"/>
              <w:bottom w:val="nil"/>
              <w:right w:val="nil"/>
            </w:tcBorders>
            <w:shd w:val="clear" w:color="000000" w:fill="C7E4F3"/>
            <w:vAlign w:val="bottom"/>
          </w:tcPr>
          <w:p w14:paraId="22E9E9AC" w14:textId="77777777" w:rsidR="00754DA3" w:rsidRPr="005220BD" w:rsidRDefault="00754DA3" w:rsidP="003D6248">
            <w:pPr>
              <w:spacing w:before="40" w:after="40"/>
              <w:ind w:right="227"/>
              <w:jc w:val="right"/>
              <w:rPr>
                <w:rFonts w:eastAsia="Times New Roman" w:cs="Arial"/>
                <w:sz w:val="18"/>
                <w:szCs w:val="18"/>
                <w:lang w:eastAsia="en-AU"/>
              </w:rPr>
            </w:pPr>
            <w:r w:rsidRPr="005220BD">
              <w:rPr>
                <w:rFonts w:cs="Arial"/>
                <w:color w:val="000000"/>
                <w:sz w:val="18"/>
              </w:rPr>
              <w:t>28.9</w:t>
            </w:r>
          </w:p>
        </w:tc>
        <w:tc>
          <w:tcPr>
            <w:tcW w:w="1134" w:type="dxa"/>
            <w:tcBorders>
              <w:top w:val="nil"/>
              <w:left w:val="nil"/>
              <w:bottom w:val="nil"/>
              <w:right w:val="nil"/>
            </w:tcBorders>
            <w:shd w:val="clear" w:color="000000" w:fill="C7E4F3"/>
            <w:vAlign w:val="bottom"/>
          </w:tcPr>
          <w:p w14:paraId="02B61D77" w14:textId="77777777" w:rsidR="00754DA3" w:rsidRPr="005220BD" w:rsidRDefault="00754DA3" w:rsidP="003D6248">
            <w:pPr>
              <w:spacing w:before="40" w:after="40"/>
              <w:ind w:right="227"/>
              <w:jc w:val="right"/>
              <w:rPr>
                <w:rFonts w:eastAsia="Times New Roman" w:cs="Arial"/>
                <w:sz w:val="18"/>
                <w:szCs w:val="18"/>
                <w:lang w:eastAsia="en-AU"/>
              </w:rPr>
            </w:pPr>
            <w:r w:rsidRPr="005220BD">
              <w:rPr>
                <w:rFonts w:cs="Arial"/>
                <w:color w:val="000000"/>
                <w:sz w:val="18"/>
              </w:rPr>
              <w:t>29.5</w:t>
            </w:r>
          </w:p>
        </w:tc>
      </w:tr>
      <w:tr w:rsidR="00754DA3" w:rsidRPr="008B2C65" w14:paraId="19A43930" w14:textId="77777777" w:rsidTr="003D6248">
        <w:trPr>
          <w:trHeight w:val="80"/>
        </w:trPr>
        <w:tc>
          <w:tcPr>
            <w:tcW w:w="4535" w:type="dxa"/>
            <w:tcBorders>
              <w:top w:val="nil"/>
              <w:left w:val="nil"/>
              <w:bottom w:val="nil"/>
              <w:right w:val="nil"/>
            </w:tcBorders>
            <w:shd w:val="clear" w:color="auto" w:fill="auto"/>
            <w:vAlign w:val="center"/>
            <w:hideMark/>
          </w:tcPr>
          <w:p w14:paraId="35B83436" w14:textId="77777777" w:rsidR="00754DA3" w:rsidRPr="008B2C65" w:rsidRDefault="00754DA3" w:rsidP="003D6248">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61 - 79 years</w:t>
            </w:r>
          </w:p>
        </w:tc>
        <w:tc>
          <w:tcPr>
            <w:tcW w:w="1134" w:type="dxa"/>
            <w:tcBorders>
              <w:top w:val="nil"/>
              <w:left w:val="nil"/>
              <w:bottom w:val="nil"/>
              <w:right w:val="nil"/>
            </w:tcBorders>
            <w:shd w:val="clear" w:color="auto" w:fill="auto"/>
            <w:vAlign w:val="bottom"/>
            <w:hideMark/>
          </w:tcPr>
          <w:p w14:paraId="76B7D959" w14:textId="77777777" w:rsidR="00754DA3" w:rsidRPr="005220BD" w:rsidRDefault="00754DA3" w:rsidP="003D6248">
            <w:pPr>
              <w:spacing w:before="40" w:after="40"/>
              <w:ind w:right="227"/>
              <w:jc w:val="right"/>
              <w:rPr>
                <w:rFonts w:eastAsia="Times New Roman" w:cs="Arial"/>
                <w:sz w:val="18"/>
                <w:szCs w:val="18"/>
                <w:lang w:eastAsia="en-AU"/>
              </w:rPr>
            </w:pPr>
            <w:r w:rsidRPr="005220BD">
              <w:rPr>
                <w:rFonts w:cs="Arial"/>
                <w:color w:val="000000"/>
                <w:sz w:val="18"/>
              </w:rPr>
              <w:t>10.1</w:t>
            </w:r>
          </w:p>
        </w:tc>
        <w:tc>
          <w:tcPr>
            <w:tcW w:w="1134" w:type="dxa"/>
            <w:tcBorders>
              <w:top w:val="nil"/>
              <w:left w:val="nil"/>
              <w:bottom w:val="nil"/>
              <w:right w:val="nil"/>
            </w:tcBorders>
            <w:shd w:val="clear" w:color="auto" w:fill="auto"/>
            <w:vAlign w:val="bottom"/>
            <w:hideMark/>
          </w:tcPr>
          <w:p w14:paraId="061A3474" w14:textId="77777777" w:rsidR="00754DA3" w:rsidRPr="005220BD" w:rsidRDefault="00754DA3" w:rsidP="003D6248">
            <w:pPr>
              <w:spacing w:before="40" w:after="40"/>
              <w:ind w:right="227"/>
              <w:jc w:val="right"/>
              <w:rPr>
                <w:rFonts w:eastAsia="Times New Roman" w:cs="Arial"/>
                <w:sz w:val="18"/>
                <w:szCs w:val="18"/>
                <w:lang w:eastAsia="en-AU"/>
              </w:rPr>
            </w:pPr>
            <w:r w:rsidRPr="005220BD">
              <w:rPr>
                <w:rFonts w:cs="Arial"/>
                <w:color w:val="000000"/>
                <w:sz w:val="18"/>
              </w:rPr>
              <w:t>11.1</w:t>
            </w:r>
          </w:p>
        </w:tc>
        <w:tc>
          <w:tcPr>
            <w:tcW w:w="1134" w:type="dxa"/>
            <w:tcBorders>
              <w:top w:val="nil"/>
              <w:left w:val="nil"/>
              <w:bottom w:val="nil"/>
              <w:right w:val="nil"/>
            </w:tcBorders>
            <w:shd w:val="clear" w:color="auto" w:fill="auto"/>
            <w:vAlign w:val="bottom"/>
            <w:hideMark/>
          </w:tcPr>
          <w:p w14:paraId="365B0934" w14:textId="77777777" w:rsidR="00754DA3" w:rsidRPr="005220BD" w:rsidRDefault="00754DA3" w:rsidP="003D6248">
            <w:pPr>
              <w:spacing w:before="40" w:after="40"/>
              <w:ind w:right="227"/>
              <w:jc w:val="right"/>
              <w:rPr>
                <w:rFonts w:eastAsia="Times New Roman" w:cs="Arial"/>
                <w:sz w:val="18"/>
                <w:szCs w:val="18"/>
                <w:lang w:eastAsia="en-AU"/>
              </w:rPr>
            </w:pPr>
            <w:r w:rsidRPr="005220BD">
              <w:rPr>
                <w:rFonts w:cs="Arial"/>
                <w:color w:val="000000"/>
                <w:sz w:val="18"/>
              </w:rPr>
              <w:t>13.3</w:t>
            </w:r>
          </w:p>
        </w:tc>
        <w:tc>
          <w:tcPr>
            <w:tcW w:w="1134" w:type="dxa"/>
            <w:tcBorders>
              <w:top w:val="nil"/>
              <w:left w:val="nil"/>
              <w:bottom w:val="nil"/>
              <w:right w:val="nil"/>
            </w:tcBorders>
            <w:shd w:val="clear" w:color="auto" w:fill="auto"/>
            <w:vAlign w:val="bottom"/>
            <w:hideMark/>
          </w:tcPr>
          <w:p w14:paraId="5D7CD92B" w14:textId="77777777" w:rsidR="00754DA3" w:rsidRPr="005220BD" w:rsidRDefault="00754DA3" w:rsidP="003D6248">
            <w:pPr>
              <w:spacing w:before="40" w:after="40"/>
              <w:ind w:right="227"/>
              <w:jc w:val="right"/>
              <w:rPr>
                <w:rFonts w:eastAsia="Times New Roman" w:cs="Arial"/>
                <w:sz w:val="18"/>
                <w:szCs w:val="18"/>
                <w:lang w:eastAsia="en-AU"/>
              </w:rPr>
            </w:pPr>
            <w:r w:rsidRPr="005220BD">
              <w:rPr>
                <w:rFonts w:cs="Arial"/>
                <w:color w:val="000000"/>
                <w:sz w:val="18"/>
              </w:rPr>
              <w:t>12.9</w:t>
            </w:r>
          </w:p>
        </w:tc>
      </w:tr>
      <w:tr w:rsidR="00754DA3" w:rsidRPr="008B2C65" w14:paraId="1547C6BE" w14:textId="77777777" w:rsidTr="003D6248">
        <w:trPr>
          <w:trHeight w:val="80"/>
        </w:trPr>
        <w:tc>
          <w:tcPr>
            <w:tcW w:w="4535" w:type="dxa"/>
            <w:tcBorders>
              <w:top w:val="nil"/>
              <w:left w:val="nil"/>
              <w:bottom w:val="nil"/>
              <w:right w:val="nil"/>
            </w:tcBorders>
            <w:shd w:val="clear" w:color="auto" w:fill="58AEDA"/>
            <w:vAlign w:val="center"/>
            <w:hideMark/>
          </w:tcPr>
          <w:p w14:paraId="4C32B5DC" w14:textId="77777777" w:rsidR="00754DA3" w:rsidRPr="008B2C65" w:rsidRDefault="00754DA3" w:rsidP="003D6248">
            <w:pPr>
              <w:spacing w:before="40" w:after="40"/>
              <w:rPr>
                <w:rFonts w:eastAsia="Times New Roman" w:cs="Arial"/>
                <w:b/>
                <w:bCs/>
                <w:color w:val="000000"/>
                <w:sz w:val="18"/>
                <w:szCs w:val="18"/>
                <w:lang w:eastAsia="en-AU"/>
              </w:rPr>
            </w:pPr>
            <w:r w:rsidRPr="008B2C65">
              <w:rPr>
                <w:rFonts w:eastAsia="Times New Roman" w:cs="Arial"/>
                <w:b/>
                <w:bCs/>
                <w:color w:val="000000"/>
                <w:sz w:val="18"/>
                <w:szCs w:val="18"/>
                <w:lang w:eastAsia="en-AU"/>
              </w:rPr>
              <w:t xml:space="preserve">Gender </w:t>
            </w:r>
          </w:p>
        </w:tc>
        <w:tc>
          <w:tcPr>
            <w:tcW w:w="1134" w:type="dxa"/>
            <w:tcBorders>
              <w:top w:val="nil"/>
              <w:left w:val="nil"/>
              <w:bottom w:val="nil"/>
              <w:right w:val="nil"/>
            </w:tcBorders>
            <w:shd w:val="clear" w:color="auto" w:fill="58AEDA"/>
            <w:vAlign w:val="center"/>
            <w:hideMark/>
          </w:tcPr>
          <w:p w14:paraId="5077A771" w14:textId="77777777" w:rsidR="00754DA3" w:rsidRPr="00467D4A" w:rsidRDefault="00754DA3" w:rsidP="003D6248">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134" w:type="dxa"/>
            <w:tcBorders>
              <w:top w:val="nil"/>
              <w:left w:val="nil"/>
              <w:bottom w:val="nil"/>
              <w:right w:val="nil"/>
            </w:tcBorders>
            <w:shd w:val="clear" w:color="auto" w:fill="58AEDA"/>
            <w:vAlign w:val="center"/>
            <w:hideMark/>
          </w:tcPr>
          <w:p w14:paraId="195F70D2" w14:textId="77777777" w:rsidR="00754DA3" w:rsidRPr="00467D4A" w:rsidRDefault="00754DA3" w:rsidP="003D6248">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134" w:type="dxa"/>
            <w:tcBorders>
              <w:top w:val="nil"/>
              <w:left w:val="nil"/>
              <w:bottom w:val="nil"/>
              <w:right w:val="nil"/>
            </w:tcBorders>
            <w:shd w:val="clear" w:color="auto" w:fill="58AEDA"/>
            <w:vAlign w:val="center"/>
            <w:hideMark/>
          </w:tcPr>
          <w:p w14:paraId="7D77E8CD" w14:textId="77777777" w:rsidR="00754DA3" w:rsidRPr="00467D4A" w:rsidRDefault="00754DA3" w:rsidP="003D6248">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134" w:type="dxa"/>
            <w:tcBorders>
              <w:top w:val="nil"/>
              <w:left w:val="nil"/>
              <w:bottom w:val="nil"/>
              <w:right w:val="nil"/>
            </w:tcBorders>
            <w:shd w:val="clear" w:color="auto" w:fill="58AEDA"/>
            <w:vAlign w:val="center"/>
            <w:hideMark/>
          </w:tcPr>
          <w:p w14:paraId="7C2AE95E" w14:textId="77777777" w:rsidR="00754DA3" w:rsidRPr="00467D4A" w:rsidRDefault="00754DA3" w:rsidP="003D6248">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r>
      <w:tr w:rsidR="00754DA3" w:rsidRPr="008B2C65" w14:paraId="79206ED2" w14:textId="77777777" w:rsidTr="003D6248">
        <w:trPr>
          <w:trHeight w:val="80"/>
        </w:trPr>
        <w:tc>
          <w:tcPr>
            <w:tcW w:w="4535" w:type="dxa"/>
            <w:tcBorders>
              <w:top w:val="nil"/>
              <w:left w:val="nil"/>
              <w:bottom w:val="nil"/>
              <w:right w:val="nil"/>
            </w:tcBorders>
            <w:shd w:val="clear" w:color="000000" w:fill="C7E4F3"/>
            <w:vAlign w:val="center"/>
            <w:hideMark/>
          </w:tcPr>
          <w:p w14:paraId="7DA029C8" w14:textId="77777777" w:rsidR="00754DA3" w:rsidRPr="008B2C65" w:rsidRDefault="00754DA3" w:rsidP="003D6248">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Male</w:t>
            </w:r>
          </w:p>
        </w:tc>
        <w:tc>
          <w:tcPr>
            <w:tcW w:w="1134" w:type="dxa"/>
            <w:tcBorders>
              <w:top w:val="nil"/>
              <w:left w:val="nil"/>
              <w:bottom w:val="nil"/>
              <w:right w:val="nil"/>
            </w:tcBorders>
            <w:shd w:val="clear" w:color="000000" w:fill="C7E4F3"/>
            <w:vAlign w:val="bottom"/>
            <w:hideMark/>
          </w:tcPr>
          <w:p w14:paraId="046FD7CB" w14:textId="77777777" w:rsidR="00754DA3" w:rsidRPr="00D30B88" w:rsidRDefault="00754DA3" w:rsidP="003D6248">
            <w:pPr>
              <w:spacing w:before="40" w:after="40"/>
              <w:ind w:right="227"/>
              <w:jc w:val="right"/>
              <w:rPr>
                <w:rFonts w:eastAsia="Times New Roman" w:cs="Arial"/>
                <w:sz w:val="18"/>
                <w:szCs w:val="18"/>
                <w:lang w:eastAsia="en-AU"/>
              </w:rPr>
            </w:pPr>
            <w:r w:rsidRPr="00D30B88">
              <w:rPr>
                <w:rFonts w:cs="Arial"/>
                <w:color w:val="000000"/>
                <w:sz w:val="18"/>
              </w:rPr>
              <w:t>59.5</w:t>
            </w:r>
          </w:p>
        </w:tc>
        <w:tc>
          <w:tcPr>
            <w:tcW w:w="1134" w:type="dxa"/>
            <w:tcBorders>
              <w:top w:val="nil"/>
              <w:left w:val="nil"/>
              <w:bottom w:val="nil"/>
              <w:right w:val="nil"/>
            </w:tcBorders>
            <w:shd w:val="clear" w:color="000000" w:fill="C7E4F3"/>
            <w:vAlign w:val="bottom"/>
            <w:hideMark/>
          </w:tcPr>
          <w:p w14:paraId="51B63D38" w14:textId="77777777" w:rsidR="00754DA3" w:rsidRPr="00D30B88" w:rsidRDefault="00754DA3" w:rsidP="003D6248">
            <w:pPr>
              <w:spacing w:before="40" w:after="40"/>
              <w:ind w:right="227"/>
              <w:jc w:val="right"/>
              <w:rPr>
                <w:rFonts w:eastAsia="Times New Roman" w:cs="Arial"/>
                <w:sz w:val="18"/>
                <w:szCs w:val="18"/>
                <w:lang w:eastAsia="en-AU"/>
              </w:rPr>
            </w:pPr>
            <w:r w:rsidRPr="00D30B88">
              <w:rPr>
                <w:rFonts w:cs="Arial"/>
                <w:color w:val="000000"/>
                <w:sz w:val="18"/>
              </w:rPr>
              <w:t>61.0</w:t>
            </w:r>
          </w:p>
        </w:tc>
        <w:tc>
          <w:tcPr>
            <w:tcW w:w="1134" w:type="dxa"/>
            <w:tcBorders>
              <w:top w:val="nil"/>
              <w:left w:val="nil"/>
              <w:bottom w:val="nil"/>
              <w:right w:val="nil"/>
            </w:tcBorders>
            <w:shd w:val="clear" w:color="000000" w:fill="C7E4F3"/>
            <w:vAlign w:val="bottom"/>
            <w:hideMark/>
          </w:tcPr>
          <w:p w14:paraId="57576934" w14:textId="77777777" w:rsidR="00754DA3" w:rsidRPr="00D30B88" w:rsidRDefault="00754DA3" w:rsidP="003D6248">
            <w:pPr>
              <w:spacing w:before="40" w:after="40"/>
              <w:ind w:right="227"/>
              <w:jc w:val="right"/>
              <w:rPr>
                <w:rFonts w:eastAsia="Times New Roman" w:cs="Arial"/>
                <w:sz w:val="18"/>
                <w:szCs w:val="18"/>
                <w:lang w:eastAsia="en-AU"/>
              </w:rPr>
            </w:pPr>
            <w:r w:rsidRPr="00D30B88">
              <w:rPr>
                <w:rFonts w:cs="Arial"/>
                <w:color w:val="000000"/>
                <w:sz w:val="18"/>
              </w:rPr>
              <w:t>60.6</w:t>
            </w:r>
          </w:p>
        </w:tc>
        <w:tc>
          <w:tcPr>
            <w:tcW w:w="1134" w:type="dxa"/>
            <w:tcBorders>
              <w:top w:val="nil"/>
              <w:left w:val="nil"/>
              <w:bottom w:val="nil"/>
              <w:right w:val="nil"/>
            </w:tcBorders>
            <w:shd w:val="clear" w:color="000000" w:fill="C7E4F3"/>
            <w:vAlign w:val="bottom"/>
            <w:hideMark/>
          </w:tcPr>
          <w:p w14:paraId="4F6BE441" w14:textId="77777777" w:rsidR="00754DA3" w:rsidRPr="00D30B88" w:rsidRDefault="00754DA3" w:rsidP="003D6248">
            <w:pPr>
              <w:spacing w:before="40" w:after="40"/>
              <w:ind w:right="227"/>
              <w:jc w:val="right"/>
              <w:rPr>
                <w:rFonts w:eastAsia="Times New Roman" w:cs="Arial"/>
                <w:sz w:val="18"/>
                <w:szCs w:val="18"/>
                <w:lang w:eastAsia="en-AU"/>
              </w:rPr>
            </w:pPr>
            <w:r w:rsidRPr="00D30B88">
              <w:rPr>
                <w:rFonts w:cs="Arial"/>
                <w:color w:val="000000"/>
                <w:sz w:val="18"/>
              </w:rPr>
              <w:t>62.2</w:t>
            </w:r>
          </w:p>
        </w:tc>
      </w:tr>
      <w:tr w:rsidR="00754DA3" w:rsidRPr="008B2C65" w14:paraId="4722B519" w14:textId="77777777" w:rsidTr="003D6248">
        <w:trPr>
          <w:trHeight w:val="80"/>
        </w:trPr>
        <w:tc>
          <w:tcPr>
            <w:tcW w:w="4535" w:type="dxa"/>
            <w:tcBorders>
              <w:top w:val="nil"/>
              <w:left w:val="nil"/>
              <w:bottom w:val="nil"/>
              <w:right w:val="nil"/>
            </w:tcBorders>
            <w:shd w:val="clear" w:color="auto" w:fill="auto"/>
            <w:vAlign w:val="center"/>
            <w:hideMark/>
          </w:tcPr>
          <w:p w14:paraId="6C486CFE" w14:textId="77777777" w:rsidR="00754DA3" w:rsidRPr="008B2C65" w:rsidRDefault="00754DA3" w:rsidP="003D6248">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 xml:space="preserve">Female </w:t>
            </w:r>
          </w:p>
        </w:tc>
        <w:tc>
          <w:tcPr>
            <w:tcW w:w="1134" w:type="dxa"/>
            <w:tcBorders>
              <w:top w:val="nil"/>
              <w:left w:val="nil"/>
              <w:bottom w:val="nil"/>
              <w:right w:val="nil"/>
            </w:tcBorders>
            <w:shd w:val="clear" w:color="auto" w:fill="auto"/>
            <w:vAlign w:val="bottom"/>
            <w:hideMark/>
          </w:tcPr>
          <w:p w14:paraId="318A2C1C" w14:textId="77777777" w:rsidR="00754DA3" w:rsidRPr="00D30B88" w:rsidRDefault="00754DA3" w:rsidP="003D6248">
            <w:pPr>
              <w:spacing w:before="40" w:after="40"/>
              <w:ind w:right="227"/>
              <w:jc w:val="right"/>
              <w:rPr>
                <w:rFonts w:eastAsia="Times New Roman" w:cs="Arial"/>
                <w:sz w:val="18"/>
                <w:szCs w:val="18"/>
                <w:lang w:eastAsia="en-AU"/>
              </w:rPr>
            </w:pPr>
            <w:r w:rsidRPr="00D30B88">
              <w:rPr>
                <w:rFonts w:cs="Arial"/>
                <w:color w:val="000000"/>
                <w:sz w:val="18"/>
              </w:rPr>
              <w:t>40.5</w:t>
            </w:r>
          </w:p>
        </w:tc>
        <w:tc>
          <w:tcPr>
            <w:tcW w:w="1134" w:type="dxa"/>
            <w:tcBorders>
              <w:top w:val="nil"/>
              <w:left w:val="nil"/>
              <w:bottom w:val="nil"/>
              <w:right w:val="nil"/>
            </w:tcBorders>
            <w:shd w:val="clear" w:color="auto" w:fill="auto"/>
            <w:vAlign w:val="bottom"/>
            <w:hideMark/>
          </w:tcPr>
          <w:p w14:paraId="1CCAEDF0" w14:textId="77777777" w:rsidR="00754DA3" w:rsidRPr="00D30B88" w:rsidRDefault="00754DA3" w:rsidP="003D6248">
            <w:pPr>
              <w:spacing w:before="40" w:after="40"/>
              <w:ind w:right="227"/>
              <w:jc w:val="right"/>
              <w:rPr>
                <w:rFonts w:eastAsia="Times New Roman" w:cs="Arial"/>
                <w:sz w:val="18"/>
                <w:szCs w:val="18"/>
                <w:lang w:eastAsia="en-AU"/>
              </w:rPr>
            </w:pPr>
            <w:r w:rsidRPr="00D30B88">
              <w:rPr>
                <w:rFonts w:cs="Arial"/>
                <w:color w:val="000000"/>
                <w:sz w:val="18"/>
              </w:rPr>
              <w:t>39.0</w:t>
            </w:r>
          </w:p>
        </w:tc>
        <w:tc>
          <w:tcPr>
            <w:tcW w:w="1134" w:type="dxa"/>
            <w:tcBorders>
              <w:top w:val="nil"/>
              <w:left w:val="nil"/>
              <w:bottom w:val="nil"/>
              <w:right w:val="nil"/>
            </w:tcBorders>
            <w:shd w:val="clear" w:color="auto" w:fill="auto"/>
            <w:vAlign w:val="bottom"/>
            <w:hideMark/>
          </w:tcPr>
          <w:p w14:paraId="3016D9C5" w14:textId="77777777" w:rsidR="00754DA3" w:rsidRPr="00D30B88" w:rsidRDefault="00754DA3" w:rsidP="003D6248">
            <w:pPr>
              <w:spacing w:before="40" w:after="40"/>
              <w:ind w:right="227"/>
              <w:jc w:val="right"/>
              <w:rPr>
                <w:rFonts w:eastAsia="Times New Roman" w:cs="Arial"/>
                <w:sz w:val="18"/>
                <w:szCs w:val="18"/>
                <w:lang w:eastAsia="en-AU"/>
              </w:rPr>
            </w:pPr>
            <w:r w:rsidRPr="00D30B88">
              <w:rPr>
                <w:rFonts w:cs="Arial"/>
                <w:color w:val="000000"/>
                <w:sz w:val="18"/>
              </w:rPr>
              <w:t>39.4</w:t>
            </w:r>
          </w:p>
        </w:tc>
        <w:tc>
          <w:tcPr>
            <w:tcW w:w="1134" w:type="dxa"/>
            <w:tcBorders>
              <w:top w:val="nil"/>
              <w:left w:val="nil"/>
              <w:bottom w:val="nil"/>
              <w:right w:val="nil"/>
            </w:tcBorders>
            <w:shd w:val="clear" w:color="auto" w:fill="auto"/>
            <w:vAlign w:val="bottom"/>
            <w:hideMark/>
          </w:tcPr>
          <w:p w14:paraId="77AD1C47" w14:textId="77777777" w:rsidR="00754DA3" w:rsidRPr="00D30B88" w:rsidRDefault="00754DA3" w:rsidP="003D6248">
            <w:pPr>
              <w:spacing w:before="40" w:after="40"/>
              <w:ind w:right="227"/>
              <w:jc w:val="right"/>
              <w:rPr>
                <w:rFonts w:eastAsia="Times New Roman" w:cs="Arial"/>
                <w:sz w:val="18"/>
                <w:szCs w:val="18"/>
                <w:lang w:eastAsia="en-AU"/>
              </w:rPr>
            </w:pPr>
            <w:r w:rsidRPr="00D30B88">
              <w:rPr>
                <w:rFonts w:cs="Arial"/>
                <w:color w:val="000000"/>
                <w:sz w:val="18"/>
              </w:rPr>
              <w:t>37.8</w:t>
            </w:r>
          </w:p>
        </w:tc>
      </w:tr>
      <w:tr w:rsidR="00754DA3" w:rsidRPr="008B2C65" w14:paraId="109A10B3" w14:textId="77777777" w:rsidTr="003D6248">
        <w:trPr>
          <w:trHeight w:val="80"/>
        </w:trPr>
        <w:tc>
          <w:tcPr>
            <w:tcW w:w="4535" w:type="dxa"/>
            <w:tcBorders>
              <w:top w:val="nil"/>
              <w:left w:val="nil"/>
              <w:bottom w:val="nil"/>
              <w:right w:val="nil"/>
            </w:tcBorders>
            <w:shd w:val="clear" w:color="auto" w:fill="58AEDA"/>
            <w:vAlign w:val="center"/>
            <w:hideMark/>
          </w:tcPr>
          <w:p w14:paraId="198A49BD" w14:textId="77777777" w:rsidR="00754DA3" w:rsidRPr="008B2C65" w:rsidRDefault="00754DA3" w:rsidP="003D6248">
            <w:pPr>
              <w:spacing w:before="40" w:after="40"/>
              <w:rPr>
                <w:rFonts w:eastAsia="Times New Roman" w:cs="Arial"/>
                <w:b/>
                <w:bCs/>
                <w:color w:val="000000"/>
                <w:sz w:val="18"/>
                <w:szCs w:val="18"/>
                <w:lang w:eastAsia="en-AU"/>
              </w:rPr>
            </w:pPr>
            <w:r w:rsidRPr="008B2C65">
              <w:rPr>
                <w:rFonts w:eastAsia="Times New Roman" w:cs="Arial"/>
                <w:b/>
                <w:bCs/>
                <w:color w:val="000000"/>
                <w:sz w:val="18"/>
                <w:szCs w:val="18"/>
                <w:lang w:eastAsia="en-AU"/>
              </w:rPr>
              <w:t>Jurisdiction</w:t>
            </w:r>
          </w:p>
        </w:tc>
        <w:tc>
          <w:tcPr>
            <w:tcW w:w="1134" w:type="dxa"/>
            <w:tcBorders>
              <w:top w:val="nil"/>
              <w:left w:val="nil"/>
              <w:bottom w:val="nil"/>
              <w:right w:val="nil"/>
            </w:tcBorders>
            <w:shd w:val="clear" w:color="auto" w:fill="58AEDA"/>
            <w:vAlign w:val="center"/>
            <w:hideMark/>
          </w:tcPr>
          <w:p w14:paraId="693BA057" w14:textId="77777777" w:rsidR="00754DA3" w:rsidRPr="00467D4A" w:rsidRDefault="00754DA3" w:rsidP="003D6248">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134" w:type="dxa"/>
            <w:tcBorders>
              <w:top w:val="nil"/>
              <w:left w:val="nil"/>
              <w:bottom w:val="nil"/>
              <w:right w:val="nil"/>
            </w:tcBorders>
            <w:shd w:val="clear" w:color="auto" w:fill="58AEDA"/>
            <w:vAlign w:val="center"/>
            <w:hideMark/>
          </w:tcPr>
          <w:p w14:paraId="2F830ACA" w14:textId="77777777" w:rsidR="00754DA3" w:rsidRPr="00467D4A" w:rsidRDefault="00754DA3" w:rsidP="003D6248">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134" w:type="dxa"/>
            <w:tcBorders>
              <w:top w:val="nil"/>
              <w:left w:val="nil"/>
              <w:bottom w:val="nil"/>
              <w:right w:val="nil"/>
            </w:tcBorders>
            <w:shd w:val="clear" w:color="auto" w:fill="58AEDA"/>
            <w:vAlign w:val="center"/>
            <w:hideMark/>
          </w:tcPr>
          <w:p w14:paraId="5141B169" w14:textId="77777777" w:rsidR="00754DA3" w:rsidRPr="00467D4A" w:rsidRDefault="00754DA3" w:rsidP="003D6248">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134" w:type="dxa"/>
            <w:tcBorders>
              <w:top w:val="nil"/>
              <w:left w:val="nil"/>
              <w:bottom w:val="nil"/>
              <w:right w:val="nil"/>
            </w:tcBorders>
            <w:shd w:val="clear" w:color="auto" w:fill="58AEDA"/>
            <w:vAlign w:val="center"/>
            <w:hideMark/>
          </w:tcPr>
          <w:p w14:paraId="603FF4AA" w14:textId="77777777" w:rsidR="00754DA3" w:rsidRPr="00467D4A" w:rsidRDefault="00754DA3" w:rsidP="003D6248">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r>
      <w:tr w:rsidR="00754DA3" w:rsidRPr="008B2C65" w14:paraId="21E58F1D" w14:textId="77777777" w:rsidTr="003D6248">
        <w:trPr>
          <w:trHeight w:val="80"/>
        </w:trPr>
        <w:tc>
          <w:tcPr>
            <w:tcW w:w="4535" w:type="dxa"/>
            <w:tcBorders>
              <w:top w:val="nil"/>
              <w:left w:val="nil"/>
              <w:bottom w:val="nil"/>
              <w:right w:val="nil"/>
            </w:tcBorders>
            <w:shd w:val="clear" w:color="000000" w:fill="C7E4F3"/>
            <w:vAlign w:val="center"/>
          </w:tcPr>
          <w:p w14:paraId="017F6EEF" w14:textId="77777777" w:rsidR="00754DA3" w:rsidRPr="008B2C65" w:rsidRDefault="00754DA3" w:rsidP="003D6248">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A</w:t>
            </w:r>
            <w:r>
              <w:rPr>
                <w:rFonts w:eastAsia="Times New Roman" w:cs="Arial"/>
                <w:color w:val="000000"/>
                <w:sz w:val="18"/>
                <w:szCs w:val="18"/>
                <w:lang w:eastAsia="en-AU"/>
              </w:rPr>
              <w:t xml:space="preserve">ustralian </w:t>
            </w:r>
            <w:r w:rsidRPr="008B2C65">
              <w:rPr>
                <w:rFonts w:eastAsia="Times New Roman" w:cs="Arial"/>
                <w:color w:val="000000"/>
                <w:sz w:val="18"/>
                <w:szCs w:val="18"/>
                <w:lang w:eastAsia="en-AU"/>
              </w:rPr>
              <w:t>C</w:t>
            </w:r>
            <w:r>
              <w:rPr>
                <w:rFonts w:eastAsia="Times New Roman" w:cs="Arial"/>
                <w:color w:val="000000"/>
                <w:sz w:val="18"/>
                <w:szCs w:val="18"/>
                <w:lang w:eastAsia="en-AU"/>
              </w:rPr>
              <w:t>apital Territory</w:t>
            </w:r>
          </w:p>
        </w:tc>
        <w:tc>
          <w:tcPr>
            <w:tcW w:w="1134" w:type="dxa"/>
            <w:tcBorders>
              <w:top w:val="nil"/>
              <w:left w:val="nil"/>
              <w:bottom w:val="nil"/>
              <w:right w:val="nil"/>
            </w:tcBorders>
            <w:shd w:val="clear" w:color="000000" w:fill="C7E4F3"/>
            <w:vAlign w:val="bottom"/>
          </w:tcPr>
          <w:p w14:paraId="10CF7A61" w14:textId="77777777" w:rsidR="00754DA3" w:rsidRPr="00D30B88" w:rsidRDefault="00754DA3" w:rsidP="003D6248">
            <w:pPr>
              <w:spacing w:before="40" w:after="40"/>
              <w:ind w:right="227"/>
              <w:jc w:val="right"/>
              <w:rPr>
                <w:rFonts w:eastAsia="Times New Roman" w:cs="Arial"/>
                <w:sz w:val="18"/>
                <w:szCs w:val="18"/>
                <w:lang w:eastAsia="en-AU"/>
              </w:rPr>
            </w:pPr>
            <w:r>
              <w:rPr>
                <w:rFonts w:eastAsia="Times New Roman" w:cs="Arial"/>
                <w:sz w:val="18"/>
                <w:szCs w:val="18"/>
                <w:lang w:eastAsia="en-AU"/>
              </w:rPr>
              <w:t>--</w:t>
            </w:r>
          </w:p>
        </w:tc>
        <w:tc>
          <w:tcPr>
            <w:tcW w:w="1134" w:type="dxa"/>
            <w:tcBorders>
              <w:top w:val="nil"/>
              <w:left w:val="nil"/>
              <w:bottom w:val="nil"/>
              <w:right w:val="nil"/>
            </w:tcBorders>
            <w:shd w:val="clear" w:color="000000" w:fill="C7E4F3"/>
            <w:vAlign w:val="bottom"/>
          </w:tcPr>
          <w:p w14:paraId="02968D85" w14:textId="77777777" w:rsidR="00754DA3" w:rsidRPr="00D30B88" w:rsidRDefault="00754DA3" w:rsidP="003D6248">
            <w:pPr>
              <w:spacing w:before="40" w:after="40"/>
              <w:ind w:right="227"/>
              <w:jc w:val="right"/>
              <w:rPr>
                <w:rFonts w:eastAsia="Times New Roman" w:cs="Arial"/>
                <w:sz w:val="18"/>
                <w:szCs w:val="18"/>
                <w:lang w:eastAsia="en-AU"/>
              </w:rPr>
            </w:pPr>
            <w:r>
              <w:rPr>
                <w:rFonts w:cs="Arial"/>
                <w:color w:val="000000"/>
                <w:sz w:val="18"/>
              </w:rPr>
              <w:t>--</w:t>
            </w:r>
          </w:p>
        </w:tc>
        <w:tc>
          <w:tcPr>
            <w:tcW w:w="1134" w:type="dxa"/>
            <w:tcBorders>
              <w:top w:val="nil"/>
              <w:left w:val="nil"/>
              <w:bottom w:val="nil"/>
              <w:right w:val="nil"/>
            </w:tcBorders>
            <w:shd w:val="clear" w:color="000000" w:fill="C7E4F3"/>
            <w:vAlign w:val="bottom"/>
          </w:tcPr>
          <w:p w14:paraId="64BFE1B9" w14:textId="77777777" w:rsidR="00754DA3" w:rsidRPr="00D30B88" w:rsidRDefault="00754DA3" w:rsidP="003D6248">
            <w:pPr>
              <w:spacing w:before="40" w:after="40"/>
              <w:ind w:right="227"/>
              <w:jc w:val="right"/>
              <w:rPr>
                <w:rFonts w:eastAsia="Times New Roman" w:cs="Arial"/>
                <w:sz w:val="18"/>
                <w:szCs w:val="18"/>
                <w:lang w:eastAsia="en-AU"/>
              </w:rPr>
            </w:pPr>
            <w:r>
              <w:rPr>
                <w:rFonts w:cs="Arial"/>
                <w:color w:val="000000"/>
                <w:sz w:val="18"/>
              </w:rPr>
              <w:t>--</w:t>
            </w:r>
          </w:p>
        </w:tc>
        <w:tc>
          <w:tcPr>
            <w:tcW w:w="1134" w:type="dxa"/>
            <w:tcBorders>
              <w:top w:val="nil"/>
              <w:left w:val="nil"/>
              <w:bottom w:val="nil"/>
              <w:right w:val="nil"/>
            </w:tcBorders>
            <w:shd w:val="clear" w:color="000000" w:fill="C7E4F3"/>
            <w:vAlign w:val="bottom"/>
          </w:tcPr>
          <w:p w14:paraId="30435375" w14:textId="77777777" w:rsidR="00754DA3" w:rsidRPr="00D30B88" w:rsidRDefault="00754DA3" w:rsidP="003D6248">
            <w:pPr>
              <w:spacing w:before="40" w:after="40"/>
              <w:ind w:right="227"/>
              <w:jc w:val="right"/>
              <w:rPr>
                <w:rFonts w:eastAsia="Times New Roman" w:cs="Arial"/>
                <w:sz w:val="18"/>
                <w:szCs w:val="18"/>
                <w:lang w:eastAsia="en-AU"/>
              </w:rPr>
            </w:pPr>
            <w:r w:rsidRPr="00D30B88">
              <w:rPr>
                <w:rFonts w:cs="Arial"/>
                <w:color w:val="000000"/>
                <w:sz w:val="18"/>
              </w:rPr>
              <w:t>1.6</w:t>
            </w:r>
          </w:p>
        </w:tc>
      </w:tr>
      <w:tr w:rsidR="00754DA3" w:rsidRPr="008B2C65" w14:paraId="01635E24" w14:textId="77777777" w:rsidTr="003D6248">
        <w:trPr>
          <w:trHeight w:val="80"/>
        </w:trPr>
        <w:tc>
          <w:tcPr>
            <w:tcW w:w="4535" w:type="dxa"/>
            <w:tcBorders>
              <w:top w:val="nil"/>
              <w:left w:val="nil"/>
              <w:bottom w:val="nil"/>
              <w:right w:val="nil"/>
            </w:tcBorders>
            <w:shd w:val="clear" w:color="auto" w:fill="auto"/>
            <w:vAlign w:val="center"/>
          </w:tcPr>
          <w:p w14:paraId="7EB01CAE" w14:textId="173A89EF" w:rsidR="00754DA3" w:rsidRPr="008B2C65" w:rsidRDefault="00754DA3" w:rsidP="003D6248">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Com</w:t>
            </w:r>
            <w:r w:rsidRPr="008B2C65">
              <w:rPr>
                <w:rFonts w:eastAsia="Times New Roman" w:cs="Arial"/>
                <w:color w:val="000000"/>
                <w:sz w:val="18"/>
                <w:szCs w:val="18"/>
                <w:lang w:eastAsia="en-AU"/>
              </w:rPr>
              <w:t>care</w:t>
            </w:r>
          </w:p>
        </w:tc>
        <w:tc>
          <w:tcPr>
            <w:tcW w:w="1134" w:type="dxa"/>
            <w:tcBorders>
              <w:top w:val="nil"/>
              <w:left w:val="nil"/>
              <w:bottom w:val="nil"/>
              <w:right w:val="nil"/>
            </w:tcBorders>
            <w:shd w:val="clear" w:color="auto" w:fill="auto"/>
            <w:vAlign w:val="bottom"/>
          </w:tcPr>
          <w:p w14:paraId="4549348C" w14:textId="77777777" w:rsidR="00754DA3" w:rsidRPr="00D30B88" w:rsidRDefault="00754DA3" w:rsidP="003D6248">
            <w:pPr>
              <w:spacing w:before="40" w:after="40"/>
              <w:ind w:right="227"/>
              <w:jc w:val="right"/>
              <w:rPr>
                <w:rFonts w:eastAsia="Times New Roman" w:cs="Arial"/>
                <w:sz w:val="18"/>
                <w:szCs w:val="18"/>
                <w:lang w:eastAsia="en-AU"/>
              </w:rPr>
            </w:pPr>
            <w:r w:rsidRPr="00D30B88">
              <w:rPr>
                <w:rFonts w:cs="Arial"/>
                <w:color w:val="000000"/>
                <w:sz w:val="18"/>
              </w:rPr>
              <w:t>4.0</w:t>
            </w:r>
          </w:p>
        </w:tc>
        <w:tc>
          <w:tcPr>
            <w:tcW w:w="1134" w:type="dxa"/>
            <w:tcBorders>
              <w:top w:val="nil"/>
              <w:left w:val="nil"/>
              <w:bottom w:val="nil"/>
              <w:right w:val="nil"/>
            </w:tcBorders>
            <w:shd w:val="clear" w:color="auto" w:fill="auto"/>
            <w:vAlign w:val="bottom"/>
          </w:tcPr>
          <w:p w14:paraId="2471CA15" w14:textId="77777777" w:rsidR="00754DA3" w:rsidRPr="00D30B88" w:rsidRDefault="00754DA3" w:rsidP="003D6248">
            <w:pPr>
              <w:spacing w:before="40" w:after="40"/>
              <w:ind w:right="227"/>
              <w:jc w:val="right"/>
              <w:rPr>
                <w:rFonts w:eastAsia="Times New Roman" w:cs="Arial"/>
                <w:sz w:val="18"/>
                <w:szCs w:val="18"/>
                <w:lang w:eastAsia="en-AU"/>
              </w:rPr>
            </w:pPr>
            <w:r w:rsidRPr="00D30B88">
              <w:rPr>
                <w:rFonts w:cs="Arial"/>
                <w:color w:val="000000"/>
                <w:sz w:val="18"/>
              </w:rPr>
              <w:t>2.5</w:t>
            </w:r>
            <w:r>
              <w:rPr>
                <w:rFonts w:cs="Arial"/>
                <w:color w:val="000000"/>
                <w:sz w:val="18"/>
              </w:rPr>
              <w:t>*</w:t>
            </w:r>
          </w:p>
        </w:tc>
        <w:tc>
          <w:tcPr>
            <w:tcW w:w="1134" w:type="dxa"/>
            <w:tcBorders>
              <w:top w:val="nil"/>
              <w:left w:val="nil"/>
              <w:bottom w:val="nil"/>
              <w:right w:val="nil"/>
            </w:tcBorders>
            <w:shd w:val="clear" w:color="auto" w:fill="auto"/>
            <w:vAlign w:val="bottom"/>
          </w:tcPr>
          <w:p w14:paraId="3C625EB2" w14:textId="77777777" w:rsidR="00754DA3" w:rsidRPr="00D30B88" w:rsidRDefault="00754DA3" w:rsidP="003D6248">
            <w:pPr>
              <w:spacing w:before="40" w:after="40"/>
              <w:ind w:right="227"/>
              <w:jc w:val="right"/>
              <w:rPr>
                <w:rFonts w:eastAsia="Times New Roman" w:cs="Arial"/>
                <w:sz w:val="18"/>
                <w:szCs w:val="18"/>
                <w:lang w:eastAsia="en-AU"/>
              </w:rPr>
            </w:pPr>
            <w:r w:rsidRPr="00D30B88">
              <w:rPr>
                <w:rFonts w:cs="Arial"/>
                <w:color w:val="000000"/>
                <w:sz w:val="18"/>
              </w:rPr>
              <w:t>2.0</w:t>
            </w:r>
          </w:p>
        </w:tc>
        <w:tc>
          <w:tcPr>
            <w:tcW w:w="1134" w:type="dxa"/>
            <w:tcBorders>
              <w:top w:val="nil"/>
              <w:left w:val="nil"/>
              <w:bottom w:val="nil"/>
              <w:right w:val="nil"/>
            </w:tcBorders>
            <w:shd w:val="clear" w:color="auto" w:fill="auto"/>
            <w:vAlign w:val="bottom"/>
          </w:tcPr>
          <w:p w14:paraId="24D7AF0D" w14:textId="77777777" w:rsidR="00754DA3" w:rsidRPr="00D30B88" w:rsidRDefault="00754DA3" w:rsidP="003D6248">
            <w:pPr>
              <w:spacing w:before="40" w:after="40"/>
              <w:ind w:right="227"/>
              <w:jc w:val="right"/>
              <w:rPr>
                <w:rFonts w:eastAsia="Times New Roman" w:cs="Arial"/>
                <w:sz w:val="18"/>
                <w:szCs w:val="18"/>
                <w:lang w:eastAsia="en-AU"/>
              </w:rPr>
            </w:pPr>
            <w:r w:rsidRPr="00D30B88">
              <w:rPr>
                <w:rFonts w:cs="Arial"/>
                <w:color w:val="000000"/>
                <w:sz w:val="18"/>
              </w:rPr>
              <w:t>1.8</w:t>
            </w:r>
          </w:p>
        </w:tc>
      </w:tr>
      <w:tr w:rsidR="00754DA3" w:rsidRPr="008B2C65" w14:paraId="480E0965" w14:textId="77777777" w:rsidTr="003D6248">
        <w:trPr>
          <w:trHeight w:val="80"/>
        </w:trPr>
        <w:tc>
          <w:tcPr>
            <w:tcW w:w="4535" w:type="dxa"/>
            <w:tcBorders>
              <w:top w:val="nil"/>
              <w:left w:val="nil"/>
              <w:bottom w:val="nil"/>
              <w:right w:val="nil"/>
            </w:tcBorders>
            <w:shd w:val="clear" w:color="000000" w:fill="C7E4F3"/>
            <w:vAlign w:val="center"/>
          </w:tcPr>
          <w:p w14:paraId="5C1F4B71" w14:textId="77777777" w:rsidR="00754DA3" w:rsidRPr="008B2C65" w:rsidRDefault="00754DA3" w:rsidP="003D6248">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N</w:t>
            </w:r>
            <w:r>
              <w:rPr>
                <w:rFonts w:eastAsia="Times New Roman" w:cs="Arial"/>
                <w:color w:val="000000"/>
                <w:sz w:val="18"/>
                <w:szCs w:val="18"/>
                <w:lang w:eastAsia="en-AU"/>
              </w:rPr>
              <w:t xml:space="preserve">ew </w:t>
            </w:r>
            <w:r w:rsidRPr="008B2C65">
              <w:rPr>
                <w:rFonts w:eastAsia="Times New Roman" w:cs="Arial"/>
                <w:color w:val="000000"/>
                <w:sz w:val="18"/>
                <w:szCs w:val="18"/>
                <w:lang w:eastAsia="en-AU"/>
              </w:rPr>
              <w:t>S</w:t>
            </w:r>
            <w:r>
              <w:rPr>
                <w:rFonts w:eastAsia="Times New Roman" w:cs="Arial"/>
                <w:color w:val="000000"/>
                <w:sz w:val="18"/>
                <w:szCs w:val="18"/>
                <w:lang w:eastAsia="en-AU"/>
              </w:rPr>
              <w:t xml:space="preserve">outh </w:t>
            </w:r>
            <w:r w:rsidRPr="008B2C65">
              <w:rPr>
                <w:rFonts w:eastAsia="Times New Roman" w:cs="Arial"/>
                <w:color w:val="000000"/>
                <w:sz w:val="18"/>
                <w:szCs w:val="18"/>
                <w:lang w:eastAsia="en-AU"/>
              </w:rPr>
              <w:t>W</w:t>
            </w:r>
            <w:r>
              <w:rPr>
                <w:rFonts w:eastAsia="Times New Roman" w:cs="Arial"/>
                <w:color w:val="000000"/>
                <w:sz w:val="18"/>
                <w:szCs w:val="18"/>
                <w:lang w:eastAsia="en-AU"/>
              </w:rPr>
              <w:t>ales</w:t>
            </w:r>
          </w:p>
        </w:tc>
        <w:tc>
          <w:tcPr>
            <w:tcW w:w="1134" w:type="dxa"/>
            <w:tcBorders>
              <w:top w:val="nil"/>
              <w:left w:val="nil"/>
              <w:bottom w:val="nil"/>
              <w:right w:val="nil"/>
            </w:tcBorders>
            <w:shd w:val="clear" w:color="000000" w:fill="C7E4F3"/>
            <w:vAlign w:val="bottom"/>
          </w:tcPr>
          <w:p w14:paraId="379E0904" w14:textId="77777777" w:rsidR="00754DA3" w:rsidRPr="00D30B88" w:rsidRDefault="00754DA3" w:rsidP="003D6248">
            <w:pPr>
              <w:spacing w:before="40" w:after="40"/>
              <w:ind w:right="227"/>
              <w:jc w:val="right"/>
              <w:rPr>
                <w:rFonts w:eastAsia="Times New Roman" w:cs="Arial"/>
                <w:sz w:val="18"/>
                <w:szCs w:val="18"/>
                <w:lang w:eastAsia="en-AU"/>
              </w:rPr>
            </w:pPr>
            <w:r w:rsidRPr="00D30B88">
              <w:rPr>
                <w:rFonts w:cs="Arial"/>
                <w:color w:val="000000"/>
                <w:sz w:val="18"/>
              </w:rPr>
              <w:t>32.5</w:t>
            </w:r>
          </w:p>
        </w:tc>
        <w:tc>
          <w:tcPr>
            <w:tcW w:w="1134" w:type="dxa"/>
            <w:tcBorders>
              <w:top w:val="nil"/>
              <w:left w:val="nil"/>
              <w:bottom w:val="nil"/>
              <w:right w:val="nil"/>
            </w:tcBorders>
            <w:shd w:val="clear" w:color="000000" w:fill="C7E4F3"/>
            <w:vAlign w:val="bottom"/>
          </w:tcPr>
          <w:p w14:paraId="44CCB106" w14:textId="77777777" w:rsidR="00754DA3" w:rsidRPr="00D30B88" w:rsidRDefault="00754DA3" w:rsidP="003D6248">
            <w:pPr>
              <w:spacing w:before="40" w:after="40"/>
              <w:ind w:right="227"/>
              <w:jc w:val="right"/>
              <w:rPr>
                <w:rFonts w:eastAsia="Times New Roman" w:cs="Arial"/>
                <w:sz w:val="18"/>
                <w:szCs w:val="18"/>
                <w:lang w:eastAsia="en-AU"/>
              </w:rPr>
            </w:pPr>
            <w:r w:rsidRPr="00D30B88">
              <w:rPr>
                <w:rFonts w:cs="Arial"/>
                <w:color w:val="000000"/>
                <w:sz w:val="18"/>
              </w:rPr>
              <w:t>32.3</w:t>
            </w:r>
          </w:p>
        </w:tc>
        <w:tc>
          <w:tcPr>
            <w:tcW w:w="1134" w:type="dxa"/>
            <w:tcBorders>
              <w:top w:val="nil"/>
              <w:left w:val="nil"/>
              <w:bottom w:val="nil"/>
              <w:right w:val="nil"/>
            </w:tcBorders>
            <w:shd w:val="clear" w:color="000000" w:fill="C7E4F3"/>
            <w:vAlign w:val="bottom"/>
          </w:tcPr>
          <w:p w14:paraId="7BB01376" w14:textId="77777777" w:rsidR="00754DA3" w:rsidRPr="00D30B88" w:rsidRDefault="00754DA3" w:rsidP="003D6248">
            <w:pPr>
              <w:spacing w:before="40" w:after="40"/>
              <w:ind w:right="227"/>
              <w:jc w:val="right"/>
              <w:rPr>
                <w:rFonts w:eastAsia="Times New Roman" w:cs="Arial"/>
                <w:sz w:val="18"/>
                <w:szCs w:val="18"/>
                <w:lang w:eastAsia="en-AU"/>
              </w:rPr>
            </w:pPr>
            <w:r w:rsidRPr="00D30B88">
              <w:rPr>
                <w:rFonts w:cs="Arial"/>
                <w:color w:val="000000"/>
                <w:sz w:val="18"/>
              </w:rPr>
              <w:t>33.7</w:t>
            </w:r>
          </w:p>
        </w:tc>
        <w:tc>
          <w:tcPr>
            <w:tcW w:w="1134" w:type="dxa"/>
            <w:tcBorders>
              <w:top w:val="nil"/>
              <w:left w:val="nil"/>
              <w:bottom w:val="nil"/>
              <w:right w:val="nil"/>
            </w:tcBorders>
            <w:shd w:val="clear" w:color="000000" w:fill="C7E4F3"/>
            <w:vAlign w:val="bottom"/>
          </w:tcPr>
          <w:p w14:paraId="2CE77F5E" w14:textId="77777777" w:rsidR="00754DA3" w:rsidRPr="00D30B88" w:rsidRDefault="00754DA3" w:rsidP="003D6248">
            <w:pPr>
              <w:spacing w:before="40" w:after="40"/>
              <w:ind w:right="227"/>
              <w:jc w:val="right"/>
              <w:rPr>
                <w:rFonts w:eastAsia="Times New Roman" w:cs="Arial"/>
                <w:sz w:val="18"/>
                <w:szCs w:val="18"/>
                <w:lang w:eastAsia="en-AU"/>
              </w:rPr>
            </w:pPr>
            <w:r w:rsidRPr="00D30B88">
              <w:rPr>
                <w:rFonts w:cs="Arial"/>
                <w:color w:val="000000"/>
                <w:sz w:val="18"/>
              </w:rPr>
              <w:t>37.2</w:t>
            </w:r>
          </w:p>
        </w:tc>
      </w:tr>
      <w:tr w:rsidR="00754DA3" w:rsidRPr="008B2C65" w14:paraId="13B15F2F" w14:textId="77777777" w:rsidTr="003D6248">
        <w:trPr>
          <w:trHeight w:val="80"/>
        </w:trPr>
        <w:tc>
          <w:tcPr>
            <w:tcW w:w="4535" w:type="dxa"/>
            <w:tcBorders>
              <w:top w:val="nil"/>
              <w:left w:val="nil"/>
              <w:bottom w:val="nil"/>
              <w:right w:val="nil"/>
            </w:tcBorders>
            <w:shd w:val="clear" w:color="auto" w:fill="auto"/>
            <w:vAlign w:val="center"/>
          </w:tcPr>
          <w:p w14:paraId="5D8B5622" w14:textId="77777777" w:rsidR="00754DA3" w:rsidRPr="008B2C65" w:rsidRDefault="00754DA3" w:rsidP="003D6248">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Northern Territory</w:t>
            </w:r>
          </w:p>
        </w:tc>
        <w:tc>
          <w:tcPr>
            <w:tcW w:w="1134" w:type="dxa"/>
            <w:tcBorders>
              <w:top w:val="nil"/>
              <w:left w:val="nil"/>
              <w:bottom w:val="nil"/>
              <w:right w:val="nil"/>
            </w:tcBorders>
            <w:shd w:val="clear" w:color="auto" w:fill="auto"/>
            <w:vAlign w:val="bottom"/>
          </w:tcPr>
          <w:p w14:paraId="45744C83" w14:textId="77777777" w:rsidR="00754DA3" w:rsidRPr="00D30B88" w:rsidRDefault="00754DA3" w:rsidP="003D6248">
            <w:pPr>
              <w:spacing w:before="40" w:after="40"/>
              <w:ind w:right="227"/>
              <w:jc w:val="right"/>
              <w:rPr>
                <w:rFonts w:eastAsia="Times New Roman" w:cs="Arial"/>
                <w:sz w:val="18"/>
                <w:szCs w:val="18"/>
                <w:lang w:eastAsia="en-AU"/>
              </w:rPr>
            </w:pPr>
            <w:r>
              <w:rPr>
                <w:rFonts w:cs="Arial"/>
                <w:color w:val="000000"/>
                <w:sz w:val="18"/>
              </w:rPr>
              <w:t>--</w:t>
            </w:r>
          </w:p>
        </w:tc>
        <w:tc>
          <w:tcPr>
            <w:tcW w:w="1134" w:type="dxa"/>
            <w:tcBorders>
              <w:top w:val="nil"/>
              <w:left w:val="nil"/>
              <w:bottom w:val="nil"/>
              <w:right w:val="nil"/>
            </w:tcBorders>
            <w:shd w:val="clear" w:color="auto" w:fill="auto"/>
            <w:vAlign w:val="bottom"/>
          </w:tcPr>
          <w:p w14:paraId="19A82897" w14:textId="77777777" w:rsidR="00754DA3" w:rsidRPr="00D30B88" w:rsidRDefault="00754DA3" w:rsidP="003D6248">
            <w:pPr>
              <w:spacing w:before="40" w:after="40"/>
              <w:ind w:right="227"/>
              <w:jc w:val="right"/>
              <w:rPr>
                <w:rFonts w:eastAsia="Times New Roman" w:cs="Arial"/>
                <w:sz w:val="18"/>
                <w:szCs w:val="18"/>
                <w:lang w:eastAsia="en-AU"/>
              </w:rPr>
            </w:pPr>
            <w:r w:rsidRPr="00D30B88">
              <w:rPr>
                <w:rFonts w:cs="Arial"/>
                <w:color w:val="000000"/>
                <w:sz w:val="18"/>
              </w:rPr>
              <w:t>1.0</w:t>
            </w:r>
          </w:p>
        </w:tc>
        <w:tc>
          <w:tcPr>
            <w:tcW w:w="1134" w:type="dxa"/>
            <w:tcBorders>
              <w:top w:val="nil"/>
              <w:left w:val="nil"/>
              <w:bottom w:val="nil"/>
              <w:right w:val="nil"/>
            </w:tcBorders>
            <w:shd w:val="clear" w:color="auto" w:fill="auto"/>
            <w:vAlign w:val="bottom"/>
          </w:tcPr>
          <w:p w14:paraId="6329EB04" w14:textId="77777777" w:rsidR="00754DA3" w:rsidRPr="00D30B88" w:rsidRDefault="00754DA3" w:rsidP="003D6248">
            <w:pPr>
              <w:spacing w:before="40" w:after="40"/>
              <w:ind w:right="227"/>
              <w:jc w:val="right"/>
              <w:rPr>
                <w:rFonts w:eastAsia="Times New Roman" w:cs="Arial"/>
                <w:sz w:val="18"/>
                <w:szCs w:val="18"/>
                <w:lang w:eastAsia="en-AU"/>
              </w:rPr>
            </w:pPr>
            <w:r w:rsidRPr="00D30B88">
              <w:rPr>
                <w:rFonts w:cs="Arial"/>
                <w:color w:val="000000"/>
                <w:sz w:val="18"/>
              </w:rPr>
              <w:t>1.0</w:t>
            </w:r>
          </w:p>
        </w:tc>
        <w:tc>
          <w:tcPr>
            <w:tcW w:w="1134" w:type="dxa"/>
            <w:tcBorders>
              <w:top w:val="nil"/>
              <w:left w:val="nil"/>
              <w:bottom w:val="nil"/>
              <w:right w:val="nil"/>
            </w:tcBorders>
            <w:shd w:val="clear" w:color="auto" w:fill="auto"/>
            <w:vAlign w:val="bottom"/>
          </w:tcPr>
          <w:p w14:paraId="5A29E134" w14:textId="77777777" w:rsidR="00754DA3" w:rsidRPr="00D30B88" w:rsidRDefault="00754DA3" w:rsidP="003D6248">
            <w:pPr>
              <w:spacing w:before="40" w:after="40"/>
              <w:ind w:right="227"/>
              <w:jc w:val="right"/>
              <w:rPr>
                <w:rFonts w:eastAsia="Times New Roman" w:cs="Arial"/>
                <w:sz w:val="18"/>
                <w:szCs w:val="18"/>
                <w:lang w:eastAsia="en-AU"/>
              </w:rPr>
            </w:pPr>
            <w:r w:rsidRPr="00D30B88">
              <w:rPr>
                <w:rFonts w:cs="Arial"/>
                <w:color w:val="000000"/>
                <w:sz w:val="18"/>
              </w:rPr>
              <w:t>1.1</w:t>
            </w:r>
          </w:p>
        </w:tc>
      </w:tr>
      <w:tr w:rsidR="00754DA3" w:rsidRPr="008B2C65" w14:paraId="28F2FE42" w14:textId="77777777" w:rsidTr="003D6248">
        <w:trPr>
          <w:trHeight w:val="80"/>
        </w:trPr>
        <w:tc>
          <w:tcPr>
            <w:tcW w:w="4535" w:type="dxa"/>
            <w:tcBorders>
              <w:top w:val="nil"/>
              <w:left w:val="nil"/>
              <w:bottom w:val="nil"/>
              <w:right w:val="nil"/>
            </w:tcBorders>
            <w:shd w:val="clear" w:color="000000" w:fill="C7E4F3"/>
            <w:vAlign w:val="center"/>
          </w:tcPr>
          <w:p w14:paraId="169D5901" w14:textId="77777777" w:rsidR="00754DA3" w:rsidRPr="008B2C65" w:rsidRDefault="00754DA3" w:rsidP="003D6248">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Queensland</w:t>
            </w:r>
          </w:p>
        </w:tc>
        <w:tc>
          <w:tcPr>
            <w:tcW w:w="1134" w:type="dxa"/>
            <w:tcBorders>
              <w:top w:val="nil"/>
              <w:left w:val="nil"/>
              <w:bottom w:val="nil"/>
              <w:right w:val="nil"/>
            </w:tcBorders>
            <w:shd w:val="clear" w:color="000000" w:fill="C7E4F3"/>
            <w:vAlign w:val="bottom"/>
          </w:tcPr>
          <w:p w14:paraId="2D6C476B" w14:textId="77777777" w:rsidR="00754DA3" w:rsidRPr="00D30B88" w:rsidRDefault="00754DA3" w:rsidP="003D6248">
            <w:pPr>
              <w:spacing w:before="40" w:after="40"/>
              <w:ind w:right="227"/>
              <w:jc w:val="right"/>
              <w:rPr>
                <w:rFonts w:eastAsia="Times New Roman" w:cs="Arial"/>
                <w:sz w:val="18"/>
                <w:szCs w:val="18"/>
                <w:lang w:eastAsia="en-AU"/>
              </w:rPr>
            </w:pPr>
            <w:r w:rsidRPr="00D30B88">
              <w:rPr>
                <w:rFonts w:cs="Arial"/>
                <w:color w:val="000000"/>
                <w:sz w:val="18"/>
              </w:rPr>
              <w:t>18.5</w:t>
            </w:r>
          </w:p>
        </w:tc>
        <w:tc>
          <w:tcPr>
            <w:tcW w:w="1134" w:type="dxa"/>
            <w:tcBorders>
              <w:top w:val="nil"/>
              <w:left w:val="nil"/>
              <w:bottom w:val="nil"/>
              <w:right w:val="nil"/>
            </w:tcBorders>
            <w:shd w:val="clear" w:color="000000" w:fill="C7E4F3"/>
            <w:vAlign w:val="bottom"/>
          </w:tcPr>
          <w:p w14:paraId="2DFC955C" w14:textId="77777777" w:rsidR="00754DA3" w:rsidRPr="00D30B88" w:rsidRDefault="00754DA3" w:rsidP="003D6248">
            <w:pPr>
              <w:spacing w:before="40" w:after="40"/>
              <w:ind w:right="227"/>
              <w:jc w:val="right"/>
              <w:rPr>
                <w:rFonts w:eastAsia="Times New Roman" w:cs="Arial"/>
                <w:sz w:val="18"/>
                <w:szCs w:val="18"/>
                <w:lang w:eastAsia="en-AU"/>
              </w:rPr>
            </w:pPr>
            <w:r w:rsidRPr="00D30B88">
              <w:rPr>
                <w:rFonts w:cs="Arial"/>
                <w:color w:val="000000"/>
                <w:sz w:val="18"/>
              </w:rPr>
              <w:t>24.7</w:t>
            </w:r>
            <w:r>
              <w:rPr>
                <w:rFonts w:cs="Arial"/>
                <w:color w:val="000000"/>
                <w:sz w:val="18"/>
              </w:rPr>
              <w:t>**</w:t>
            </w:r>
          </w:p>
        </w:tc>
        <w:tc>
          <w:tcPr>
            <w:tcW w:w="1134" w:type="dxa"/>
            <w:tcBorders>
              <w:top w:val="nil"/>
              <w:left w:val="nil"/>
              <w:bottom w:val="nil"/>
              <w:right w:val="nil"/>
            </w:tcBorders>
            <w:shd w:val="clear" w:color="000000" w:fill="C7E4F3"/>
            <w:vAlign w:val="bottom"/>
          </w:tcPr>
          <w:p w14:paraId="4DFABAD2" w14:textId="77777777" w:rsidR="00754DA3" w:rsidRPr="00D30B88" w:rsidRDefault="00754DA3" w:rsidP="003D6248">
            <w:pPr>
              <w:spacing w:before="40" w:after="40"/>
              <w:ind w:right="227"/>
              <w:jc w:val="right"/>
              <w:rPr>
                <w:rFonts w:eastAsia="Times New Roman" w:cs="Arial"/>
                <w:sz w:val="18"/>
                <w:szCs w:val="18"/>
                <w:lang w:eastAsia="en-AU"/>
              </w:rPr>
            </w:pPr>
            <w:r w:rsidRPr="00D30B88">
              <w:rPr>
                <w:rFonts w:cs="Arial"/>
                <w:color w:val="000000"/>
                <w:sz w:val="18"/>
              </w:rPr>
              <w:t>25.5</w:t>
            </w:r>
          </w:p>
        </w:tc>
        <w:tc>
          <w:tcPr>
            <w:tcW w:w="1134" w:type="dxa"/>
            <w:tcBorders>
              <w:top w:val="nil"/>
              <w:left w:val="nil"/>
              <w:bottom w:val="nil"/>
              <w:right w:val="nil"/>
            </w:tcBorders>
            <w:shd w:val="clear" w:color="000000" w:fill="C7E4F3"/>
            <w:vAlign w:val="bottom"/>
          </w:tcPr>
          <w:p w14:paraId="26DDE04F" w14:textId="77777777" w:rsidR="00754DA3" w:rsidRPr="00D30B88" w:rsidRDefault="00754DA3" w:rsidP="003D6248">
            <w:pPr>
              <w:spacing w:before="40" w:after="40"/>
              <w:ind w:right="227"/>
              <w:jc w:val="right"/>
              <w:rPr>
                <w:rFonts w:eastAsia="Times New Roman" w:cs="Arial"/>
                <w:sz w:val="18"/>
                <w:szCs w:val="18"/>
                <w:lang w:eastAsia="en-AU"/>
              </w:rPr>
            </w:pPr>
            <w:r w:rsidRPr="00D30B88">
              <w:rPr>
                <w:rFonts w:cs="Arial"/>
                <w:color w:val="000000"/>
                <w:sz w:val="18"/>
              </w:rPr>
              <w:t>27.5</w:t>
            </w:r>
          </w:p>
        </w:tc>
      </w:tr>
      <w:tr w:rsidR="00754DA3" w:rsidRPr="008B2C65" w14:paraId="68ED7FE7" w14:textId="77777777" w:rsidTr="003D6248">
        <w:trPr>
          <w:trHeight w:val="80"/>
        </w:trPr>
        <w:tc>
          <w:tcPr>
            <w:tcW w:w="4535" w:type="dxa"/>
            <w:tcBorders>
              <w:top w:val="nil"/>
              <w:left w:val="nil"/>
              <w:bottom w:val="nil"/>
              <w:right w:val="nil"/>
            </w:tcBorders>
            <w:shd w:val="clear" w:color="auto" w:fill="auto"/>
            <w:vAlign w:val="center"/>
          </w:tcPr>
          <w:p w14:paraId="0D10EF5D" w14:textId="0B5F7E8A" w:rsidR="00754DA3" w:rsidRPr="008B2C65" w:rsidRDefault="00754DA3" w:rsidP="003D6248">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Seacare</w:t>
            </w:r>
          </w:p>
        </w:tc>
        <w:tc>
          <w:tcPr>
            <w:tcW w:w="1134" w:type="dxa"/>
            <w:tcBorders>
              <w:top w:val="nil"/>
              <w:left w:val="nil"/>
              <w:bottom w:val="nil"/>
              <w:right w:val="nil"/>
            </w:tcBorders>
            <w:shd w:val="clear" w:color="auto" w:fill="auto"/>
            <w:vAlign w:val="bottom"/>
          </w:tcPr>
          <w:p w14:paraId="5DBB7DE7" w14:textId="77777777" w:rsidR="00754DA3" w:rsidRPr="00D30B88" w:rsidRDefault="00754DA3" w:rsidP="003D6248">
            <w:pPr>
              <w:spacing w:before="40" w:after="40"/>
              <w:ind w:right="227"/>
              <w:jc w:val="right"/>
              <w:rPr>
                <w:rFonts w:eastAsia="Times New Roman" w:cs="Arial"/>
                <w:sz w:val="18"/>
                <w:szCs w:val="18"/>
                <w:lang w:eastAsia="en-AU"/>
              </w:rPr>
            </w:pPr>
            <w:r w:rsidRPr="00D30B88">
              <w:rPr>
                <w:rFonts w:cs="Arial"/>
                <w:color w:val="000000"/>
                <w:sz w:val="18"/>
              </w:rPr>
              <w:t>0.1</w:t>
            </w:r>
          </w:p>
        </w:tc>
        <w:tc>
          <w:tcPr>
            <w:tcW w:w="1134" w:type="dxa"/>
            <w:tcBorders>
              <w:top w:val="nil"/>
              <w:left w:val="nil"/>
              <w:bottom w:val="nil"/>
              <w:right w:val="nil"/>
            </w:tcBorders>
            <w:shd w:val="clear" w:color="auto" w:fill="auto"/>
            <w:vAlign w:val="bottom"/>
          </w:tcPr>
          <w:p w14:paraId="7CD9ECD1" w14:textId="77777777" w:rsidR="00754DA3" w:rsidRPr="00D30B88" w:rsidRDefault="00754DA3" w:rsidP="003D6248">
            <w:pPr>
              <w:spacing w:before="40" w:after="40"/>
              <w:ind w:right="227"/>
              <w:jc w:val="right"/>
              <w:rPr>
                <w:rFonts w:eastAsia="Times New Roman" w:cs="Arial"/>
                <w:sz w:val="18"/>
                <w:szCs w:val="18"/>
                <w:lang w:eastAsia="en-AU"/>
              </w:rPr>
            </w:pPr>
            <w:r w:rsidRPr="00D30B88">
              <w:rPr>
                <w:rFonts w:cs="Arial"/>
                <w:color w:val="000000"/>
                <w:sz w:val="18"/>
              </w:rPr>
              <w:t>0.1</w:t>
            </w:r>
          </w:p>
        </w:tc>
        <w:tc>
          <w:tcPr>
            <w:tcW w:w="1134" w:type="dxa"/>
            <w:tcBorders>
              <w:top w:val="nil"/>
              <w:left w:val="nil"/>
              <w:bottom w:val="nil"/>
              <w:right w:val="nil"/>
            </w:tcBorders>
            <w:shd w:val="clear" w:color="auto" w:fill="auto"/>
            <w:vAlign w:val="bottom"/>
          </w:tcPr>
          <w:p w14:paraId="4F5F0F54" w14:textId="77777777" w:rsidR="00754DA3" w:rsidRPr="00D30B88" w:rsidRDefault="00754DA3" w:rsidP="003D6248">
            <w:pPr>
              <w:spacing w:before="40" w:after="40"/>
              <w:ind w:right="227"/>
              <w:jc w:val="right"/>
              <w:rPr>
                <w:rFonts w:eastAsia="Times New Roman" w:cs="Arial"/>
                <w:sz w:val="18"/>
                <w:szCs w:val="18"/>
                <w:lang w:eastAsia="en-AU"/>
              </w:rPr>
            </w:pPr>
            <w:r w:rsidRPr="00D30B88">
              <w:rPr>
                <w:rFonts w:cs="Arial"/>
                <w:color w:val="000000"/>
                <w:sz w:val="18"/>
              </w:rPr>
              <w:t>0.1</w:t>
            </w:r>
          </w:p>
        </w:tc>
        <w:tc>
          <w:tcPr>
            <w:tcW w:w="1134" w:type="dxa"/>
            <w:tcBorders>
              <w:top w:val="nil"/>
              <w:left w:val="nil"/>
              <w:bottom w:val="nil"/>
              <w:right w:val="nil"/>
            </w:tcBorders>
            <w:shd w:val="clear" w:color="auto" w:fill="auto"/>
            <w:vAlign w:val="bottom"/>
          </w:tcPr>
          <w:p w14:paraId="0CDBD7AB" w14:textId="77777777" w:rsidR="00754DA3" w:rsidRPr="00D30B88" w:rsidRDefault="00754DA3" w:rsidP="003D6248">
            <w:pPr>
              <w:spacing w:before="40" w:after="40"/>
              <w:ind w:right="227"/>
              <w:jc w:val="right"/>
              <w:rPr>
                <w:rFonts w:eastAsia="Times New Roman" w:cs="Arial"/>
                <w:sz w:val="18"/>
                <w:szCs w:val="18"/>
                <w:lang w:eastAsia="en-AU"/>
              </w:rPr>
            </w:pPr>
            <w:r w:rsidRPr="00D30B88">
              <w:rPr>
                <w:rFonts w:cs="Arial"/>
                <w:color w:val="000000"/>
                <w:sz w:val="18"/>
              </w:rPr>
              <w:t>0.1</w:t>
            </w:r>
          </w:p>
        </w:tc>
      </w:tr>
      <w:tr w:rsidR="00754DA3" w:rsidRPr="008B2C65" w14:paraId="461588DE" w14:textId="77777777" w:rsidTr="003D6248">
        <w:trPr>
          <w:trHeight w:val="80"/>
        </w:trPr>
        <w:tc>
          <w:tcPr>
            <w:tcW w:w="4535" w:type="dxa"/>
            <w:tcBorders>
              <w:top w:val="nil"/>
              <w:left w:val="nil"/>
              <w:bottom w:val="nil"/>
              <w:right w:val="nil"/>
            </w:tcBorders>
            <w:shd w:val="clear" w:color="000000" w:fill="C7E4F3"/>
            <w:vAlign w:val="center"/>
          </w:tcPr>
          <w:p w14:paraId="7A50B760" w14:textId="77777777" w:rsidR="00754DA3" w:rsidRPr="008B2C65" w:rsidRDefault="00754DA3" w:rsidP="003D6248">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Tasmania</w:t>
            </w:r>
          </w:p>
        </w:tc>
        <w:tc>
          <w:tcPr>
            <w:tcW w:w="1134" w:type="dxa"/>
            <w:tcBorders>
              <w:top w:val="nil"/>
              <w:left w:val="nil"/>
              <w:bottom w:val="nil"/>
              <w:right w:val="nil"/>
            </w:tcBorders>
            <w:shd w:val="clear" w:color="000000" w:fill="C7E4F3"/>
            <w:vAlign w:val="bottom"/>
          </w:tcPr>
          <w:p w14:paraId="0597E4C0" w14:textId="77777777" w:rsidR="00754DA3" w:rsidRPr="00D30B88" w:rsidRDefault="00754DA3" w:rsidP="003D6248">
            <w:pPr>
              <w:spacing w:before="40" w:after="40"/>
              <w:ind w:right="227"/>
              <w:jc w:val="right"/>
              <w:rPr>
                <w:rFonts w:eastAsia="Times New Roman" w:cs="Arial"/>
                <w:sz w:val="18"/>
                <w:szCs w:val="18"/>
                <w:lang w:eastAsia="en-AU"/>
              </w:rPr>
            </w:pPr>
            <w:r w:rsidRPr="00D30B88">
              <w:rPr>
                <w:rFonts w:cs="Arial"/>
                <w:color w:val="000000"/>
                <w:sz w:val="18"/>
              </w:rPr>
              <w:t>2.0</w:t>
            </w:r>
          </w:p>
        </w:tc>
        <w:tc>
          <w:tcPr>
            <w:tcW w:w="1134" w:type="dxa"/>
            <w:tcBorders>
              <w:top w:val="nil"/>
              <w:left w:val="nil"/>
              <w:bottom w:val="nil"/>
              <w:right w:val="nil"/>
            </w:tcBorders>
            <w:shd w:val="clear" w:color="000000" w:fill="C7E4F3"/>
            <w:vAlign w:val="bottom"/>
          </w:tcPr>
          <w:p w14:paraId="2F2F4B6E" w14:textId="77777777" w:rsidR="00754DA3" w:rsidRPr="00D30B88" w:rsidRDefault="00754DA3" w:rsidP="003D6248">
            <w:pPr>
              <w:spacing w:before="40" w:after="40"/>
              <w:ind w:right="227"/>
              <w:jc w:val="right"/>
              <w:rPr>
                <w:rFonts w:eastAsia="Times New Roman" w:cs="Arial"/>
                <w:sz w:val="18"/>
                <w:szCs w:val="18"/>
                <w:lang w:eastAsia="en-AU"/>
              </w:rPr>
            </w:pPr>
            <w:r w:rsidRPr="00D30B88">
              <w:rPr>
                <w:rFonts w:cs="Arial"/>
                <w:color w:val="000000"/>
                <w:sz w:val="18"/>
              </w:rPr>
              <w:t>1.9</w:t>
            </w:r>
          </w:p>
        </w:tc>
        <w:tc>
          <w:tcPr>
            <w:tcW w:w="1134" w:type="dxa"/>
            <w:tcBorders>
              <w:top w:val="nil"/>
              <w:left w:val="nil"/>
              <w:bottom w:val="nil"/>
              <w:right w:val="nil"/>
            </w:tcBorders>
            <w:shd w:val="clear" w:color="000000" w:fill="C7E4F3"/>
            <w:vAlign w:val="bottom"/>
          </w:tcPr>
          <w:p w14:paraId="446D7ED9" w14:textId="77777777" w:rsidR="00754DA3" w:rsidRPr="00D30B88" w:rsidRDefault="00754DA3" w:rsidP="003D6248">
            <w:pPr>
              <w:spacing w:before="40" w:after="40"/>
              <w:ind w:right="227"/>
              <w:jc w:val="right"/>
              <w:rPr>
                <w:rFonts w:eastAsia="Times New Roman" w:cs="Arial"/>
                <w:sz w:val="18"/>
                <w:szCs w:val="18"/>
                <w:lang w:eastAsia="en-AU"/>
              </w:rPr>
            </w:pPr>
            <w:r w:rsidRPr="00D30B88">
              <w:rPr>
                <w:rFonts w:cs="Arial"/>
                <w:color w:val="000000"/>
                <w:sz w:val="18"/>
              </w:rPr>
              <w:t>0.9</w:t>
            </w:r>
            <w:r>
              <w:rPr>
                <w:rFonts w:cs="Arial"/>
                <w:color w:val="000000"/>
                <w:sz w:val="18"/>
              </w:rPr>
              <w:t>*</w:t>
            </w:r>
          </w:p>
        </w:tc>
        <w:tc>
          <w:tcPr>
            <w:tcW w:w="1134" w:type="dxa"/>
            <w:tcBorders>
              <w:top w:val="nil"/>
              <w:left w:val="nil"/>
              <w:bottom w:val="nil"/>
              <w:right w:val="nil"/>
            </w:tcBorders>
            <w:shd w:val="clear" w:color="000000" w:fill="C7E4F3"/>
            <w:vAlign w:val="bottom"/>
          </w:tcPr>
          <w:p w14:paraId="37A8140A" w14:textId="77777777" w:rsidR="00754DA3" w:rsidRPr="00D30B88" w:rsidRDefault="00754DA3" w:rsidP="003D6248">
            <w:pPr>
              <w:spacing w:before="40" w:after="40"/>
              <w:ind w:right="227"/>
              <w:jc w:val="right"/>
              <w:rPr>
                <w:rFonts w:eastAsia="Times New Roman" w:cs="Arial"/>
                <w:sz w:val="18"/>
                <w:szCs w:val="18"/>
                <w:lang w:eastAsia="en-AU"/>
              </w:rPr>
            </w:pPr>
            <w:r w:rsidRPr="00D30B88">
              <w:rPr>
                <w:rFonts w:cs="Arial"/>
                <w:color w:val="000000"/>
                <w:sz w:val="18"/>
              </w:rPr>
              <w:t>1.0</w:t>
            </w:r>
          </w:p>
        </w:tc>
      </w:tr>
      <w:tr w:rsidR="00754DA3" w:rsidRPr="008B2C65" w14:paraId="18744E97" w14:textId="77777777" w:rsidTr="003D6248">
        <w:trPr>
          <w:trHeight w:val="80"/>
        </w:trPr>
        <w:tc>
          <w:tcPr>
            <w:tcW w:w="4535" w:type="dxa"/>
            <w:tcBorders>
              <w:top w:val="nil"/>
              <w:left w:val="nil"/>
              <w:bottom w:val="nil"/>
              <w:right w:val="nil"/>
            </w:tcBorders>
            <w:shd w:val="clear" w:color="auto" w:fill="auto"/>
            <w:vAlign w:val="center"/>
          </w:tcPr>
          <w:p w14:paraId="43308032" w14:textId="77777777" w:rsidR="00754DA3" w:rsidRPr="008B2C65" w:rsidRDefault="00754DA3" w:rsidP="003D6248">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W</w:t>
            </w:r>
            <w:r>
              <w:rPr>
                <w:rFonts w:eastAsia="Times New Roman" w:cs="Arial"/>
                <w:color w:val="000000"/>
                <w:sz w:val="18"/>
                <w:szCs w:val="18"/>
                <w:lang w:eastAsia="en-AU"/>
              </w:rPr>
              <w:t xml:space="preserve">estern </w:t>
            </w:r>
            <w:r w:rsidRPr="008B2C65">
              <w:rPr>
                <w:rFonts w:eastAsia="Times New Roman" w:cs="Arial"/>
                <w:color w:val="000000"/>
                <w:sz w:val="18"/>
                <w:szCs w:val="18"/>
                <w:lang w:eastAsia="en-AU"/>
              </w:rPr>
              <w:t>A</w:t>
            </w:r>
            <w:r>
              <w:rPr>
                <w:rFonts w:eastAsia="Times New Roman" w:cs="Arial"/>
                <w:color w:val="000000"/>
                <w:sz w:val="18"/>
                <w:szCs w:val="18"/>
                <w:lang w:eastAsia="en-AU"/>
              </w:rPr>
              <w:t>ustralia</w:t>
            </w:r>
          </w:p>
        </w:tc>
        <w:tc>
          <w:tcPr>
            <w:tcW w:w="1134" w:type="dxa"/>
            <w:tcBorders>
              <w:top w:val="nil"/>
              <w:left w:val="nil"/>
              <w:bottom w:val="nil"/>
              <w:right w:val="nil"/>
            </w:tcBorders>
            <w:shd w:val="clear" w:color="auto" w:fill="auto"/>
            <w:vAlign w:val="bottom"/>
          </w:tcPr>
          <w:p w14:paraId="36B2C5F2" w14:textId="77777777" w:rsidR="00754DA3" w:rsidRPr="00D30B88" w:rsidRDefault="00754DA3" w:rsidP="003D6248">
            <w:pPr>
              <w:spacing w:before="40" w:after="40"/>
              <w:ind w:right="227"/>
              <w:jc w:val="right"/>
              <w:rPr>
                <w:rFonts w:eastAsia="Times New Roman" w:cs="Arial"/>
                <w:sz w:val="18"/>
                <w:szCs w:val="18"/>
                <w:lang w:eastAsia="en-AU"/>
              </w:rPr>
            </w:pPr>
            <w:r w:rsidRPr="00D30B88">
              <w:rPr>
                <w:rFonts w:cs="Arial"/>
                <w:color w:val="000000"/>
                <w:sz w:val="18"/>
              </w:rPr>
              <w:t>12.5</w:t>
            </w:r>
          </w:p>
        </w:tc>
        <w:tc>
          <w:tcPr>
            <w:tcW w:w="1134" w:type="dxa"/>
            <w:tcBorders>
              <w:top w:val="nil"/>
              <w:left w:val="nil"/>
              <w:bottom w:val="nil"/>
              <w:right w:val="nil"/>
            </w:tcBorders>
            <w:shd w:val="clear" w:color="auto" w:fill="auto"/>
            <w:vAlign w:val="bottom"/>
          </w:tcPr>
          <w:p w14:paraId="0360AF35" w14:textId="77777777" w:rsidR="00754DA3" w:rsidRPr="00D30B88" w:rsidRDefault="00754DA3" w:rsidP="003D6248">
            <w:pPr>
              <w:spacing w:before="40" w:after="40"/>
              <w:ind w:right="227"/>
              <w:jc w:val="right"/>
              <w:rPr>
                <w:rFonts w:eastAsia="Times New Roman" w:cs="Arial"/>
                <w:sz w:val="18"/>
                <w:szCs w:val="18"/>
                <w:lang w:eastAsia="en-AU"/>
              </w:rPr>
            </w:pPr>
            <w:r w:rsidRPr="00D30B88">
              <w:rPr>
                <w:rFonts w:cs="Arial"/>
                <w:color w:val="000000"/>
                <w:sz w:val="18"/>
              </w:rPr>
              <w:t>10.3</w:t>
            </w:r>
          </w:p>
        </w:tc>
        <w:tc>
          <w:tcPr>
            <w:tcW w:w="1134" w:type="dxa"/>
            <w:tcBorders>
              <w:top w:val="nil"/>
              <w:left w:val="nil"/>
              <w:bottom w:val="nil"/>
              <w:right w:val="nil"/>
            </w:tcBorders>
            <w:shd w:val="clear" w:color="auto" w:fill="auto"/>
            <w:vAlign w:val="bottom"/>
          </w:tcPr>
          <w:p w14:paraId="2F2E3303" w14:textId="77777777" w:rsidR="00754DA3" w:rsidRPr="00D30B88" w:rsidRDefault="00754DA3" w:rsidP="003D6248">
            <w:pPr>
              <w:spacing w:before="40" w:after="40"/>
              <w:ind w:right="227"/>
              <w:jc w:val="right"/>
              <w:rPr>
                <w:rFonts w:eastAsia="Times New Roman" w:cs="Arial"/>
                <w:sz w:val="18"/>
                <w:szCs w:val="18"/>
                <w:lang w:eastAsia="en-AU"/>
              </w:rPr>
            </w:pPr>
            <w:r w:rsidRPr="00D30B88">
              <w:rPr>
                <w:rFonts w:cs="Arial"/>
                <w:color w:val="000000"/>
                <w:sz w:val="18"/>
              </w:rPr>
              <w:t>11.5</w:t>
            </w:r>
          </w:p>
        </w:tc>
        <w:tc>
          <w:tcPr>
            <w:tcW w:w="1134" w:type="dxa"/>
            <w:tcBorders>
              <w:top w:val="nil"/>
              <w:left w:val="nil"/>
              <w:bottom w:val="nil"/>
              <w:right w:val="nil"/>
            </w:tcBorders>
            <w:shd w:val="clear" w:color="auto" w:fill="auto"/>
            <w:vAlign w:val="bottom"/>
          </w:tcPr>
          <w:p w14:paraId="1A67BAC1" w14:textId="77777777" w:rsidR="00754DA3" w:rsidRPr="00D30B88" w:rsidRDefault="00754DA3" w:rsidP="003D6248">
            <w:pPr>
              <w:spacing w:before="40" w:after="40"/>
              <w:ind w:right="227"/>
              <w:jc w:val="right"/>
              <w:rPr>
                <w:rFonts w:eastAsia="Times New Roman" w:cs="Arial"/>
                <w:sz w:val="18"/>
                <w:szCs w:val="18"/>
                <w:lang w:eastAsia="en-AU"/>
              </w:rPr>
            </w:pPr>
            <w:r w:rsidRPr="00D30B88">
              <w:rPr>
                <w:rFonts w:cs="Arial"/>
                <w:color w:val="000000"/>
                <w:sz w:val="18"/>
              </w:rPr>
              <w:t>11.5</w:t>
            </w:r>
          </w:p>
        </w:tc>
      </w:tr>
      <w:tr w:rsidR="00754DA3" w:rsidRPr="008B2C65" w14:paraId="0D8E75AA" w14:textId="77777777" w:rsidTr="003D6248">
        <w:trPr>
          <w:trHeight w:val="80"/>
        </w:trPr>
        <w:tc>
          <w:tcPr>
            <w:tcW w:w="4535" w:type="dxa"/>
            <w:tcBorders>
              <w:top w:val="nil"/>
              <w:left w:val="nil"/>
              <w:bottom w:val="nil"/>
              <w:right w:val="nil"/>
            </w:tcBorders>
            <w:shd w:val="clear" w:color="000000" w:fill="C7E4F3"/>
            <w:vAlign w:val="center"/>
          </w:tcPr>
          <w:p w14:paraId="40F7AD7A" w14:textId="77777777" w:rsidR="00754DA3" w:rsidRPr="008B2C65" w:rsidRDefault="00754DA3" w:rsidP="003D6248">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Victoria</w:t>
            </w:r>
          </w:p>
        </w:tc>
        <w:tc>
          <w:tcPr>
            <w:tcW w:w="1134" w:type="dxa"/>
            <w:tcBorders>
              <w:top w:val="nil"/>
              <w:left w:val="nil"/>
              <w:bottom w:val="nil"/>
              <w:right w:val="nil"/>
            </w:tcBorders>
            <w:shd w:val="clear" w:color="000000" w:fill="C7E4F3"/>
            <w:vAlign w:val="bottom"/>
          </w:tcPr>
          <w:p w14:paraId="78C70B1E" w14:textId="77777777" w:rsidR="00754DA3" w:rsidRPr="00D30B88" w:rsidRDefault="00754DA3" w:rsidP="003D6248">
            <w:pPr>
              <w:spacing w:before="40" w:after="40"/>
              <w:ind w:right="227"/>
              <w:jc w:val="right"/>
              <w:rPr>
                <w:rFonts w:eastAsia="Times New Roman" w:cs="Arial"/>
                <w:sz w:val="18"/>
                <w:szCs w:val="18"/>
                <w:lang w:eastAsia="en-AU"/>
              </w:rPr>
            </w:pPr>
            <w:r w:rsidRPr="00D30B88">
              <w:rPr>
                <w:rFonts w:cs="Arial"/>
                <w:color w:val="000000"/>
                <w:sz w:val="18"/>
              </w:rPr>
              <w:t>21.7</w:t>
            </w:r>
          </w:p>
        </w:tc>
        <w:tc>
          <w:tcPr>
            <w:tcW w:w="1134" w:type="dxa"/>
            <w:tcBorders>
              <w:top w:val="nil"/>
              <w:left w:val="nil"/>
              <w:bottom w:val="nil"/>
              <w:right w:val="nil"/>
            </w:tcBorders>
            <w:shd w:val="clear" w:color="000000" w:fill="C7E4F3"/>
            <w:vAlign w:val="bottom"/>
          </w:tcPr>
          <w:p w14:paraId="07026A06" w14:textId="77777777" w:rsidR="00754DA3" w:rsidRPr="00D30B88" w:rsidRDefault="00754DA3" w:rsidP="003D6248">
            <w:pPr>
              <w:spacing w:before="40" w:after="40"/>
              <w:ind w:right="227"/>
              <w:jc w:val="right"/>
              <w:rPr>
                <w:rFonts w:eastAsia="Times New Roman" w:cs="Arial"/>
                <w:sz w:val="18"/>
                <w:szCs w:val="18"/>
                <w:lang w:eastAsia="en-AU"/>
              </w:rPr>
            </w:pPr>
            <w:r w:rsidRPr="00D30B88">
              <w:rPr>
                <w:rFonts w:cs="Arial"/>
                <w:color w:val="000000"/>
                <w:sz w:val="18"/>
              </w:rPr>
              <w:t>20.1</w:t>
            </w:r>
          </w:p>
        </w:tc>
        <w:tc>
          <w:tcPr>
            <w:tcW w:w="1134" w:type="dxa"/>
            <w:tcBorders>
              <w:top w:val="nil"/>
              <w:left w:val="nil"/>
              <w:bottom w:val="nil"/>
              <w:right w:val="nil"/>
            </w:tcBorders>
            <w:shd w:val="clear" w:color="000000" w:fill="C7E4F3"/>
            <w:vAlign w:val="bottom"/>
          </w:tcPr>
          <w:p w14:paraId="02AA1FDB" w14:textId="77777777" w:rsidR="00754DA3" w:rsidRPr="00D30B88" w:rsidRDefault="00754DA3" w:rsidP="003D6248">
            <w:pPr>
              <w:spacing w:before="40" w:after="40"/>
              <w:ind w:right="227"/>
              <w:jc w:val="right"/>
              <w:rPr>
                <w:rFonts w:eastAsia="Times New Roman" w:cs="Arial"/>
                <w:sz w:val="18"/>
                <w:szCs w:val="18"/>
                <w:lang w:eastAsia="en-AU"/>
              </w:rPr>
            </w:pPr>
            <w:r w:rsidRPr="00D30B88">
              <w:rPr>
                <w:rFonts w:cs="Arial"/>
                <w:color w:val="000000"/>
                <w:sz w:val="18"/>
              </w:rPr>
              <w:t>19.0</w:t>
            </w:r>
          </w:p>
        </w:tc>
        <w:tc>
          <w:tcPr>
            <w:tcW w:w="1134" w:type="dxa"/>
            <w:tcBorders>
              <w:top w:val="nil"/>
              <w:left w:val="nil"/>
              <w:bottom w:val="nil"/>
              <w:right w:val="nil"/>
            </w:tcBorders>
            <w:shd w:val="clear" w:color="000000" w:fill="C7E4F3"/>
            <w:vAlign w:val="bottom"/>
          </w:tcPr>
          <w:p w14:paraId="5394C676" w14:textId="77777777" w:rsidR="00754DA3" w:rsidRPr="00D30B88" w:rsidRDefault="00754DA3" w:rsidP="003D6248">
            <w:pPr>
              <w:spacing w:before="40" w:after="40"/>
              <w:ind w:right="227"/>
              <w:jc w:val="right"/>
              <w:rPr>
                <w:rFonts w:eastAsia="Times New Roman" w:cs="Arial"/>
                <w:sz w:val="18"/>
                <w:szCs w:val="18"/>
                <w:lang w:eastAsia="en-AU"/>
              </w:rPr>
            </w:pPr>
            <w:r w:rsidRPr="00D30B88">
              <w:rPr>
                <w:rFonts w:cs="Arial"/>
                <w:color w:val="000000"/>
                <w:sz w:val="18"/>
              </w:rPr>
              <w:t>18.4</w:t>
            </w:r>
          </w:p>
        </w:tc>
      </w:tr>
      <w:tr w:rsidR="00754DA3" w:rsidRPr="008B2C65" w14:paraId="3EB86A09" w14:textId="77777777" w:rsidTr="003D6248">
        <w:trPr>
          <w:trHeight w:val="80"/>
        </w:trPr>
        <w:tc>
          <w:tcPr>
            <w:tcW w:w="4535" w:type="dxa"/>
            <w:tcBorders>
              <w:top w:val="nil"/>
              <w:left w:val="nil"/>
              <w:bottom w:val="nil"/>
              <w:right w:val="nil"/>
            </w:tcBorders>
            <w:shd w:val="clear" w:color="auto" w:fill="auto"/>
            <w:vAlign w:val="center"/>
          </w:tcPr>
          <w:p w14:paraId="2D44A83E" w14:textId="77777777" w:rsidR="00754DA3" w:rsidRPr="008B2C65" w:rsidRDefault="00754DA3" w:rsidP="003D6248">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S</w:t>
            </w:r>
            <w:r>
              <w:rPr>
                <w:rFonts w:eastAsia="Times New Roman" w:cs="Arial"/>
                <w:color w:val="000000"/>
                <w:sz w:val="18"/>
                <w:szCs w:val="18"/>
                <w:lang w:eastAsia="en-AU"/>
              </w:rPr>
              <w:t xml:space="preserve">outh </w:t>
            </w:r>
            <w:r w:rsidRPr="008B2C65">
              <w:rPr>
                <w:rFonts w:eastAsia="Times New Roman" w:cs="Arial"/>
                <w:color w:val="000000"/>
                <w:sz w:val="18"/>
                <w:szCs w:val="18"/>
                <w:lang w:eastAsia="en-AU"/>
              </w:rPr>
              <w:t>A</w:t>
            </w:r>
            <w:r>
              <w:rPr>
                <w:rFonts w:eastAsia="Times New Roman" w:cs="Arial"/>
                <w:color w:val="000000"/>
                <w:sz w:val="18"/>
                <w:szCs w:val="18"/>
                <w:lang w:eastAsia="en-AU"/>
              </w:rPr>
              <w:t>ustralia</w:t>
            </w:r>
          </w:p>
        </w:tc>
        <w:tc>
          <w:tcPr>
            <w:tcW w:w="1134" w:type="dxa"/>
            <w:tcBorders>
              <w:top w:val="nil"/>
              <w:left w:val="nil"/>
              <w:bottom w:val="nil"/>
              <w:right w:val="nil"/>
            </w:tcBorders>
            <w:shd w:val="clear" w:color="auto" w:fill="auto"/>
            <w:vAlign w:val="bottom"/>
          </w:tcPr>
          <w:p w14:paraId="3DF70FD1" w14:textId="77777777" w:rsidR="00754DA3" w:rsidRPr="00D30B88" w:rsidRDefault="00754DA3" w:rsidP="003D6248">
            <w:pPr>
              <w:spacing w:before="40" w:after="40"/>
              <w:ind w:right="227"/>
              <w:jc w:val="right"/>
              <w:rPr>
                <w:rFonts w:eastAsia="Times New Roman" w:cs="Arial"/>
                <w:sz w:val="18"/>
                <w:szCs w:val="18"/>
                <w:lang w:eastAsia="en-AU"/>
              </w:rPr>
            </w:pPr>
            <w:r w:rsidRPr="00D30B88">
              <w:rPr>
                <w:rFonts w:cs="Arial"/>
                <w:color w:val="000000"/>
                <w:sz w:val="18"/>
              </w:rPr>
              <w:t>8.7</w:t>
            </w:r>
          </w:p>
        </w:tc>
        <w:tc>
          <w:tcPr>
            <w:tcW w:w="1134" w:type="dxa"/>
            <w:tcBorders>
              <w:top w:val="nil"/>
              <w:left w:val="nil"/>
              <w:bottom w:val="nil"/>
              <w:right w:val="nil"/>
            </w:tcBorders>
            <w:shd w:val="clear" w:color="auto" w:fill="auto"/>
            <w:vAlign w:val="bottom"/>
          </w:tcPr>
          <w:p w14:paraId="4A268EBB" w14:textId="77777777" w:rsidR="00754DA3" w:rsidRPr="00D30B88" w:rsidRDefault="00754DA3" w:rsidP="003D6248">
            <w:pPr>
              <w:spacing w:before="40" w:after="40"/>
              <w:ind w:right="227"/>
              <w:jc w:val="right"/>
              <w:rPr>
                <w:rFonts w:eastAsia="Times New Roman" w:cs="Arial"/>
                <w:sz w:val="18"/>
                <w:szCs w:val="18"/>
                <w:lang w:eastAsia="en-AU"/>
              </w:rPr>
            </w:pPr>
            <w:r w:rsidRPr="00D30B88">
              <w:rPr>
                <w:rFonts w:cs="Arial"/>
                <w:color w:val="000000"/>
                <w:sz w:val="18"/>
              </w:rPr>
              <w:t>7.1</w:t>
            </w:r>
            <w:r>
              <w:rPr>
                <w:rFonts w:cs="Arial"/>
                <w:color w:val="000000"/>
                <w:sz w:val="18"/>
              </w:rPr>
              <w:t>*</w:t>
            </w:r>
          </w:p>
        </w:tc>
        <w:tc>
          <w:tcPr>
            <w:tcW w:w="1134" w:type="dxa"/>
            <w:tcBorders>
              <w:top w:val="nil"/>
              <w:left w:val="nil"/>
              <w:bottom w:val="nil"/>
              <w:right w:val="nil"/>
            </w:tcBorders>
            <w:shd w:val="clear" w:color="auto" w:fill="auto"/>
            <w:vAlign w:val="bottom"/>
          </w:tcPr>
          <w:p w14:paraId="443E728D" w14:textId="77777777" w:rsidR="00754DA3" w:rsidRPr="00D30B88" w:rsidRDefault="00754DA3" w:rsidP="003D6248">
            <w:pPr>
              <w:spacing w:before="40" w:after="40"/>
              <w:ind w:right="227"/>
              <w:jc w:val="right"/>
              <w:rPr>
                <w:rFonts w:eastAsia="Times New Roman" w:cs="Arial"/>
                <w:sz w:val="18"/>
                <w:szCs w:val="18"/>
                <w:lang w:eastAsia="en-AU"/>
              </w:rPr>
            </w:pPr>
            <w:r w:rsidRPr="00D30B88">
              <w:rPr>
                <w:rFonts w:cs="Arial"/>
                <w:color w:val="000000"/>
                <w:sz w:val="18"/>
              </w:rPr>
              <w:t>6.4</w:t>
            </w:r>
          </w:p>
        </w:tc>
        <w:tc>
          <w:tcPr>
            <w:tcW w:w="1134" w:type="dxa"/>
            <w:tcBorders>
              <w:top w:val="nil"/>
              <w:left w:val="nil"/>
              <w:bottom w:val="nil"/>
              <w:right w:val="nil"/>
            </w:tcBorders>
            <w:shd w:val="clear" w:color="auto" w:fill="auto"/>
            <w:vAlign w:val="bottom"/>
          </w:tcPr>
          <w:p w14:paraId="2ABD642A" w14:textId="77777777" w:rsidR="00754DA3" w:rsidRPr="00D30B88" w:rsidRDefault="00754DA3" w:rsidP="003D6248">
            <w:pPr>
              <w:spacing w:before="40" w:after="40"/>
              <w:ind w:right="227"/>
              <w:jc w:val="right"/>
              <w:rPr>
                <w:rFonts w:eastAsia="Times New Roman" w:cs="Arial"/>
                <w:sz w:val="18"/>
                <w:szCs w:val="18"/>
                <w:lang w:eastAsia="en-AU"/>
              </w:rPr>
            </w:pPr>
            <w:r>
              <w:rPr>
                <w:rFonts w:cs="Arial"/>
                <w:color w:val="000000"/>
                <w:sz w:val="18"/>
              </w:rPr>
              <w:t>--</w:t>
            </w:r>
          </w:p>
        </w:tc>
      </w:tr>
      <w:tr w:rsidR="00754DA3" w:rsidRPr="008B2C65" w14:paraId="60ED4CA4" w14:textId="77777777" w:rsidTr="003D6248">
        <w:trPr>
          <w:trHeight w:val="80"/>
        </w:trPr>
        <w:tc>
          <w:tcPr>
            <w:tcW w:w="4535" w:type="dxa"/>
            <w:tcBorders>
              <w:top w:val="nil"/>
              <w:left w:val="nil"/>
              <w:bottom w:val="nil"/>
              <w:right w:val="nil"/>
            </w:tcBorders>
            <w:shd w:val="clear" w:color="auto" w:fill="58AEDA"/>
            <w:vAlign w:val="center"/>
            <w:hideMark/>
          </w:tcPr>
          <w:p w14:paraId="43C8BFC0" w14:textId="77777777" w:rsidR="00754DA3" w:rsidRPr="008B2C65" w:rsidRDefault="00754DA3" w:rsidP="003D6248">
            <w:pPr>
              <w:spacing w:before="40" w:after="40"/>
              <w:rPr>
                <w:rFonts w:eastAsia="Times New Roman" w:cs="Arial"/>
                <w:b/>
                <w:bCs/>
                <w:color w:val="000000"/>
                <w:sz w:val="18"/>
                <w:szCs w:val="18"/>
                <w:lang w:eastAsia="en-AU"/>
              </w:rPr>
            </w:pPr>
            <w:r w:rsidRPr="008B2C65">
              <w:rPr>
                <w:rFonts w:eastAsia="Times New Roman" w:cs="Arial"/>
                <w:b/>
                <w:bCs/>
                <w:color w:val="000000"/>
                <w:sz w:val="18"/>
                <w:szCs w:val="18"/>
                <w:lang w:eastAsia="en-AU"/>
              </w:rPr>
              <w:t xml:space="preserve">Injury type </w:t>
            </w:r>
          </w:p>
        </w:tc>
        <w:tc>
          <w:tcPr>
            <w:tcW w:w="1134" w:type="dxa"/>
            <w:tcBorders>
              <w:top w:val="nil"/>
              <w:left w:val="nil"/>
              <w:bottom w:val="nil"/>
              <w:right w:val="nil"/>
            </w:tcBorders>
            <w:shd w:val="clear" w:color="auto" w:fill="58AEDA"/>
            <w:vAlign w:val="center"/>
            <w:hideMark/>
          </w:tcPr>
          <w:p w14:paraId="0770F27C" w14:textId="77777777" w:rsidR="00754DA3" w:rsidRPr="00467D4A" w:rsidRDefault="00754DA3" w:rsidP="003D6248">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134" w:type="dxa"/>
            <w:tcBorders>
              <w:top w:val="nil"/>
              <w:left w:val="nil"/>
              <w:bottom w:val="nil"/>
              <w:right w:val="nil"/>
            </w:tcBorders>
            <w:shd w:val="clear" w:color="auto" w:fill="58AEDA"/>
            <w:vAlign w:val="center"/>
            <w:hideMark/>
          </w:tcPr>
          <w:p w14:paraId="13132856" w14:textId="77777777" w:rsidR="00754DA3" w:rsidRPr="00467D4A" w:rsidRDefault="00754DA3" w:rsidP="003D6248">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134" w:type="dxa"/>
            <w:tcBorders>
              <w:top w:val="nil"/>
              <w:left w:val="nil"/>
              <w:bottom w:val="nil"/>
              <w:right w:val="nil"/>
            </w:tcBorders>
            <w:shd w:val="clear" w:color="auto" w:fill="58AEDA"/>
            <w:vAlign w:val="center"/>
            <w:hideMark/>
          </w:tcPr>
          <w:p w14:paraId="60FF21F0" w14:textId="77777777" w:rsidR="00754DA3" w:rsidRPr="00467D4A" w:rsidRDefault="00754DA3" w:rsidP="003D6248">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134" w:type="dxa"/>
            <w:tcBorders>
              <w:top w:val="nil"/>
              <w:left w:val="nil"/>
              <w:bottom w:val="nil"/>
              <w:right w:val="nil"/>
            </w:tcBorders>
            <w:shd w:val="clear" w:color="auto" w:fill="58AEDA"/>
            <w:vAlign w:val="center"/>
            <w:hideMark/>
          </w:tcPr>
          <w:p w14:paraId="36C5E4F5" w14:textId="77777777" w:rsidR="00754DA3" w:rsidRPr="00467D4A" w:rsidRDefault="00754DA3" w:rsidP="003D6248">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r>
      <w:tr w:rsidR="00754DA3" w:rsidRPr="008B2C65" w14:paraId="3DFAEF73" w14:textId="77777777" w:rsidTr="003D6248">
        <w:trPr>
          <w:trHeight w:val="80"/>
        </w:trPr>
        <w:tc>
          <w:tcPr>
            <w:tcW w:w="4535" w:type="dxa"/>
            <w:tcBorders>
              <w:top w:val="nil"/>
              <w:left w:val="nil"/>
              <w:bottom w:val="nil"/>
              <w:right w:val="nil"/>
            </w:tcBorders>
            <w:shd w:val="clear" w:color="000000" w:fill="C7E4F3"/>
            <w:vAlign w:val="center"/>
            <w:hideMark/>
          </w:tcPr>
          <w:p w14:paraId="0AA20DEB" w14:textId="77777777" w:rsidR="00754DA3" w:rsidRPr="008B2C65" w:rsidRDefault="00754DA3" w:rsidP="003D6248">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Fractures</w:t>
            </w:r>
          </w:p>
        </w:tc>
        <w:tc>
          <w:tcPr>
            <w:tcW w:w="1134" w:type="dxa"/>
            <w:tcBorders>
              <w:top w:val="nil"/>
              <w:left w:val="nil"/>
              <w:bottom w:val="nil"/>
              <w:right w:val="nil"/>
            </w:tcBorders>
            <w:shd w:val="clear" w:color="000000" w:fill="C7E4F3"/>
            <w:vAlign w:val="bottom"/>
            <w:hideMark/>
          </w:tcPr>
          <w:p w14:paraId="05FC97CA" w14:textId="77777777" w:rsidR="00754DA3" w:rsidRPr="00285892" w:rsidRDefault="00754DA3" w:rsidP="003D6248">
            <w:pPr>
              <w:spacing w:before="40" w:after="40"/>
              <w:ind w:right="227"/>
              <w:jc w:val="right"/>
              <w:rPr>
                <w:rFonts w:eastAsia="Times New Roman" w:cs="Arial"/>
                <w:sz w:val="18"/>
                <w:szCs w:val="18"/>
                <w:lang w:eastAsia="en-AU"/>
              </w:rPr>
            </w:pPr>
            <w:r w:rsidRPr="00285892">
              <w:rPr>
                <w:rFonts w:cs="Arial"/>
                <w:color w:val="000000"/>
                <w:sz w:val="18"/>
              </w:rPr>
              <w:t>11.1</w:t>
            </w:r>
          </w:p>
        </w:tc>
        <w:tc>
          <w:tcPr>
            <w:tcW w:w="1134" w:type="dxa"/>
            <w:tcBorders>
              <w:top w:val="nil"/>
              <w:left w:val="nil"/>
              <w:bottom w:val="nil"/>
              <w:right w:val="nil"/>
            </w:tcBorders>
            <w:shd w:val="clear" w:color="000000" w:fill="C7E4F3"/>
            <w:vAlign w:val="bottom"/>
            <w:hideMark/>
          </w:tcPr>
          <w:p w14:paraId="4657C253" w14:textId="77777777" w:rsidR="00754DA3" w:rsidRPr="00285892" w:rsidRDefault="00754DA3" w:rsidP="003D6248">
            <w:pPr>
              <w:spacing w:before="40" w:after="40"/>
              <w:ind w:right="227"/>
              <w:jc w:val="right"/>
              <w:rPr>
                <w:rFonts w:eastAsia="Times New Roman" w:cs="Arial"/>
                <w:sz w:val="18"/>
                <w:szCs w:val="18"/>
                <w:lang w:eastAsia="en-AU"/>
              </w:rPr>
            </w:pPr>
            <w:r w:rsidRPr="00285892">
              <w:rPr>
                <w:rFonts w:cs="Arial"/>
                <w:color w:val="000000"/>
                <w:sz w:val="18"/>
              </w:rPr>
              <w:t>9.2</w:t>
            </w:r>
          </w:p>
        </w:tc>
        <w:tc>
          <w:tcPr>
            <w:tcW w:w="1134" w:type="dxa"/>
            <w:tcBorders>
              <w:top w:val="nil"/>
              <w:left w:val="nil"/>
              <w:bottom w:val="nil"/>
              <w:right w:val="nil"/>
            </w:tcBorders>
            <w:shd w:val="clear" w:color="000000" w:fill="C7E4F3"/>
            <w:vAlign w:val="bottom"/>
            <w:hideMark/>
          </w:tcPr>
          <w:p w14:paraId="2FC6CEDB" w14:textId="77777777" w:rsidR="00754DA3" w:rsidRPr="00285892" w:rsidRDefault="00754DA3" w:rsidP="003D6248">
            <w:pPr>
              <w:spacing w:before="40" w:after="40"/>
              <w:ind w:right="227"/>
              <w:jc w:val="right"/>
              <w:rPr>
                <w:rFonts w:eastAsia="Times New Roman" w:cs="Arial"/>
                <w:sz w:val="18"/>
                <w:szCs w:val="18"/>
                <w:lang w:eastAsia="en-AU"/>
              </w:rPr>
            </w:pPr>
            <w:r w:rsidRPr="00285892">
              <w:rPr>
                <w:rFonts w:cs="Arial"/>
                <w:color w:val="000000"/>
                <w:sz w:val="18"/>
              </w:rPr>
              <w:t>9.2</w:t>
            </w:r>
          </w:p>
        </w:tc>
        <w:tc>
          <w:tcPr>
            <w:tcW w:w="1134" w:type="dxa"/>
            <w:tcBorders>
              <w:top w:val="nil"/>
              <w:left w:val="nil"/>
              <w:bottom w:val="nil"/>
              <w:right w:val="nil"/>
            </w:tcBorders>
            <w:shd w:val="clear" w:color="000000" w:fill="C7E4F3"/>
            <w:vAlign w:val="bottom"/>
            <w:hideMark/>
          </w:tcPr>
          <w:p w14:paraId="78FA8631" w14:textId="77777777" w:rsidR="00754DA3" w:rsidRPr="00285892" w:rsidRDefault="00754DA3" w:rsidP="003D6248">
            <w:pPr>
              <w:spacing w:before="40" w:after="40"/>
              <w:ind w:right="227"/>
              <w:jc w:val="right"/>
              <w:rPr>
                <w:rFonts w:eastAsia="Times New Roman" w:cs="Arial"/>
                <w:sz w:val="18"/>
                <w:szCs w:val="18"/>
                <w:lang w:eastAsia="en-AU"/>
              </w:rPr>
            </w:pPr>
            <w:r w:rsidRPr="00285892">
              <w:rPr>
                <w:rFonts w:cs="Arial"/>
                <w:color w:val="000000"/>
                <w:sz w:val="18"/>
              </w:rPr>
              <w:t>12.4</w:t>
            </w:r>
            <w:r>
              <w:rPr>
                <w:rFonts w:cs="Arial"/>
                <w:color w:val="000000"/>
                <w:sz w:val="18"/>
              </w:rPr>
              <w:t>**</w:t>
            </w:r>
          </w:p>
        </w:tc>
      </w:tr>
      <w:tr w:rsidR="00754DA3" w:rsidRPr="008B2C65" w14:paraId="722305A9" w14:textId="77777777" w:rsidTr="003D6248">
        <w:trPr>
          <w:trHeight w:val="80"/>
        </w:trPr>
        <w:tc>
          <w:tcPr>
            <w:tcW w:w="4535" w:type="dxa"/>
            <w:tcBorders>
              <w:top w:val="nil"/>
              <w:left w:val="nil"/>
              <w:bottom w:val="nil"/>
              <w:right w:val="nil"/>
            </w:tcBorders>
            <w:shd w:val="clear" w:color="auto" w:fill="auto"/>
            <w:vAlign w:val="center"/>
            <w:hideMark/>
          </w:tcPr>
          <w:p w14:paraId="5EC0ED1C" w14:textId="77777777" w:rsidR="00754DA3" w:rsidRPr="008B2C65" w:rsidRDefault="00754DA3" w:rsidP="003D6248">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Musculoskeletal disorders</w:t>
            </w:r>
          </w:p>
        </w:tc>
        <w:tc>
          <w:tcPr>
            <w:tcW w:w="1134" w:type="dxa"/>
            <w:tcBorders>
              <w:top w:val="nil"/>
              <w:left w:val="nil"/>
              <w:bottom w:val="nil"/>
              <w:right w:val="nil"/>
            </w:tcBorders>
            <w:shd w:val="clear" w:color="auto" w:fill="auto"/>
            <w:vAlign w:val="bottom"/>
            <w:hideMark/>
          </w:tcPr>
          <w:p w14:paraId="2A553F50" w14:textId="77777777" w:rsidR="00754DA3" w:rsidRPr="00285892" w:rsidRDefault="00754DA3" w:rsidP="003D6248">
            <w:pPr>
              <w:spacing w:before="40" w:after="40"/>
              <w:ind w:right="227"/>
              <w:jc w:val="right"/>
              <w:rPr>
                <w:rFonts w:eastAsia="Times New Roman" w:cs="Arial"/>
                <w:sz w:val="18"/>
                <w:szCs w:val="18"/>
                <w:lang w:eastAsia="en-AU"/>
              </w:rPr>
            </w:pPr>
            <w:r w:rsidRPr="00285892">
              <w:rPr>
                <w:rFonts w:cs="Arial"/>
                <w:color w:val="000000"/>
                <w:sz w:val="18"/>
              </w:rPr>
              <w:t>60.4</w:t>
            </w:r>
          </w:p>
        </w:tc>
        <w:tc>
          <w:tcPr>
            <w:tcW w:w="1134" w:type="dxa"/>
            <w:tcBorders>
              <w:top w:val="nil"/>
              <w:left w:val="nil"/>
              <w:bottom w:val="nil"/>
              <w:right w:val="nil"/>
            </w:tcBorders>
            <w:shd w:val="clear" w:color="auto" w:fill="auto"/>
            <w:vAlign w:val="bottom"/>
            <w:hideMark/>
          </w:tcPr>
          <w:p w14:paraId="236AA85F" w14:textId="77777777" w:rsidR="00754DA3" w:rsidRPr="00285892" w:rsidRDefault="00754DA3" w:rsidP="003D6248">
            <w:pPr>
              <w:spacing w:before="40" w:after="40"/>
              <w:ind w:right="227"/>
              <w:jc w:val="right"/>
              <w:rPr>
                <w:rFonts w:eastAsia="Times New Roman" w:cs="Arial"/>
                <w:sz w:val="18"/>
                <w:szCs w:val="18"/>
                <w:lang w:eastAsia="en-AU"/>
              </w:rPr>
            </w:pPr>
            <w:r w:rsidRPr="00285892">
              <w:rPr>
                <w:rFonts w:cs="Arial"/>
                <w:color w:val="000000"/>
                <w:sz w:val="18"/>
              </w:rPr>
              <w:t>59.6</w:t>
            </w:r>
          </w:p>
        </w:tc>
        <w:tc>
          <w:tcPr>
            <w:tcW w:w="1134" w:type="dxa"/>
            <w:tcBorders>
              <w:top w:val="nil"/>
              <w:left w:val="nil"/>
              <w:bottom w:val="nil"/>
              <w:right w:val="nil"/>
            </w:tcBorders>
            <w:shd w:val="clear" w:color="auto" w:fill="auto"/>
            <w:vAlign w:val="bottom"/>
            <w:hideMark/>
          </w:tcPr>
          <w:p w14:paraId="4DCA02DA" w14:textId="77777777" w:rsidR="00754DA3" w:rsidRPr="00285892" w:rsidRDefault="00754DA3" w:rsidP="003D6248">
            <w:pPr>
              <w:spacing w:before="40" w:after="40"/>
              <w:ind w:right="227"/>
              <w:jc w:val="right"/>
              <w:rPr>
                <w:rFonts w:eastAsia="Times New Roman" w:cs="Arial"/>
                <w:sz w:val="18"/>
                <w:szCs w:val="18"/>
                <w:lang w:eastAsia="en-AU"/>
              </w:rPr>
            </w:pPr>
            <w:r w:rsidRPr="00285892">
              <w:rPr>
                <w:rFonts w:cs="Arial"/>
                <w:color w:val="000000"/>
                <w:sz w:val="18"/>
              </w:rPr>
              <w:t>58.6</w:t>
            </w:r>
          </w:p>
        </w:tc>
        <w:tc>
          <w:tcPr>
            <w:tcW w:w="1134" w:type="dxa"/>
            <w:tcBorders>
              <w:top w:val="nil"/>
              <w:left w:val="nil"/>
              <w:bottom w:val="nil"/>
              <w:right w:val="nil"/>
            </w:tcBorders>
            <w:shd w:val="clear" w:color="auto" w:fill="auto"/>
            <w:vAlign w:val="bottom"/>
            <w:hideMark/>
          </w:tcPr>
          <w:p w14:paraId="59DC43D4" w14:textId="77777777" w:rsidR="00754DA3" w:rsidRPr="00285892" w:rsidRDefault="00754DA3" w:rsidP="003D6248">
            <w:pPr>
              <w:spacing w:before="40" w:after="40"/>
              <w:ind w:right="227"/>
              <w:jc w:val="right"/>
              <w:rPr>
                <w:rFonts w:eastAsia="Times New Roman" w:cs="Arial"/>
                <w:sz w:val="18"/>
                <w:szCs w:val="18"/>
                <w:lang w:eastAsia="en-AU"/>
              </w:rPr>
            </w:pPr>
            <w:r w:rsidRPr="00285892">
              <w:rPr>
                <w:rFonts w:cs="Arial"/>
                <w:color w:val="000000"/>
                <w:sz w:val="18"/>
              </w:rPr>
              <w:t>57.1</w:t>
            </w:r>
          </w:p>
        </w:tc>
      </w:tr>
      <w:tr w:rsidR="00754DA3" w:rsidRPr="008B2C65" w14:paraId="708140FA" w14:textId="77777777" w:rsidTr="003D6248">
        <w:trPr>
          <w:trHeight w:val="80"/>
        </w:trPr>
        <w:tc>
          <w:tcPr>
            <w:tcW w:w="4535" w:type="dxa"/>
            <w:tcBorders>
              <w:top w:val="nil"/>
              <w:left w:val="nil"/>
              <w:bottom w:val="nil"/>
              <w:right w:val="nil"/>
            </w:tcBorders>
            <w:shd w:val="clear" w:color="000000" w:fill="C7E4F3"/>
            <w:vAlign w:val="center"/>
            <w:hideMark/>
          </w:tcPr>
          <w:p w14:paraId="449D28F1" w14:textId="77777777" w:rsidR="00754DA3" w:rsidRPr="008B2C65" w:rsidRDefault="00754DA3" w:rsidP="003D6248">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Other trauma</w:t>
            </w:r>
          </w:p>
        </w:tc>
        <w:tc>
          <w:tcPr>
            <w:tcW w:w="1134" w:type="dxa"/>
            <w:tcBorders>
              <w:top w:val="nil"/>
              <w:left w:val="nil"/>
              <w:bottom w:val="nil"/>
              <w:right w:val="nil"/>
            </w:tcBorders>
            <w:shd w:val="clear" w:color="000000" w:fill="C7E4F3"/>
            <w:vAlign w:val="bottom"/>
            <w:hideMark/>
          </w:tcPr>
          <w:p w14:paraId="5C388BD4" w14:textId="77777777" w:rsidR="00754DA3" w:rsidRPr="00285892" w:rsidRDefault="00754DA3" w:rsidP="003D6248">
            <w:pPr>
              <w:spacing w:before="40" w:after="40"/>
              <w:ind w:right="227"/>
              <w:jc w:val="right"/>
              <w:rPr>
                <w:rFonts w:eastAsia="Times New Roman" w:cs="Arial"/>
                <w:sz w:val="18"/>
                <w:szCs w:val="18"/>
                <w:lang w:eastAsia="en-AU"/>
              </w:rPr>
            </w:pPr>
            <w:r w:rsidRPr="00285892">
              <w:rPr>
                <w:rFonts w:cs="Arial"/>
                <w:color w:val="000000"/>
                <w:sz w:val="18"/>
              </w:rPr>
              <w:t>19.2</w:t>
            </w:r>
          </w:p>
        </w:tc>
        <w:tc>
          <w:tcPr>
            <w:tcW w:w="1134" w:type="dxa"/>
            <w:tcBorders>
              <w:top w:val="nil"/>
              <w:left w:val="nil"/>
              <w:bottom w:val="nil"/>
              <w:right w:val="nil"/>
            </w:tcBorders>
            <w:shd w:val="clear" w:color="000000" w:fill="C7E4F3"/>
            <w:vAlign w:val="bottom"/>
            <w:hideMark/>
          </w:tcPr>
          <w:p w14:paraId="00591B89" w14:textId="77777777" w:rsidR="00754DA3" w:rsidRPr="00285892" w:rsidRDefault="00754DA3" w:rsidP="003D6248">
            <w:pPr>
              <w:spacing w:before="40" w:after="40"/>
              <w:ind w:right="227"/>
              <w:jc w:val="right"/>
              <w:rPr>
                <w:rFonts w:eastAsia="Times New Roman" w:cs="Arial"/>
                <w:sz w:val="18"/>
                <w:szCs w:val="18"/>
                <w:lang w:eastAsia="en-AU"/>
              </w:rPr>
            </w:pPr>
            <w:r w:rsidRPr="00285892">
              <w:rPr>
                <w:rFonts w:cs="Arial"/>
                <w:color w:val="000000"/>
                <w:sz w:val="18"/>
              </w:rPr>
              <w:t>22.6</w:t>
            </w:r>
            <w:r>
              <w:rPr>
                <w:rFonts w:cs="Arial"/>
                <w:color w:val="000000"/>
                <w:sz w:val="18"/>
              </w:rPr>
              <w:t>**</w:t>
            </w:r>
          </w:p>
        </w:tc>
        <w:tc>
          <w:tcPr>
            <w:tcW w:w="1134" w:type="dxa"/>
            <w:tcBorders>
              <w:top w:val="nil"/>
              <w:left w:val="nil"/>
              <w:bottom w:val="nil"/>
              <w:right w:val="nil"/>
            </w:tcBorders>
            <w:shd w:val="clear" w:color="000000" w:fill="C7E4F3"/>
            <w:vAlign w:val="bottom"/>
            <w:hideMark/>
          </w:tcPr>
          <w:p w14:paraId="7582103D" w14:textId="77777777" w:rsidR="00754DA3" w:rsidRPr="00285892" w:rsidRDefault="00754DA3" w:rsidP="003D6248">
            <w:pPr>
              <w:spacing w:before="40" w:after="40"/>
              <w:ind w:right="227"/>
              <w:jc w:val="right"/>
              <w:rPr>
                <w:rFonts w:eastAsia="Times New Roman" w:cs="Arial"/>
                <w:sz w:val="18"/>
                <w:szCs w:val="18"/>
                <w:lang w:eastAsia="en-AU"/>
              </w:rPr>
            </w:pPr>
            <w:r w:rsidRPr="00285892">
              <w:rPr>
                <w:rFonts w:cs="Arial"/>
                <w:color w:val="000000"/>
                <w:sz w:val="18"/>
              </w:rPr>
              <w:t>23.7</w:t>
            </w:r>
          </w:p>
        </w:tc>
        <w:tc>
          <w:tcPr>
            <w:tcW w:w="1134" w:type="dxa"/>
            <w:tcBorders>
              <w:top w:val="nil"/>
              <w:left w:val="nil"/>
              <w:bottom w:val="nil"/>
              <w:right w:val="nil"/>
            </w:tcBorders>
            <w:shd w:val="clear" w:color="000000" w:fill="C7E4F3"/>
            <w:vAlign w:val="bottom"/>
            <w:hideMark/>
          </w:tcPr>
          <w:p w14:paraId="19B5DA37" w14:textId="77777777" w:rsidR="00754DA3" w:rsidRPr="00285892" w:rsidRDefault="00754DA3" w:rsidP="003D6248">
            <w:pPr>
              <w:spacing w:before="40" w:after="40"/>
              <w:ind w:right="227"/>
              <w:jc w:val="right"/>
              <w:rPr>
                <w:rFonts w:eastAsia="Times New Roman" w:cs="Arial"/>
                <w:sz w:val="18"/>
                <w:szCs w:val="18"/>
                <w:lang w:eastAsia="en-AU"/>
              </w:rPr>
            </w:pPr>
            <w:r w:rsidRPr="00285892">
              <w:rPr>
                <w:rFonts w:cs="Arial"/>
                <w:color w:val="000000"/>
                <w:sz w:val="18"/>
              </w:rPr>
              <w:t>22.0</w:t>
            </w:r>
          </w:p>
        </w:tc>
      </w:tr>
      <w:tr w:rsidR="00754DA3" w:rsidRPr="008B2C65" w14:paraId="07841F50" w14:textId="77777777" w:rsidTr="003D6248">
        <w:trPr>
          <w:trHeight w:val="80"/>
        </w:trPr>
        <w:tc>
          <w:tcPr>
            <w:tcW w:w="4535" w:type="dxa"/>
            <w:tcBorders>
              <w:top w:val="nil"/>
              <w:left w:val="nil"/>
              <w:bottom w:val="nil"/>
              <w:right w:val="nil"/>
            </w:tcBorders>
            <w:shd w:val="clear" w:color="auto" w:fill="auto"/>
            <w:vAlign w:val="center"/>
            <w:hideMark/>
          </w:tcPr>
          <w:p w14:paraId="29A69E39" w14:textId="77777777" w:rsidR="00754DA3" w:rsidRPr="008B2C65" w:rsidRDefault="00754DA3" w:rsidP="003D6248">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Mental illness</w:t>
            </w:r>
          </w:p>
        </w:tc>
        <w:tc>
          <w:tcPr>
            <w:tcW w:w="1134" w:type="dxa"/>
            <w:tcBorders>
              <w:top w:val="nil"/>
              <w:left w:val="nil"/>
              <w:bottom w:val="nil"/>
              <w:right w:val="nil"/>
            </w:tcBorders>
            <w:shd w:val="clear" w:color="auto" w:fill="auto"/>
            <w:vAlign w:val="bottom"/>
            <w:hideMark/>
          </w:tcPr>
          <w:p w14:paraId="7810BDA8" w14:textId="77777777" w:rsidR="00754DA3" w:rsidRPr="00285892" w:rsidRDefault="00754DA3" w:rsidP="003D6248">
            <w:pPr>
              <w:spacing w:before="40" w:after="40"/>
              <w:ind w:right="227"/>
              <w:jc w:val="right"/>
              <w:rPr>
                <w:rFonts w:eastAsia="Times New Roman" w:cs="Arial"/>
                <w:sz w:val="18"/>
                <w:szCs w:val="18"/>
                <w:lang w:eastAsia="en-AU"/>
              </w:rPr>
            </w:pPr>
            <w:r w:rsidRPr="00285892">
              <w:rPr>
                <w:rFonts w:cs="Arial"/>
                <w:color w:val="000000"/>
                <w:sz w:val="18"/>
              </w:rPr>
              <w:t>5.9</w:t>
            </w:r>
          </w:p>
        </w:tc>
        <w:tc>
          <w:tcPr>
            <w:tcW w:w="1134" w:type="dxa"/>
            <w:tcBorders>
              <w:top w:val="nil"/>
              <w:left w:val="nil"/>
              <w:bottom w:val="nil"/>
              <w:right w:val="nil"/>
            </w:tcBorders>
            <w:shd w:val="clear" w:color="auto" w:fill="auto"/>
            <w:vAlign w:val="bottom"/>
            <w:hideMark/>
          </w:tcPr>
          <w:p w14:paraId="3548C4C7" w14:textId="77777777" w:rsidR="00754DA3" w:rsidRPr="00285892" w:rsidRDefault="00754DA3" w:rsidP="003D6248">
            <w:pPr>
              <w:spacing w:before="40" w:after="40"/>
              <w:ind w:right="227"/>
              <w:jc w:val="right"/>
              <w:rPr>
                <w:rFonts w:eastAsia="Times New Roman" w:cs="Arial"/>
                <w:sz w:val="18"/>
                <w:szCs w:val="18"/>
                <w:lang w:eastAsia="en-AU"/>
              </w:rPr>
            </w:pPr>
            <w:r w:rsidRPr="00285892">
              <w:rPr>
                <w:rFonts w:cs="Arial"/>
                <w:color w:val="000000"/>
                <w:sz w:val="18"/>
              </w:rPr>
              <w:t>5.1</w:t>
            </w:r>
          </w:p>
        </w:tc>
        <w:tc>
          <w:tcPr>
            <w:tcW w:w="1134" w:type="dxa"/>
            <w:tcBorders>
              <w:top w:val="nil"/>
              <w:left w:val="nil"/>
              <w:bottom w:val="nil"/>
              <w:right w:val="nil"/>
            </w:tcBorders>
            <w:shd w:val="clear" w:color="auto" w:fill="auto"/>
            <w:vAlign w:val="bottom"/>
            <w:hideMark/>
          </w:tcPr>
          <w:p w14:paraId="43B1CBC0" w14:textId="77777777" w:rsidR="00754DA3" w:rsidRPr="00285892" w:rsidRDefault="00754DA3" w:rsidP="003D6248">
            <w:pPr>
              <w:spacing w:before="40" w:after="40"/>
              <w:ind w:right="227"/>
              <w:jc w:val="right"/>
              <w:rPr>
                <w:rFonts w:eastAsia="Times New Roman" w:cs="Arial"/>
                <w:sz w:val="18"/>
                <w:szCs w:val="18"/>
                <w:lang w:eastAsia="en-AU"/>
              </w:rPr>
            </w:pPr>
            <w:r w:rsidRPr="00285892">
              <w:rPr>
                <w:rFonts w:cs="Arial"/>
                <w:color w:val="000000"/>
                <w:sz w:val="18"/>
              </w:rPr>
              <w:t>3.8</w:t>
            </w:r>
          </w:p>
        </w:tc>
        <w:tc>
          <w:tcPr>
            <w:tcW w:w="1134" w:type="dxa"/>
            <w:tcBorders>
              <w:top w:val="nil"/>
              <w:left w:val="nil"/>
              <w:bottom w:val="nil"/>
              <w:right w:val="nil"/>
            </w:tcBorders>
            <w:shd w:val="clear" w:color="auto" w:fill="auto"/>
            <w:vAlign w:val="bottom"/>
            <w:hideMark/>
          </w:tcPr>
          <w:p w14:paraId="16E26D34" w14:textId="77777777" w:rsidR="00754DA3" w:rsidRPr="00285892" w:rsidRDefault="00754DA3" w:rsidP="003D6248">
            <w:pPr>
              <w:spacing w:before="40" w:after="40"/>
              <w:ind w:right="227"/>
              <w:jc w:val="right"/>
              <w:rPr>
                <w:rFonts w:eastAsia="Times New Roman" w:cs="Arial"/>
                <w:sz w:val="18"/>
                <w:szCs w:val="18"/>
                <w:lang w:eastAsia="en-AU"/>
              </w:rPr>
            </w:pPr>
            <w:r w:rsidRPr="00285892">
              <w:rPr>
                <w:rFonts w:cs="Arial"/>
                <w:color w:val="000000"/>
                <w:sz w:val="18"/>
              </w:rPr>
              <w:t>4.5</w:t>
            </w:r>
          </w:p>
        </w:tc>
      </w:tr>
      <w:tr w:rsidR="00754DA3" w:rsidRPr="008B2C65" w14:paraId="406F9100" w14:textId="77777777" w:rsidTr="003D6248">
        <w:trPr>
          <w:trHeight w:val="80"/>
        </w:trPr>
        <w:tc>
          <w:tcPr>
            <w:tcW w:w="4535" w:type="dxa"/>
            <w:tcBorders>
              <w:top w:val="nil"/>
              <w:left w:val="nil"/>
              <w:bottom w:val="nil"/>
              <w:right w:val="nil"/>
            </w:tcBorders>
            <w:shd w:val="clear" w:color="000000" w:fill="C7E4F3"/>
            <w:vAlign w:val="center"/>
            <w:hideMark/>
          </w:tcPr>
          <w:p w14:paraId="72B1F51C" w14:textId="77777777" w:rsidR="00754DA3" w:rsidRPr="008B2C65" w:rsidRDefault="00754DA3" w:rsidP="003D6248">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Other diseases</w:t>
            </w:r>
          </w:p>
        </w:tc>
        <w:tc>
          <w:tcPr>
            <w:tcW w:w="1134" w:type="dxa"/>
            <w:tcBorders>
              <w:top w:val="nil"/>
              <w:left w:val="nil"/>
              <w:bottom w:val="nil"/>
              <w:right w:val="nil"/>
            </w:tcBorders>
            <w:shd w:val="clear" w:color="000000" w:fill="C7E4F3"/>
            <w:vAlign w:val="bottom"/>
            <w:hideMark/>
          </w:tcPr>
          <w:p w14:paraId="30152417" w14:textId="77777777" w:rsidR="00754DA3" w:rsidRPr="00285892" w:rsidRDefault="00754DA3" w:rsidP="003D6248">
            <w:pPr>
              <w:spacing w:before="40" w:after="40"/>
              <w:ind w:right="227"/>
              <w:jc w:val="right"/>
              <w:rPr>
                <w:rFonts w:eastAsia="Times New Roman" w:cs="Arial"/>
                <w:sz w:val="18"/>
                <w:szCs w:val="18"/>
                <w:lang w:eastAsia="en-AU"/>
              </w:rPr>
            </w:pPr>
            <w:r w:rsidRPr="00285892">
              <w:rPr>
                <w:rFonts w:cs="Arial"/>
                <w:color w:val="000000"/>
                <w:sz w:val="18"/>
              </w:rPr>
              <w:t>3.4</w:t>
            </w:r>
          </w:p>
        </w:tc>
        <w:tc>
          <w:tcPr>
            <w:tcW w:w="1134" w:type="dxa"/>
            <w:tcBorders>
              <w:top w:val="nil"/>
              <w:left w:val="nil"/>
              <w:bottom w:val="nil"/>
              <w:right w:val="nil"/>
            </w:tcBorders>
            <w:shd w:val="clear" w:color="000000" w:fill="C7E4F3"/>
            <w:vAlign w:val="bottom"/>
            <w:hideMark/>
          </w:tcPr>
          <w:p w14:paraId="36165601" w14:textId="77777777" w:rsidR="00754DA3" w:rsidRPr="00285892" w:rsidRDefault="00754DA3" w:rsidP="003D6248">
            <w:pPr>
              <w:spacing w:before="40" w:after="40"/>
              <w:ind w:right="227"/>
              <w:jc w:val="right"/>
              <w:rPr>
                <w:rFonts w:eastAsia="Times New Roman" w:cs="Arial"/>
                <w:sz w:val="18"/>
                <w:szCs w:val="18"/>
                <w:lang w:eastAsia="en-AU"/>
              </w:rPr>
            </w:pPr>
            <w:r w:rsidRPr="00285892">
              <w:rPr>
                <w:rFonts w:cs="Arial"/>
                <w:color w:val="000000"/>
                <w:sz w:val="18"/>
              </w:rPr>
              <w:t>3.5</w:t>
            </w:r>
          </w:p>
        </w:tc>
        <w:tc>
          <w:tcPr>
            <w:tcW w:w="1134" w:type="dxa"/>
            <w:tcBorders>
              <w:top w:val="nil"/>
              <w:left w:val="nil"/>
              <w:bottom w:val="nil"/>
              <w:right w:val="nil"/>
            </w:tcBorders>
            <w:shd w:val="clear" w:color="000000" w:fill="C7E4F3"/>
            <w:vAlign w:val="bottom"/>
            <w:hideMark/>
          </w:tcPr>
          <w:p w14:paraId="11EE416D" w14:textId="77777777" w:rsidR="00754DA3" w:rsidRPr="00285892" w:rsidRDefault="00754DA3" w:rsidP="003D6248">
            <w:pPr>
              <w:spacing w:before="40" w:after="40"/>
              <w:ind w:right="227"/>
              <w:jc w:val="right"/>
              <w:rPr>
                <w:rFonts w:eastAsia="Times New Roman" w:cs="Arial"/>
                <w:sz w:val="18"/>
                <w:szCs w:val="18"/>
                <w:lang w:eastAsia="en-AU"/>
              </w:rPr>
            </w:pPr>
            <w:r w:rsidRPr="00285892">
              <w:rPr>
                <w:rFonts w:cs="Arial"/>
                <w:color w:val="000000"/>
                <w:sz w:val="18"/>
              </w:rPr>
              <w:t>4.6</w:t>
            </w:r>
          </w:p>
        </w:tc>
        <w:tc>
          <w:tcPr>
            <w:tcW w:w="1134" w:type="dxa"/>
            <w:tcBorders>
              <w:top w:val="nil"/>
              <w:left w:val="nil"/>
              <w:bottom w:val="nil"/>
              <w:right w:val="nil"/>
            </w:tcBorders>
            <w:shd w:val="clear" w:color="000000" w:fill="C7E4F3"/>
            <w:vAlign w:val="bottom"/>
            <w:hideMark/>
          </w:tcPr>
          <w:p w14:paraId="7C50BD00" w14:textId="77777777" w:rsidR="00754DA3" w:rsidRPr="00285892" w:rsidRDefault="00754DA3" w:rsidP="003D6248">
            <w:pPr>
              <w:spacing w:before="40" w:after="40"/>
              <w:ind w:right="227"/>
              <w:jc w:val="right"/>
              <w:rPr>
                <w:rFonts w:eastAsia="Times New Roman" w:cs="Arial"/>
                <w:sz w:val="18"/>
                <w:szCs w:val="18"/>
                <w:lang w:eastAsia="en-AU"/>
              </w:rPr>
            </w:pPr>
            <w:r w:rsidRPr="00285892">
              <w:rPr>
                <w:rFonts w:cs="Arial"/>
                <w:color w:val="000000"/>
                <w:sz w:val="18"/>
              </w:rPr>
              <w:t>4.0</w:t>
            </w:r>
          </w:p>
        </w:tc>
      </w:tr>
      <w:tr w:rsidR="00754DA3" w:rsidRPr="008B2C65" w14:paraId="2B50C654" w14:textId="77777777" w:rsidTr="003D6248">
        <w:trPr>
          <w:trHeight w:val="80"/>
        </w:trPr>
        <w:tc>
          <w:tcPr>
            <w:tcW w:w="4535" w:type="dxa"/>
            <w:tcBorders>
              <w:top w:val="nil"/>
              <w:left w:val="nil"/>
              <w:bottom w:val="nil"/>
              <w:right w:val="nil"/>
            </w:tcBorders>
            <w:shd w:val="clear" w:color="auto" w:fill="58AFDA" w:themeFill="accent1" w:themeFillTint="99"/>
            <w:vAlign w:val="center"/>
          </w:tcPr>
          <w:p w14:paraId="131A8B56" w14:textId="77777777" w:rsidR="00754DA3" w:rsidRDefault="00754DA3" w:rsidP="003D6248">
            <w:pPr>
              <w:spacing w:before="40" w:after="40"/>
              <w:rPr>
                <w:rFonts w:eastAsia="Times New Roman" w:cs="Arial"/>
                <w:color w:val="000000"/>
                <w:sz w:val="18"/>
                <w:szCs w:val="18"/>
                <w:lang w:eastAsia="en-AU"/>
              </w:rPr>
            </w:pPr>
            <w:r>
              <w:rPr>
                <w:rFonts w:eastAsia="Times New Roman" w:cs="Arial"/>
                <w:b/>
                <w:bCs/>
                <w:color w:val="000000"/>
                <w:sz w:val="18"/>
                <w:szCs w:val="18"/>
                <w:lang w:eastAsia="en-AU"/>
              </w:rPr>
              <w:t>Claim duration</w:t>
            </w:r>
          </w:p>
        </w:tc>
        <w:tc>
          <w:tcPr>
            <w:tcW w:w="1134" w:type="dxa"/>
            <w:tcBorders>
              <w:top w:val="nil"/>
              <w:left w:val="nil"/>
              <w:bottom w:val="nil"/>
              <w:right w:val="nil"/>
            </w:tcBorders>
            <w:shd w:val="clear" w:color="auto" w:fill="58AFDA" w:themeFill="accent1" w:themeFillTint="99"/>
            <w:vAlign w:val="center"/>
          </w:tcPr>
          <w:p w14:paraId="7C603004" w14:textId="77777777" w:rsidR="00754DA3" w:rsidRPr="00467D4A" w:rsidRDefault="00754DA3" w:rsidP="003D6248">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134" w:type="dxa"/>
            <w:tcBorders>
              <w:top w:val="nil"/>
              <w:left w:val="nil"/>
              <w:bottom w:val="nil"/>
              <w:right w:val="nil"/>
            </w:tcBorders>
            <w:shd w:val="clear" w:color="auto" w:fill="58AFDA" w:themeFill="accent1" w:themeFillTint="99"/>
            <w:vAlign w:val="center"/>
          </w:tcPr>
          <w:p w14:paraId="111EF820" w14:textId="77777777" w:rsidR="00754DA3" w:rsidRPr="00467D4A" w:rsidRDefault="00754DA3" w:rsidP="003D6248">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134" w:type="dxa"/>
            <w:tcBorders>
              <w:top w:val="nil"/>
              <w:left w:val="nil"/>
              <w:bottom w:val="nil"/>
              <w:right w:val="nil"/>
            </w:tcBorders>
            <w:shd w:val="clear" w:color="auto" w:fill="58AFDA" w:themeFill="accent1" w:themeFillTint="99"/>
            <w:vAlign w:val="center"/>
          </w:tcPr>
          <w:p w14:paraId="6C21A20A" w14:textId="77777777" w:rsidR="00754DA3" w:rsidRPr="00467D4A" w:rsidRDefault="00754DA3" w:rsidP="003D6248">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134" w:type="dxa"/>
            <w:tcBorders>
              <w:top w:val="nil"/>
              <w:left w:val="nil"/>
              <w:bottom w:val="nil"/>
              <w:right w:val="nil"/>
            </w:tcBorders>
            <w:shd w:val="clear" w:color="auto" w:fill="58AFDA" w:themeFill="accent1" w:themeFillTint="99"/>
            <w:vAlign w:val="center"/>
          </w:tcPr>
          <w:p w14:paraId="61523F3C" w14:textId="77777777" w:rsidR="00754DA3" w:rsidRPr="00467D4A" w:rsidRDefault="00754DA3" w:rsidP="003D6248">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r>
      <w:tr w:rsidR="00754DA3" w:rsidRPr="008B2C65" w14:paraId="59ADCA68" w14:textId="77777777" w:rsidTr="003D6248">
        <w:trPr>
          <w:trHeight w:val="80"/>
        </w:trPr>
        <w:tc>
          <w:tcPr>
            <w:tcW w:w="4535" w:type="dxa"/>
            <w:tcBorders>
              <w:top w:val="nil"/>
              <w:left w:val="nil"/>
              <w:bottom w:val="nil"/>
              <w:right w:val="nil"/>
            </w:tcBorders>
            <w:shd w:val="clear" w:color="auto" w:fill="auto"/>
            <w:vAlign w:val="center"/>
          </w:tcPr>
          <w:p w14:paraId="54D53CB6" w14:textId="77777777" w:rsidR="00754DA3" w:rsidRDefault="00754DA3" w:rsidP="003D6248">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Average claim duration (days)</w:t>
            </w:r>
          </w:p>
        </w:tc>
        <w:tc>
          <w:tcPr>
            <w:tcW w:w="1134" w:type="dxa"/>
            <w:tcBorders>
              <w:top w:val="nil"/>
              <w:left w:val="nil"/>
              <w:bottom w:val="nil"/>
              <w:right w:val="nil"/>
            </w:tcBorders>
            <w:shd w:val="clear" w:color="auto" w:fill="auto"/>
            <w:vAlign w:val="center"/>
          </w:tcPr>
          <w:p w14:paraId="1386F4CD" w14:textId="77777777" w:rsidR="00754DA3" w:rsidRPr="00467D4A" w:rsidRDefault="00754DA3" w:rsidP="003D6248">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300</w:t>
            </w:r>
          </w:p>
        </w:tc>
        <w:tc>
          <w:tcPr>
            <w:tcW w:w="1134" w:type="dxa"/>
            <w:tcBorders>
              <w:top w:val="nil"/>
              <w:left w:val="nil"/>
              <w:bottom w:val="nil"/>
              <w:right w:val="nil"/>
            </w:tcBorders>
            <w:shd w:val="clear" w:color="auto" w:fill="auto"/>
            <w:vAlign w:val="center"/>
          </w:tcPr>
          <w:p w14:paraId="3B6A186A" w14:textId="77777777" w:rsidR="00754DA3" w:rsidRPr="00467D4A" w:rsidRDefault="00754DA3" w:rsidP="003D6248">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345</w:t>
            </w:r>
          </w:p>
        </w:tc>
        <w:tc>
          <w:tcPr>
            <w:tcW w:w="1134" w:type="dxa"/>
            <w:tcBorders>
              <w:top w:val="nil"/>
              <w:left w:val="nil"/>
              <w:bottom w:val="nil"/>
              <w:right w:val="nil"/>
            </w:tcBorders>
            <w:shd w:val="clear" w:color="auto" w:fill="auto"/>
            <w:vAlign w:val="center"/>
          </w:tcPr>
          <w:p w14:paraId="70378055" w14:textId="77777777" w:rsidR="00754DA3" w:rsidRPr="00467D4A" w:rsidRDefault="00754DA3" w:rsidP="003D6248">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357</w:t>
            </w:r>
          </w:p>
        </w:tc>
        <w:tc>
          <w:tcPr>
            <w:tcW w:w="1134" w:type="dxa"/>
            <w:tcBorders>
              <w:top w:val="nil"/>
              <w:left w:val="nil"/>
              <w:bottom w:val="nil"/>
              <w:right w:val="nil"/>
            </w:tcBorders>
            <w:shd w:val="clear" w:color="auto" w:fill="auto"/>
            <w:vAlign w:val="center"/>
          </w:tcPr>
          <w:p w14:paraId="1C433750" w14:textId="77777777" w:rsidR="00754DA3" w:rsidRPr="00467D4A" w:rsidRDefault="00754DA3" w:rsidP="003D6248">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372</w:t>
            </w:r>
          </w:p>
        </w:tc>
      </w:tr>
      <w:tr w:rsidR="00754DA3" w:rsidRPr="008B2C65" w14:paraId="388C7890" w14:textId="77777777" w:rsidTr="003D6248">
        <w:trPr>
          <w:trHeight w:val="80"/>
        </w:trPr>
        <w:tc>
          <w:tcPr>
            <w:tcW w:w="4535" w:type="dxa"/>
            <w:tcBorders>
              <w:top w:val="nil"/>
              <w:left w:val="nil"/>
              <w:bottom w:val="nil"/>
              <w:right w:val="nil"/>
            </w:tcBorders>
            <w:shd w:val="clear" w:color="auto" w:fill="58AEDA"/>
            <w:vAlign w:val="center"/>
            <w:hideMark/>
          </w:tcPr>
          <w:p w14:paraId="7B3AE985" w14:textId="77777777" w:rsidR="00754DA3" w:rsidRPr="008B2C65" w:rsidRDefault="00754DA3" w:rsidP="003D6248">
            <w:pPr>
              <w:spacing w:before="40" w:after="40"/>
              <w:rPr>
                <w:rFonts w:eastAsia="Times New Roman" w:cs="Arial"/>
                <w:b/>
                <w:bCs/>
                <w:color w:val="000000"/>
                <w:sz w:val="18"/>
                <w:szCs w:val="18"/>
                <w:lang w:eastAsia="en-AU"/>
              </w:rPr>
            </w:pPr>
            <w:r w:rsidRPr="008B2C65">
              <w:rPr>
                <w:rFonts w:eastAsia="Times New Roman" w:cs="Arial"/>
                <w:b/>
                <w:bCs/>
                <w:color w:val="000000"/>
                <w:sz w:val="18"/>
                <w:szCs w:val="18"/>
                <w:lang w:eastAsia="en-AU"/>
              </w:rPr>
              <w:t xml:space="preserve">Cohort </w:t>
            </w:r>
          </w:p>
        </w:tc>
        <w:tc>
          <w:tcPr>
            <w:tcW w:w="1134" w:type="dxa"/>
            <w:tcBorders>
              <w:top w:val="nil"/>
              <w:left w:val="nil"/>
              <w:bottom w:val="nil"/>
              <w:right w:val="nil"/>
            </w:tcBorders>
            <w:shd w:val="clear" w:color="auto" w:fill="58AEDA"/>
            <w:vAlign w:val="center"/>
            <w:hideMark/>
          </w:tcPr>
          <w:p w14:paraId="1E1D892E" w14:textId="77777777" w:rsidR="00754DA3" w:rsidRPr="00467D4A" w:rsidRDefault="00754DA3" w:rsidP="003D6248">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134" w:type="dxa"/>
            <w:tcBorders>
              <w:top w:val="nil"/>
              <w:left w:val="nil"/>
              <w:bottom w:val="nil"/>
              <w:right w:val="nil"/>
            </w:tcBorders>
            <w:shd w:val="clear" w:color="auto" w:fill="58AEDA"/>
            <w:vAlign w:val="center"/>
            <w:hideMark/>
          </w:tcPr>
          <w:p w14:paraId="6E2478E8" w14:textId="77777777" w:rsidR="00754DA3" w:rsidRPr="00467D4A" w:rsidRDefault="00754DA3" w:rsidP="003D6248">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134" w:type="dxa"/>
            <w:tcBorders>
              <w:top w:val="nil"/>
              <w:left w:val="nil"/>
              <w:bottom w:val="nil"/>
              <w:right w:val="nil"/>
            </w:tcBorders>
            <w:shd w:val="clear" w:color="auto" w:fill="58AEDA"/>
            <w:vAlign w:val="center"/>
            <w:hideMark/>
          </w:tcPr>
          <w:p w14:paraId="083F5C43" w14:textId="77777777" w:rsidR="00754DA3" w:rsidRPr="00467D4A" w:rsidRDefault="00754DA3" w:rsidP="003D6248">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134" w:type="dxa"/>
            <w:tcBorders>
              <w:top w:val="nil"/>
              <w:left w:val="nil"/>
              <w:bottom w:val="nil"/>
              <w:right w:val="nil"/>
            </w:tcBorders>
            <w:shd w:val="clear" w:color="auto" w:fill="58AEDA"/>
            <w:vAlign w:val="center"/>
            <w:hideMark/>
          </w:tcPr>
          <w:p w14:paraId="01C3331C" w14:textId="77777777" w:rsidR="00754DA3" w:rsidRPr="00467D4A" w:rsidRDefault="00754DA3" w:rsidP="003D6248">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r>
      <w:tr w:rsidR="00754DA3" w:rsidRPr="008B2C65" w14:paraId="6C20737F" w14:textId="77777777" w:rsidTr="003D6248">
        <w:trPr>
          <w:trHeight w:val="80"/>
        </w:trPr>
        <w:tc>
          <w:tcPr>
            <w:tcW w:w="4535" w:type="dxa"/>
            <w:tcBorders>
              <w:top w:val="nil"/>
              <w:left w:val="nil"/>
              <w:bottom w:val="nil"/>
              <w:right w:val="nil"/>
            </w:tcBorders>
            <w:shd w:val="clear" w:color="000000" w:fill="C7E4F3"/>
            <w:vAlign w:val="center"/>
            <w:hideMark/>
          </w:tcPr>
          <w:p w14:paraId="7FF9F96A" w14:textId="77777777" w:rsidR="00754DA3" w:rsidRPr="008B2C65" w:rsidRDefault="00754DA3" w:rsidP="003D6248">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 xml:space="preserve">Historic </w:t>
            </w:r>
          </w:p>
        </w:tc>
        <w:tc>
          <w:tcPr>
            <w:tcW w:w="1134" w:type="dxa"/>
            <w:tcBorders>
              <w:top w:val="nil"/>
              <w:left w:val="nil"/>
              <w:bottom w:val="nil"/>
              <w:right w:val="nil"/>
            </w:tcBorders>
            <w:shd w:val="clear" w:color="000000" w:fill="C7E4F3"/>
            <w:vAlign w:val="bottom"/>
            <w:hideMark/>
          </w:tcPr>
          <w:p w14:paraId="33E244D4" w14:textId="77777777" w:rsidR="00754DA3" w:rsidRPr="00285892" w:rsidRDefault="00754DA3" w:rsidP="003D6248">
            <w:pPr>
              <w:spacing w:before="40" w:after="40"/>
              <w:ind w:right="227"/>
              <w:jc w:val="right"/>
              <w:rPr>
                <w:rFonts w:eastAsia="Times New Roman" w:cs="Arial"/>
                <w:sz w:val="18"/>
                <w:szCs w:val="18"/>
                <w:lang w:eastAsia="en-AU"/>
              </w:rPr>
            </w:pPr>
            <w:r w:rsidRPr="00285892">
              <w:rPr>
                <w:rFonts w:cs="Arial"/>
                <w:color w:val="000000"/>
                <w:sz w:val="18"/>
              </w:rPr>
              <w:t>8.8</w:t>
            </w:r>
          </w:p>
        </w:tc>
        <w:tc>
          <w:tcPr>
            <w:tcW w:w="1134" w:type="dxa"/>
            <w:tcBorders>
              <w:top w:val="nil"/>
              <w:left w:val="nil"/>
              <w:bottom w:val="nil"/>
              <w:right w:val="nil"/>
            </w:tcBorders>
            <w:shd w:val="clear" w:color="000000" w:fill="C7E4F3"/>
            <w:vAlign w:val="bottom"/>
            <w:hideMark/>
          </w:tcPr>
          <w:p w14:paraId="0A775375" w14:textId="77777777" w:rsidR="00754DA3" w:rsidRPr="00285892" w:rsidRDefault="00754DA3" w:rsidP="003D6248">
            <w:pPr>
              <w:spacing w:before="40" w:after="40"/>
              <w:ind w:right="227"/>
              <w:jc w:val="right"/>
              <w:rPr>
                <w:rFonts w:eastAsia="Times New Roman" w:cs="Arial"/>
                <w:sz w:val="18"/>
                <w:szCs w:val="18"/>
                <w:lang w:eastAsia="en-AU"/>
              </w:rPr>
            </w:pPr>
            <w:r w:rsidRPr="00285892">
              <w:rPr>
                <w:rFonts w:cs="Arial"/>
                <w:color w:val="000000"/>
                <w:sz w:val="18"/>
              </w:rPr>
              <w:t>4.3</w:t>
            </w:r>
            <w:r>
              <w:rPr>
                <w:rFonts w:cs="Arial"/>
                <w:color w:val="000000"/>
                <w:sz w:val="18"/>
              </w:rPr>
              <w:t>*</w:t>
            </w:r>
          </w:p>
        </w:tc>
        <w:tc>
          <w:tcPr>
            <w:tcW w:w="1134" w:type="dxa"/>
            <w:tcBorders>
              <w:top w:val="nil"/>
              <w:left w:val="nil"/>
              <w:bottom w:val="nil"/>
              <w:right w:val="nil"/>
            </w:tcBorders>
            <w:shd w:val="clear" w:color="000000" w:fill="C7E4F3"/>
            <w:vAlign w:val="bottom"/>
            <w:hideMark/>
          </w:tcPr>
          <w:p w14:paraId="1EC96C33" w14:textId="77777777" w:rsidR="00754DA3" w:rsidRPr="00285892" w:rsidRDefault="00754DA3" w:rsidP="003D6248">
            <w:pPr>
              <w:spacing w:before="40" w:after="40"/>
              <w:ind w:left="-170" w:right="170"/>
              <w:jc w:val="right"/>
              <w:rPr>
                <w:rFonts w:eastAsia="Times New Roman" w:cs="Arial"/>
                <w:sz w:val="18"/>
                <w:szCs w:val="18"/>
                <w:lang w:eastAsia="en-AU"/>
              </w:rPr>
            </w:pPr>
            <w:r w:rsidRPr="00285892">
              <w:rPr>
                <w:rFonts w:cs="Arial"/>
                <w:color w:val="000000"/>
                <w:sz w:val="18"/>
              </w:rPr>
              <w:t>4.3</w:t>
            </w:r>
          </w:p>
        </w:tc>
        <w:tc>
          <w:tcPr>
            <w:tcW w:w="1134" w:type="dxa"/>
            <w:tcBorders>
              <w:top w:val="nil"/>
              <w:left w:val="nil"/>
              <w:bottom w:val="nil"/>
              <w:right w:val="nil"/>
            </w:tcBorders>
            <w:shd w:val="clear" w:color="000000" w:fill="C7E4F3"/>
            <w:vAlign w:val="bottom"/>
            <w:hideMark/>
          </w:tcPr>
          <w:p w14:paraId="304898F3" w14:textId="77777777" w:rsidR="00754DA3" w:rsidRPr="00285892" w:rsidRDefault="00754DA3" w:rsidP="003D6248">
            <w:pPr>
              <w:spacing w:before="40" w:after="40"/>
              <w:ind w:right="227"/>
              <w:jc w:val="right"/>
              <w:rPr>
                <w:rFonts w:eastAsia="Times New Roman" w:cs="Arial"/>
                <w:sz w:val="18"/>
                <w:szCs w:val="18"/>
                <w:lang w:eastAsia="en-AU"/>
              </w:rPr>
            </w:pPr>
            <w:r w:rsidRPr="00285892">
              <w:rPr>
                <w:rFonts w:cs="Arial"/>
                <w:color w:val="000000"/>
                <w:sz w:val="18"/>
              </w:rPr>
              <w:t>4.5</w:t>
            </w:r>
          </w:p>
        </w:tc>
      </w:tr>
      <w:tr w:rsidR="00754DA3" w:rsidRPr="008B2C65" w14:paraId="3FBC0CC8" w14:textId="77777777" w:rsidTr="003D6248">
        <w:trPr>
          <w:trHeight w:val="80"/>
        </w:trPr>
        <w:tc>
          <w:tcPr>
            <w:tcW w:w="4535" w:type="dxa"/>
            <w:tcBorders>
              <w:top w:val="nil"/>
              <w:left w:val="nil"/>
              <w:bottom w:val="nil"/>
              <w:right w:val="nil"/>
            </w:tcBorders>
            <w:shd w:val="clear" w:color="auto" w:fill="auto"/>
            <w:vAlign w:val="center"/>
            <w:hideMark/>
          </w:tcPr>
          <w:p w14:paraId="33FBCB72" w14:textId="77777777" w:rsidR="00754DA3" w:rsidRPr="00467D4A" w:rsidRDefault="00754DA3" w:rsidP="003D6248">
            <w:pPr>
              <w:spacing w:before="40" w:after="40"/>
              <w:ind w:left="113"/>
              <w:rPr>
                <w:rFonts w:eastAsia="Times New Roman" w:cs="Arial"/>
                <w:sz w:val="18"/>
                <w:szCs w:val="18"/>
                <w:lang w:eastAsia="en-AU"/>
              </w:rPr>
            </w:pPr>
            <w:r w:rsidRPr="00467D4A">
              <w:rPr>
                <w:rFonts w:eastAsia="Times New Roman" w:cs="Arial"/>
                <w:sz w:val="18"/>
                <w:szCs w:val="18"/>
                <w:lang w:eastAsia="en-AU"/>
              </w:rPr>
              <w:t xml:space="preserve">Balance </w:t>
            </w:r>
          </w:p>
        </w:tc>
        <w:tc>
          <w:tcPr>
            <w:tcW w:w="1134" w:type="dxa"/>
            <w:tcBorders>
              <w:top w:val="nil"/>
              <w:left w:val="nil"/>
              <w:bottom w:val="nil"/>
              <w:right w:val="nil"/>
            </w:tcBorders>
            <w:shd w:val="clear" w:color="auto" w:fill="auto"/>
            <w:vAlign w:val="bottom"/>
            <w:hideMark/>
          </w:tcPr>
          <w:p w14:paraId="5DB89513" w14:textId="77777777" w:rsidR="00754DA3" w:rsidRPr="00285892" w:rsidRDefault="00754DA3" w:rsidP="003D6248">
            <w:pPr>
              <w:spacing w:before="40" w:after="40"/>
              <w:ind w:right="227"/>
              <w:jc w:val="right"/>
              <w:rPr>
                <w:rFonts w:eastAsia="Times New Roman" w:cs="Arial"/>
                <w:sz w:val="18"/>
                <w:szCs w:val="18"/>
                <w:lang w:eastAsia="en-AU"/>
              </w:rPr>
            </w:pPr>
            <w:r w:rsidRPr="00285892">
              <w:rPr>
                <w:rFonts w:cs="Arial"/>
                <w:color w:val="000000"/>
                <w:sz w:val="18"/>
              </w:rPr>
              <w:t>91.2</w:t>
            </w:r>
          </w:p>
        </w:tc>
        <w:tc>
          <w:tcPr>
            <w:tcW w:w="1134" w:type="dxa"/>
            <w:tcBorders>
              <w:top w:val="nil"/>
              <w:left w:val="nil"/>
              <w:bottom w:val="nil"/>
              <w:right w:val="nil"/>
            </w:tcBorders>
            <w:shd w:val="clear" w:color="auto" w:fill="auto"/>
            <w:vAlign w:val="bottom"/>
            <w:hideMark/>
          </w:tcPr>
          <w:p w14:paraId="0D3BF0BE" w14:textId="77777777" w:rsidR="00754DA3" w:rsidRPr="00285892" w:rsidRDefault="00754DA3" w:rsidP="003D6248">
            <w:pPr>
              <w:spacing w:before="40" w:after="40"/>
              <w:ind w:right="227"/>
              <w:jc w:val="right"/>
              <w:rPr>
                <w:rFonts w:eastAsia="Times New Roman" w:cs="Arial"/>
                <w:sz w:val="18"/>
                <w:szCs w:val="18"/>
                <w:lang w:eastAsia="en-AU"/>
              </w:rPr>
            </w:pPr>
            <w:r w:rsidRPr="00285892">
              <w:rPr>
                <w:rFonts w:cs="Arial"/>
                <w:color w:val="000000"/>
                <w:sz w:val="18"/>
              </w:rPr>
              <w:t>95.7</w:t>
            </w:r>
            <w:r>
              <w:rPr>
                <w:rFonts w:cs="Arial"/>
                <w:color w:val="000000"/>
                <w:sz w:val="18"/>
              </w:rPr>
              <w:t>**</w:t>
            </w:r>
          </w:p>
        </w:tc>
        <w:tc>
          <w:tcPr>
            <w:tcW w:w="1134" w:type="dxa"/>
            <w:tcBorders>
              <w:top w:val="nil"/>
              <w:left w:val="nil"/>
              <w:bottom w:val="nil"/>
              <w:right w:val="nil"/>
            </w:tcBorders>
            <w:shd w:val="clear" w:color="auto" w:fill="auto"/>
            <w:vAlign w:val="bottom"/>
            <w:hideMark/>
          </w:tcPr>
          <w:p w14:paraId="4F8F5FA5" w14:textId="77777777" w:rsidR="00754DA3" w:rsidRPr="00285892" w:rsidRDefault="00754DA3" w:rsidP="003D6248">
            <w:pPr>
              <w:spacing w:before="40" w:after="40"/>
              <w:ind w:left="-113" w:right="113"/>
              <w:jc w:val="right"/>
              <w:rPr>
                <w:rFonts w:eastAsia="Times New Roman" w:cs="Arial"/>
                <w:sz w:val="18"/>
                <w:szCs w:val="18"/>
                <w:lang w:eastAsia="en-AU"/>
              </w:rPr>
            </w:pPr>
            <w:r w:rsidRPr="00285892">
              <w:rPr>
                <w:rFonts w:cs="Arial"/>
                <w:color w:val="000000"/>
                <w:sz w:val="18"/>
              </w:rPr>
              <w:t>95.7</w:t>
            </w:r>
          </w:p>
        </w:tc>
        <w:tc>
          <w:tcPr>
            <w:tcW w:w="1134" w:type="dxa"/>
            <w:tcBorders>
              <w:top w:val="nil"/>
              <w:left w:val="nil"/>
              <w:bottom w:val="nil"/>
              <w:right w:val="nil"/>
            </w:tcBorders>
            <w:shd w:val="clear" w:color="auto" w:fill="auto"/>
            <w:vAlign w:val="bottom"/>
            <w:hideMark/>
          </w:tcPr>
          <w:p w14:paraId="4A5526BD" w14:textId="77777777" w:rsidR="00754DA3" w:rsidRPr="00285892" w:rsidRDefault="00754DA3" w:rsidP="003D6248">
            <w:pPr>
              <w:spacing w:before="40" w:after="40"/>
              <w:ind w:right="227"/>
              <w:jc w:val="right"/>
              <w:rPr>
                <w:rFonts w:eastAsia="Times New Roman" w:cs="Arial"/>
                <w:sz w:val="18"/>
                <w:szCs w:val="18"/>
                <w:lang w:eastAsia="en-AU"/>
              </w:rPr>
            </w:pPr>
            <w:r w:rsidRPr="00285892">
              <w:rPr>
                <w:rFonts w:cs="Arial"/>
                <w:color w:val="000000"/>
                <w:sz w:val="18"/>
              </w:rPr>
              <w:t>95.5</w:t>
            </w:r>
          </w:p>
        </w:tc>
      </w:tr>
      <w:tr w:rsidR="00754DA3" w:rsidRPr="008B2C65" w14:paraId="14FDA470" w14:textId="77777777" w:rsidTr="003D6248">
        <w:trPr>
          <w:trHeight w:val="79"/>
        </w:trPr>
        <w:tc>
          <w:tcPr>
            <w:tcW w:w="4535" w:type="dxa"/>
            <w:tcBorders>
              <w:top w:val="nil"/>
              <w:left w:val="nil"/>
              <w:bottom w:val="nil"/>
              <w:right w:val="nil"/>
            </w:tcBorders>
            <w:shd w:val="clear" w:color="auto" w:fill="58AEDA"/>
            <w:vAlign w:val="center"/>
            <w:hideMark/>
          </w:tcPr>
          <w:p w14:paraId="2C43329E" w14:textId="77777777" w:rsidR="00754DA3" w:rsidRPr="008B2C65" w:rsidRDefault="00754DA3" w:rsidP="003D6248">
            <w:pPr>
              <w:pageBreakBefore/>
              <w:spacing w:before="40" w:after="40"/>
              <w:rPr>
                <w:rFonts w:eastAsia="Times New Roman" w:cs="Arial"/>
                <w:b/>
                <w:bCs/>
                <w:color w:val="000000"/>
                <w:sz w:val="18"/>
                <w:szCs w:val="18"/>
                <w:lang w:eastAsia="en-AU"/>
              </w:rPr>
            </w:pPr>
            <w:r>
              <w:rPr>
                <w:rFonts w:eastAsia="Times New Roman" w:cs="Arial"/>
                <w:b/>
                <w:bCs/>
                <w:color w:val="000000"/>
                <w:sz w:val="18"/>
                <w:szCs w:val="18"/>
                <w:lang w:eastAsia="en-AU"/>
              </w:rPr>
              <w:lastRenderedPageBreak/>
              <w:t>Employer size</w:t>
            </w:r>
          </w:p>
        </w:tc>
        <w:tc>
          <w:tcPr>
            <w:tcW w:w="1134" w:type="dxa"/>
            <w:tcBorders>
              <w:top w:val="nil"/>
              <w:left w:val="nil"/>
              <w:bottom w:val="nil"/>
              <w:right w:val="nil"/>
            </w:tcBorders>
            <w:shd w:val="clear" w:color="auto" w:fill="58AEDA"/>
            <w:vAlign w:val="center"/>
            <w:hideMark/>
          </w:tcPr>
          <w:p w14:paraId="28F9A8B3" w14:textId="77777777" w:rsidR="00754DA3" w:rsidRPr="008B2C65" w:rsidRDefault="00754DA3" w:rsidP="003D6248">
            <w:pPr>
              <w:spacing w:before="40" w:after="40"/>
              <w:ind w:right="170"/>
              <w:jc w:val="right"/>
              <w:rPr>
                <w:rFonts w:eastAsia="Times New Roman" w:cs="Arial"/>
                <w:color w:val="000000"/>
                <w:sz w:val="18"/>
                <w:szCs w:val="18"/>
                <w:lang w:eastAsia="en-AU"/>
              </w:rPr>
            </w:pPr>
            <w:r w:rsidRPr="008B2C65">
              <w:rPr>
                <w:rFonts w:eastAsia="Times New Roman" w:cs="Arial"/>
                <w:color w:val="000000"/>
                <w:sz w:val="18"/>
                <w:szCs w:val="18"/>
                <w:lang w:eastAsia="en-AU"/>
              </w:rPr>
              <w:t> </w:t>
            </w:r>
          </w:p>
        </w:tc>
        <w:tc>
          <w:tcPr>
            <w:tcW w:w="1134" w:type="dxa"/>
            <w:tcBorders>
              <w:top w:val="nil"/>
              <w:left w:val="nil"/>
              <w:bottom w:val="nil"/>
              <w:right w:val="nil"/>
            </w:tcBorders>
            <w:shd w:val="clear" w:color="auto" w:fill="58AEDA"/>
            <w:vAlign w:val="center"/>
            <w:hideMark/>
          </w:tcPr>
          <w:p w14:paraId="0CC99194" w14:textId="77777777" w:rsidR="00754DA3" w:rsidRPr="008B2C65" w:rsidRDefault="00754DA3" w:rsidP="003D6248">
            <w:pPr>
              <w:spacing w:before="40" w:after="40"/>
              <w:jc w:val="right"/>
              <w:rPr>
                <w:rFonts w:eastAsia="Times New Roman" w:cs="Arial"/>
                <w:color w:val="000000"/>
                <w:sz w:val="18"/>
                <w:szCs w:val="18"/>
                <w:lang w:eastAsia="en-AU"/>
              </w:rPr>
            </w:pPr>
            <w:r w:rsidRPr="008B2C65">
              <w:rPr>
                <w:rFonts w:eastAsia="Times New Roman" w:cs="Arial"/>
                <w:color w:val="000000"/>
                <w:sz w:val="18"/>
                <w:szCs w:val="18"/>
                <w:lang w:eastAsia="en-AU"/>
              </w:rPr>
              <w:t> </w:t>
            </w:r>
          </w:p>
        </w:tc>
        <w:tc>
          <w:tcPr>
            <w:tcW w:w="1134" w:type="dxa"/>
            <w:tcBorders>
              <w:top w:val="nil"/>
              <w:left w:val="nil"/>
              <w:bottom w:val="nil"/>
              <w:right w:val="nil"/>
            </w:tcBorders>
            <w:shd w:val="clear" w:color="auto" w:fill="58AEDA"/>
            <w:vAlign w:val="center"/>
            <w:hideMark/>
          </w:tcPr>
          <w:p w14:paraId="2BE2973C" w14:textId="77777777" w:rsidR="00754DA3" w:rsidRPr="008B2C65" w:rsidRDefault="00754DA3" w:rsidP="003D6248">
            <w:pPr>
              <w:spacing w:before="40" w:after="40"/>
              <w:jc w:val="right"/>
              <w:rPr>
                <w:rFonts w:eastAsia="Times New Roman" w:cs="Arial"/>
                <w:color w:val="000000"/>
                <w:sz w:val="18"/>
                <w:szCs w:val="18"/>
                <w:lang w:eastAsia="en-AU"/>
              </w:rPr>
            </w:pPr>
            <w:r w:rsidRPr="008B2C65">
              <w:rPr>
                <w:rFonts w:eastAsia="Times New Roman" w:cs="Arial"/>
                <w:color w:val="000000"/>
                <w:sz w:val="18"/>
                <w:szCs w:val="18"/>
                <w:lang w:eastAsia="en-AU"/>
              </w:rPr>
              <w:t> </w:t>
            </w:r>
          </w:p>
        </w:tc>
        <w:tc>
          <w:tcPr>
            <w:tcW w:w="1134" w:type="dxa"/>
            <w:tcBorders>
              <w:top w:val="nil"/>
              <w:left w:val="nil"/>
              <w:bottom w:val="nil"/>
              <w:right w:val="nil"/>
            </w:tcBorders>
            <w:shd w:val="clear" w:color="auto" w:fill="58AEDA"/>
            <w:vAlign w:val="center"/>
            <w:hideMark/>
          </w:tcPr>
          <w:p w14:paraId="2ED0A2AD" w14:textId="77777777" w:rsidR="00754DA3" w:rsidRPr="008B2C65" w:rsidRDefault="00754DA3" w:rsidP="003D6248">
            <w:pPr>
              <w:spacing w:before="40" w:after="40"/>
              <w:jc w:val="right"/>
              <w:rPr>
                <w:rFonts w:eastAsia="Times New Roman" w:cs="Arial"/>
                <w:color w:val="000000"/>
                <w:sz w:val="18"/>
                <w:szCs w:val="18"/>
                <w:lang w:eastAsia="en-AU"/>
              </w:rPr>
            </w:pPr>
            <w:r w:rsidRPr="008B2C65">
              <w:rPr>
                <w:rFonts w:eastAsia="Times New Roman" w:cs="Arial"/>
                <w:color w:val="000000"/>
                <w:sz w:val="18"/>
                <w:szCs w:val="18"/>
                <w:lang w:eastAsia="en-AU"/>
              </w:rPr>
              <w:t> </w:t>
            </w:r>
          </w:p>
        </w:tc>
      </w:tr>
      <w:tr w:rsidR="00754DA3" w:rsidRPr="008B2C65" w14:paraId="6D3114EF" w14:textId="77777777" w:rsidTr="003D6248">
        <w:trPr>
          <w:trHeight w:val="340"/>
        </w:trPr>
        <w:tc>
          <w:tcPr>
            <w:tcW w:w="4535" w:type="dxa"/>
            <w:tcBorders>
              <w:top w:val="nil"/>
              <w:left w:val="nil"/>
              <w:bottom w:val="nil"/>
              <w:right w:val="nil"/>
            </w:tcBorders>
            <w:shd w:val="clear" w:color="000000" w:fill="C7E4F3"/>
            <w:vAlign w:val="center"/>
            <w:hideMark/>
          </w:tcPr>
          <w:p w14:paraId="619A0B24" w14:textId="77777777" w:rsidR="00754DA3" w:rsidRPr="008B2C65" w:rsidRDefault="00754DA3" w:rsidP="003D6248">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Small (Less than $</w:t>
            </w:r>
            <w:r>
              <w:rPr>
                <w:rFonts w:eastAsia="Times New Roman" w:cs="Arial"/>
                <w:color w:val="000000"/>
                <w:sz w:val="18"/>
                <w:szCs w:val="18"/>
                <w:lang w:eastAsia="en-AU"/>
              </w:rPr>
              <w:t>1</w:t>
            </w:r>
            <w:r w:rsidRPr="008B2C65">
              <w:rPr>
                <w:rFonts w:eastAsia="Times New Roman" w:cs="Arial"/>
                <w:color w:val="000000"/>
                <w:sz w:val="18"/>
                <w:szCs w:val="18"/>
                <w:lang w:eastAsia="en-AU"/>
              </w:rPr>
              <w:t>m)</w:t>
            </w:r>
          </w:p>
        </w:tc>
        <w:tc>
          <w:tcPr>
            <w:tcW w:w="1134" w:type="dxa"/>
            <w:tcBorders>
              <w:top w:val="nil"/>
              <w:left w:val="nil"/>
              <w:bottom w:val="nil"/>
              <w:right w:val="nil"/>
            </w:tcBorders>
            <w:shd w:val="clear" w:color="000000" w:fill="C7E4F3"/>
            <w:vAlign w:val="bottom"/>
            <w:hideMark/>
          </w:tcPr>
          <w:p w14:paraId="6DAA5598"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rPr>
              <w:t>21.8</w:t>
            </w:r>
          </w:p>
        </w:tc>
        <w:tc>
          <w:tcPr>
            <w:tcW w:w="1134" w:type="dxa"/>
            <w:tcBorders>
              <w:top w:val="nil"/>
              <w:left w:val="nil"/>
              <w:bottom w:val="nil"/>
              <w:right w:val="nil"/>
            </w:tcBorders>
            <w:shd w:val="clear" w:color="000000" w:fill="C7E4F3"/>
            <w:vAlign w:val="bottom"/>
          </w:tcPr>
          <w:p w14:paraId="3AA2892D"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rPr>
              <w:t>23.2</w:t>
            </w:r>
          </w:p>
        </w:tc>
        <w:tc>
          <w:tcPr>
            <w:tcW w:w="1134" w:type="dxa"/>
            <w:tcBorders>
              <w:top w:val="nil"/>
              <w:left w:val="nil"/>
              <w:bottom w:val="nil"/>
              <w:right w:val="nil"/>
            </w:tcBorders>
            <w:shd w:val="clear" w:color="000000" w:fill="C7E4F3"/>
            <w:vAlign w:val="bottom"/>
          </w:tcPr>
          <w:p w14:paraId="08755EFD"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rPr>
              <w:t>24.4</w:t>
            </w:r>
          </w:p>
        </w:tc>
        <w:tc>
          <w:tcPr>
            <w:tcW w:w="1134" w:type="dxa"/>
            <w:tcBorders>
              <w:top w:val="nil"/>
              <w:left w:val="nil"/>
              <w:bottom w:val="nil"/>
              <w:right w:val="nil"/>
            </w:tcBorders>
            <w:shd w:val="clear" w:color="000000" w:fill="C7E4F3"/>
            <w:vAlign w:val="bottom"/>
          </w:tcPr>
          <w:p w14:paraId="19C9C902"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rPr>
              <w:t>25.8</w:t>
            </w:r>
          </w:p>
        </w:tc>
      </w:tr>
      <w:tr w:rsidR="00754DA3" w:rsidRPr="008B2C65" w14:paraId="44E06AC2" w14:textId="77777777" w:rsidTr="003D6248">
        <w:trPr>
          <w:trHeight w:val="340"/>
        </w:trPr>
        <w:tc>
          <w:tcPr>
            <w:tcW w:w="4535" w:type="dxa"/>
            <w:tcBorders>
              <w:top w:val="nil"/>
              <w:left w:val="nil"/>
              <w:bottom w:val="nil"/>
              <w:right w:val="nil"/>
            </w:tcBorders>
            <w:shd w:val="clear" w:color="auto" w:fill="auto"/>
            <w:vAlign w:val="center"/>
            <w:hideMark/>
          </w:tcPr>
          <w:p w14:paraId="0EFD1268" w14:textId="77777777" w:rsidR="00754DA3" w:rsidRPr="008B2C65" w:rsidRDefault="00754DA3" w:rsidP="003D6248">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Medium (Between $1m and less than $20m)</w:t>
            </w:r>
          </w:p>
        </w:tc>
        <w:tc>
          <w:tcPr>
            <w:tcW w:w="1134" w:type="dxa"/>
            <w:tcBorders>
              <w:top w:val="nil"/>
              <w:left w:val="nil"/>
              <w:bottom w:val="nil"/>
              <w:right w:val="nil"/>
            </w:tcBorders>
            <w:shd w:val="clear" w:color="auto" w:fill="auto"/>
            <w:vAlign w:val="bottom"/>
          </w:tcPr>
          <w:p w14:paraId="1DB7E3BE"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rPr>
              <w:t>37.2</w:t>
            </w:r>
          </w:p>
        </w:tc>
        <w:tc>
          <w:tcPr>
            <w:tcW w:w="1134" w:type="dxa"/>
            <w:tcBorders>
              <w:top w:val="nil"/>
              <w:left w:val="nil"/>
              <w:bottom w:val="nil"/>
              <w:right w:val="nil"/>
            </w:tcBorders>
            <w:shd w:val="clear" w:color="auto" w:fill="auto"/>
            <w:vAlign w:val="bottom"/>
          </w:tcPr>
          <w:p w14:paraId="32A8C033"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rPr>
              <w:t>38.5</w:t>
            </w:r>
          </w:p>
        </w:tc>
        <w:tc>
          <w:tcPr>
            <w:tcW w:w="1134" w:type="dxa"/>
            <w:tcBorders>
              <w:top w:val="nil"/>
              <w:left w:val="nil"/>
              <w:bottom w:val="nil"/>
              <w:right w:val="nil"/>
            </w:tcBorders>
            <w:shd w:val="clear" w:color="auto" w:fill="auto"/>
            <w:vAlign w:val="bottom"/>
          </w:tcPr>
          <w:p w14:paraId="0EE225A5"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rPr>
              <w:t>36.5</w:t>
            </w:r>
          </w:p>
        </w:tc>
        <w:tc>
          <w:tcPr>
            <w:tcW w:w="1134" w:type="dxa"/>
            <w:tcBorders>
              <w:top w:val="nil"/>
              <w:left w:val="nil"/>
              <w:bottom w:val="nil"/>
              <w:right w:val="nil"/>
            </w:tcBorders>
            <w:shd w:val="clear" w:color="auto" w:fill="auto"/>
            <w:vAlign w:val="bottom"/>
          </w:tcPr>
          <w:p w14:paraId="14CAD880"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rPr>
              <w:t>34.9</w:t>
            </w:r>
          </w:p>
        </w:tc>
      </w:tr>
      <w:tr w:rsidR="00754DA3" w:rsidRPr="008B2C65" w14:paraId="5B2D6476" w14:textId="77777777" w:rsidTr="003D6248">
        <w:trPr>
          <w:trHeight w:val="340"/>
        </w:trPr>
        <w:tc>
          <w:tcPr>
            <w:tcW w:w="4535" w:type="dxa"/>
            <w:tcBorders>
              <w:top w:val="nil"/>
              <w:left w:val="nil"/>
              <w:bottom w:val="nil"/>
              <w:right w:val="nil"/>
            </w:tcBorders>
            <w:shd w:val="clear" w:color="000000" w:fill="C7E4F3"/>
            <w:vAlign w:val="center"/>
            <w:hideMark/>
          </w:tcPr>
          <w:p w14:paraId="706C8085" w14:textId="77777777" w:rsidR="00754DA3" w:rsidRPr="008B2C65" w:rsidRDefault="00754DA3" w:rsidP="003D6248">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Large ($20m or more)</w:t>
            </w:r>
          </w:p>
        </w:tc>
        <w:tc>
          <w:tcPr>
            <w:tcW w:w="1134" w:type="dxa"/>
            <w:tcBorders>
              <w:top w:val="nil"/>
              <w:left w:val="nil"/>
              <w:bottom w:val="nil"/>
              <w:right w:val="nil"/>
            </w:tcBorders>
            <w:shd w:val="clear" w:color="000000" w:fill="C7E4F3"/>
            <w:vAlign w:val="bottom"/>
          </w:tcPr>
          <w:p w14:paraId="0D8B6BAD"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rPr>
              <w:t>41.0</w:t>
            </w:r>
          </w:p>
        </w:tc>
        <w:tc>
          <w:tcPr>
            <w:tcW w:w="1134" w:type="dxa"/>
            <w:tcBorders>
              <w:top w:val="nil"/>
              <w:left w:val="nil"/>
              <w:bottom w:val="nil"/>
              <w:right w:val="nil"/>
            </w:tcBorders>
            <w:shd w:val="clear" w:color="000000" w:fill="C7E4F3"/>
            <w:vAlign w:val="bottom"/>
          </w:tcPr>
          <w:p w14:paraId="38AE7AFA"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rPr>
              <w:t>38.3</w:t>
            </w:r>
          </w:p>
        </w:tc>
        <w:tc>
          <w:tcPr>
            <w:tcW w:w="1134" w:type="dxa"/>
            <w:tcBorders>
              <w:top w:val="nil"/>
              <w:left w:val="nil"/>
              <w:bottom w:val="nil"/>
              <w:right w:val="nil"/>
            </w:tcBorders>
            <w:shd w:val="clear" w:color="000000" w:fill="C7E4F3"/>
            <w:vAlign w:val="bottom"/>
          </w:tcPr>
          <w:p w14:paraId="18B0AC54"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rPr>
              <w:t>39.1</w:t>
            </w:r>
          </w:p>
        </w:tc>
        <w:tc>
          <w:tcPr>
            <w:tcW w:w="1134" w:type="dxa"/>
            <w:tcBorders>
              <w:top w:val="nil"/>
              <w:left w:val="nil"/>
              <w:bottom w:val="nil"/>
              <w:right w:val="nil"/>
            </w:tcBorders>
            <w:shd w:val="clear" w:color="000000" w:fill="C7E4F3"/>
            <w:vAlign w:val="bottom"/>
          </w:tcPr>
          <w:p w14:paraId="4CCFCE62"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rPr>
              <w:t>39.3</w:t>
            </w:r>
          </w:p>
        </w:tc>
      </w:tr>
      <w:tr w:rsidR="00754DA3" w:rsidRPr="008B2C65" w14:paraId="48F074A1" w14:textId="77777777" w:rsidTr="003D6248">
        <w:trPr>
          <w:trHeight w:val="80"/>
        </w:trPr>
        <w:tc>
          <w:tcPr>
            <w:tcW w:w="4535" w:type="dxa"/>
            <w:tcBorders>
              <w:top w:val="nil"/>
              <w:left w:val="nil"/>
              <w:bottom w:val="nil"/>
              <w:right w:val="nil"/>
            </w:tcBorders>
            <w:shd w:val="clear" w:color="auto" w:fill="58AEDA"/>
            <w:vAlign w:val="center"/>
            <w:hideMark/>
          </w:tcPr>
          <w:p w14:paraId="7773DB0E" w14:textId="77777777" w:rsidR="00754DA3" w:rsidRPr="008B2C65" w:rsidRDefault="00754DA3" w:rsidP="003D6248">
            <w:pPr>
              <w:spacing w:before="40" w:after="40"/>
              <w:rPr>
                <w:rFonts w:eastAsia="Times New Roman" w:cs="Arial"/>
                <w:b/>
                <w:bCs/>
                <w:color w:val="000000"/>
                <w:sz w:val="18"/>
                <w:szCs w:val="18"/>
                <w:lang w:eastAsia="en-AU"/>
              </w:rPr>
            </w:pPr>
            <w:r>
              <w:rPr>
                <w:rFonts w:eastAsia="Times New Roman" w:cs="Arial"/>
                <w:b/>
                <w:bCs/>
                <w:color w:val="000000"/>
                <w:sz w:val="18"/>
                <w:szCs w:val="18"/>
                <w:lang w:eastAsia="en-AU"/>
              </w:rPr>
              <w:t>Industry</w:t>
            </w:r>
          </w:p>
        </w:tc>
        <w:tc>
          <w:tcPr>
            <w:tcW w:w="1134" w:type="dxa"/>
            <w:tcBorders>
              <w:top w:val="nil"/>
              <w:left w:val="nil"/>
              <w:bottom w:val="nil"/>
              <w:right w:val="nil"/>
            </w:tcBorders>
            <w:shd w:val="clear" w:color="auto" w:fill="58AEDA"/>
            <w:vAlign w:val="center"/>
            <w:hideMark/>
          </w:tcPr>
          <w:p w14:paraId="32A7A046" w14:textId="77777777" w:rsidR="00754DA3" w:rsidRPr="008B2C65" w:rsidRDefault="00754DA3" w:rsidP="003D6248">
            <w:pPr>
              <w:spacing w:before="40" w:after="40"/>
              <w:ind w:right="227"/>
              <w:jc w:val="right"/>
              <w:rPr>
                <w:rFonts w:eastAsia="Times New Roman" w:cs="Arial"/>
                <w:color w:val="000000"/>
                <w:sz w:val="18"/>
                <w:szCs w:val="18"/>
                <w:lang w:eastAsia="en-AU"/>
              </w:rPr>
            </w:pPr>
            <w:r w:rsidRPr="008B2C65">
              <w:rPr>
                <w:rFonts w:eastAsia="Times New Roman" w:cs="Arial"/>
                <w:color w:val="000000"/>
                <w:sz w:val="18"/>
                <w:szCs w:val="18"/>
                <w:lang w:eastAsia="en-AU"/>
              </w:rPr>
              <w:t> </w:t>
            </w:r>
          </w:p>
        </w:tc>
        <w:tc>
          <w:tcPr>
            <w:tcW w:w="1134" w:type="dxa"/>
            <w:tcBorders>
              <w:top w:val="nil"/>
              <w:left w:val="nil"/>
              <w:bottom w:val="nil"/>
              <w:right w:val="nil"/>
            </w:tcBorders>
            <w:shd w:val="clear" w:color="auto" w:fill="58AEDA"/>
            <w:vAlign w:val="center"/>
            <w:hideMark/>
          </w:tcPr>
          <w:p w14:paraId="63BC5E64" w14:textId="77777777" w:rsidR="00754DA3" w:rsidRPr="008B2C65" w:rsidRDefault="00754DA3" w:rsidP="003D6248">
            <w:pPr>
              <w:spacing w:before="40" w:after="40"/>
              <w:ind w:right="227"/>
              <w:jc w:val="right"/>
              <w:rPr>
                <w:rFonts w:eastAsia="Times New Roman" w:cs="Arial"/>
                <w:color w:val="000000"/>
                <w:sz w:val="18"/>
                <w:szCs w:val="18"/>
                <w:lang w:eastAsia="en-AU"/>
              </w:rPr>
            </w:pPr>
            <w:r w:rsidRPr="008B2C65">
              <w:rPr>
                <w:rFonts w:eastAsia="Times New Roman" w:cs="Arial"/>
                <w:color w:val="000000"/>
                <w:sz w:val="18"/>
                <w:szCs w:val="18"/>
                <w:lang w:eastAsia="en-AU"/>
              </w:rPr>
              <w:t> </w:t>
            </w:r>
          </w:p>
        </w:tc>
        <w:tc>
          <w:tcPr>
            <w:tcW w:w="1134" w:type="dxa"/>
            <w:tcBorders>
              <w:top w:val="nil"/>
              <w:left w:val="nil"/>
              <w:bottom w:val="nil"/>
              <w:right w:val="nil"/>
            </w:tcBorders>
            <w:shd w:val="clear" w:color="auto" w:fill="58AEDA"/>
            <w:vAlign w:val="center"/>
            <w:hideMark/>
          </w:tcPr>
          <w:p w14:paraId="4C7E0EAD" w14:textId="77777777" w:rsidR="00754DA3" w:rsidRPr="008B2C65" w:rsidRDefault="00754DA3" w:rsidP="003D6248">
            <w:pPr>
              <w:spacing w:before="40" w:after="40"/>
              <w:ind w:right="227"/>
              <w:jc w:val="right"/>
              <w:rPr>
                <w:rFonts w:eastAsia="Times New Roman" w:cs="Arial"/>
                <w:color w:val="000000"/>
                <w:sz w:val="18"/>
                <w:szCs w:val="18"/>
                <w:lang w:eastAsia="en-AU"/>
              </w:rPr>
            </w:pPr>
            <w:r w:rsidRPr="008B2C65">
              <w:rPr>
                <w:rFonts w:eastAsia="Times New Roman" w:cs="Arial"/>
                <w:color w:val="000000"/>
                <w:sz w:val="18"/>
                <w:szCs w:val="18"/>
                <w:lang w:eastAsia="en-AU"/>
              </w:rPr>
              <w:t> </w:t>
            </w:r>
          </w:p>
        </w:tc>
        <w:tc>
          <w:tcPr>
            <w:tcW w:w="1134" w:type="dxa"/>
            <w:tcBorders>
              <w:top w:val="nil"/>
              <w:left w:val="nil"/>
              <w:bottom w:val="nil"/>
              <w:right w:val="nil"/>
            </w:tcBorders>
            <w:shd w:val="clear" w:color="auto" w:fill="58AEDA"/>
            <w:vAlign w:val="center"/>
            <w:hideMark/>
          </w:tcPr>
          <w:p w14:paraId="1B05CF5A" w14:textId="77777777" w:rsidR="00754DA3" w:rsidRPr="008B2C65" w:rsidRDefault="00754DA3" w:rsidP="003D6248">
            <w:pPr>
              <w:spacing w:before="40" w:after="40"/>
              <w:ind w:right="227"/>
              <w:jc w:val="right"/>
              <w:rPr>
                <w:rFonts w:eastAsia="Times New Roman" w:cs="Arial"/>
                <w:color w:val="000000"/>
                <w:sz w:val="18"/>
                <w:szCs w:val="18"/>
                <w:lang w:eastAsia="en-AU"/>
              </w:rPr>
            </w:pPr>
            <w:r w:rsidRPr="008B2C65">
              <w:rPr>
                <w:rFonts w:eastAsia="Times New Roman" w:cs="Arial"/>
                <w:color w:val="000000"/>
                <w:sz w:val="18"/>
                <w:szCs w:val="18"/>
                <w:lang w:eastAsia="en-AU"/>
              </w:rPr>
              <w:t> </w:t>
            </w:r>
          </w:p>
        </w:tc>
      </w:tr>
      <w:tr w:rsidR="00754DA3" w:rsidRPr="008B2C65" w14:paraId="379F5B88" w14:textId="77777777" w:rsidTr="003D6248">
        <w:trPr>
          <w:trHeight w:val="80"/>
        </w:trPr>
        <w:tc>
          <w:tcPr>
            <w:tcW w:w="4535" w:type="dxa"/>
            <w:tcBorders>
              <w:top w:val="nil"/>
              <w:left w:val="nil"/>
              <w:bottom w:val="nil"/>
              <w:right w:val="nil"/>
            </w:tcBorders>
            <w:shd w:val="clear" w:color="000000" w:fill="C7E4F3"/>
            <w:vAlign w:val="center"/>
            <w:hideMark/>
          </w:tcPr>
          <w:p w14:paraId="4BB72286" w14:textId="77777777" w:rsidR="00754DA3" w:rsidRPr="008B2C65" w:rsidRDefault="00754DA3" w:rsidP="003D6248">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Agriculture, Forestry, Fishing</w:t>
            </w:r>
          </w:p>
        </w:tc>
        <w:tc>
          <w:tcPr>
            <w:tcW w:w="1134" w:type="dxa"/>
            <w:tcBorders>
              <w:top w:val="nil"/>
              <w:left w:val="nil"/>
              <w:bottom w:val="nil"/>
              <w:right w:val="nil"/>
            </w:tcBorders>
            <w:shd w:val="clear" w:color="000000" w:fill="C7E4F3"/>
            <w:vAlign w:val="bottom"/>
            <w:hideMark/>
          </w:tcPr>
          <w:p w14:paraId="4BB446F2"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2.2</w:t>
            </w:r>
          </w:p>
        </w:tc>
        <w:tc>
          <w:tcPr>
            <w:tcW w:w="1134" w:type="dxa"/>
            <w:tcBorders>
              <w:top w:val="nil"/>
              <w:left w:val="nil"/>
              <w:bottom w:val="nil"/>
              <w:right w:val="nil"/>
            </w:tcBorders>
            <w:shd w:val="clear" w:color="000000" w:fill="C7E4F3"/>
            <w:vAlign w:val="bottom"/>
            <w:hideMark/>
          </w:tcPr>
          <w:p w14:paraId="5E128AB4"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2.4</w:t>
            </w:r>
          </w:p>
        </w:tc>
        <w:tc>
          <w:tcPr>
            <w:tcW w:w="1134" w:type="dxa"/>
            <w:tcBorders>
              <w:top w:val="nil"/>
              <w:left w:val="nil"/>
              <w:bottom w:val="nil"/>
              <w:right w:val="nil"/>
            </w:tcBorders>
            <w:shd w:val="clear" w:color="000000" w:fill="C7E4F3"/>
            <w:vAlign w:val="bottom"/>
            <w:hideMark/>
          </w:tcPr>
          <w:p w14:paraId="085FFE99"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3.2</w:t>
            </w:r>
          </w:p>
        </w:tc>
        <w:tc>
          <w:tcPr>
            <w:tcW w:w="1134" w:type="dxa"/>
            <w:tcBorders>
              <w:top w:val="nil"/>
              <w:left w:val="nil"/>
              <w:bottom w:val="nil"/>
              <w:right w:val="nil"/>
            </w:tcBorders>
            <w:shd w:val="clear" w:color="000000" w:fill="C7E4F3"/>
            <w:vAlign w:val="bottom"/>
            <w:hideMark/>
          </w:tcPr>
          <w:p w14:paraId="65B6F9F0"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2.7</w:t>
            </w:r>
          </w:p>
        </w:tc>
      </w:tr>
      <w:tr w:rsidR="00754DA3" w:rsidRPr="008B2C65" w14:paraId="752CFB55" w14:textId="77777777" w:rsidTr="003D6248">
        <w:trPr>
          <w:trHeight w:val="80"/>
        </w:trPr>
        <w:tc>
          <w:tcPr>
            <w:tcW w:w="4535" w:type="dxa"/>
            <w:tcBorders>
              <w:top w:val="nil"/>
              <w:left w:val="nil"/>
              <w:bottom w:val="nil"/>
              <w:right w:val="nil"/>
            </w:tcBorders>
            <w:shd w:val="clear" w:color="auto" w:fill="auto"/>
            <w:vAlign w:val="center"/>
            <w:hideMark/>
          </w:tcPr>
          <w:p w14:paraId="77874718" w14:textId="77777777" w:rsidR="00754DA3" w:rsidRPr="008B2C65" w:rsidRDefault="00754DA3" w:rsidP="003D6248">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Mining</w:t>
            </w:r>
          </w:p>
        </w:tc>
        <w:tc>
          <w:tcPr>
            <w:tcW w:w="1134" w:type="dxa"/>
            <w:tcBorders>
              <w:top w:val="nil"/>
              <w:left w:val="nil"/>
              <w:bottom w:val="nil"/>
              <w:right w:val="nil"/>
            </w:tcBorders>
            <w:shd w:val="clear" w:color="auto" w:fill="auto"/>
            <w:vAlign w:val="bottom"/>
            <w:hideMark/>
          </w:tcPr>
          <w:p w14:paraId="1BBF69FE"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2.6</w:t>
            </w:r>
          </w:p>
        </w:tc>
        <w:tc>
          <w:tcPr>
            <w:tcW w:w="1134" w:type="dxa"/>
            <w:tcBorders>
              <w:top w:val="nil"/>
              <w:left w:val="nil"/>
              <w:bottom w:val="nil"/>
              <w:right w:val="nil"/>
            </w:tcBorders>
            <w:shd w:val="clear" w:color="auto" w:fill="auto"/>
            <w:vAlign w:val="bottom"/>
            <w:hideMark/>
          </w:tcPr>
          <w:p w14:paraId="1951FBEF"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1.9</w:t>
            </w:r>
          </w:p>
        </w:tc>
        <w:tc>
          <w:tcPr>
            <w:tcW w:w="1134" w:type="dxa"/>
            <w:tcBorders>
              <w:top w:val="nil"/>
              <w:left w:val="nil"/>
              <w:bottom w:val="nil"/>
              <w:right w:val="nil"/>
            </w:tcBorders>
            <w:shd w:val="clear" w:color="auto" w:fill="auto"/>
            <w:vAlign w:val="bottom"/>
            <w:hideMark/>
          </w:tcPr>
          <w:p w14:paraId="793ABE50"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2.6</w:t>
            </w:r>
          </w:p>
        </w:tc>
        <w:tc>
          <w:tcPr>
            <w:tcW w:w="1134" w:type="dxa"/>
            <w:tcBorders>
              <w:top w:val="nil"/>
              <w:left w:val="nil"/>
              <w:bottom w:val="nil"/>
              <w:right w:val="nil"/>
            </w:tcBorders>
            <w:shd w:val="clear" w:color="auto" w:fill="auto"/>
            <w:vAlign w:val="bottom"/>
            <w:hideMark/>
          </w:tcPr>
          <w:p w14:paraId="5DA3EFA2"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1.8</w:t>
            </w:r>
          </w:p>
        </w:tc>
      </w:tr>
      <w:tr w:rsidR="00754DA3" w:rsidRPr="008B2C65" w14:paraId="54703449" w14:textId="77777777" w:rsidTr="003D6248">
        <w:trPr>
          <w:trHeight w:val="80"/>
        </w:trPr>
        <w:tc>
          <w:tcPr>
            <w:tcW w:w="4535" w:type="dxa"/>
            <w:tcBorders>
              <w:top w:val="nil"/>
              <w:left w:val="nil"/>
              <w:bottom w:val="nil"/>
              <w:right w:val="nil"/>
            </w:tcBorders>
            <w:shd w:val="clear" w:color="000000" w:fill="C7E4F3"/>
            <w:vAlign w:val="center"/>
            <w:hideMark/>
          </w:tcPr>
          <w:p w14:paraId="59B2D1C8" w14:textId="77777777" w:rsidR="00754DA3" w:rsidRPr="008B2C65" w:rsidRDefault="00754DA3" w:rsidP="003D6248">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Manufacturing</w:t>
            </w:r>
          </w:p>
        </w:tc>
        <w:tc>
          <w:tcPr>
            <w:tcW w:w="1134" w:type="dxa"/>
            <w:tcBorders>
              <w:top w:val="nil"/>
              <w:left w:val="nil"/>
              <w:bottom w:val="nil"/>
              <w:right w:val="nil"/>
            </w:tcBorders>
            <w:shd w:val="clear" w:color="000000" w:fill="C7E4F3"/>
            <w:vAlign w:val="bottom"/>
            <w:hideMark/>
          </w:tcPr>
          <w:p w14:paraId="3C26C0B2"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12.8</w:t>
            </w:r>
          </w:p>
        </w:tc>
        <w:tc>
          <w:tcPr>
            <w:tcW w:w="1134" w:type="dxa"/>
            <w:tcBorders>
              <w:top w:val="nil"/>
              <w:left w:val="nil"/>
              <w:bottom w:val="nil"/>
              <w:right w:val="nil"/>
            </w:tcBorders>
            <w:shd w:val="clear" w:color="000000" w:fill="C7E4F3"/>
            <w:vAlign w:val="bottom"/>
            <w:hideMark/>
          </w:tcPr>
          <w:p w14:paraId="35BB3ABE"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13.1</w:t>
            </w:r>
          </w:p>
        </w:tc>
        <w:tc>
          <w:tcPr>
            <w:tcW w:w="1134" w:type="dxa"/>
            <w:tcBorders>
              <w:top w:val="nil"/>
              <w:left w:val="nil"/>
              <w:bottom w:val="nil"/>
              <w:right w:val="nil"/>
            </w:tcBorders>
            <w:shd w:val="clear" w:color="000000" w:fill="C7E4F3"/>
            <w:vAlign w:val="bottom"/>
            <w:hideMark/>
          </w:tcPr>
          <w:p w14:paraId="6AC948D6"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11.3</w:t>
            </w:r>
          </w:p>
        </w:tc>
        <w:tc>
          <w:tcPr>
            <w:tcW w:w="1134" w:type="dxa"/>
            <w:tcBorders>
              <w:top w:val="nil"/>
              <w:left w:val="nil"/>
              <w:bottom w:val="nil"/>
              <w:right w:val="nil"/>
            </w:tcBorders>
            <w:shd w:val="clear" w:color="000000" w:fill="C7E4F3"/>
            <w:vAlign w:val="bottom"/>
            <w:hideMark/>
          </w:tcPr>
          <w:p w14:paraId="46FC3453"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11.0</w:t>
            </w:r>
          </w:p>
        </w:tc>
      </w:tr>
      <w:tr w:rsidR="00754DA3" w:rsidRPr="008B2C65" w14:paraId="4337434D" w14:textId="77777777" w:rsidTr="003D6248">
        <w:trPr>
          <w:trHeight w:val="80"/>
        </w:trPr>
        <w:tc>
          <w:tcPr>
            <w:tcW w:w="4535" w:type="dxa"/>
            <w:tcBorders>
              <w:top w:val="nil"/>
              <w:left w:val="nil"/>
              <w:bottom w:val="nil"/>
              <w:right w:val="nil"/>
            </w:tcBorders>
            <w:shd w:val="clear" w:color="auto" w:fill="auto"/>
            <w:vAlign w:val="center"/>
            <w:hideMark/>
          </w:tcPr>
          <w:p w14:paraId="6F92B014" w14:textId="77777777" w:rsidR="00754DA3" w:rsidRPr="008B2C65" w:rsidRDefault="00754DA3" w:rsidP="003D6248">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Electricity, Gas, Etc. Services</w:t>
            </w:r>
          </w:p>
        </w:tc>
        <w:tc>
          <w:tcPr>
            <w:tcW w:w="1134" w:type="dxa"/>
            <w:tcBorders>
              <w:top w:val="nil"/>
              <w:left w:val="nil"/>
              <w:bottom w:val="nil"/>
              <w:right w:val="nil"/>
            </w:tcBorders>
            <w:shd w:val="clear" w:color="auto" w:fill="auto"/>
            <w:vAlign w:val="bottom"/>
            <w:hideMark/>
          </w:tcPr>
          <w:p w14:paraId="6979EE1E"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1.3</w:t>
            </w:r>
          </w:p>
        </w:tc>
        <w:tc>
          <w:tcPr>
            <w:tcW w:w="1134" w:type="dxa"/>
            <w:tcBorders>
              <w:top w:val="nil"/>
              <w:left w:val="nil"/>
              <w:bottom w:val="nil"/>
              <w:right w:val="nil"/>
            </w:tcBorders>
            <w:shd w:val="clear" w:color="auto" w:fill="auto"/>
            <w:vAlign w:val="bottom"/>
            <w:hideMark/>
          </w:tcPr>
          <w:p w14:paraId="05B0E2AC"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1.4</w:t>
            </w:r>
          </w:p>
        </w:tc>
        <w:tc>
          <w:tcPr>
            <w:tcW w:w="1134" w:type="dxa"/>
            <w:tcBorders>
              <w:top w:val="nil"/>
              <w:left w:val="nil"/>
              <w:bottom w:val="nil"/>
              <w:right w:val="nil"/>
            </w:tcBorders>
            <w:shd w:val="clear" w:color="auto" w:fill="auto"/>
            <w:vAlign w:val="bottom"/>
            <w:hideMark/>
          </w:tcPr>
          <w:p w14:paraId="6DF497EE"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1.1</w:t>
            </w:r>
          </w:p>
        </w:tc>
        <w:tc>
          <w:tcPr>
            <w:tcW w:w="1134" w:type="dxa"/>
            <w:tcBorders>
              <w:top w:val="nil"/>
              <w:left w:val="nil"/>
              <w:bottom w:val="nil"/>
              <w:right w:val="nil"/>
            </w:tcBorders>
            <w:shd w:val="clear" w:color="auto" w:fill="auto"/>
            <w:vAlign w:val="bottom"/>
            <w:hideMark/>
          </w:tcPr>
          <w:p w14:paraId="5B756F2F"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1.0</w:t>
            </w:r>
          </w:p>
        </w:tc>
      </w:tr>
      <w:tr w:rsidR="00754DA3" w:rsidRPr="008B2C65" w14:paraId="3289B593" w14:textId="77777777" w:rsidTr="003D6248">
        <w:trPr>
          <w:trHeight w:val="80"/>
        </w:trPr>
        <w:tc>
          <w:tcPr>
            <w:tcW w:w="4535" w:type="dxa"/>
            <w:tcBorders>
              <w:top w:val="nil"/>
              <w:left w:val="nil"/>
              <w:bottom w:val="nil"/>
              <w:right w:val="nil"/>
            </w:tcBorders>
            <w:shd w:val="clear" w:color="000000" w:fill="C7E4F3"/>
            <w:vAlign w:val="center"/>
            <w:hideMark/>
          </w:tcPr>
          <w:p w14:paraId="3A1DCA06" w14:textId="77777777" w:rsidR="00754DA3" w:rsidRPr="008B2C65" w:rsidRDefault="00754DA3" w:rsidP="003D6248">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Construction</w:t>
            </w:r>
          </w:p>
        </w:tc>
        <w:tc>
          <w:tcPr>
            <w:tcW w:w="1134" w:type="dxa"/>
            <w:tcBorders>
              <w:top w:val="nil"/>
              <w:left w:val="nil"/>
              <w:bottom w:val="nil"/>
              <w:right w:val="nil"/>
            </w:tcBorders>
            <w:shd w:val="clear" w:color="000000" w:fill="C7E4F3"/>
            <w:vAlign w:val="bottom"/>
            <w:hideMark/>
          </w:tcPr>
          <w:p w14:paraId="23DC14FC"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9.3</w:t>
            </w:r>
          </w:p>
        </w:tc>
        <w:tc>
          <w:tcPr>
            <w:tcW w:w="1134" w:type="dxa"/>
            <w:tcBorders>
              <w:top w:val="nil"/>
              <w:left w:val="nil"/>
              <w:bottom w:val="nil"/>
              <w:right w:val="nil"/>
            </w:tcBorders>
            <w:shd w:val="clear" w:color="000000" w:fill="C7E4F3"/>
            <w:vAlign w:val="bottom"/>
            <w:hideMark/>
          </w:tcPr>
          <w:p w14:paraId="4D1DC1FE"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9.8</w:t>
            </w:r>
          </w:p>
        </w:tc>
        <w:tc>
          <w:tcPr>
            <w:tcW w:w="1134" w:type="dxa"/>
            <w:tcBorders>
              <w:top w:val="nil"/>
              <w:left w:val="nil"/>
              <w:bottom w:val="nil"/>
              <w:right w:val="nil"/>
            </w:tcBorders>
            <w:shd w:val="clear" w:color="000000" w:fill="C7E4F3"/>
            <w:vAlign w:val="bottom"/>
            <w:hideMark/>
          </w:tcPr>
          <w:p w14:paraId="09A7FAD4"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8.5</w:t>
            </w:r>
          </w:p>
        </w:tc>
        <w:tc>
          <w:tcPr>
            <w:tcW w:w="1134" w:type="dxa"/>
            <w:tcBorders>
              <w:top w:val="nil"/>
              <w:left w:val="nil"/>
              <w:bottom w:val="nil"/>
              <w:right w:val="nil"/>
            </w:tcBorders>
            <w:shd w:val="clear" w:color="000000" w:fill="C7E4F3"/>
            <w:vAlign w:val="bottom"/>
            <w:hideMark/>
          </w:tcPr>
          <w:p w14:paraId="0C4E4A6B"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9.8</w:t>
            </w:r>
          </w:p>
        </w:tc>
      </w:tr>
      <w:tr w:rsidR="00754DA3" w:rsidRPr="008B2C65" w14:paraId="27497ED2" w14:textId="77777777" w:rsidTr="003D6248">
        <w:trPr>
          <w:trHeight w:val="80"/>
        </w:trPr>
        <w:tc>
          <w:tcPr>
            <w:tcW w:w="4535" w:type="dxa"/>
            <w:tcBorders>
              <w:top w:val="nil"/>
              <w:left w:val="nil"/>
              <w:bottom w:val="nil"/>
              <w:right w:val="nil"/>
            </w:tcBorders>
            <w:shd w:val="clear" w:color="auto" w:fill="auto"/>
            <w:vAlign w:val="center"/>
            <w:hideMark/>
          </w:tcPr>
          <w:p w14:paraId="6807A5E9" w14:textId="77777777" w:rsidR="00754DA3" w:rsidRPr="008B2C65" w:rsidRDefault="00754DA3" w:rsidP="003D6248">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Wholesale Trade</w:t>
            </w:r>
          </w:p>
        </w:tc>
        <w:tc>
          <w:tcPr>
            <w:tcW w:w="1134" w:type="dxa"/>
            <w:tcBorders>
              <w:top w:val="nil"/>
              <w:left w:val="nil"/>
              <w:bottom w:val="nil"/>
              <w:right w:val="nil"/>
            </w:tcBorders>
            <w:shd w:val="clear" w:color="auto" w:fill="auto"/>
            <w:vAlign w:val="bottom"/>
            <w:hideMark/>
          </w:tcPr>
          <w:p w14:paraId="0874CFDD"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4.5</w:t>
            </w:r>
          </w:p>
        </w:tc>
        <w:tc>
          <w:tcPr>
            <w:tcW w:w="1134" w:type="dxa"/>
            <w:tcBorders>
              <w:top w:val="nil"/>
              <w:left w:val="nil"/>
              <w:bottom w:val="nil"/>
              <w:right w:val="nil"/>
            </w:tcBorders>
            <w:shd w:val="clear" w:color="auto" w:fill="auto"/>
            <w:vAlign w:val="bottom"/>
            <w:hideMark/>
          </w:tcPr>
          <w:p w14:paraId="0456FA33"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4.1</w:t>
            </w:r>
          </w:p>
        </w:tc>
        <w:tc>
          <w:tcPr>
            <w:tcW w:w="1134" w:type="dxa"/>
            <w:tcBorders>
              <w:top w:val="nil"/>
              <w:left w:val="nil"/>
              <w:bottom w:val="nil"/>
              <w:right w:val="nil"/>
            </w:tcBorders>
            <w:shd w:val="clear" w:color="auto" w:fill="auto"/>
            <w:vAlign w:val="bottom"/>
            <w:hideMark/>
          </w:tcPr>
          <w:p w14:paraId="17C930C0"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3.9</w:t>
            </w:r>
          </w:p>
        </w:tc>
        <w:tc>
          <w:tcPr>
            <w:tcW w:w="1134" w:type="dxa"/>
            <w:tcBorders>
              <w:top w:val="nil"/>
              <w:left w:val="nil"/>
              <w:bottom w:val="nil"/>
              <w:right w:val="nil"/>
            </w:tcBorders>
            <w:shd w:val="clear" w:color="auto" w:fill="auto"/>
            <w:vAlign w:val="bottom"/>
            <w:hideMark/>
          </w:tcPr>
          <w:p w14:paraId="1C5FEE66"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4.2</w:t>
            </w:r>
          </w:p>
        </w:tc>
      </w:tr>
      <w:tr w:rsidR="00754DA3" w:rsidRPr="008B2C65" w14:paraId="6900D0DB" w14:textId="77777777" w:rsidTr="003D6248">
        <w:trPr>
          <w:trHeight w:val="80"/>
        </w:trPr>
        <w:tc>
          <w:tcPr>
            <w:tcW w:w="4535" w:type="dxa"/>
            <w:tcBorders>
              <w:top w:val="nil"/>
              <w:left w:val="nil"/>
              <w:bottom w:val="nil"/>
              <w:right w:val="nil"/>
            </w:tcBorders>
            <w:shd w:val="clear" w:color="000000" w:fill="C7E4F3"/>
            <w:vAlign w:val="center"/>
            <w:hideMark/>
          </w:tcPr>
          <w:p w14:paraId="499307DE" w14:textId="77777777" w:rsidR="00754DA3" w:rsidRPr="008B2C65" w:rsidRDefault="00754DA3" w:rsidP="003D6248">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Retail Trade</w:t>
            </w:r>
          </w:p>
        </w:tc>
        <w:tc>
          <w:tcPr>
            <w:tcW w:w="1134" w:type="dxa"/>
            <w:tcBorders>
              <w:top w:val="nil"/>
              <w:left w:val="nil"/>
              <w:bottom w:val="nil"/>
              <w:right w:val="nil"/>
            </w:tcBorders>
            <w:shd w:val="clear" w:color="000000" w:fill="C7E4F3"/>
            <w:vAlign w:val="bottom"/>
            <w:hideMark/>
          </w:tcPr>
          <w:p w14:paraId="28A1B7BA"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6.4</w:t>
            </w:r>
          </w:p>
        </w:tc>
        <w:tc>
          <w:tcPr>
            <w:tcW w:w="1134" w:type="dxa"/>
            <w:tcBorders>
              <w:top w:val="nil"/>
              <w:left w:val="nil"/>
              <w:bottom w:val="nil"/>
              <w:right w:val="nil"/>
            </w:tcBorders>
            <w:shd w:val="clear" w:color="000000" w:fill="C7E4F3"/>
            <w:vAlign w:val="bottom"/>
            <w:hideMark/>
          </w:tcPr>
          <w:p w14:paraId="5F121982"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8.5</w:t>
            </w:r>
          </w:p>
        </w:tc>
        <w:tc>
          <w:tcPr>
            <w:tcW w:w="1134" w:type="dxa"/>
            <w:tcBorders>
              <w:top w:val="nil"/>
              <w:left w:val="nil"/>
              <w:bottom w:val="nil"/>
              <w:right w:val="nil"/>
            </w:tcBorders>
            <w:shd w:val="clear" w:color="000000" w:fill="C7E4F3"/>
            <w:vAlign w:val="bottom"/>
            <w:hideMark/>
          </w:tcPr>
          <w:p w14:paraId="5469803E"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9.2</w:t>
            </w:r>
          </w:p>
        </w:tc>
        <w:tc>
          <w:tcPr>
            <w:tcW w:w="1134" w:type="dxa"/>
            <w:tcBorders>
              <w:top w:val="nil"/>
              <w:left w:val="nil"/>
              <w:bottom w:val="nil"/>
              <w:right w:val="nil"/>
            </w:tcBorders>
            <w:shd w:val="clear" w:color="000000" w:fill="C7E4F3"/>
            <w:vAlign w:val="bottom"/>
            <w:hideMark/>
          </w:tcPr>
          <w:p w14:paraId="6E69B991"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7.4</w:t>
            </w:r>
          </w:p>
        </w:tc>
      </w:tr>
      <w:tr w:rsidR="00754DA3" w:rsidRPr="008B2C65" w14:paraId="5A487443" w14:textId="77777777" w:rsidTr="003D6248">
        <w:trPr>
          <w:trHeight w:val="80"/>
        </w:trPr>
        <w:tc>
          <w:tcPr>
            <w:tcW w:w="4535" w:type="dxa"/>
            <w:tcBorders>
              <w:top w:val="nil"/>
              <w:left w:val="nil"/>
              <w:bottom w:val="nil"/>
              <w:right w:val="nil"/>
            </w:tcBorders>
            <w:shd w:val="clear" w:color="auto" w:fill="auto"/>
            <w:vAlign w:val="center"/>
            <w:hideMark/>
          </w:tcPr>
          <w:p w14:paraId="5F595206" w14:textId="77777777" w:rsidR="00754DA3" w:rsidRPr="008B2C65" w:rsidRDefault="00754DA3" w:rsidP="003D6248">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Hospitality</w:t>
            </w:r>
          </w:p>
        </w:tc>
        <w:tc>
          <w:tcPr>
            <w:tcW w:w="1134" w:type="dxa"/>
            <w:tcBorders>
              <w:top w:val="nil"/>
              <w:left w:val="nil"/>
              <w:bottom w:val="nil"/>
              <w:right w:val="nil"/>
            </w:tcBorders>
            <w:shd w:val="clear" w:color="auto" w:fill="auto"/>
            <w:vAlign w:val="bottom"/>
            <w:hideMark/>
          </w:tcPr>
          <w:p w14:paraId="00ACA2AD"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4.1</w:t>
            </w:r>
          </w:p>
        </w:tc>
        <w:tc>
          <w:tcPr>
            <w:tcW w:w="1134" w:type="dxa"/>
            <w:tcBorders>
              <w:top w:val="nil"/>
              <w:left w:val="nil"/>
              <w:bottom w:val="nil"/>
              <w:right w:val="nil"/>
            </w:tcBorders>
            <w:shd w:val="clear" w:color="auto" w:fill="auto"/>
            <w:vAlign w:val="bottom"/>
            <w:hideMark/>
          </w:tcPr>
          <w:p w14:paraId="79E968F0"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5.2</w:t>
            </w:r>
          </w:p>
        </w:tc>
        <w:tc>
          <w:tcPr>
            <w:tcW w:w="1134" w:type="dxa"/>
            <w:tcBorders>
              <w:top w:val="nil"/>
              <w:left w:val="nil"/>
              <w:bottom w:val="nil"/>
              <w:right w:val="nil"/>
            </w:tcBorders>
            <w:shd w:val="clear" w:color="auto" w:fill="auto"/>
            <w:vAlign w:val="bottom"/>
            <w:hideMark/>
          </w:tcPr>
          <w:p w14:paraId="0A6BB1D5"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5.7</w:t>
            </w:r>
          </w:p>
        </w:tc>
        <w:tc>
          <w:tcPr>
            <w:tcW w:w="1134" w:type="dxa"/>
            <w:tcBorders>
              <w:top w:val="nil"/>
              <w:left w:val="nil"/>
              <w:bottom w:val="nil"/>
              <w:right w:val="nil"/>
            </w:tcBorders>
            <w:shd w:val="clear" w:color="auto" w:fill="auto"/>
            <w:vAlign w:val="bottom"/>
            <w:hideMark/>
          </w:tcPr>
          <w:p w14:paraId="6091F3F2"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4.7</w:t>
            </w:r>
          </w:p>
        </w:tc>
      </w:tr>
      <w:tr w:rsidR="00754DA3" w:rsidRPr="008B2C65" w14:paraId="78CE0F10" w14:textId="77777777" w:rsidTr="003D6248">
        <w:trPr>
          <w:trHeight w:val="80"/>
        </w:trPr>
        <w:tc>
          <w:tcPr>
            <w:tcW w:w="4535" w:type="dxa"/>
            <w:tcBorders>
              <w:top w:val="nil"/>
              <w:left w:val="nil"/>
              <w:bottom w:val="nil"/>
              <w:right w:val="nil"/>
            </w:tcBorders>
            <w:shd w:val="clear" w:color="000000" w:fill="C7E4F3"/>
            <w:vAlign w:val="center"/>
            <w:hideMark/>
          </w:tcPr>
          <w:p w14:paraId="28A11704" w14:textId="77777777" w:rsidR="00754DA3" w:rsidRPr="008B2C65" w:rsidRDefault="00754DA3" w:rsidP="003D6248">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Transport, Postal, Warehousing</w:t>
            </w:r>
          </w:p>
        </w:tc>
        <w:tc>
          <w:tcPr>
            <w:tcW w:w="1134" w:type="dxa"/>
            <w:tcBorders>
              <w:top w:val="nil"/>
              <w:left w:val="nil"/>
              <w:bottom w:val="nil"/>
              <w:right w:val="nil"/>
            </w:tcBorders>
            <w:shd w:val="clear" w:color="000000" w:fill="C7E4F3"/>
            <w:vAlign w:val="bottom"/>
            <w:hideMark/>
          </w:tcPr>
          <w:p w14:paraId="46FCC4C7"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11.4</w:t>
            </w:r>
          </w:p>
        </w:tc>
        <w:tc>
          <w:tcPr>
            <w:tcW w:w="1134" w:type="dxa"/>
            <w:tcBorders>
              <w:top w:val="nil"/>
              <w:left w:val="nil"/>
              <w:bottom w:val="nil"/>
              <w:right w:val="nil"/>
            </w:tcBorders>
            <w:shd w:val="clear" w:color="000000" w:fill="C7E4F3"/>
            <w:vAlign w:val="bottom"/>
            <w:hideMark/>
          </w:tcPr>
          <w:p w14:paraId="6A15D557"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7.9</w:t>
            </w:r>
            <w:r>
              <w:rPr>
                <w:rFonts w:cs="Arial"/>
                <w:color w:val="000000"/>
                <w:sz w:val="18"/>
                <w:szCs w:val="18"/>
              </w:rPr>
              <w:t>*</w:t>
            </w:r>
          </w:p>
        </w:tc>
        <w:tc>
          <w:tcPr>
            <w:tcW w:w="1134" w:type="dxa"/>
            <w:tcBorders>
              <w:top w:val="nil"/>
              <w:left w:val="nil"/>
              <w:bottom w:val="nil"/>
              <w:right w:val="nil"/>
            </w:tcBorders>
            <w:shd w:val="clear" w:color="000000" w:fill="C7E4F3"/>
            <w:vAlign w:val="bottom"/>
            <w:hideMark/>
          </w:tcPr>
          <w:p w14:paraId="62A65CA5"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8.3</w:t>
            </w:r>
          </w:p>
        </w:tc>
        <w:tc>
          <w:tcPr>
            <w:tcW w:w="1134" w:type="dxa"/>
            <w:tcBorders>
              <w:top w:val="nil"/>
              <w:left w:val="nil"/>
              <w:bottom w:val="nil"/>
              <w:right w:val="nil"/>
            </w:tcBorders>
            <w:shd w:val="clear" w:color="000000" w:fill="C7E4F3"/>
            <w:vAlign w:val="bottom"/>
            <w:hideMark/>
          </w:tcPr>
          <w:p w14:paraId="233D1151"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8.1</w:t>
            </w:r>
          </w:p>
        </w:tc>
      </w:tr>
      <w:tr w:rsidR="00754DA3" w:rsidRPr="008B2C65" w14:paraId="1FD4C831" w14:textId="77777777" w:rsidTr="003D6248">
        <w:trPr>
          <w:trHeight w:val="80"/>
        </w:trPr>
        <w:tc>
          <w:tcPr>
            <w:tcW w:w="4535" w:type="dxa"/>
            <w:tcBorders>
              <w:top w:val="nil"/>
              <w:left w:val="nil"/>
              <w:bottom w:val="nil"/>
              <w:right w:val="nil"/>
            </w:tcBorders>
            <w:shd w:val="clear" w:color="auto" w:fill="auto"/>
            <w:vAlign w:val="center"/>
            <w:hideMark/>
          </w:tcPr>
          <w:p w14:paraId="1424D353" w14:textId="77777777" w:rsidR="00754DA3" w:rsidRPr="008B2C65" w:rsidRDefault="00754DA3" w:rsidP="003D6248">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Media and Telecommunications</w:t>
            </w:r>
          </w:p>
        </w:tc>
        <w:tc>
          <w:tcPr>
            <w:tcW w:w="1134" w:type="dxa"/>
            <w:tcBorders>
              <w:top w:val="nil"/>
              <w:left w:val="nil"/>
              <w:bottom w:val="nil"/>
              <w:right w:val="nil"/>
            </w:tcBorders>
            <w:shd w:val="clear" w:color="auto" w:fill="auto"/>
            <w:vAlign w:val="bottom"/>
            <w:hideMark/>
          </w:tcPr>
          <w:p w14:paraId="63CBCA07"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1.0</w:t>
            </w:r>
          </w:p>
        </w:tc>
        <w:tc>
          <w:tcPr>
            <w:tcW w:w="1134" w:type="dxa"/>
            <w:tcBorders>
              <w:top w:val="nil"/>
              <w:left w:val="nil"/>
              <w:bottom w:val="nil"/>
              <w:right w:val="nil"/>
            </w:tcBorders>
            <w:shd w:val="clear" w:color="auto" w:fill="auto"/>
            <w:vAlign w:val="bottom"/>
            <w:hideMark/>
          </w:tcPr>
          <w:p w14:paraId="1C125532"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0.4</w:t>
            </w:r>
            <w:r>
              <w:rPr>
                <w:rFonts w:cs="Arial"/>
                <w:color w:val="000000"/>
                <w:sz w:val="18"/>
                <w:szCs w:val="18"/>
              </w:rPr>
              <w:t>*</w:t>
            </w:r>
          </w:p>
        </w:tc>
        <w:tc>
          <w:tcPr>
            <w:tcW w:w="1134" w:type="dxa"/>
            <w:tcBorders>
              <w:top w:val="nil"/>
              <w:left w:val="nil"/>
              <w:bottom w:val="nil"/>
              <w:right w:val="nil"/>
            </w:tcBorders>
            <w:shd w:val="clear" w:color="auto" w:fill="auto"/>
            <w:vAlign w:val="bottom"/>
            <w:hideMark/>
          </w:tcPr>
          <w:p w14:paraId="065B332A"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1.0</w:t>
            </w:r>
          </w:p>
        </w:tc>
        <w:tc>
          <w:tcPr>
            <w:tcW w:w="1134" w:type="dxa"/>
            <w:tcBorders>
              <w:top w:val="nil"/>
              <w:left w:val="nil"/>
              <w:bottom w:val="nil"/>
              <w:right w:val="nil"/>
            </w:tcBorders>
            <w:shd w:val="clear" w:color="auto" w:fill="auto"/>
            <w:vAlign w:val="bottom"/>
            <w:hideMark/>
          </w:tcPr>
          <w:p w14:paraId="73C6771F"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0.3</w:t>
            </w:r>
            <w:r>
              <w:rPr>
                <w:rFonts w:cs="Arial"/>
                <w:color w:val="000000"/>
                <w:sz w:val="18"/>
                <w:szCs w:val="18"/>
              </w:rPr>
              <w:t>*</w:t>
            </w:r>
          </w:p>
        </w:tc>
      </w:tr>
      <w:tr w:rsidR="00754DA3" w:rsidRPr="008B2C65" w14:paraId="31F3B4BB" w14:textId="77777777" w:rsidTr="003D6248">
        <w:trPr>
          <w:trHeight w:val="80"/>
        </w:trPr>
        <w:tc>
          <w:tcPr>
            <w:tcW w:w="4535" w:type="dxa"/>
            <w:tcBorders>
              <w:top w:val="nil"/>
              <w:left w:val="nil"/>
              <w:bottom w:val="nil"/>
              <w:right w:val="nil"/>
            </w:tcBorders>
            <w:shd w:val="clear" w:color="000000" w:fill="C7E4F3"/>
            <w:vAlign w:val="center"/>
            <w:hideMark/>
          </w:tcPr>
          <w:p w14:paraId="4110B0E1" w14:textId="77777777" w:rsidR="00754DA3" w:rsidRPr="008B2C65" w:rsidRDefault="00754DA3" w:rsidP="003D6248">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Financial</w:t>
            </w:r>
            <w:r>
              <w:rPr>
                <w:rFonts w:eastAsia="Times New Roman" w:cs="Arial"/>
                <w:color w:val="000000"/>
                <w:sz w:val="18"/>
                <w:szCs w:val="18"/>
                <w:lang w:eastAsia="en-AU"/>
              </w:rPr>
              <w:t>/</w:t>
            </w:r>
            <w:r w:rsidRPr="008B2C65">
              <w:rPr>
                <w:rFonts w:eastAsia="Times New Roman" w:cs="Arial"/>
                <w:color w:val="000000"/>
                <w:sz w:val="18"/>
                <w:szCs w:val="18"/>
                <w:lang w:eastAsia="en-AU"/>
              </w:rPr>
              <w:t>Insurance Services</w:t>
            </w:r>
          </w:p>
        </w:tc>
        <w:tc>
          <w:tcPr>
            <w:tcW w:w="1134" w:type="dxa"/>
            <w:tcBorders>
              <w:top w:val="nil"/>
              <w:left w:val="nil"/>
              <w:bottom w:val="nil"/>
              <w:right w:val="nil"/>
            </w:tcBorders>
            <w:shd w:val="clear" w:color="000000" w:fill="C7E4F3"/>
            <w:vAlign w:val="bottom"/>
            <w:hideMark/>
          </w:tcPr>
          <w:p w14:paraId="385E809B"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1.6</w:t>
            </w:r>
          </w:p>
        </w:tc>
        <w:tc>
          <w:tcPr>
            <w:tcW w:w="1134" w:type="dxa"/>
            <w:tcBorders>
              <w:top w:val="nil"/>
              <w:left w:val="nil"/>
              <w:bottom w:val="nil"/>
              <w:right w:val="nil"/>
            </w:tcBorders>
            <w:shd w:val="clear" w:color="000000" w:fill="C7E4F3"/>
            <w:vAlign w:val="bottom"/>
            <w:hideMark/>
          </w:tcPr>
          <w:p w14:paraId="1C787E1F"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0.8</w:t>
            </w:r>
          </w:p>
        </w:tc>
        <w:tc>
          <w:tcPr>
            <w:tcW w:w="1134" w:type="dxa"/>
            <w:tcBorders>
              <w:top w:val="nil"/>
              <w:left w:val="nil"/>
              <w:bottom w:val="nil"/>
              <w:right w:val="nil"/>
            </w:tcBorders>
            <w:shd w:val="clear" w:color="000000" w:fill="C7E4F3"/>
            <w:vAlign w:val="bottom"/>
            <w:hideMark/>
          </w:tcPr>
          <w:p w14:paraId="558B2D7F"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0.8</w:t>
            </w:r>
          </w:p>
        </w:tc>
        <w:tc>
          <w:tcPr>
            <w:tcW w:w="1134" w:type="dxa"/>
            <w:tcBorders>
              <w:top w:val="nil"/>
              <w:left w:val="nil"/>
              <w:bottom w:val="nil"/>
              <w:right w:val="nil"/>
            </w:tcBorders>
            <w:shd w:val="clear" w:color="000000" w:fill="C7E4F3"/>
            <w:vAlign w:val="bottom"/>
            <w:hideMark/>
          </w:tcPr>
          <w:p w14:paraId="575D50DB"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0.6</w:t>
            </w:r>
          </w:p>
        </w:tc>
      </w:tr>
      <w:tr w:rsidR="00754DA3" w:rsidRPr="008B2C65" w14:paraId="5CF0D159" w14:textId="77777777" w:rsidTr="003D6248">
        <w:trPr>
          <w:trHeight w:val="80"/>
        </w:trPr>
        <w:tc>
          <w:tcPr>
            <w:tcW w:w="4535" w:type="dxa"/>
            <w:tcBorders>
              <w:top w:val="nil"/>
              <w:left w:val="nil"/>
              <w:bottom w:val="nil"/>
              <w:right w:val="nil"/>
            </w:tcBorders>
            <w:shd w:val="clear" w:color="auto" w:fill="auto"/>
            <w:vAlign w:val="center"/>
            <w:hideMark/>
          </w:tcPr>
          <w:p w14:paraId="6D69353C" w14:textId="77777777" w:rsidR="00754DA3" w:rsidRPr="008B2C65" w:rsidRDefault="00754DA3" w:rsidP="003D6248">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Rental</w:t>
            </w:r>
            <w:r>
              <w:rPr>
                <w:rFonts w:eastAsia="Times New Roman" w:cs="Arial"/>
                <w:color w:val="000000"/>
                <w:sz w:val="18"/>
                <w:szCs w:val="18"/>
                <w:lang w:eastAsia="en-AU"/>
              </w:rPr>
              <w:t>/</w:t>
            </w:r>
            <w:r w:rsidRPr="008B2C65">
              <w:rPr>
                <w:rFonts w:eastAsia="Times New Roman" w:cs="Arial"/>
                <w:color w:val="000000"/>
                <w:sz w:val="18"/>
                <w:szCs w:val="18"/>
                <w:lang w:eastAsia="en-AU"/>
              </w:rPr>
              <w:t>Real Estate Services</w:t>
            </w:r>
          </w:p>
        </w:tc>
        <w:tc>
          <w:tcPr>
            <w:tcW w:w="1134" w:type="dxa"/>
            <w:tcBorders>
              <w:top w:val="nil"/>
              <w:left w:val="nil"/>
              <w:bottom w:val="nil"/>
              <w:right w:val="nil"/>
            </w:tcBorders>
            <w:shd w:val="clear" w:color="auto" w:fill="auto"/>
            <w:vAlign w:val="bottom"/>
            <w:hideMark/>
          </w:tcPr>
          <w:p w14:paraId="782C2DB0"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0.8</w:t>
            </w:r>
          </w:p>
        </w:tc>
        <w:tc>
          <w:tcPr>
            <w:tcW w:w="1134" w:type="dxa"/>
            <w:tcBorders>
              <w:top w:val="nil"/>
              <w:left w:val="nil"/>
              <w:bottom w:val="nil"/>
              <w:right w:val="nil"/>
            </w:tcBorders>
            <w:shd w:val="clear" w:color="auto" w:fill="auto"/>
            <w:vAlign w:val="bottom"/>
            <w:hideMark/>
          </w:tcPr>
          <w:p w14:paraId="51E1B28C"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1.1</w:t>
            </w:r>
          </w:p>
        </w:tc>
        <w:tc>
          <w:tcPr>
            <w:tcW w:w="1134" w:type="dxa"/>
            <w:tcBorders>
              <w:top w:val="nil"/>
              <w:left w:val="nil"/>
              <w:bottom w:val="nil"/>
              <w:right w:val="nil"/>
            </w:tcBorders>
            <w:shd w:val="clear" w:color="auto" w:fill="auto"/>
            <w:vAlign w:val="bottom"/>
            <w:hideMark/>
          </w:tcPr>
          <w:p w14:paraId="5A8B7734"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0.7</w:t>
            </w:r>
          </w:p>
        </w:tc>
        <w:tc>
          <w:tcPr>
            <w:tcW w:w="1134" w:type="dxa"/>
            <w:tcBorders>
              <w:top w:val="nil"/>
              <w:left w:val="nil"/>
              <w:bottom w:val="nil"/>
              <w:right w:val="nil"/>
            </w:tcBorders>
            <w:shd w:val="clear" w:color="auto" w:fill="auto"/>
            <w:vAlign w:val="bottom"/>
            <w:hideMark/>
          </w:tcPr>
          <w:p w14:paraId="3368F7A2"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1.4</w:t>
            </w:r>
          </w:p>
        </w:tc>
      </w:tr>
      <w:tr w:rsidR="00754DA3" w:rsidRPr="008B2C65" w14:paraId="479DB737" w14:textId="77777777" w:rsidTr="003D6248">
        <w:trPr>
          <w:trHeight w:val="80"/>
        </w:trPr>
        <w:tc>
          <w:tcPr>
            <w:tcW w:w="4535" w:type="dxa"/>
            <w:tcBorders>
              <w:top w:val="nil"/>
              <w:left w:val="nil"/>
              <w:bottom w:val="nil"/>
              <w:right w:val="nil"/>
            </w:tcBorders>
            <w:shd w:val="clear" w:color="000000" w:fill="C7E4F3"/>
            <w:vAlign w:val="center"/>
            <w:hideMark/>
          </w:tcPr>
          <w:p w14:paraId="1D9C38D2" w14:textId="77777777" w:rsidR="00754DA3" w:rsidRPr="008B2C65" w:rsidRDefault="00754DA3" w:rsidP="003D6248">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Scientific/Technical Services</w:t>
            </w:r>
          </w:p>
        </w:tc>
        <w:tc>
          <w:tcPr>
            <w:tcW w:w="1134" w:type="dxa"/>
            <w:tcBorders>
              <w:top w:val="nil"/>
              <w:left w:val="nil"/>
              <w:bottom w:val="nil"/>
              <w:right w:val="nil"/>
            </w:tcBorders>
            <w:shd w:val="clear" w:color="000000" w:fill="C7E4F3"/>
            <w:vAlign w:val="bottom"/>
            <w:hideMark/>
          </w:tcPr>
          <w:p w14:paraId="0D3CA2F0"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2.6</w:t>
            </w:r>
          </w:p>
        </w:tc>
        <w:tc>
          <w:tcPr>
            <w:tcW w:w="1134" w:type="dxa"/>
            <w:tcBorders>
              <w:top w:val="nil"/>
              <w:left w:val="nil"/>
              <w:bottom w:val="nil"/>
              <w:right w:val="nil"/>
            </w:tcBorders>
            <w:shd w:val="clear" w:color="000000" w:fill="C7E4F3"/>
            <w:vAlign w:val="bottom"/>
            <w:hideMark/>
          </w:tcPr>
          <w:p w14:paraId="6A439213"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2.0</w:t>
            </w:r>
          </w:p>
        </w:tc>
        <w:tc>
          <w:tcPr>
            <w:tcW w:w="1134" w:type="dxa"/>
            <w:tcBorders>
              <w:top w:val="nil"/>
              <w:left w:val="nil"/>
              <w:bottom w:val="nil"/>
              <w:right w:val="nil"/>
            </w:tcBorders>
            <w:shd w:val="clear" w:color="000000" w:fill="C7E4F3"/>
            <w:vAlign w:val="bottom"/>
            <w:hideMark/>
          </w:tcPr>
          <w:p w14:paraId="3D47C848"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1.6</w:t>
            </w:r>
          </w:p>
        </w:tc>
        <w:tc>
          <w:tcPr>
            <w:tcW w:w="1134" w:type="dxa"/>
            <w:tcBorders>
              <w:top w:val="nil"/>
              <w:left w:val="nil"/>
              <w:bottom w:val="nil"/>
              <w:right w:val="nil"/>
            </w:tcBorders>
            <w:shd w:val="clear" w:color="000000" w:fill="C7E4F3"/>
            <w:vAlign w:val="bottom"/>
            <w:hideMark/>
          </w:tcPr>
          <w:p w14:paraId="05DB42C8"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2.2</w:t>
            </w:r>
          </w:p>
        </w:tc>
      </w:tr>
      <w:tr w:rsidR="00754DA3" w:rsidRPr="008B2C65" w14:paraId="475904EF" w14:textId="77777777" w:rsidTr="003D6248">
        <w:trPr>
          <w:trHeight w:val="80"/>
        </w:trPr>
        <w:tc>
          <w:tcPr>
            <w:tcW w:w="4535" w:type="dxa"/>
            <w:tcBorders>
              <w:top w:val="nil"/>
              <w:left w:val="nil"/>
              <w:bottom w:val="nil"/>
              <w:right w:val="nil"/>
            </w:tcBorders>
            <w:shd w:val="clear" w:color="auto" w:fill="auto"/>
            <w:vAlign w:val="center"/>
            <w:hideMark/>
          </w:tcPr>
          <w:p w14:paraId="088A9A8A" w14:textId="77777777" w:rsidR="00754DA3" w:rsidRPr="008B2C65" w:rsidRDefault="00754DA3" w:rsidP="003D6248">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Administrative Services</w:t>
            </w:r>
          </w:p>
        </w:tc>
        <w:tc>
          <w:tcPr>
            <w:tcW w:w="1134" w:type="dxa"/>
            <w:tcBorders>
              <w:top w:val="nil"/>
              <w:left w:val="nil"/>
              <w:bottom w:val="nil"/>
              <w:right w:val="nil"/>
            </w:tcBorders>
            <w:shd w:val="clear" w:color="auto" w:fill="auto"/>
            <w:vAlign w:val="bottom"/>
            <w:hideMark/>
          </w:tcPr>
          <w:p w14:paraId="485766A4"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2.5</w:t>
            </w:r>
          </w:p>
        </w:tc>
        <w:tc>
          <w:tcPr>
            <w:tcW w:w="1134" w:type="dxa"/>
            <w:tcBorders>
              <w:top w:val="nil"/>
              <w:left w:val="nil"/>
              <w:bottom w:val="nil"/>
              <w:right w:val="nil"/>
            </w:tcBorders>
            <w:shd w:val="clear" w:color="auto" w:fill="auto"/>
            <w:vAlign w:val="bottom"/>
            <w:hideMark/>
          </w:tcPr>
          <w:p w14:paraId="5C09787E"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3.3</w:t>
            </w:r>
          </w:p>
        </w:tc>
        <w:tc>
          <w:tcPr>
            <w:tcW w:w="1134" w:type="dxa"/>
            <w:tcBorders>
              <w:top w:val="nil"/>
              <w:left w:val="nil"/>
              <w:bottom w:val="nil"/>
              <w:right w:val="nil"/>
            </w:tcBorders>
            <w:shd w:val="clear" w:color="auto" w:fill="auto"/>
            <w:vAlign w:val="bottom"/>
            <w:hideMark/>
          </w:tcPr>
          <w:p w14:paraId="72606E95"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2.2</w:t>
            </w:r>
          </w:p>
        </w:tc>
        <w:tc>
          <w:tcPr>
            <w:tcW w:w="1134" w:type="dxa"/>
            <w:tcBorders>
              <w:top w:val="nil"/>
              <w:left w:val="nil"/>
              <w:bottom w:val="nil"/>
              <w:right w:val="nil"/>
            </w:tcBorders>
            <w:shd w:val="clear" w:color="auto" w:fill="auto"/>
            <w:vAlign w:val="bottom"/>
            <w:hideMark/>
          </w:tcPr>
          <w:p w14:paraId="787F5126"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3.9</w:t>
            </w:r>
          </w:p>
        </w:tc>
      </w:tr>
      <w:tr w:rsidR="00754DA3" w:rsidRPr="008B2C65" w14:paraId="273D065C" w14:textId="77777777" w:rsidTr="003D6248">
        <w:trPr>
          <w:trHeight w:val="80"/>
        </w:trPr>
        <w:tc>
          <w:tcPr>
            <w:tcW w:w="4535" w:type="dxa"/>
            <w:tcBorders>
              <w:top w:val="nil"/>
              <w:left w:val="nil"/>
              <w:bottom w:val="nil"/>
              <w:right w:val="nil"/>
            </w:tcBorders>
            <w:shd w:val="clear" w:color="000000" w:fill="C7E4F3"/>
            <w:vAlign w:val="center"/>
            <w:hideMark/>
          </w:tcPr>
          <w:p w14:paraId="3D1F0E7B" w14:textId="77777777" w:rsidR="00754DA3" w:rsidRPr="008B2C65" w:rsidRDefault="00754DA3" w:rsidP="003D6248">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Public Administration</w:t>
            </w:r>
          </w:p>
        </w:tc>
        <w:tc>
          <w:tcPr>
            <w:tcW w:w="1134" w:type="dxa"/>
            <w:tcBorders>
              <w:top w:val="nil"/>
              <w:left w:val="nil"/>
              <w:bottom w:val="nil"/>
              <w:right w:val="nil"/>
            </w:tcBorders>
            <w:shd w:val="clear" w:color="000000" w:fill="C7E4F3"/>
            <w:vAlign w:val="bottom"/>
            <w:hideMark/>
          </w:tcPr>
          <w:p w14:paraId="6B7B4D5D"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8.5</w:t>
            </w:r>
          </w:p>
        </w:tc>
        <w:tc>
          <w:tcPr>
            <w:tcW w:w="1134" w:type="dxa"/>
            <w:tcBorders>
              <w:top w:val="nil"/>
              <w:left w:val="nil"/>
              <w:bottom w:val="nil"/>
              <w:right w:val="nil"/>
            </w:tcBorders>
            <w:shd w:val="clear" w:color="000000" w:fill="C7E4F3"/>
            <w:vAlign w:val="bottom"/>
            <w:hideMark/>
          </w:tcPr>
          <w:p w14:paraId="7453C9F7"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8.9</w:t>
            </w:r>
          </w:p>
        </w:tc>
        <w:tc>
          <w:tcPr>
            <w:tcW w:w="1134" w:type="dxa"/>
            <w:tcBorders>
              <w:top w:val="nil"/>
              <w:left w:val="nil"/>
              <w:bottom w:val="nil"/>
              <w:right w:val="nil"/>
            </w:tcBorders>
            <w:shd w:val="clear" w:color="000000" w:fill="C7E4F3"/>
            <w:vAlign w:val="bottom"/>
            <w:hideMark/>
          </w:tcPr>
          <w:p w14:paraId="4D77F933"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11.9</w:t>
            </w:r>
            <w:r>
              <w:rPr>
                <w:rFonts w:cs="Arial"/>
                <w:color w:val="000000"/>
                <w:sz w:val="18"/>
                <w:szCs w:val="18"/>
              </w:rPr>
              <w:t>**</w:t>
            </w:r>
          </w:p>
        </w:tc>
        <w:tc>
          <w:tcPr>
            <w:tcW w:w="1134" w:type="dxa"/>
            <w:tcBorders>
              <w:top w:val="nil"/>
              <w:left w:val="nil"/>
              <w:bottom w:val="nil"/>
              <w:right w:val="nil"/>
            </w:tcBorders>
            <w:shd w:val="clear" w:color="000000" w:fill="C7E4F3"/>
            <w:vAlign w:val="bottom"/>
            <w:hideMark/>
          </w:tcPr>
          <w:p w14:paraId="0E9FE5BC"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7.5</w:t>
            </w:r>
            <w:r>
              <w:rPr>
                <w:rFonts w:cs="Arial"/>
                <w:color w:val="000000"/>
                <w:sz w:val="18"/>
                <w:szCs w:val="18"/>
              </w:rPr>
              <w:t>*</w:t>
            </w:r>
          </w:p>
        </w:tc>
      </w:tr>
      <w:tr w:rsidR="00754DA3" w:rsidRPr="008B2C65" w14:paraId="4F9CD684" w14:textId="77777777" w:rsidTr="003D6248">
        <w:trPr>
          <w:trHeight w:val="80"/>
        </w:trPr>
        <w:tc>
          <w:tcPr>
            <w:tcW w:w="4535" w:type="dxa"/>
            <w:tcBorders>
              <w:top w:val="nil"/>
              <w:left w:val="nil"/>
              <w:bottom w:val="nil"/>
              <w:right w:val="nil"/>
            </w:tcBorders>
            <w:shd w:val="clear" w:color="auto" w:fill="auto"/>
            <w:vAlign w:val="center"/>
            <w:hideMark/>
          </w:tcPr>
          <w:p w14:paraId="6B29BF93" w14:textId="77777777" w:rsidR="00754DA3" w:rsidRPr="008B2C65" w:rsidRDefault="00754DA3" w:rsidP="003D6248">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Education and Training</w:t>
            </w:r>
          </w:p>
        </w:tc>
        <w:tc>
          <w:tcPr>
            <w:tcW w:w="1134" w:type="dxa"/>
            <w:tcBorders>
              <w:top w:val="nil"/>
              <w:left w:val="nil"/>
              <w:bottom w:val="nil"/>
              <w:right w:val="nil"/>
            </w:tcBorders>
            <w:shd w:val="clear" w:color="auto" w:fill="auto"/>
            <w:vAlign w:val="bottom"/>
            <w:hideMark/>
          </w:tcPr>
          <w:p w14:paraId="3BA76788"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9.4</w:t>
            </w:r>
          </w:p>
        </w:tc>
        <w:tc>
          <w:tcPr>
            <w:tcW w:w="1134" w:type="dxa"/>
            <w:tcBorders>
              <w:top w:val="nil"/>
              <w:left w:val="nil"/>
              <w:bottom w:val="nil"/>
              <w:right w:val="nil"/>
            </w:tcBorders>
            <w:shd w:val="clear" w:color="auto" w:fill="auto"/>
            <w:vAlign w:val="bottom"/>
            <w:hideMark/>
          </w:tcPr>
          <w:p w14:paraId="203BB36F"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7.9</w:t>
            </w:r>
          </w:p>
        </w:tc>
        <w:tc>
          <w:tcPr>
            <w:tcW w:w="1134" w:type="dxa"/>
            <w:tcBorders>
              <w:top w:val="nil"/>
              <w:left w:val="nil"/>
              <w:bottom w:val="nil"/>
              <w:right w:val="nil"/>
            </w:tcBorders>
            <w:shd w:val="clear" w:color="auto" w:fill="auto"/>
            <w:vAlign w:val="bottom"/>
            <w:hideMark/>
          </w:tcPr>
          <w:p w14:paraId="2D5F79CC"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9.0</w:t>
            </w:r>
          </w:p>
        </w:tc>
        <w:tc>
          <w:tcPr>
            <w:tcW w:w="1134" w:type="dxa"/>
            <w:tcBorders>
              <w:top w:val="nil"/>
              <w:left w:val="nil"/>
              <w:bottom w:val="nil"/>
              <w:right w:val="nil"/>
            </w:tcBorders>
            <w:shd w:val="clear" w:color="auto" w:fill="auto"/>
            <w:vAlign w:val="bottom"/>
            <w:hideMark/>
          </w:tcPr>
          <w:p w14:paraId="42D06418"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10.6</w:t>
            </w:r>
          </w:p>
        </w:tc>
      </w:tr>
      <w:tr w:rsidR="00754DA3" w:rsidRPr="008B2C65" w14:paraId="58057D1C" w14:textId="77777777" w:rsidTr="003D6248">
        <w:trPr>
          <w:trHeight w:val="80"/>
        </w:trPr>
        <w:tc>
          <w:tcPr>
            <w:tcW w:w="4535" w:type="dxa"/>
            <w:tcBorders>
              <w:top w:val="nil"/>
              <w:left w:val="nil"/>
              <w:bottom w:val="nil"/>
              <w:right w:val="nil"/>
            </w:tcBorders>
            <w:shd w:val="clear" w:color="000000" w:fill="C7E4F3"/>
            <w:vAlign w:val="center"/>
            <w:hideMark/>
          </w:tcPr>
          <w:p w14:paraId="4EDE7213" w14:textId="77777777" w:rsidR="00754DA3" w:rsidRPr="008B2C65" w:rsidRDefault="00754DA3" w:rsidP="003D6248">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Health Care/Social Assistance</w:t>
            </w:r>
          </w:p>
        </w:tc>
        <w:tc>
          <w:tcPr>
            <w:tcW w:w="1134" w:type="dxa"/>
            <w:tcBorders>
              <w:top w:val="nil"/>
              <w:left w:val="nil"/>
              <w:bottom w:val="nil"/>
              <w:right w:val="nil"/>
            </w:tcBorders>
            <w:shd w:val="clear" w:color="000000" w:fill="C7E4F3"/>
            <w:vAlign w:val="bottom"/>
            <w:hideMark/>
          </w:tcPr>
          <w:p w14:paraId="46CB20DD"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14.5</w:t>
            </w:r>
          </w:p>
        </w:tc>
        <w:tc>
          <w:tcPr>
            <w:tcW w:w="1134" w:type="dxa"/>
            <w:tcBorders>
              <w:top w:val="nil"/>
              <w:left w:val="nil"/>
              <w:bottom w:val="nil"/>
              <w:right w:val="nil"/>
            </w:tcBorders>
            <w:shd w:val="clear" w:color="000000" w:fill="C7E4F3"/>
            <w:vAlign w:val="bottom"/>
            <w:hideMark/>
          </w:tcPr>
          <w:p w14:paraId="79B88F94"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15.4</w:t>
            </w:r>
          </w:p>
        </w:tc>
        <w:tc>
          <w:tcPr>
            <w:tcW w:w="1134" w:type="dxa"/>
            <w:tcBorders>
              <w:top w:val="nil"/>
              <w:left w:val="nil"/>
              <w:bottom w:val="nil"/>
              <w:right w:val="nil"/>
            </w:tcBorders>
            <w:shd w:val="clear" w:color="000000" w:fill="C7E4F3"/>
            <w:vAlign w:val="bottom"/>
            <w:hideMark/>
          </w:tcPr>
          <w:p w14:paraId="3869240A"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15.1</w:t>
            </w:r>
          </w:p>
        </w:tc>
        <w:tc>
          <w:tcPr>
            <w:tcW w:w="1134" w:type="dxa"/>
            <w:tcBorders>
              <w:top w:val="nil"/>
              <w:left w:val="nil"/>
              <w:bottom w:val="nil"/>
              <w:right w:val="nil"/>
            </w:tcBorders>
            <w:shd w:val="clear" w:color="000000" w:fill="C7E4F3"/>
            <w:vAlign w:val="bottom"/>
            <w:hideMark/>
          </w:tcPr>
          <w:p w14:paraId="34987677"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18.0</w:t>
            </w:r>
          </w:p>
        </w:tc>
      </w:tr>
      <w:tr w:rsidR="00754DA3" w:rsidRPr="008B2C65" w14:paraId="01128E1C" w14:textId="77777777" w:rsidTr="003D6248">
        <w:trPr>
          <w:trHeight w:val="80"/>
        </w:trPr>
        <w:tc>
          <w:tcPr>
            <w:tcW w:w="4535" w:type="dxa"/>
            <w:tcBorders>
              <w:top w:val="nil"/>
              <w:left w:val="nil"/>
              <w:right w:val="nil"/>
            </w:tcBorders>
            <w:shd w:val="clear" w:color="auto" w:fill="auto"/>
            <w:vAlign w:val="center"/>
            <w:hideMark/>
          </w:tcPr>
          <w:p w14:paraId="659D78C1" w14:textId="77777777" w:rsidR="00754DA3" w:rsidRPr="008B2C65" w:rsidRDefault="00754DA3" w:rsidP="003D6248">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Arts and Recreation Services</w:t>
            </w:r>
          </w:p>
        </w:tc>
        <w:tc>
          <w:tcPr>
            <w:tcW w:w="1134" w:type="dxa"/>
            <w:tcBorders>
              <w:top w:val="nil"/>
              <w:left w:val="nil"/>
              <w:right w:val="nil"/>
            </w:tcBorders>
            <w:shd w:val="clear" w:color="auto" w:fill="auto"/>
            <w:vAlign w:val="bottom"/>
            <w:hideMark/>
          </w:tcPr>
          <w:p w14:paraId="652E7F4B"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2.1</w:t>
            </w:r>
          </w:p>
        </w:tc>
        <w:tc>
          <w:tcPr>
            <w:tcW w:w="1134" w:type="dxa"/>
            <w:tcBorders>
              <w:top w:val="nil"/>
              <w:left w:val="nil"/>
              <w:right w:val="nil"/>
            </w:tcBorders>
            <w:shd w:val="clear" w:color="auto" w:fill="auto"/>
            <w:vAlign w:val="bottom"/>
            <w:hideMark/>
          </w:tcPr>
          <w:p w14:paraId="43D651C3"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1.8</w:t>
            </w:r>
          </w:p>
        </w:tc>
        <w:tc>
          <w:tcPr>
            <w:tcW w:w="1134" w:type="dxa"/>
            <w:tcBorders>
              <w:top w:val="nil"/>
              <w:left w:val="nil"/>
              <w:right w:val="nil"/>
            </w:tcBorders>
            <w:shd w:val="clear" w:color="auto" w:fill="auto"/>
            <w:vAlign w:val="bottom"/>
            <w:hideMark/>
          </w:tcPr>
          <w:p w14:paraId="100B86CD"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1.2</w:t>
            </w:r>
          </w:p>
        </w:tc>
        <w:tc>
          <w:tcPr>
            <w:tcW w:w="1134" w:type="dxa"/>
            <w:tcBorders>
              <w:top w:val="nil"/>
              <w:left w:val="nil"/>
              <w:right w:val="nil"/>
            </w:tcBorders>
            <w:shd w:val="clear" w:color="auto" w:fill="auto"/>
            <w:vAlign w:val="bottom"/>
            <w:hideMark/>
          </w:tcPr>
          <w:p w14:paraId="253F1B99"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2.0</w:t>
            </w:r>
          </w:p>
        </w:tc>
      </w:tr>
      <w:tr w:rsidR="00754DA3" w:rsidRPr="008B2C65" w14:paraId="0E23CA54" w14:textId="77777777" w:rsidTr="003D6248">
        <w:trPr>
          <w:trHeight w:val="80"/>
        </w:trPr>
        <w:tc>
          <w:tcPr>
            <w:tcW w:w="4535" w:type="dxa"/>
            <w:tcBorders>
              <w:top w:val="nil"/>
              <w:left w:val="nil"/>
              <w:bottom w:val="single" w:sz="4" w:space="0" w:color="1F688D"/>
              <w:right w:val="nil"/>
            </w:tcBorders>
            <w:shd w:val="clear" w:color="000000" w:fill="C7E4F3"/>
            <w:vAlign w:val="center"/>
            <w:hideMark/>
          </w:tcPr>
          <w:p w14:paraId="3FE26D43" w14:textId="77777777" w:rsidR="00754DA3" w:rsidRPr="008B2C65" w:rsidRDefault="00754DA3" w:rsidP="003D6248">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Other Services</w:t>
            </w:r>
          </w:p>
        </w:tc>
        <w:tc>
          <w:tcPr>
            <w:tcW w:w="1134" w:type="dxa"/>
            <w:tcBorders>
              <w:top w:val="nil"/>
              <w:left w:val="nil"/>
              <w:bottom w:val="single" w:sz="4" w:space="0" w:color="1F688D"/>
              <w:right w:val="nil"/>
            </w:tcBorders>
            <w:shd w:val="clear" w:color="000000" w:fill="C7E4F3"/>
            <w:vAlign w:val="bottom"/>
            <w:hideMark/>
          </w:tcPr>
          <w:p w14:paraId="6C8679CE"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2.3</w:t>
            </w:r>
          </w:p>
        </w:tc>
        <w:tc>
          <w:tcPr>
            <w:tcW w:w="1134" w:type="dxa"/>
            <w:tcBorders>
              <w:top w:val="nil"/>
              <w:left w:val="nil"/>
              <w:bottom w:val="single" w:sz="4" w:space="0" w:color="1F688D"/>
              <w:right w:val="nil"/>
            </w:tcBorders>
            <w:shd w:val="clear" w:color="000000" w:fill="C7E4F3"/>
            <w:vAlign w:val="bottom"/>
            <w:hideMark/>
          </w:tcPr>
          <w:p w14:paraId="7DFBD0AA"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4.0</w:t>
            </w:r>
            <w:r>
              <w:rPr>
                <w:rFonts w:cs="Arial"/>
                <w:color w:val="000000"/>
                <w:sz w:val="18"/>
                <w:szCs w:val="18"/>
              </w:rPr>
              <w:t>**</w:t>
            </w:r>
          </w:p>
        </w:tc>
        <w:tc>
          <w:tcPr>
            <w:tcW w:w="1134" w:type="dxa"/>
            <w:tcBorders>
              <w:top w:val="nil"/>
              <w:left w:val="nil"/>
              <w:bottom w:val="single" w:sz="4" w:space="0" w:color="1F688D"/>
              <w:right w:val="nil"/>
            </w:tcBorders>
            <w:shd w:val="clear" w:color="000000" w:fill="C7E4F3"/>
            <w:vAlign w:val="bottom"/>
            <w:hideMark/>
          </w:tcPr>
          <w:p w14:paraId="4080FB46"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2.9</w:t>
            </w:r>
          </w:p>
        </w:tc>
        <w:tc>
          <w:tcPr>
            <w:tcW w:w="1134" w:type="dxa"/>
            <w:tcBorders>
              <w:top w:val="nil"/>
              <w:left w:val="nil"/>
              <w:bottom w:val="single" w:sz="4" w:space="0" w:color="1F688D"/>
              <w:right w:val="nil"/>
            </w:tcBorders>
            <w:shd w:val="clear" w:color="000000" w:fill="C7E4F3"/>
            <w:vAlign w:val="bottom"/>
            <w:hideMark/>
          </w:tcPr>
          <w:p w14:paraId="2F348D77" w14:textId="77777777" w:rsidR="00754DA3" w:rsidRPr="00814177" w:rsidRDefault="00754DA3" w:rsidP="003D6248">
            <w:pPr>
              <w:spacing w:before="40" w:after="40"/>
              <w:ind w:right="227"/>
              <w:jc w:val="right"/>
              <w:rPr>
                <w:rFonts w:eastAsia="Times New Roman" w:cs="Arial"/>
                <w:sz w:val="18"/>
                <w:szCs w:val="18"/>
                <w:lang w:eastAsia="en-AU"/>
              </w:rPr>
            </w:pPr>
            <w:r w:rsidRPr="00814177">
              <w:rPr>
                <w:rFonts w:cs="Arial"/>
                <w:color w:val="000000"/>
                <w:sz w:val="18"/>
                <w:szCs w:val="18"/>
              </w:rPr>
              <w:t>2.8</w:t>
            </w:r>
          </w:p>
        </w:tc>
      </w:tr>
    </w:tbl>
    <w:p w14:paraId="37184A35" w14:textId="3B8E1EEC" w:rsidR="00E1221B" w:rsidRPr="00462298" w:rsidRDefault="00145781" w:rsidP="00754DA3">
      <w:pPr>
        <w:pStyle w:val="Body"/>
        <w:spacing w:line="240" w:lineRule="auto"/>
        <w:ind w:left="720" w:hanging="720"/>
        <w:rPr>
          <w:i/>
          <w:sz w:val="16"/>
          <w:szCs w:val="16"/>
        </w:rPr>
      </w:pPr>
      <w:r w:rsidRPr="00E1221B">
        <w:rPr>
          <w:sz w:val="16"/>
          <w:szCs w:val="16"/>
        </w:rPr>
        <w:t>No</w:t>
      </w:r>
      <w:r w:rsidR="00E1221B" w:rsidRPr="00E1221B">
        <w:rPr>
          <w:sz w:val="16"/>
          <w:szCs w:val="16"/>
        </w:rPr>
        <w:t>te</w:t>
      </w:r>
      <w:r w:rsidR="00002D54">
        <w:rPr>
          <w:sz w:val="16"/>
          <w:szCs w:val="16"/>
        </w:rPr>
        <w:t>:</w:t>
      </w:r>
      <w:r w:rsidR="00E1221B" w:rsidRPr="00E1221B">
        <w:rPr>
          <w:sz w:val="16"/>
          <w:szCs w:val="16"/>
        </w:rPr>
        <w:tab/>
      </w:r>
      <w:r w:rsidR="00754DA3" w:rsidRPr="00754DA3">
        <w:rPr>
          <w:sz w:val="16"/>
          <w:szCs w:val="16"/>
        </w:rPr>
        <w:t>Data taken from sample provided by jurisdictions. Weighted data shown. The unweighted sample contained a disproportionate mix of Historic and Balance cohort respondents, and smaller jurisdictions were over-represented compared to their actual size (vice versa large jurisdictions). Weighting was applied to adjust for variance between the sample and the population. The weighting design included jurisdiction, cohort, claim type (self-insurer or premium paying) and number of days compensated. Asterisks indicate statistically significant difference from the previous year (single asterisk (*) indicates a lower proportion; double asterisk (**) indicates a higher proportion) (p-value &lt;=0.05).</w:t>
      </w:r>
    </w:p>
    <w:p w14:paraId="684A9F18" w14:textId="1978DCFB" w:rsidR="003A3B31" w:rsidRDefault="003A3B31" w:rsidP="005755C8">
      <w:pPr>
        <w:pStyle w:val="Heading2"/>
      </w:pPr>
      <w:bookmarkStart w:id="33" w:name="_Toc528056015"/>
      <w:r>
        <w:t xml:space="preserve">Notable differences in the </w:t>
      </w:r>
      <w:r w:rsidR="00E92B2B">
        <w:t>2018</w:t>
      </w:r>
      <w:r>
        <w:t xml:space="preserve"> sample</w:t>
      </w:r>
      <w:bookmarkEnd w:id="33"/>
    </w:p>
    <w:p w14:paraId="11C65927" w14:textId="2D1D9F5A" w:rsidR="003A3B31" w:rsidRDefault="003A3B31" w:rsidP="003A3B31">
      <w:pPr>
        <w:pStyle w:val="Body"/>
      </w:pPr>
      <w:r>
        <w:t xml:space="preserve">The </w:t>
      </w:r>
      <w:r w:rsidR="008B2C65">
        <w:t>main</w:t>
      </w:r>
      <w:r>
        <w:t xml:space="preserve"> difference in the </w:t>
      </w:r>
      <w:r w:rsidR="00E92B2B">
        <w:t>2018</w:t>
      </w:r>
      <w:r>
        <w:t xml:space="preserve"> survey sample, compared with previous waves, was the list of participating jurisdictions (as noted in Section 1.3). </w:t>
      </w:r>
      <w:r w:rsidR="008B2C65">
        <w:t xml:space="preserve">Apart from the non-presence of South Australia in the </w:t>
      </w:r>
      <w:r w:rsidR="00E92B2B">
        <w:t>2018</w:t>
      </w:r>
      <w:r w:rsidR="008B2C65">
        <w:t xml:space="preserve"> sample, there </w:t>
      </w:r>
      <w:r w:rsidR="00B64859">
        <w:t xml:space="preserve">was the inclusion of the ACT and </w:t>
      </w:r>
      <w:r w:rsidR="008B2C65">
        <w:t>a significantly higher proportion of respondents from NSW and Tasmania</w:t>
      </w:r>
      <w:r w:rsidR="00B64859">
        <w:t xml:space="preserve"> as</w:t>
      </w:r>
      <w:r w:rsidR="008B2C65">
        <w:t xml:space="preserve"> compared to the </w:t>
      </w:r>
      <w:r w:rsidR="00E92B2B">
        <w:t>2016</w:t>
      </w:r>
      <w:r w:rsidR="008B2C65">
        <w:t xml:space="preserve"> sample.</w:t>
      </w:r>
    </w:p>
    <w:p w14:paraId="6B33A65A" w14:textId="77777777" w:rsidR="00AD6CD9" w:rsidRDefault="00AD6CD9" w:rsidP="008B2C65">
      <w:pPr>
        <w:pStyle w:val="Body"/>
      </w:pPr>
      <w:r w:rsidRPr="00AD6CD9">
        <w:t>The profile of the weighted 2018 NRTWS sample was consistent with previous waves. There was no significant difference in the distribution of age or gender categories, jurisdictions, Historic and Balance cohorts, employer size, or in the average claim duration. The only significant differences in the profile of the 2018 sample, compared to the 2016 sample, were a significantly higher proportion of injured workers who experienced fractures (12.4%) and a significantly lower proportion of injured workers from the Public Administration (7.5%) and Media and Telecommunication (0.3%) industries.</w:t>
      </w:r>
    </w:p>
    <w:p w14:paraId="47E998D5" w14:textId="5106EA85" w:rsidR="00145781" w:rsidRDefault="00145781" w:rsidP="008B2C65">
      <w:pPr>
        <w:pStyle w:val="Body"/>
      </w:pPr>
      <w:r>
        <w:br w:type="page"/>
      </w:r>
    </w:p>
    <w:p w14:paraId="3461EED7" w14:textId="6C734861" w:rsidR="00CB71C7" w:rsidRDefault="00CB71C7" w:rsidP="00CB71C7">
      <w:pPr>
        <w:pStyle w:val="Heading2"/>
      </w:pPr>
      <w:bookmarkStart w:id="34" w:name="_Toc526230863"/>
      <w:bookmarkStart w:id="35" w:name="_Toc526163629"/>
      <w:bookmarkStart w:id="36" w:name="_Toc528056016"/>
      <w:r>
        <w:lastRenderedPageBreak/>
        <w:t>Injury</w:t>
      </w:r>
      <w:r w:rsidR="0025300B">
        <w:t>/illness</w:t>
      </w:r>
      <w:r>
        <w:t xml:space="preserve"> type by jurisdiction</w:t>
      </w:r>
      <w:bookmarkEnd w:id="34"/>
      <w:bookmarkEnd w:id="35"/>
      <w:bookmarkEnd w:id="36"/>
    </w:p>
    <w:p w14:paraId="22BB5C4B" w14:textId="08D0609F" w:rsidR="00AD6CD9" w:rsidRDefault="00CB71C7" w:rsidP="00AD6CD9">
      <w:pPr>
        <w:pStyle w:val="Body"/>
      </w:pPr>
      <w:r>
        <w:t xml:space="preserve">Table 3 shows the breakdown of the 2018 sample by the </w:t>
      </w:r>
      <w:r w:rsidR="0025300B">
        <w:t>injury/illness</w:t>
      </w:r>
      <w:r>
        <w:t xml:space="preserve"> type sub-groups, for each jurisdiction. This is provided for context as many of the results presented throughout the report compare between jurisdiction and </w:t>
      </w:r>
      <w:r w:rsidR="0025300B">
        <w:t>injury/illness</w:t>
      </w:r>
      <w:r>
        <w:t xml:space="preserve"> type sub-groups.</w:t>
      </w:r>
      <w:r w:rsidR="00AD6CD9" w:rsidRPr="00AD6CD9">
        <w:t xml:space="preserve"> </w:t>
      </w:r>
      <w:r w:rsidR="00AD6CD9">
        <w:t>Further detail about the sample profile by jurisdiction is contained in Appendix 1.</w:t>
      </w:r>
    </w:p>
    <w:p w14:paraId="79A81AC6" w14:textId="2AA3B1A4" w:rsidR="003D6248" w:rsidRDefault="003D6248" w:rsidP="003D6248">
      <w:pPr>
        <w:pStyle w:val="Body"/>
      </w:pPr>
      <w:r>
        <w:t>Significant differences are indicated</w:t>
      </w:r>
      <w:r w:rsidR="00AD6CD9">
        <w:t xml:space="preserve"> in Table 3</w:t>
      </w:r>
      <w:r>
        <w:t>. Notably, Comcare had a significantly higher proportion of workers with musculoskeletal disorders (64.2%) and mental illness (7.9%), Victoria had a significantly higher proportion of workers with mental illness (8.3%) and other diseases (6.6%) and Tasmania had a significantly higher proportion of workers with mental illness (8.2%), while Queensland had a significantly lower proportion of workers with mental illness (1.4%).</w:t>
      </w:r>
    </w:p>
    <w:p w14:paraId="75C063AD" w14:textId="0DBCE1E7" w:rsidR="00CB71C7" w:rsidRDefault="00CB71C7" w:rsidP="00CB71C7">
      <w:pPr>
        <w:pStyle w:val="Caption"/>
      </w:pPr>
      <w:bookmarkStart w:id="37" w:name="_Toc526163700"/>
      <w:bookmarkStart w:id="38" w:name="_Toc526230772"/>
      <w:bookmarkStart w:id="39" w:name="_Toc528056602"/>
      <w:r>
        <w:t xml:space="preserve">Table </w:t>
      </w:r>
      <w:r>
        <w:rPr>
          <w:noProof/>
        </w:rPr>
        <w:fldChar w:fldCharType="begin"/>
      </w:r>
      <w:r>
        <w:rPr>
          <w:noProof/>
        </w:rPr>
        <w:instrText xml:space="preserve"> SEQ Table \* ARABIC </w:instrText>
      </w:r>
      <w:r>
        <w:rPr>
          <w:noProof/>
        </w:rPr>
        <w:fldChar w:fldCharType="separate"/>
      </w:r>
      <w:r w:rsidR="00B9340A">
        <w:rPr>
          <w:noProof/>
        </w:rPr>
        <w:t>3</w:t>
      </w:r>
      <w:r>
        <w:rPr>
          <w:noProof/>
        </w:rPr>
        <w:fldChar w:fldCharType="end"/>
      </w:r>
      <w:r>
        <w:tab/>
      </w:r>
      <w:r w:rsidR="0025300B">
        <w:t>Injury/illness</w:t>
      </w:r>
      <w:r>
        <w:t xml:space="preserve"> type by jurisdiction – 2018 (%)</w:t>
      </w:r>
      <w:bookmarkEnd w:id="37"/>
      <w:bookmarkEnd w:id="38"/>
      <w:bookmarkEnd w:id="39"/>
    </w:p>
    <w:tbl>
      <w:tblPr>
        <w:tblStyle w:val="SRC21"/>
        <w:tblW w:w="9071" w:type="dxa"/>
        <w:tblLook w:val="04A0" w:firstRow="1" w:lastRow="0" w:firstColumn="1" w:lastColumn="0" w:noHBand="0" w:noVBand="1"/>
        <w:tblDescription w:val="This table presents the jursidictional sample breakdown by injury/illness type. The figures within the table are discussed above."/>
      </w:tblPr>
      <w:tblGrid>
        <w:gridCol w:w="2551"/>
        <w:gridCol w:w="1304"/>
        <w:gridCol w:w="1304"/>
        <w:gridCol w:w="1304"/>
        <w:gridCol w:w="1304"/>
        <w:gridCol w:w="1304"/>
      </w:tblGrid>
      <w:tr w:rsidR="003D6248" w:rsidRPr="00025F1C" w14:paraId="632AC1F4" w14:textId="77777777" w:rsidTr="00916D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1" w:type="dxa"/>
          </w:tcPr>
          <w:p w14:paraId="5F2A6E2D" w14:textId="77777777" w:rsidR="003D6248" w:rsidRPr="00025F1C" w:rsidRDefault="003D6248" w:rsidP="003D6248">
            <w:pPr>
              <w:pStyle w:val="Body"/>
              <w:spacing w:before="40" w:after="40" w:line="240" w:lineRule="auto"/>
              <w:rPr>
                <w:rFonts w:cs="Arial"/>
                <w:b w:val="0"/>
                <w:bCs/>
                <w:color w:val="1F688D"/>
                <w:sz w:val="18"/>
                <w:szCs w:val="18"/>
              </w:rPr>
            </w:pPr>
          </w:p>
        </w:tc>
        <w:tc>
          <w:tcPr>
            <w:tcW w:w="1304" w:type="dxa"/>
          </w:tcPr>
          <w:p w14:paraId="79D1AB7B" w14:textId="77777777" w:rsidR="003D6248" w:rsidRPr="00B26A8C" w:rsidRDefault="003D6248" w:rsidP="003D6248">
            <w:pPr>
              <w:pStyle w:val="Body"/>
              <w:spacing w:before="40" w:after="40" w:line="240" w:lineRule="auto"/>
              <w:cnfStyle w:val="100000000000" w:firstRow="1" w:lastRow="0" w:firstColumn="0" w:lastColumn="0" w:oddVBand="0" w:evenVBand="0" w:oddHBand="0" w:evenHBand="0" w:firstRowFirstColumn="0" w:firstRowLastColumn="0" w:lastRowFirstColumn="0" w:lastRowLastColumn="0"/>
              <w:rPr>
                <w:rFonts w:cs="Arial"/>
                <w:bCs/>
                <w:sz w:val="18"/>
                <w:szCs w:val="18"/>
              </w:rPr>
            </w:pPr>
            <w:r w:rsidRPr="00B26A8C">
              <w:rPr>
                <w:rFonts w:cs="Arial"/>
                <w:bCs/>
                <w:sz w:val="18"/>
                <w:szCs w:val="18"/>
              </w:rPr>
              <w:t>Fractures</w:t>
            </w:r>
          </w:p>
        </w:tc>
        <w:tc>
          <w:tcPr>
            <w:tcW w:w="1304" w:type="dxa"/>
          </w:tcPr>
          <w:p w14:paraId="7BAC868A" w14:textId="77777777" w:rsidR="003D6248" w:rsidRPr="00B26A8C" w:rsidRDefault="003D6248" w:rsidP="003D6248">
            <w:pPr>
              <w:pStyle w:val="Body"/>
              <w:spacing w:before="40" w:after="40" w:line="240" w:lineRule="auto"/>
              <w:cnfStyle w:val="100000000000" w:firstRow="1" w:lastRow="0" w:firstColumn="0" w:lastColumn="0" w:oddVBand="0" w:evenVBand="0" w:oddHBand="0" w:evenHBand="0" w:firstRowFirstColumn="0" w:firstRowLastColumn="0" w:lastRowFirstColumn="0" w:lastRowLastColumn="0"/>
              <w:rPr>
                <w:rFonts w:cs="Arial"/>
                <w:bCs/>
                <w:sz w:val="18"/>
                <w:szCs w:val="18"/>
              </w:rPr>
            </w:pPr>
            <w:r>
              <w:rPr>
                <w:rFonts w:cs="Arial"/>
                <w:bCs/>
                <w:sz w:val="18"/>
                <w:szCs w:val="18"/>
              </w:rPr>
              <w:t>Musculo-skeletal disorders</w:t>
            </w:r>
          </w:p>
        </w:tc>
        <w:tc>
          <w:tcPr>
            <w:tcW w:w="1304" w:type="dxa"/>
          </w:tcPr>
          <w:p w14:paraId="24B25BE3" w14:textId="77777777" w:rsidR="003D6248" w:rsidRPr="00B26A8C" w:rsidRDefault="003D6248" w:rsidP="003D6248">
            <w:pPr>
              <w:pStyle w:val="Body"/>
              <w:spacing w:before="40" w:after="40" w:line="240" w:lineRule="auto"/>
              <w:cnfStyle w:val="100000000000" w:firstRow="1" w:lastRow="0" w:firstColumn="0" w:lastColumn="0" w:oddVBand="0" w:evenVBand="0" w:oddHBand="0" w:evenHBand="0" w:firstRowFirstColumn="0" w:firstRowLastColumn="0" w:lastRowFirstColumn="0" w:lastRowLastColumn="0"/>
              <w:rPr>
                <w:rFonts w:cs="Arial"/>
                <w:bCs/>
                <w:sz w:val="18"/>
                <w:szCs w:val="18"/>
              </w:rPr>
            </w:pPr>
            <w:r>
              <w:rPr>
                <w:rFonts w:cs="Arial"/>
                <w:bCs/>
                <w:sz w:val="18"/>
                <w:szCs w:val="18"/>
              </w:rPr>
              <w:t>Other trauma</w:t>
            </w:r>
          </w:p>
        </w:tc>
        <w:tc>
          <w:tcPr>
            <w:tcW w:w="1304" w:type="dxa"/>
          </w:tcPr>
          <w:p w14:paraId="697BE1C3" w14:textId="77777777" w:rsidR="003D6248" w:rsidRPr="00B26A8C" w:rsidRDefault="003D6248" w:rsidP="003D6248">
            <w:pPr>
              <w:pStyle w:val="Body"/>
              <w:spacing w:before="40" w:after="40" w:line="240" w:lineRule="auto"/>
              <w:cnfStyle w:val="100000000000" w:firstRow="1" w:lastRow="0" w:firstColumn="0" w:lastColumn="0" w:oddVBand="0" w:evenVBand="0" w:oddHBand="0" w:evenHBand="0" w:firstRowFirstColumn="0" w:firstRowLastColumn="0" w:lastRowFirstColumn="0" w:lastRowLastColumn="0"/>
              <w:rPr>
                <w:rFonts w:cs="Arial"/>
                <w:bCs/>
                <w:sz w:val="18"/>
                <w:szCs w:val="18"/>
              </w:rPr>
            </w:pPr>
            <w:r>
              <w:rPr>
                <w:rFonts w:cs="Arial"/>
                <w:bCs/>
                <w:sz w:val="18"/>
                <w:szCs w:val="18"/>
              </w:rPr>
              <w:t>Mental illness</w:t>
            </w:r>
          </w:p>
        </w:tc>
        <w:tc>
          <w:tcPr>
            <w:tcW w:w="1304" w:type="dxa"/>
          </w:tcPr>
          <w:p w14:paraId="5090EEEC" w14:textId="77777777" w:rsidR="003D6248" w:rsidRPr="00B26A8C" w:rsidRDefault="003D6248" w:rsidP="003D6248">
            <w:pPr>
              <w:pStyle w:val="Body"/>
              <w:spacing w:before="40" w:after="40" w:line="240" w:lineRule="auto"/>
              <w:cnfStyle w:val="100000000000" w:firstRow="1" w:lastRow="0" w:firstColumn="0" w:lastColumn="0" w:oddVBand="0" w:evenVBand="0" w:oddHBand="0" w:evenHBand="0" w:firstRowFirstColumn="0" w:firstRowLastColumn="0" w:lastRowFirstColumn="0" w:lastRowLastColumn="0"/>
              <w:rPr>
                <w:rFonts w:cs="Arial"/>
                <w:bCs/>
                <w:sz w:val="18"/>
                <w:szCs w:val="18"/>
              </w:rPr>
            </w:pPr>
            <w:r>
              <w:rPr>
                <w:rFonts w:cs="Arial"/>
                <w:bCs/>
                <w:sz w:val="18"/>
                <w:szCs w:val="18"/>
              </w:rPr>
              <w:t>Other diseases</w:t>
            </w:r>
          </w:p>
        </w:tc>
      </w:tr>
      <w:tr w:rsidR="003D6248" w:rsidRPr="00025F1C" w14:paraId="43C959EB" w14:textId="77777777" w:rsidTr="003D6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tcPr>
          <w:p w14:paraId="7A5F8EE5" w14:textId="77777777" w:rsidR="003D6248" w:rsidRPr="00CD6301" w:rsidRDefault="003D6248" w:rsidP="003D6248">
            <w:pPr>
              <w:pStyle w:val="Body"/>
              <w:spacing w:before="40" w:after="40" w:line="240" w:lineRule="auto"/>
              <w:rPr>
                <w:rFonts w:cs="Arial"/>
                <w:b/>
                <w:bCs/>
                <w:sz w:val="18"/>
                <w:szCs w:val="18"/>
              </w:rPr>
            </w:pPr>
            <w:r w:rsidRPr="00CD6301">
              <w:rPr>
                <w:rFonts w:cs="Arial"/>
                <w:b/>
                <w:bCs/>
                <w:sz w:val="18"/>
                <w:szCs w:val="18"/>
              </w:rPr>
              <w:t>Total</w:t>
            </w:r>
          </w:p>
        </w:tc>
        <w:tc>
          <w:tcPr>
            <w:tcW w:w="1304" w:type="dxa"/>
            <w:tcBorders>
              <w:top w:val="nil"/>
              <w:left w:val="nil"/>
              <w:bottom w:val="nil"/>
              <w:right w:val="nil"/>
            </w:tcBorders>
            <w:shd w:val="clear" w:color="auto" w:fill="FFFFFF" w:themeFill="background1"/>
          </w:tcPr>
          <w:p w14:paraId="3EF9DE8D" w14:textId="77777777" w:rsidR="003D6248" w:rsidRPr="00CD6301" w:rsidRDefault="003D6248" w:rsidP="003D6248">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Pr>
                <w:rFonts w:cs="Arial"/>
                <w:b/>
                <w:bCs/>
                <w:sz w:val="18"/>
                <w:szCs w:val="18"/>
              </w:rPr>
              <w:t>12.4</w:t>
            </w:r>
          </w:p>
        </w:tc>
        <w:tc>
          <w:tcPr>
            <w:tcW w:w="1304" w:type="dxa"/>
            <w:tcBorders>
              <w:top w:val="nil"/>
              <w:left w:val="nil"/>
              <w:bottom w:val="nil"/>
              <w:right w:val="nil"/>
            </w:tcBorders>
            <w:shd w:val="clear" w:color="auto" w:fill="FFFFFF" w:themeFill="background1"/>
          </w:tcPr>
          <w:p w14:paraId="12DBAEB4" w14:textId="77777777" w:rsidR="003D6248" w:rsidRPr="00CD6301" w:rsidRDefault="003D6248" w:rsidP="003D6248">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Pr>
                <w:rFonts w:cs="Arial"/>
                <w:b/>
                <w:bCs/>
                <w:sz w:val="18"/>
                <w:szCs w:val="18"/>
              </w:rPr>
              <w:t>57.1</w:t>
            </w:r>
          </w:p>
        </w:tc>
        <w:tc>
          <w:tcPr>
            <w:tcW w:w="1304" w:type="dxa"/>
            <w:tcBorders>
              <w:top w:val="nil"/>
              <w:left w:val="nil"/>
              <w:bottom w:val="nil"/>
              <w:right w:val="nil"/>
            </w:tcBorders>
            <w:shd w:val="clear" w:color="auto" w:fill="FFFFFF" w:themeFill="background1"/>
          </w:tcPr>
          <w:p w14:paraId="10C9DCF3" w14:textId="77777777" w:rsidR="003D6248" w:rsidRPr="00CD6301" w:rsidRDefault="003D6248" w:rsidP="003D6248">
            <w:pPr>
              <w:pStyle w:val="Body"/>
              <w:spacing w:before="40" w:after="40" w:line="240" w:lineRule="auto"/>
              <w:ind w:right="283"/>
              <w:cnfStyle w:val="000000100000" w:firstRow="0" w:lastRow="0" w:firstColumn="0" w:lastColumn="0" w:oddVBand="0" w:evenVBand="0" w:oddHBand="1" w:evenHBand="0" w:firstRowFirstColumn="0" w:firstRowLastColumn="0" w:lastRowFirstColumn="0" w:lastRowLastColumn="0"/>
              <w:rPr>
                <w:rFonts w:cs="Arial"/>
                <w:b/>
                <w:bCs/>
                <w:sz w:val="18"/>
                <w:szCs w:val="18"/>
              </w:rPr>
            </w:pPr>
            <w:r>
              <w:rPr>
                <w:rFonts w:cs="Arial"/>
                <w:b/>
                <w:bCs/>
                <w:sz w:val="18"/>
                <w:szCs w:val="18"/>
              </w:rPr>
              <w:t>22.0</w:t>
            </w:r>
          </w:p>
        </w:tc>
        <w:tc>
          <w:tcPr>
            <w:tcW w:w="1304" w:type="dxa"/>
            <w:tcBorders>
              <w:top w:val="nil"/>
              <w:left w:val="nil"/>
              <w:bottom w:val="nil"/>
              <w:right w:val="nil"/>
            </w:tcBorders>
            <w:shd w:val="clear" w:color="auto" w:fill="FFFFFF" w:themeFill="background1"/>
          </w:tcPr>
          <w:p w14:paraId="2B2E1A8A" w14:textId="77777777" w:rsidR="003D6248" w:rsidRPr="00CD6301" w:rsidRDefault="003D6248" w:rsidP="003D6248">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Pr>
                <w:rFonts w:cs="Arial"/>
                <w:b/>
                <w:bCs/>
                <w:sz w:val="18"/>
                <w:szCs w:val="18"/>
              </w:rPr>
              <w:t>4.5</w:t>
            </w:r>
          </w:p>
        </w:tc>
        <w:tc>
          <w:tcPr>
            <w:tcW w:w="1304" w:type="dxa"/>
            <w:tcBorders>
              <w:top w:val="nil"/>
              <w:left w:val="nil"/>
              <w:bottom w:val="nil"/>
              <w:right w:val="nil"/>
            </w:tcBorders>
            <w:shd w:val="clear" w:color="auto" w:fill="FFFFFF" w:themeFill="background1"/>
          </w:tcPr>
          <w:p w14:paraId="22BCE5D1" w14:textId="77777777" w:rsidR="003D6248" w:rsidRPr="00CD6301" w:rsidRDefault="003D6248" w:rsidP="003D6248">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Pr>
                <w:rFonts w:cs="Arial"/>
                <w:b/>
                <w:bCs/>
                <w:sz w:val="18"/>
                <w:szCs w:val="18"/>
              </w:rPr>
              <w:t>4.0</w:t>
            </w:r>
          </w:p>
        </w:tc>
      </w:tr>
      <w:tr w:rsidR="003D6248" w:rsidRPr="00025F1C" w14:paraId="2EC19A68" w14:textId="77777777" w:rsidTr="003D62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shd w:val="clear" w:color="auto" w:fill="5AC0E7" w:themeFill="accent2"/>
          </w:tcPr>
          <w:p w14:paraId="1E8B61CB" w14:textId="77777777" w:rsidR="003D6248" w:rsidRPr="00CD6301" w:rsidRDefault="003D6248" w:rsidP="003D6248">
            <w:pPr>
              <w:pStyle w:val="Body"/>
              <w:spacing w:before="40" w:after="40" w:line="240" w:lineRule="auto"/>
              <w:rPr>
                <w:rFonts w:cs="Arial"/>
                <w:b/>
                <w:bCs/>
                <w:color w:val="FFFFFF" w:themeColor="background1"/>
                <w:sz w:val="18"/>
                <w:szCs w:val="18"/>
              </w:rPr>
            </w:pPr>
            <w:r>
              <w:rPr>
                <w:rFonts w:cs="Arial"/>
                <w:b/>
                <w:bCs/>
                <w:color w:val="000000"/>
                <w:sz w:val="18"/>
                <w:szCs w:val="18"/>
                <w:lang w:eastAsia="en-AU"/>
              </w:rPr>
              <w:t>Jurisdiction</w:t>
            </w:r>
          </w:p>
        </w:tc>
        <w:tc>
          <w:tcPr>
            <w:tcW w:w="1304" w:type="dxa"/>
            <w:shd w:val="clear" w:color="auto" w:fill="5AC0E7" w:themeFill="accent2"/>
          </w:tcPr>
          <w:p w14:paraId="64335EEB" w14:textId="77777777" w:rsidR="003D6248" w:rsidRPr="00CD6301" w:rsidRDefault="003D6248" w:rsidP="003D6248">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FFFFFF" w:themeColor="background1"/>
                <w:sz w:val="18"/>
                <w:szCs w:val="22"/>
              </w:rPr>
            </w:pPr>
            <w:r w:rsidRPr="00467D4A">
              <w:rPr>
                <w:rFonts w:cs="Arial"/>
                <w:sz w:val="18"/>
                <w:szCs w:val="18"/>
                <w:lang w:eastAsia="en-AU"/>
              </w:rPr>
              <w:t> </w:t>
            </w:r>
          </w:p>
        </w:tc>
        <w:tc>
          <w:tcPr>
            <w:tcW w:w="1304" w:type="dxa"/>
            <w:shd w:val="clear" w:color="auto" w:fill="5AC0E7" w:themeFill="accent2"/>
          </w:tcPr>
          <w:p w14:paraId="21CD43BA" w14:textId="77777777" w:rsidR="003D6248" w:rsidRPr="00CD6301" w:rsidRDefault="003D6248" w:rsidP="003D6248">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FFFFFF" w:themeColor="background1"/>
                <w:sz w:val="18"/>
                <w:szCs w:val="22"/>
              </w:rPr>
            </w:pPr>
            <w:r w:rsidRPr="00467D4A">
              <w:rPr>
                <w:rFonts w:cs="Arial"/>
                <w:sz w:val="18"/>
                <w:szCs w:val="18"/>
                <w:lang w:eastAsia="en-AU"/>
              </w:rPr>
              <w:t> </w:t>
            </w:r>
          </w:p>
        </w:tc>
        <w:tc>
          <w:tcPr>
            <w:tcW w:w="1304" w:type="dxa"/>
            <w:shd w:val="clear" w:color="auto" w:fill="5AC0E7" w:themeFill="accent2"/>
          </w:tcPr>
          <w:p w14:paraId="5AABEEB1" w14:textId="77777777" w:rsidR="003D6248" w:rsidRPr="00CD6301" w:rsidRDefault="003D6248" w:rsidP="003D6248">
            <w:pPr>
              <w:pStyle w:val="Body"/>
              <w:spacing w:before="40" w:after="40" w:line="240" w:lineRule="auto"/>
              <w:ind w:right="283"/>
              <w:cnfStyle w:val="000000010000" w:firstRow="0" w:lastRow="0" w:firstColumn="0" w:lastColumn="0" w:oddVBand="0" w:evenVBand="0" w:oddHBand="0" w:evenHBand="1" w:firstRowFirstColumn="0" w:firstRowLastColumn="0" w:lastRowFirstColumn="0" w:lastRowLastColumn="0"/>
              <w:rPr>
                <w:rFonts w:cs="Arial"/>
                <w:color w:val="FFFFFF" w:themeColor="background1"/>
                <w:sz w:val="18"/>
                <w:szCs w:val="22"/>
              </w:rPr>
            </w:pPr>
            <w:r w:rsidRPr="00467D4A">
              <w:rPr>
                <w:rFonts w:cs="Arial"/>
                <w:sz w:val="18"/>
                <w:szCs w:val="18"/>
                <w:lang w:eastAsia="en-AU"/>
              </w:rPr>
              <w:t> </w:t>
            </w:r>
          </w:p>
        </w:tc>
        <w:tc>
          <w:tcPr>
            <w:tcW w:w="1304" w:type="dxa"/>
            <w:shd w:val="clear" w:color="auto" w:fill="5AC0E7" w:themeFill="accent2"/>
          </w:tcPr>
          <w:p w14:paraId="10F0D804" w14:textId="77777777" w:rsidR="003D6248" w:rsidRPr="00CD6301" w:rsidRDefault="003D6248" w:rsidP="003D6248">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FFFFFF" w:themeColor="background1"/>
                <w:sz w:val="18"/>
                <w:szCs w:val="22"/>
              </w:rPr>
            </w:pPr>
            <w:r w:rsidRPr="00467D4A">
              <w:rPr>
                <w:rFonts w:cs="Arial"/>
                <w:sz w:val="18"/>
                <w:szCs w:val="18"/>
                <w:lang w:eastAsia="en-AU"/>
              </w:rPr>
              <w:t> </w:t>
            </w:r>
          </w:p>
        </w:tc>
        <w:tc>
          <w:tcPr>
            <w:tcW w:w="1304" w:type="dxa"/>
            <w:shd w:val="clear" w:color="auto" w:fill="5AC0E7" w:themeFill="accent2"/>
          </w:tcPr>
          <w:p w14:paraId="029BD185" w14:textId="77777777" w:rsidR="003D6248" w:rsidRPr="00CD6301" w:rsidRDefault="003D6248" w:rsidP="003D6248">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FFFFFF" w:themeColor="background1"/>
                <w:sz w:val="18"/>
                <w:szCs w:val="22"/>
              </w:rPr>
            </w:pPr>
          </w:p>
        </w:tc>
      </w:tr>
      <w:tr w:rsidR="003D6248" w:rsidRPr="00025F1C" w14:paraId="1881786B" w14:textId="77777777" w:rsidTr="003D6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544D5F60" w14:textId="77777777" w:rsidR="003D6248" w:rsidRPr="00025F1C" w:rsidRDefault="003D6248" w:rsidP="003D6248">
            <w:pPr>
              <w:pStyle w:val="Body"/>
              <w:spacing w:before="40" w:after="40" w:line="240" w:lineRule="auto"/>
              <w:ind w:left="113"/>
              <w:rPr>
                <w:rFonts w:cs="Arial"/>
                <w:b/>
                <w:bCs/>
                <w:color w:val="1F688D"/>
                <w:sz w:val="18"/>
                <w:szCs w:val="18"/>
              </w:rPr>
            </w:pPr>
            <w:r w:rsidRPr="008B2C65">
              <w:rPr>
                <w:rFonts w:cs="Arial"/>
                <w:color w:val="000000"/>
                <w:sz w:val="18"/>
                <w:szCs w:val="18"/>
                <w:lang w:eastAsia="en-AU"/>
              </w:rPr>
              <w:t>A</w:t>
            </w:r>
            <w:r>
              <w:rPr>
                <w:rFonts w:cs="Arial"/>
                <w:color w:val="000000"/>
                <w:sz w:val="18"/>
                <w:szCs w:val="18"/>
                <w:lang w:eastAsia="en-AU"/>
              </w:rPr>
              <w:t xml:space="preserve">ustralian </w:t>
            </w:r>
            <w:r w:rsidRPr="008B2C65">
              <w:rPr>
                <w:rFonts w:cs="Arial"/>
                <w:color w:val="000000"/>
                <w:sz w:val="18"/>
                <w:szCs w:val="18"/>
                <w:lang w:eastAsia="en-AU"/>
              </w:rPr>
              <w:t>C</w:t>
            </w:r>
            <w:r>
              <w:rPr>
                <w:rFonts w:cs="Arial"/>
                <w:color w:val="000000"/>
                <w:sz w:val="18"/>
                <w:szCs w:val="18"/>
                <w:lang w:eastAsia="en-AU"/>
              </w:rPr>
              <w:t>apital Territory</w:t>
            </w:r>
          </w:p>
        </w:tc>
        <w:tc>
          <w:tcPr>
            <w:tcW w:w="1304" w:type="dxa"/>
            <w:tcBorders>
              <w:top w:val="nil"/>
              <w:left w:val="nil"/>
              <w:bottom w:val="nil"/>
              <w:right w:val="nil"/>
            </w:tcBorders>
            <w:vAlign w:val="bottom"/>
          </w:tcPr>
          <w:p w14:paraId="3750BD51" w14:textId="77777777" w:rsidR="003D6248" w:rsidRPr="00F90E12" w:rsidRDefault="003D6248" w:rsidP="003D6248">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sz w:val="18"/>
                <w:szCs w:val="22"/>
              </w:rPr>
            </w:pPr>
            <w:r w:rsidRPr="00F90E12">
              <w:rPr>
                <w:rFonts w:cs="Arial"/>
                <w:color w:val="000000"/>
                <w:sz w:val="18"/>
                <w:szCs w:val="22"/>
              </w:rPr>
              <w:t>9.3</w:t>
            </w:r>
          </w:p>
        </w:tc>
        <w:tc>
          <w:tcPr>
            <w:tcW w:w="1304" w:type="dxa"/>
            <w:tcBorders>
              <w:top w:val="nil"/>
              <w:left w:val="nil"/>
              <w:bottom w:val="nil"/>
              <w:right w:val="nil"/>
            </w:tcBorders>
            <w:vAlign w:val="bottom"/>
          </w:tcPr>
          <w:p w14:paraId="2F7BA54B" w14:textId="77777777" w:rsidR="003D6248" w:rsidRPr="00F90E12" w:rsidRDefault="003D6248" w:rsidP="003D6248">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sz w:val="18"/>
                <w:szCs w:val="22"/>
              </w:rPr>
            </w:pPr>
            <w:r w:rsidRPr="00F90E12">
              <w:rPr>
                <w:rFonts w:cs="Arial"/>
                <w:color w:val="000000"/>
                <w:sz w:val="18"/>
                <w:szCs w:val="22"/>
              </w:rPr>
              <w:t>54.4</w:t>
            </w:r>
          </w:p>
        </w:tc>
        <w:tc>
          <w:tcPr>
            <w:tcW w:w="1304" w:type="dxa"/>
            <w:tcBorders>
              <w:top w:val="nil"/>
              <w:left w:val="nil"/>
              <w:bottom w:val="nil"/>
              <w:right w:val="nil"/>
            </w:tcBorders>
            <w:vAlign w:val="bottom"/>
          </w:tcPr>
          <w:p w14:paraId="3580F20F" w14:textId="77777777" w:rsidR="003D6248" w:rsidRPr="00F90E12" w:rsidRDefault="003D6248" w:rsidP="003D6248">
            <w:pPr>
              <w:pStyle w:val="Body"/>
              <w:spacing w:before="40" w:after="40" w:line="240" w:lineRule="auto"/>
              <w:ind w:right="283"/>
              <w:cnfStyle w:val="000000100000" w:firstRow="0" w:lastRow="0" w:firstColumn="0" w:lastColumn="0" w:oddVBand="0" w:evenVBand="0" w:oddHBand="1" w:evenHBand="0" w:firstRowFirstColumn="0" w:firstRowLastColumn="0" w:lastRowFirstColumn="0" w:lastRowLastColumn="0"/>
              <w:rPr>
                <w:rFonts w:cs="Arial"/>
                <w:sz w:val="18"/>
                <w:szCs w:val="22"/>
              </w:rPr>
            </w:pPr>
            <w:r w:rsidRPr="00F90E12">
              <w:rPr>
                <w:rFonts w:cs="Arial"/>
                <w:color w:val="000000"/>
                <w:sz w:val="18"/>
                <w:szCs w:val="22"/>
              </w:rPr>
              <w:t>28.3</w:t>
            </w:r>
          </w:p>
        </w:tc>
        <w:tc>
          <w:tcPr>
            <w:tcW w:w="1304" w:type="dxa"/>
            <w:tcBorders>
              <w:top w:val="nil"/>
              <w:left w:val="nil"/>
              <w:bottom w:val="nil"/>
              <w:right w:val="nil"/>
            </w:tcBorders>
            <w:vAlign w:val="bottom"/>
          </w:tcPr>
          <w:p w14:paraId="2ED2EBB0" w14:textId="77777777" w:rsidR="003D6248" w:rsidRPr="00F90E12" w:rsidRDefault="003D6248" w:rsidP="003D6248">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sz w:val="18"/>
                <w:szCs w:val="22"/>
              </w:rPr>
            </w:pPr>
            <w:r w:rsidRPr="00F90E12">
              <w:rPr>
                <w:rFonts w:cs="Arial"/>
                <w:color w:val="000000"/>
                <w:sz w:val="18"/>
                <w:szCs w:val="22"/>
              </w:rPr>
              <w:t>5.4</w:t>
            </w:r>
          </w:p>
        </w:tc>
        <w:tc>
          <w:tcPr>
            <w:tcW w:w="1304" w:type="dxa"/>
            <w:tcBorders>
              <w:top w:val="nil"/>
              <w:left w:val="nil"/>
              <w:bottom w:val="nil"/>
              <w:right w:val="nil"/>
            </w:tcBorders>
            <w:vAlign w:val="bottom"/>
          </w:tcPr>
          <w:p w14:paraId="6CA8884A" w14:textId="77777777" w:rsidR="003D6248" w:rsidRPr="00F90E12" w:rsidRDefault="003D6248" w:rsidP="003D6248">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sz w:val="18"/>
                <w:szCs w:val="22"/>
              </w:rPr>
            </w:pPr>
            <w:r w:rsidRPr="00F90E12">
              <w:rPr>
                <w:rFonts w:cs="Arial"/>
                <w:color w:val="000000"/>
                <w:sz w:val="18"/>
                <w:szCs w:val="22"/>
              </w:rPr>
              <w:t>2.6</w:t>
            </w:r>
          </w:p>
        </w:tc>
      </w:tr>
      <w:tr w:rsidR="003D6248" w:rsidRPr="00025F1C" w14:paraId="4180A64F" w14:textId="77777777" w:rsidTr="003D62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39F56C53" w14:textId="00402380" w:rsidR="003D6248" w:rsidRPr="00025F1C" w:rsidRDefault="003D6248" w:rsidP="003D6248">
            <w:pPr>
              <w:pStyle w:val="Body"/>
              <w:spacing w:before="40" w:after="40" w:line="240" w:lineRule="auto"/>
              <w:ind w:left="113"/>
              <w:rPr>
                <w:rFonts w:cs="Arial"/>
                <w:b/>
                <w:bCs/>
                <w:color w:val="1F688D"/>
                <w:sz w:val="18"/>
                <w:szCs w:val="18"/>
              </w:rPr>
            </w:pPr>
            <w:r>
              <w:rPr>
                <w:rFonts w:cs="Arial"/>
                <w:color w:val="000000"/>
                <w:sz w:val="18"/>
                <w:szCs w:val="18"/>
                <w:lang w:eastAsia="en-AU"/>
              </w:rPr>
              <w:t>Com</w:t>
            </w:r>
            <w:r w:rsidRPr="008B2C65">
              <w:rPr>
                <w:rFonts w:cs="Arial"/>
                <w:color w:val="000000"/>
                <w:sz w:val="18"/>
                <w:szCs w:val="18"/>
                <w:lang w:eastAsia="en-AU"/>
              </w:rPr>
              <w:t>care</w:t>
            </w:r>
          </w:p>
        </w:tc>
        <w:tc>
          <w:tcPr>
            <w:tcW w:w="1304" w:type="dxa"/>
            <w:vAlign w:val="bottom"/>
          </w:tcPr>
          <w:p w14:paraId="1749829F" w14:textId="77777777" w:rsidR="003D6248" w:rsidRPr="00F90E12" w:rsidRDefault="003D6248" w:rsidP="003D6248">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sz w:val="18"/>
                <w:szCs w:val="22"/>
              </w:rPr>
            </w:pPr>
            <w:r w:rsidRPr="00F90E12">
              <w:rPr>
                <w:rFonts w:cs="Arial"/>
                <w:color w:val="000000"/>
                <w:sz w:val="18"/>
                <w:szCs w:val="22"/>
              </w:rPr>
              <w:t>12.3</w:t>
            </w:r>
          </w:p>
        </w:tc>
        <w:tc>
          <w:tcPr>
            <w:tcW w:w="1304" w:type="dxa"/>
            <w:vAlign w:val="bottom"/>
          </w:tcPr>
          <w:p w14:paraId="7A24D8C3" w14:textId="77777777" w:rsidR="003D6248" w:rsidRPr="00F90E12" w:rsidRDefault="003D6248" w:rsidP="003D6248">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sz w:val="18"/>
                <w:szCs w:val="22"/>
              </w:rPr>
            </w:pPr>
            <w:r w:rsidRPr="00F90E12">
              <w:rPr>
                <w:rFonts w:cs="Arial"/>
                <w:color w:val="000000"/>
                <w:sz w:val="18"/>
                <w:szCs w:val="22"/>
              </w:rPr>
              <w:t>64.2</w:t>
            </w:r>
            <w:r>
              <w:rPr>
                <w:rFonts w:cs="Arial"/>
                <w:color w:val="000000"/>
                <w:sz w:val="18"/>
                <w:szCs w:val="22"/>
              </w:rPr>
              <w:t>**</w:t>
            </w:r>
          </w:p>
        </w:tc>
        <w:tc>
          <w:tcPr>
            <w:tcW w:w="1304" w:type="dxa"/>
            <w:vAlign w:val="bottom"/>
          </w:tcPr>
          <w:p w14:paraId="729CAA39" w14:textId="77777777" w:rsidR="003D6248" w:rsidRPr="00F90E12" w:rsidRDefault="003D6248" w:rsidP="003D6248">
            <w:pPr>
              <w:pStyle w:val="Body"/>
              <w:spacing w:before="40" w:after="40" w:line="240" w:lineRule="auto"/>
              <w:ind w:right="283"/>
              <w:cnfStyle w:val="000000010000" w:firstRow="0" w:lastRow="0" w:firstColumn="0" w:lastColumn="0" w:oddVBand="0" w:evenVBand="0" w:oddHBand="0" w:evenHBand="1" w:firstRowFirstColumn="0" w:firstRowLastColumn="0" w:lastRowFirstColumn="0" w:lastRowLastColumn="0"/>
              <w:rPr>
                <w:rFonts w:cs="Arial"/>
                <w:sz w:val="18"/>
                <w:szCs w:val="22"/>
              </w:rPr>
            </w:pPr>
            <w:r w:rsidRPr="00F90E12">
              <w:rPr>
                <w:rFonts w:cs="Arial"/>
                <w:color w:val="000000"/>
                <w:sz w:val="18"/>
                <w:szCs w:val="22"/>
              </w:rPr>
              <w:t>10.6</w:t>
            </w:r>
            <w:r>
              <w:rPr>
                <w:rFonts w:cs="Arial"/>
                <w:color w:val="000000"/>
                <w:sz w:val="18"/>
                <w:szCs w:val="22"/>
              </w:rPr>
              <w:t>*</w:t>
            </w:r>
          </w:p>
        </w:tc>
        <w:tc>
          <w:tcPr>
            <w:tcW w:w="1304" w:type="dxa"/>
            <w:vAlign w:val="bottom"/>
          </w:tcPr>
          <w:p w14:paraId="7F3B306F" w14:textId="77777777" w:rsidR="003D6248" w:rsidRPr="00F90E12" w:rsidRDefault="003D6248" w:rsidP="003D6248">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sz w:val="18"/>
                <w:szCs w:val="22"/>
              </w:rPr>
            </w:pPr>
            <w:r w:rsidRPr="00F90E12">
              <w:rPr>
                <w:rFonts w:cs="Arial"/>
                <w:color w:val="000000"/>
                <w:sz w:val="18"/>
                <w:szCs w:val="22"/>
              </w:rPr>
              <w:t>7.9</w:t>
            </w:r>
            <w:r>
              <w:rPr>
                <w:rFonts w:cs="Arial"/>
                <w:color w:val="000000"/>
                <w:sz w:val="18"/>
                <w:szCs w:val="22"/>
              </w:rPr>
              <w:t>**</w:t>
            </w:r>
          </w:p>
        </w:tc>
        <w:tc>
          <w:tcPr>
            <w:tcW w:w="1304" w:type="dxa"/>
            <w:vAlign w:val="bottom"/>
          </w:tcPr>
          <w:p w14:paraId="1CBE098A" w14:textId="77777777" w:rsidR="003D6248" w:rsidRPr="00F90E12" w:rsidRDefault="003D6248" w:rsidP="003D6248">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F90E12">
              <w:rPr>
                <w:rFonts w:cs="Arial"/>
                <w:color w:val="000000"/>
                <w:sz w:val="18"/>
                <w:szCs w:val="22"/>
              </w:rPr>
              <w:t>5.0</w:t>
            </w:r>
          </w:p>
        </w:tc>
      </w:tr>
      <w:tr w:rsidR="003D6248" w:rsidRPr="00025F1C" w14:paraId="114A1FE2" w14:textId="77777777" w:rsidTr="003D6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7F7900DC" w14:textId="77777777" w:rsidR="003D6248" w:rsidRPr="00025F1C" w:rsidRDefault="003D6248" w:rsidP="003D6248">
            <w:pPr>
              <w:pStyle w:val="Body"/>
              <w:spacing w:before="40" w:after="40" w:line="240" w:lineRule="auto"/>
              <w:ind w:left="113"/>
              <w:rPr>
                <w:rFonts w:cs="Arial"/>
                <w:b/>
                <w:bCs/>
                <w:color w:val="1F688D"/>
                <w:sz w:val="18"/>
                <w:szCs w:val="18"/>
              </w:rPr>
            </w:pPr>
            <w:r w:rsidRPr="008B2C65">
              <w:rPr>
                <w:rFonts w:cs="Arial"/>
                <w:color w:val="000000"/>
                <w:sz w:val="18"/>
                <w:szCs w:val="18"/>
                <w:lang w:eastAsia="en-AU"/>
              </w:rPr>
              <w:t>N</w:t>
            </w:r>
            <w:r>
              <w:rPr>
                <w:rFonts w:cs="Arial"/>
                <w:color w:val="000000"/>
                <w:sz w:val="18"/>
                <w:szCs w:val="18"/>
                <w:lang w:eastAsia="en-AU"/>
              </w:rPr>
              <w:t xml:space="preserve">ew </w:t>
            </w:r>
            <w:r w:rsidRPr="008B2C65">
              <w:rPr>
                <w:rFonts w:cs="Arial"/>
                <w:color w:val="000000"/>
                <w:sz w:val="18"/>
                <w:szCs w:val="18"/>
                <w:lang w:eastAsia="en-AU"/>
              </w:rPr>
              <w:t>S</w:t>
            </w:r>
            <w:r>
              <w:rPr>
                <w:rFonts w:cs="Arial"/>
                <w:color w:val="000000"/>
                <w:sz w:val="18"/>
                <w:szCs w:val="18"/>
                <w:lang w:eastAsia="en-AU"/>
              </w:rPr>
              <w:t xml:space="preserve">outh </w:t>
            </w:r>
            <w:r w:rsidRPr="008B2C65">
              <w:rPr>
                <w:rFonts w:cs="Arial"/>
                <w:color w:val="000000"/>
                <w:sz w:val="18"/>
                <w:szCs w:val="18"/>
                <w:lang w:eastAsia="en-AU"/>
              </w:rPr>
              <w:t>W</w:t>
            </w:r>
            <w:r>
              <w:rPr>
                <w:rFonts w:cs="Arial"/>
                <w:color w:val="000000"/>
                <w:sz w:val="18"/>
                <w:szCs w:val="18"/>
                <w:lang w:eastAsia="en-AU"/>
              </w:rPr>
              <w:t>ales</w:t>
            </w:r>
          </w:p>
        </w:tc>
        <w:tc>
          <w:tcPr>
            <w:tcW w:w="1304" w:type="dxa"/>
            <w:tcBorders>
              <w:top w:val="nil"/>
              <w:left w:val="nil"/>
              <w:bottom w:val="nil"/>
              <w:right w:val="nil"/>
            </w:tcBorders>
            <w:vAlign w:val="bottom"/>
          </w:tcPr>
          <w:p w14:paraId="6022E1CB" w14:textId="77777777" w:rsidR="003D6248" w:rsidRPr="00F90E12" w:rsidRDefault="003D6248" w:rsidP="003D6248">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F90E12">
              <w:rPr>
                <w:rFonts w:cs="Arial"/>
                <w:color w:val="000000"/>
                <w:sz w:val="18"/>
                <w:szCs w:val="22"/>
              </w:rPr>
              <w:t>11.7</w:t>
            </w:r>
          </w:p>
        </w:tc>
        <w:tc>
          <w:tcPr>
            <w:tcW w:w="1304" w:type="dxa"/>
            <w:tcBorders>
              <w:top w:val="nil"/>
              <w:left w:val="nil"/>
              <w:bottom w:val="nil"/>
              <w:right w:val="nil"/>
            </w:tcBorders>
            <w:vAlign w:val="bottom"/>
          </w:tcPr>
          <w:p w14:paraId="353D1BE9" w14:textId="77777777" w:rsidR="003D6248" w:rsidRPr="00F90E12" w:rsidRDefault="003D6248" w:rsidP="003D6248">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F90E12">
              <w:rPr>
                <w:rFonts w:cs="Arial"/>
                <w:color w:val="000000"/>
                <w:sz w:val="18"/>
                <w:szCs w:val="22"/>
              </w:rPr>
              <w:t>57.0</w:t>
            </w:r>
          </w:p>
        </w:tc>
        <w:tc>
          <w:tcPr>
            <w:tcW w:w="1304" w:type="dxa"/>
            <w:tcBorders>
              <w:top w:val="nil"/>
              <w:left w:val="nil"/>
              <w:bottom w:val="nil"/>
              <w:right w:val="nil"/>
            </w:tcBorders>
            <w:vAlign w:val="bottom"/>
          </w:tcPr>
          <w:p w14:paraId="04649A75" w14:textId="77777777" w:rsidR="003D6248" w:rsidRPr="00F90E12" w:rsidRDefault="003D6248" w:rsidP="003D6248">
            <w:pPr>
              <w:pStyle w:val="Body"/>
              <w:spacing w:before="40" w:after="40" w:line="240" w:lineRule="auto"/>
              <w:ind w:right="283"/>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F90E12">
              <w:rPr>
                <w:rFonts w:cs="Arial"/>
                <w:color w:val="000000"/>
                <w:sz w:val="18"/>
                <w:szCs w:val="22"/>
              </w:rPr>
              <w:t>22.8</w:t>
            </w:r>
          </w:p>
        </w:tc>
        <w:tc>
          <w:tcPr>
            <w:tcW w:w="1304" w:type="dxa"/>
            <w:tcBorders>
              <w:top w:val="nil"/>
              <w:left w:val="nil"/>
              <w:bottom w:val="nil"/>
              <w:right w:val="nil"/>
            </w:tcBorders>
            <w:vAlign w:val="bottom"/>
          </w:tcPr>
          <w:p w14:paraId="228621B2" w14:textId="77777777" w:rsidR="003D6248" w:rsidRPr="00F90E12" w:rsidRDefault="003D6248" w:rsidP="003D6248">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F90E12">
              <w:rPr>
                <w:rFonts w:cs="Arial"/>
                <w:color w:val="000000"/>
                <w:sz w:val="18"/>
                <w:szCs w:val="22"/>
              </w:rPr>
              <w:t>4.6</w:t>
            </w:r>
          </w:p>
        </w:tc>
        <w:tc>
          <w:tcPr>
            <w:tcW w:w="1304" w:type="dxa"/>
            <w:tcBorders>
              <w:top w:val="nil"/>
              <w:left w:val="nil"/>
              <w:bottom w:val="nil"/>
              <w:right w:val="nil"/>
            </w:tcBorders>
            <w:vAlign w:val="bottom"/>
          </w:tcPr>
          <w:p w14:paraId="0EC75D11" w14:textId="77777777" w:rsidR="003D6248" w:rsidRPr="00F90E12" w:rsidRDefault="003D6248" w:rsidP="003D6248">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F90E12">
              <w:rPr>
                <w:rFonts w:cs="Arial"/>
                <w:color w:val="000000"/>
                <w:sz w:val="18"/>
                <w:szCs w:val="22"/>
              </w:rPr>
              <w:t>3.9</w:t>
            </w:r>
          </w:p>
        </w:tc>
      </w:tr>
      <w:tr w:rsidR="003D6248" w:rsidRPr="00025F1C" w14:paraId="03703C29" w14:textId="77777777" w:rsidTr="003D62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63B5D83F" w14:textId="77777777" w:rsidR="003D6248" w:rsidRPr="00025F1C" w:rsidRDefault="003D6248" w:rsidP="003D6248">
            <w:pPr>
              <w:pStyle w:val="Body"/>
              <w:spacing w:before="40" w:after="40" w:line="240" w:lineRule="auto"/>
              <w:ind w:left="113"/>
              <w:rPr>
                <w:rFonts w:cs="Arial"/>
                <w:b/>
                <w:bCs/>
                <w:color w:val="1F688D"/>
                <w:sz w:val="18"/>
                <w:szCs w:val="18"/>
              </w:rPr>
            </w:pPr>
            <w:r>
              <w:rPr>
                <w:rFonts w:cs="Arial"/>
                <w:color w:val="000000"/>
                <w:sz w:val="18"/>
                <w:szCs w:val="18"/>
                <w:lang w:eastAsia="en-AU"/>
              </w:rPr>
              <w:t>Northern Territory</w:t>
            </w:r>
          </w:p>
        </w:tc>
        <w:tc>
          <w:tcPr>
            <w:tcW w:w="1304" w:type="dxa"/>
            <w:vAlign w:val="bottom"/>
          </w:tcPr>
          <w:p w14:paraId="5235DD1A" w14:textId="77777777" w:rsidR="003D6248" w:rsidRPr="00F90E12" w:rsidRDefault="003D6248" w:rsidP="003D6248">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F90E12">
              <w:rPr>
                <w:rFonts w:cs="Arial"/>
                <w:color w:val="000000"/>
                <w:sz w:val="18"/>
                <w:szCs w:val="22"/>
              </w:rPr>
              <w:t>13.6</w:t>
            </w:r>
          </w:p>
        </w:tc>
        <w:tc>
          <w:tcPr>
            <w:tcW w:w="1304" w:type="dxa"/>
            <w:vAlign w:val="bottom"/>
          </w:tcPr>
          <w:p w14:paraId="776FFDB7" w14:textId="77777777" w:rsidR="003D6248" w:rsidRPr="00F90E12" w:rsidRDefault="003D6248" w:rsidP="003D6248">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F90E12">
              <w:rPr>
                <w:rFonts w:cs="Arial"/>
                <w:color w:val="000000"/>
                <w:sz w:val="18"/>
                <w:szCs w:val="22"/>
              </w:rPr>
              <w:t>52.6</w:t>
            </w:r>
          </w:p>
        </w:tc>
        <w:tc>
          <w:tcPr>
            <w:tcW w:w="1304" w:type="dxa"/>
            <w:vAlign w:val="bottom"/>
          </w:tcPr>
          <w:p w14:paraId="1E655C6E" w14:textId="77777777" w:rsidR="003D6248" w:rsidRPr="00F90E12" w:rsidRDefault="003D6248" w:rsidP="003D6248">
            <w:pPr>
              <w:pStyle w:val="Body"/>
              <w:spacing w:before="40" w:after="40" w:line="240" w:lineRule="auto"/>
              <w:ind w:right="283"/>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F90E12">
              <w:rPr>
                <w:rFonts w:cs="Arial"/>
                <w:color w:val="000000"/>
                <w:sz w:val="18"/>
                <w:szCs w:val="22"/>
              </w:rPr>
              <w:t>18.8</w:t>
            </w:r>
          </w:p>
        </w:tc>
        <w:tc>
          <w:tcPr>
            <w:tcW w:w="1304" w:type="dxa"/>
            <w:vAlign w:val="bottom"/>
          </w:tcPr>
          <w:p w14:paraId="3197A0AF" w14:textId="77777777" w:rsidR="003D6248" w:rsidRPr="00F90E12" w:rsidRDefault="003D6248" w:rsidP="003D6248">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F90E12">
              <w:rPr>
                <w:rFonts w:cs="Arial"/>
                <w:color w:val="000000"/>
                <w:sz w:val="18"/>
                <w:szCs w:val="22"/>
              </w:rPr>
              <w:t>8.6</w:t>
            </w:r>
          </w:p>
        </w:tc>
        <w:tc>
          <w:tcPr>
            <w:tcW w:w="1304" w:type="dxa"/>
            <w:vAlign w:val="bottom"/>
          </w:tcPr>
          <w:p w14:paraId="20FC204F" w14:textId="77777777" w:rsidR="003D6248" w:rsidRPr="00F90E12" w:rsidRDefault="003D6248" w:rsidP="003D6248">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F90E12">
              <w:rPr>
                <w:rFonts w:cs="Arial"/>
                <w:color w:val="000000"/>
                <w:sz w:val="18"/>
                <w:szCs w:val="22"/>
              </w:rPr>
              <w:t>6.4</w:t>
            </w:r>
          </w:p>
        </w:tc>
      </w:tr>
      <w:tr w:rsidR="003D6248" w:rsidRPr="00025F1C" w14:paraId="57A00D88" w14:textId="77777777" w:rsidTr="003D6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03C0B2FC" w14:textId="77777777" w:rsidR="003D6248" w:rsidRPr="00025F1C" w:rsidRDefault="003D6248" w:rsidP="003D6248">
            <w:pPr>
              <w:pStyle w:val="Body"/>
              <w:spacing w:before="40" w:after="40" w:line="240" w:lineRule="auto"/>
              <w:ind w:left="113"/>
              <w:rPr>
                <w:rFonts w:cs="Arial"/>
                <w:b/>
                <w:bCs/>
                <w:color w:val="1F688D"/>
                <w:sz w:val="18"/>
                <w:szCs w:val="18"/>
              </w:rPr>
            </w:pPr>
            <w:r w:rsidRPr="008B2C65">
              <w:rPr>
                <w:rFonts w:cs="Arial"/>
                <w:color w:val="000000"/>
                <w:sz w:val="18"/>
                <w:szCs w:val="18"/>
                <w:lang w:eastAsia="en-AU"/>
              </w:rPr>
              <w:t>Queensland</w:t>
            </w:r>
          </w:p>
        </w:tc>
        <w:tc>
          <w:tcPr>
            <w:tcW w:w="1304" w:type="dxa"/>
            <w:tcBorders>
              <w:top w:val="nil"/>
              <w:left w:val="nil"/>
              <w:bottom w:val="nil"/>
              <w:right w:val="nil"/>
            </w:tcBorders>
            <w:vAlign w:val="bottom"/>
          </w:tcPr>
          <w:p w14:paraId="129F28F8" w14:textId="77777777" w:rsidR="003D6248" w:rsidRPr="00F90E12" w:rsidRDefault="003D6248" w:rsidP="003D6248">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F90E12">
              <w:rPr>
                <w:rFonts w:cs="Arial"/>
                <w:color w:val="000000"/>
                <w:sz w:val="18"/>
                <w:szCs w:val="22"/>
              </w:rPr>
              <w:t>12.2</w:t>
            </w:r>
          </w:p>
        </w:tc>
        <w:tc>
          <w:tcPr>
            <w:tcW w:w="1304" w:type="dxa"/>
            <w:tcBorders>
              <w:top w:val="nil"/>
              <w:left w:val="nil"/>
              <w:bottom w:val="nil"/>
              <w:right w:val="nil"/>
            </w:tcBorders>
            <w:vAlign w:val="bottom"/>
          </w:tcPr>
          <w:p w14:paraId="7EF36724" w14:textId="77777777" w:rsidR="003D6248" w:rsidRPr="00F90E12" w:rsidRDefault="003D6248" w:rsidP="003D6248">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F90E12">
              <w:rPr>
                <w:rFonts w:cs="Arial"/>
                <w:color w:val="000000"/>
                <w:sz w:val="18"/>
                <w:szCs w:val="22"/>
              </w:rPr>
              <w:t>60.9</w:t>
            </w:r>
          </w:p>
        </w:tc>
        <w:tc>
          <w:tcPr>
            <w:tcW w:w="1304" w:type="dxa"/>
            <w:tcBorders>
              <w:top w:val="nil"/>
              <w:left w:val="nil"/>
              <w:bottom w:val="nil"/>
              <w:right w:val="nil"/>
            </w:tcBorders>
            <w:vAlign w:val="bottom"/>
          </w:tcPr>
          <w:p w14:paraId="5AC8C0FE" w14:textId="77777777" w:rsidR="003D6248" w:rsidRPr="00F90E12" w:rsidRDefault="003D6248" w:rsidP="003D6248">
            <w:pPr>
              <w:pStyle w:val="Body"/>
              <w:spacing w:before="40" w:after="40" w:line="240" w:lineRule="auto"/>
              <w:ind w:right="283"/>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F90E12">
              <w:rPr>
                <w:rFonts w:cs="Arial"/>
                <w:color w:val="000000"/>
                <w:sz w:val="18"/>
                <w:szCs w:val="22"/>
              </w:rPr>
              <w:t>22.2</w:t>
            </w:r>
          </w:p>
        </w:tc>
        <w:tc>
          <w:tcPr>
            <w:tcW w:w="1304" w:type="dxa"/>
            <w:tcBorders>
              <w:top w:val="nil"/>
              <w:left w:val="nil"/>
              <w:bottom w:val="nil"/>
              <w:right w:val="nil"/>
            </w:tcBorders>
            <w:vAlign w:val="bottom"/>
          </w:tcPr>
          <w:p w14:paraId="62A0C649" w14:textId="77777777" w:rsidR="003D6248" w:rsidRPr="00F90E12" w:rsidRDefault="003D6248" w:rsidP="003D6248">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F90E12">
              <w:rPr>
                <w:rFonts w:cs="Arial"/>
                <w:color w:val="000000"/>
                <w:sz w:val="18"/>
                <w:szCs w:val="22"/>
              </w:rPr>
              <w:t>1.4</w:t>
            </w:r>
            <w:r>
              <w:rPr>
                <w:rFonts w:cs="Arial"/>
                <w:color w:val="000000"/>
                <w:sz w:val="18"/>
                <w:szCs w:val="22"/>
              </w:rPr>
              <w:t>*</w:t>
            </w:r>
          </w:p>
        </w:tc>
        <w:tc>
          <w:tcPr>
            <w:tcW w:w="1304" w:type="dxa"/>
            <w:tcBorders>
              <w:top w:val="nil"/>
              <w:left w:val="nil"/>
              <w:bottom w:val="nil"/>
              <w:right w:val="nil"/>
            </w:tcBorders>
            <w:vAlign w:val="bottom"/>
          </w:tcPr>
          <w:p w14:paraId="4CE3BB94" w14:textId="77777777" w:rsidR="003D6248" w:rsidRPr="00F90E12" w:rsidRDefault="003D6248" w:rsidP="003D6248">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F90E12">
              <w:rPr>
                <w:rFonts w:cs="Arial"/>
                <w:color w:val="000000"/>
                <w:sz w:val="18"/>
                <w:szCs w:val="22"/>
              </w:rPr>
              <w:t>3.3</w:t>
            </w:r>
          </w:p>
        </w:tc>
      </w:tr>
      <w:tr w:rsidR="003D6248" w:rsidRPr="00025F1C" w14:paraId="2EAC597B" w14:textId="77777777" w:rsidTr="003D62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32340268" w14:textId="1D349A4E" w:rsidR="003D6248" w:rsidRPr="00025F1C" w:rsidRDefault="003D6248" w:rsidP="003D6248">
            <w:pPr>
              <w:pStyle w:val="Body"/>
              <w:spacing w:before="40" w:after="40" w:line="240" w:lineRule="auto"/>
              <w:ind w:left="113"/>
              <w:rPr>
                <w:rFonts w:cs="Arial"/>
                <w:b/>
                <w:bCs/>
                <w:color w:val="1F688D"/>
                <w:sz w:val="18"/>
                <w:szCs w:val="18"/>
              </w:rPr>
            </w:pPr>
            <w:r w:rsidRPr="008B2C65">
              <w:rPr>
                <w:rFonts w:cs="Arial"/>
                <w:color w:val="000000"/>
                <w:sz w:val="18"/>
                <w:szCs w:val="18"/>
                <w:lang w:eastAsia="en-AU"/>
              </w:rPr>
              <w:t>Seacare</w:t>
            </w:r>
          </w:p>
        </w:tc>
        <w:tc>
          <w:tcPr>
            <w:tcW w:w="1304" w:type="dxa"/>
            <w:vAlign w:val="bottom"/>
          </w:tcPr>
          <w:p w14:paraId="104D2E1F" w14:textId="77777777" w:rsidR="003D6248" w:rsidRPr="00F90E12" w:rsidRDefault="003D6248" w:rsidP="003D6248">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F90E12">
              <w:rPr>
                <w:rFonts w:cs="Arial"/>
                <w:color w:val="000000"/>
                <w:sz w:val="18"/>
                <w:szCs w:val="22"/>
              </w:rPr>
              <w:t>15.7</w:t>
            </w:r>
          </w:p>
        </w:tc>
        <w:tc>
          <w:tcPr>
            <w:tcW w:w="1304" w:type="dxa"/>
            <w:vAlign w:val="bottom"/>
          </w:tcPr>
          <w:p w14:paraId="7BEF02AC" w14:textId="77777777" w:rsidR="003D6248" w:rsidRPr="00F90E12" w:rsidRDefault="003D6248" w:rsidP="003D6248">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F90E12">
              <w:rPr>
                <w:rFonts w:cs="Arial"/>
                <w:color w:val="000000"/>
                <w:sz w:val="18"/>
                <w:szCs w:val="22"/>
              </w:rPr>
              <w:t>64.7</w:t>
            </w:r>
          </w:p>
        </w:tc>
        <w:tc>
          <w:tcPr>
            <w:tcW w:w="1304" w:type="dxa"/>
            <w:vAlign w:val="bottom"/>
          </w:tcPr>
          <w:p w14:paraId="1B466F28" w14:textId="77777777" w:rsidR="003D6248" w:rsidRPr="00F90E12" w:rsidRDefault="003D6248" w:rsidP="003D6248">
            <w:pPr>
              <w:pStyle w:val="Body"/>
              <w:spacing w:before="40" w:after="40" w:line="240" w:lineRule="auto"/>
              <w:ind w:right="283"/>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F90E12">
              <w:rPr>
                <w:rFonts w:cs="Arial"/>
                <w:color w:val="000000"/>
                <w:sz w:val="18"/>
                <w:szCs w:val="22"/>
              </w:rPr>
              <w:t>9.8</w:t>
            </w:r>
          </w:p>
        </w:tc>
        <w:tc>
          <w:tcPr>
            <w:tcW w:w="1304" w:type="dxa"/>
            <w:vAlign w:val="bottom"/>
          </w:tcPr>
          <w:p w14:paraId="78230FF2" w14:textId="77777777" w:rsidR="003D6248" w:rsidRPr="00F90E12" w:rsidRDefault="003D6248" w:rsidP="003D6248">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F90E12">
              <w:rPr>
                <w:rFonts w:cs="Arial"/>
                <w:color w:val="000000"/>
                <w:sz w:val="18"/>
                <w:szCs w:val="22"/>
              </w:rPr>
              <w:t>1.3</w:t>
            </w:r>
          </w:p>
        </w:tc>
        <w:tc>
          <w:tcPr>
            <w:tcW w:w="1304" w:type="dxa"/>
            <w:vAlign w:val="bottom"/>
          </w:tcPr>
          <w:p w14:paraId="74279C84" w14:textId="77777777" w:rsidR="003D6248" w:rsidRPr="00F90E12" w:rsidRDefault="003D6248" w:rsidP="003D6248">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F90E12">
              <w:rPr>
                <w:rFonts w:cs="Arial"/>
                <w:color w:val="000000"/>
                <w:sz w:val="18"/>
                <w:szCs w:val="22"/>
              </w:rPr>
              <w:t>8.5</w:t>
            </w:r>
          </w:p>
        </w:tc>
      </w:tr>
      <w:tr w:rsidR="003D6248" w:rsidRPr="00025F1C" w14:paraId="7B365437" w14:textId="77777777" w:rsidTr="003D6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24F1A252" w14:textId="77777777" w:rsidR="003D6248" w:rsidRPr="00025F1C" w:rsidRDefault="003D6248" w:rsidP="003D6248">
            <w:pPr>
              <w:pStyle w:val="Body"/>
              <w:spacing w:before="40" w:after="40" w:line="240" w:lineRule="auto"/>
              <w:ind w:left="113"/>
              <w:rPr>
                <w:rFonts w:cs="Arial"/>
                <w:b/>
                <w:bCs/>
                <w:color w:val="1F688D"/>
                <w:sz w:val="18"/>
                <w:szCs w:val="18"/>
              </w:rPr>
            </w:pPr>
            <w:r w:rsidRPr="008B2C65">
              <w:rPr>
                <w:rFonts w:cs="Arial"/>
                <w:color w:val="000000"/>
                <w:sz w:val="18"/>
                <w:szCs w:val="18"/>
                <w:lang w:eastAsia="en-AU"/>
              </w:rPr>
              <w:t>Tasmania</w:t>
            </w:r>
          </w:p>
        </w:tc>
        <w:tc>
          <w:tcPr>
            <w:tcW w:w="1304" w:type="dxa"/>
            <w:tcBorders>
              <w:top w:val="nil"/>
              <w:left w:val="nil"/>
              <w:bottom w:val="nil"/>
              <w:right w:val="nil"/>
            </w:tcBorders>
            <w:vAlign w:val="bottom"/>
          </w:tcPr>
          <w:p w14:paraId="64ECE713" w14:textId="77777777" w:rsidR="003D6248" w:rsidRPr="00F90E12" w:rsidRDefault="003D6248" w:rsidP="003D6248">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F90E12">
              <w:rPr>
                <w:rFonts w:cs="Arial"/>
                <w:color w:val="000000"/>
                <w:sz w:val="18"/>
                <w:szCs w:val="22"/>
              </w:rPr>
              <w:t>7.7</w:t>
            </w:r>
            <w:r>
              <w:rPr>
                <w:rFonts w:cs="Arial"/>
                <w:color w:val="000000"/>
                <w:sz w:val="18"/>
                <w:szCs w:val="22"/>
              </w:rPr>
              <w:t>*</w:t>
            </w:r>
          </w:p>
        </w:tc>
        <w:tc>
          <w:tcPr>
            <w:tcW w:w="1304" w:type="dxa"/>
            <w:tcBorders>
              <w:top w:val="nil"/>
              <w:left w:val="nil"/>
              <w:bottom w:val="nil"/>
              <w:right w:val="nil"/>
            </w:tcBorders>
            <w:vAlign w:val="bottom"/>
          </w:tcPr>
          <w:p w14:paraId="6F69A216" w14:textId="77777777" w:rsidR="003D6248" w:rsidRPr="00F90E12" w:rsidRDefault="003D6248" w:rsidP="003D6248">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F90E12">
              <w:rPr>
                <w:rFonts w:cs="Arial"/>
                <w:color w:val="000000"/>
                <w:sz w:val="18"/>
                <w:szCs w:val="22"/>
              </w:rPr>
              <w:t>59.9</w:t>
            </w:r>
          </w:p>
        </w:tc>
        <w:tc>
          <w:tcPr>
            <w:tcW w:w="1304" w:type="dxa"/>
            <w:tcBorders>
              <w:top w:val="nil"/>
              <w:left w:val="nil"/>
              <w:bottom w:val="nil"/>
              <w:right w:val="nil"/>
            </w:tcBorders>
            <w:vAlign w:val="bottom"/>
          </w:tcPr>
          <w:p w14:paraId="427C0C32" w14:textId="77777777" w:rsidR="003D6248" w:rsidRPr="00F90E12" w:rsidRDefault="003D6248" w:rsidP="003D6248">
            <w:pPr>
              <w:pStyle w:val="Body"/>
              <w:spacing w:before="40" w:after="40" w:line="240" w:lineRule="auto"/>
              <w:ind w:right="283"/>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F90E12">
              <w:rPr>
                <w:rFonts w:cs="Arial"/>
                <w:color w:val="000000"/>
                <w:sz w:val="18"/>
                <w:szCs w:val="22"/>
              </w:rPr>
              <w:t>19.5</w:t>
            </w:r>
          </w:p>
        </w:tc>
        <w:tc>
          <w:tcPr>
            <w:tcW w:w="1304" w:type="dxa"/>
            <w:tcBorders>
              <w:top w:val="nil"/>
              <w:left w:val="nil"/>
              <w:bottom w:val="nil"/>
              <w:right w:val="nil"/>
            </w:tcBorders>
            <w:vAlign w:val="bottom"/>
          </w:tcPr>
          <w:p w14:paraId="2BECAAB7" w14:textId="77777777" w:rsidR="003D6248" w:rsidRPr="00F90E12" w:rsidRDefault="003D6248" w:rsidP="003D6248">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F90E12">
              <w:rPr>
                <w:rFonts w:cs="Arial"/>
                <w:color w:val="000000"/>
                <w:sz w:val="18"/>
                <w:szCs w:val="22"/>
              </w:rPr>
              <w:t>8.2</w:t>
            </w:r>
            <w:r>
              <w:rPr>
                <w:rFonts w:cs="Arial"/>
                <w:color w:val="000000"/>
                <w:sz w:val="18"/>
                <w:szCs w:val="22"/>
              </w:rPr>
              <w:t>**</w:t>
            </w:r>
          </w:p>
        </w:tc>
        <w:tc>
          <w:tcPr>
            <w:tcW w:w="1304" w:type="dxa"/>
            <w:tcBorders>
              <w:top w:val="nil"/>
              <w:left w:val="nil"/>
              <w:bottom w:val="nil"/>
              <w:right w:val="nil"/>
            </w:tcBorders>
            <w:vAlign w:val="bottom"/>
          </w:tcPr>
          <w:p w14:paraId="315DEC13" w14:textId="77777777" w:rsidR="003D6248" w:rsidRPr="00F90E12" w:rsidRDefault="003D6248" w:rsidP="003D6248">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F90E12">
              <w:rPr>
                <w:rFonts w:cs="Arial"/>
                <w:color w:val="000000"/>
                <w:sz w:val="18"/>
                <w:szCs w:val="22"/>
              </w:rPr>
              <w:t>4.7</w:t>
            </w:r>
          </w:p>
        </w:tc>
      </w:tr>
      <w:tr w:rsidR="003D6248" w:rsidRPr="00025F1C" w14:paraId="498A7D74" w14:textId="77777777" w:rsidTr="003D62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6E49AE79" w14:textId="77777777" w:rsidR="003D6248" w:rsidRPr="00025F1C" w:rsidRDefault="003D6248" w:rsidP="003D6248">
            <w:pPr>
              <w:pStyle w:val="Body"/>
              <w:spacing w:before="40" w:after="40" w:line="240" w:lineRule="auto"/>
              <w:ind w:left="113"/>
              <w:rPr>
                <w:rFonts w:cs="Arial"/>
                <w:b/>
                <w:bCs/>
                <w:color w:val="1F688D"/>
                <w:sz w:val="18"/>
                <w:szCs w:val="18"/>
              </w:rPr>
            </w:pPr>
            <w:r w:rsidRPr="008B2C65">
              <w:rPr>
                <w:rFonts w:cs="Arial"/>
                <w:color w:val="000000"/>
                <w:sz w:val="18"/>
                <w:szCs w:val="18"/>
                <w:lang w:eastAsia="en-AU"/>
              </w:rPr>
              <w:t>W</w:t>
            </w:r>
            <w:r>
              <w:rPr>
                <w:rFonts w:cs="Arial"/>
                <w:color w:val="000000"/>
                <w:sz w:val="18"/>
                <w:szCs w:val="18"/>
                <w:lang w:eastAsia="en-AU"/>
              </w:rPr>
              <w:t xml:space="preserve">estern </w:t>
            </w:r>
            <w:r w:rsidRPr="008B2C65">
              <w:rPr>
                <w:rFonts w:cs="Arial"/>
                <w:color w:val="000000"/>
                <w:sz w:val="18"/>
                <w:szCs w:val="18"/>
                <w:lang w:eastAsia="en-AU"/>
              </w:rPr>
              <w:t>A</w:t>
            </w:r>
            <w:r>
              <w:rPr>
                <w:rFonts w:cs="Arial"/>
                <w:color w:val="000000"/>
                <w:sz w:val="18"/>
                <w:szCs w:val="18"/>
                <w:lang w:eastAsia="en-AU"/>
              </w:rPr>
              <w:t>ustralia</w:t>
            </w:r>
          </w:p>
        </w:tc>
        <w:tc>
          <w:tcPr>
            <w:tcW w:w="1304" w:type="dxa"/>
            <w:vAlign w:val="bottom"/>
          </w:tcPr>
          <w:p w14:paraId="1BB758C3" w14:textId="77777777" w:rsidR="003D6248" w:rsidRPr="00F90E12" w:rsidRDefault="003D6248" w:rsidP="003D6248">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F90E12">
              <w:rPr>
                <w:rFonts w:cs="Arial"/>
                <w:color w:val="000000"/>
                <w:sz w:val="18"/>
                <w:szCs w:val="22"/>
              </w:rPr>
              <w:t>12.3</w:t>
            </w:r>
          </w:p>
        </w:tc>
        <w:tc>
          <w:tcPr>
            <w:tcW w:w="1304" w:type="dxa"/>
            <w:vAlign w:val="bottom"/>
          </w:tcPr>
          <w:p w14:paraId="63D4ED9B" w14:textId="77777777" w:rsidR="003D6248" w:rsidRPr="00F90E12" w:rsidRDefault="003D6248" w:rsidP="003D6248">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F90E12">
              <w:rPr>
                <w:rFonts w:cs="Arial"/>
                <w:color w:val="000000"/>
                <w:sz w:val="18"/>
                <w:szCs w:val="22"/>
              </w:rPr>
              <w:t>55.3</w:t>
            </w:r>
          </w:p>
        </w:tc>
        <w:tc>
          <w:tcPr>
            <w:tcW w:w="1304" w:type="dxa"/>
            <w:vAlign w:val="bottom"/>
          </w:tcPr>
          <w:p w14:paraId="7AAC390F" w14:textId="77777777" w:rsidR="003D6248" w:rsidRPr="00F90E12" w:rsidRDefault="003D6248" w:rsidP="003D6248">
            <w:pPr>
              <w:pStyle w:val="Body"/>
              <w:spacing w:before="40" w:after="40" w:line="240" w:lineRule="auto"/>
              <w:ind w:right="283"/>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F90E12">
              <w:rPr>
                <w:rFonts w:cs="Arial"/>
                <w:color w:val="000000"/>
                <w:sz w:val="18"/>
                <w:szCs w:val="22"/>
              </w:rPr>
              <w:t>27.3</w:t>
            </w:r>
          </w:p>
        </w:tc>
        <w:tc>
          <w:tcPr>
            <w:tcW w:w="1304" w:type="dxa"/>
            <w:vAlign w:val="bottom"/>
          </w:tcPr>
          <w:p w14:paraId="3C15E7EA" w14:textId="77777777" w:rsidR="003D6248" w:rsidRPr="00F90E12" w:rsidRDefault="003D6248" w:rsidP="003D6248">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F90E12">
              <w:rPr>
                <w:rFonts w:cs="Arial"/>
                <w:color w:val="000000"/>
                <w:sz w:val="18"/>
                <w:szCs w:val="22"/>
              </w:rPr>
              <w:t>3.9</w:t>
            </w:r>
          </w:p>
        </w:tc>
        <w:tc>
          <w:tcPr>
            <w:tcW w:w="1304" w:type="dxa"/>
            <w:vAlign w:val="bottom"/>
          </w:tcPr>
          <w:p w14:paraId="2F6ED267" w14:textId="77777777" w:rsidR="003D6248" w:rsidRPr="00F90E12" w:rsidRDefault="003D6248" w:rsidP="003D6248">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F90E12">
              <w:rPr>
                <w:rFonts w:cs="Arial"/>
                <w:color w:val="000000"/>
                <w:sz w:val="18"/>
                <w:szCs w:val="22"/>
              </w:rPr>
              <w:t>1.2</w:t>
            </w:r>
          </w:p>
        </w:tc>
      </w:tr>
      <w:tr w:rsidR="003D6248" w:rsidRPr="00025F1C" w14:paraId="05EE0F33" w14:textId="77777777" w:rsidTr="003D6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bottom w:val="single" w:sz="4" w:space="0" w:color="1F698E" w:themeColor="accent1"/>
            </w:tcBorders>
            <w:vAlign w:val="center"/>
          </w:tcPr>
          <w:p w14:paraId="60FBA248" w14:textId="77777777" w:rsidR="003D6248" w:rsidRPr="00025F1C" w:rsidRDefault="003D6248" w:rsidP="003D6248">
            <w:pPr>
              <w:pStyle w:val="Body"/>
              <w:spacing w:before="40" w:after="40" w:line="240" w:lineRule="auto"/>
              <w:ind w:left="113"/>
              <w:rPr>
                <w:rFonts w:cs="Arial"/>
                <w:b/>
                <w:bCs/>
                <w:color w:val="1F688D"/>
                <w:sz w:val="18"/>
                <w:szCs w:val="18"/>
              </w:rPr>
            </w:pPr>
            <w:r>
              <w:rPr>
                <w:rFonts w:cs="Arial"/>
                <w:color w:val="000000"/>
                <w:sz w:val="18"/>
                <w:szCs w:val="18"/>
                <w:lang w:eastAsia="en-AU"/>
              </w:rPr>
              <w:t>Victoria</w:t>
            </w:r>
          </w:p>
        </w:tc>
        <w:tc>
          <w:tcPr>
            <w:tcW w:w="1304" w:type="dxa"/>
            <w:tcBorders>
              <w:top w:val="nil"/>
              <w:left w:val="nil"/>
              <w:bottom w:val="single" w:sz="4" w:space="0" w:color="1F698E" w:themeColor="accent1"/>
              <w:right w:val="nil"/>
            </w:tcBorders>
            <w:vAlign w:val="bottom"/>
          </w:tcPr>
          <w:p w14:paraId="308D8783" w14:textId="77777777" w:rsidR="003D6248" w:rsidRPr="00F90E12" w:rsidRDefault="003D6248" w:rsidP="003D6248">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F90E12">
              <w:rPr>
                <w:rFonts w:cs="Arial"/>
                <w:color w:val="000000"/>
                <w:sz w:val="18"/>
                <w:szCs w:val="22"/>
              </w:rPr>
              <w:t>14.7</w:t>
            </w:r>
          </w:p>
        </w:tc>
        <w:tc>
          <w:tcPr>
            <w:tcW w:w="1304" w:type="dxa"/>
            <w:tcBorders>
              <w:top w:val="nil"/>
              <w:left w:val="nil"/>
              <w:bottom w:val="single" w:sz="4" w:space="0" w:color="1F698E" w:themeColor="accent1"/>
              <w:right w:val="nil"/>
            </w:tcBorders>
            <w:vAlign w:val="bottom"/>
          </w:tcPr>
          <w:p w14:paraId="409480E2" w14:textId="77777777" w:rsidR="003D6248" w:rsidRPr="00F90E12" w:rsidRDefault="003D6248" w:rsidP="003D6248">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F90E12">
              <w:rPr>
                <w:rFonts w:cs="Arial"/>
                <w:color w:val="000000"/>
                <w:sz w:val="18"/>
                <w:szCs w:val="22"/>
              </w:rPr>
              <w:t>52.4</w:t>
            </w:r>
          </w:p>
        </w:tc>
        <w:tc>
          <w:tcPr>
            <w:tcW w:w="1304" w:type="dxa"/>
            <w:tcBorders>
              <w:top w:val="nil"/>
              <w:left w:val="nil"/>
              <w:bottom w:val="single" w:sz="4" w:space="0" w:color="1F698E" w:themeColor="accent1"/>
              <w:right w:val="nil"/>
            </w:tcBorders>
            <w:vAlign w:val="bottom"/>
          </w:tcPr>
          <w:p w14:paraId="1C214535" w14:textId="77777777" w:rsidR="003D6248" w:rsidRPr="00F90E12" w:rsidRDefault="003D6248" w:rsidP="003D6248">
            <w:pPr>
              <w:pStyle w:val="Body"/>
              <w:spacing w:before="40" w:after="40" w:line="240" w:lineRule="auto"/>
              <w:ind w:right="283"/>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F90E12">
              <w:rPr>
                <w:rFonts w:cs="Arial"/>
                <w:color w:val="000000"/>
                <w:sz w:val="18"/>
                <w:szCs w:val="22"/>
              </w:rPr>
              <w:t>17.9</w:t>
            </w:r>
          </w:p>
        </w:tc>
        <w:tc>
          <w:tcPr>
            <w:tcW w:w="1304" w:type="dxa"/>
            <w:tcBorders>
              <w:top w:val="nil"/>
              <w:left w:val="nil"/>
              <w:bottom w:val="single" w:sz="4" w:space="0" w:color="1F698E" w:themeColor="accent1"/>
              <w:right w:val="nil"/>
            </w:tcBorders>
            <w:vAlign w:val="bottom"/>
          </w:tcPr>
          <w:p w14:paraId="4368B355" w14:textId="77777777" w:rsidR="003D6248" w:rsidRPr="00F90E12" w:rsidRDefault="003D6248" w:rsidP="003D6248">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F90E12">
              <w:rPr>
                <w:rFonts w:cs="Arial"/>
                <w:color w:val="000000"/>
                <w:sz w:val="18"/>
                <w:szCs w:val="22"/>
              </w:rPr>
              <w:t>8.3</w:t>
            </w:r>
            <w:r>
              <w:rPr>
                <w:rFonts w:cs="Arial"/>
                <w:color w:val="000000"/>
                <w:sz w:val="18"/>
                <w:szCs w:val="22"/>
              </w:rPr>
              <w:t>**</w:t>
            </w:r>
          </w:p>
        </w:tc>
        <w:tc>
          <w:tcPr>
            <w:tcW w:w="1304" w:type="dxa"/>
            <w:tcBorders>
              <w:top w:val="nil"/>
              <w:left w:val="nil"/>
              <w:bottom w:val="single" w:sz="4" w:space="0" w:color="1F698E" w:themeColor="accent1"/>
              <w:right w:val="nil"/>
            </w:tcBorders>
            <w:vAlign w:val="bottom"/>
          </w:tcPr>
          <w:p w14:paraId="22B49CBF" w14:textId="77777777" w:rsidR="003D6248" w:rsidRPr="00F90E12" w:rsidRDefault="003D6248" w:rsidP="003D6248">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F90E12">
              <w:rPr>
                <w:rFonts w:cs="Arial"/>
                <w:color w:val="000000"/>
                <w:sz w:val="18"/>
                <w:szCs w:val="22"/>
              </w:rPr>
              <w:t>6.6</w:t>
            </w:r>
            <w:r>
              <w:rPr>
                <w:rFonts w:cs="Arial"/>
                <w:color w:val="000000"/>
                <w:sz w:val="18"/>
                <w:szCs w:val="22"/>
              </w:rPr>
              <w:t>**</w:t>
            </w:r>
          </w:p>
        </w:tc>
      </w:tr>
    </w:tbl>
    <w:p w14:paraId="42E489B6" w14:textId="295E942A" w:rsidR="00CB71C7" w:rsidRPr="00A9740F" w:rsidRDefault="00CB71C7" w:rsidP="00CB71C7">
      <w:pPr>
        <w:pStyle w:val="FigureNote"/>
      </w:pPr>
      <w:r w:rsidRPr="00E1221B">
        <w:rPr>
          <w:szCs w:val="16"/>
        </w:rPr>
        <w:t>Note</w:t>
      </w:r>
      <w:r>
        <w:rPr>
          <w:szCs w:val="16"/>
        </w:rPr>
        <w:t>:</w:t>
      </w:r>
      <w:r w:rsidRPr="00E1221B">
        <w:rPr>
          <w:szCs w:val="16"/>
        </w:rPr>
        <w:tab/>
      </w:r>
      <w:r w:rsidR="003D6248" w:rsidRPr="003D6248">
        <w:rPr>
          <w:szCs w:val="16"/>
        </w:rPr>
        <w:t>Data taken from sample provided by jurisdictions. Values are row percentages (each row sums to 100 per cent). Asterisks indicate statistically significant difference (single asterisk (*) indicates a lower proportion; double asterisk (**) indicates a higher proportion) (p-value &lt;=0.05).</w:t>
      </w:r>
    </w:p>
    <w:p w14:paraId="115FC656" w14:textId="7B2F1568" w:rsidR="00CB71C7" w:rsidRDefault="00CB71C7">
      <w:pPr>
        <w:rPr>
          <w:rFonts w:ascii="Arial Bold" w:eastAsia="Times New Roman" w:hAnsi="Arial Bold" w:cs="Times New Roman"/>
          <w:b/>
          <w:bCs/>
          <w:color w:val="1F688D"/>
          <w:szCs w:val="18"/>
        </w:rPr>
      </w:pPr>
      <w:r>
        <w:rPr>
          <w:rFonts w:ascii="Arial Bold" w:hAnsi="Arial Bold"/>
          <w:b/>
          <w:bCs/>
          <w:color w:val="1F688D"/>
          <w:szCs w:val="18"/>
        </w:rPr>
        <w:br w:type="page"/>
      </w:r>
    </w:p>
    <w:p w14:paraId="393D2A64" w14:textId="0AACAE17" w:rsidR="009C608D" w:rsidRDefault="00CD39CA" w:rsidP="000D6818">
      <w:pPr>
        <w:pStyle w:val="Heading1"/>
      </w:pPr>
      <w:bookmarkStart w:id="40" w:name="_Toc528056017"/>
      <w:r>
        <w:lastRenderedPageBreak/>
        <w:t>Return to Work Measures</w:t>
      </w:r>
      <w:bookmarkEnd w:id="40"/>
    </w:p>
    <w:p w14:paraId="37B4B2AD" w14:textId="72EB0C6C" w:rsidR="003D1A69" w:rsidRPr="001E52D2" w:rsidRDefault="001E52D2" w:rsidP="003D1A69">
      <w:pPr>
        <w:pStyle w:val="Body"/>
      </w:pPr>
      <w:r w:rsidRPr="001E52D2">
        <w:t xml:space="preserve">This section presents findings related to return to work (RTW) outcomes. It includes headline RTW measures with time series comparison against previous years. It also reports a range of other measures that have been included in the survey for </w:t>
      </w:r>
      <w:r w:rsidR="00C4560D">
        <w:t>the first time in 2018</w:t>
      </w:r>
      <w:r w:rsidRPr="001E52D2">
        <w:t xml:space="preserve"> to provide a broader overview of RTW outcomes.</w:t>
      </w:r>
    </w:p>
    <w:p w14:paraId="37343754" w14:textId="647718DC" w:rsidR="003D1A69" w:rsidRPr="003D1A69" w:rsidRDefault="003D1A69" w:rsidP="005755C8">
      <w:pPr>
        <w:pStyle w:val="Heading2"/>
      </w:pPr>
      <w:bookmarkStart w:id="41" w:name="_Toc528056018"/>
      <w:r>
        <w:t>R</w:t>
      </w:r>
      <w:r w:rsidR="009734BF">
        <w:t>eturn to W</w:t>
      </w:r>
      <w:r w:rsidR="00FC415A">
        <w:t>ork</w:t>
      </w:r>
      <w:r>
        <w:t xml:space="preserve"> Headline Measures</w:t>
      </w:r>
      <w:bookmarkEnd w:id="41"/>
    </w:p>
    <w:p w14:paraId="2BBD75E8" w14:textId="3ED4536A" w:rsidR="008B1347" w:rsidRDefault="00A071BF" w:rsidP="00D36059">
      <w:pPr>
        <w:pStyle w:val="Body"/>
      </w:pPr>
      <w:r w:rsidRPr="00A071BF">
        <w:t>Th</w:t>
      </w:r>
      <w:r w:rsidR="001E52D2">
        <w:t xml:space="preserve">e measures in this section </w:t>
      </w:r>
      <w:r w:rsidR="008B1347">
        <w:t>have been published previously by</w:t>
      </w:r>
      <w:r w:rsidR="006F2BDD">
        <w:t xml:space="preserve"> Safe Work Australia</w:t>
      </w:r>
      <w:r w:rsidR="008B1347">
        <w:t xml:space="preserve"> as the </w:t>
      </w:r>
      <w:r w:rsidR="008B1347" w:rsidRPr="003E47FF">
        <w:rPr>
          <w:i/>
        </w:rPr>
        <w:t>Headline Measures Report (2018</w:t>
      </w:r>
      <w:r w:rsidR="008B1347">
        <w:rPr>
          <w:i/>
        </w:rPr>
        <w:t>).</w:t>
      </w:r>
    </w:p>
    <w:p w14:paraId="1CB1D880" w14:textId="385542B3" w:rsidR="008B1347" w:rsidRPr="008B1347" w:rsidRDefault="008B1347" w:rsidP="00D36059">
      <w:pPr>
        <w:pStyle w:val="Body"/>
      </w:pPr>
      <w:r>
        <w:t>In previous years</w:t>
      </w:r>
      <w:r w:rsidR="001D5FF1">
        <w:t>,</w:t>
      </w:r>
      <w:r>
        <w:t xml:space="preserve"> these headline measures have been reported for the Historic cohort only, consistent with the </w:t>
      </w:r>
      <w:r w:rsidRPr="00BF58A1">
        <w:rPr>
          <w:i/>
        </w:rPr>
        <w:t>Return to Work Monitor</w:t>
      </w:r>
      <w:r>
        <w:t xml:space="preserve">. For the </w:t>
      </w:r>
      <w:r w:rsidR="00E92B2B">
        <w:t>2018</w:t>
      </w:r>
      <w:r>
        <w:t xml:space="preserve"> survey, these measure</w:t>
      </w:r>
      <w:r w:rsidR="009058CE">
        <w:t>s</w:t>
      </w:r>
      <w:r>
        <w:t xml:space="preserve"> </w:t>
      </w:r>
      <w:r w:rsidR="00F27BDF">
        <w:t xml:space="preserve">have been reported </w:t>
      </w:r>
      <w:r>
        <w:t xml:space="preserve">for the Historic cohort and for </w:t>
      </w:r>
      <w:r w:rsidR="00A071BF" w:rsidRPr="00A071BF">
        <w:t>the total sample (i.e. the a</w:t>
      </w:r>
      <w:r w:rsidR="00A071BF" w:rsidRPr="008B1347">
        <w:t>ggregate of Historic and Balance cohorts)</w:t>
      </w:r>
      <w:r w:rsidRPr="008B1347">
        <w:t xml:space="preserve"> to provide a more comprehensive picture of return to work outcomes for workers</w:t>
      </w:r>
      <w:r w:rsidR="00F27BDF">
        <w:t xml:space="preserve"> with a work-related injury or illness</w:t>
      </w:r>
      <w:r w:rsidRPr="008B1347">
        <w:t xml:space="preserve"> nationally</w:t>
      </w:r>
      <w:r w:rsidR="00A071BF" w:rsidRPr="008B1347">
        <w:t>.</w:t>
      </w:r>
      <w:r w:rsidRPr="008B1347">
        <w:t xml:space="preserve"> This section therefore contains both levels of reporting</w:t>
      </w:r>
      <w:r w:rsidR="00B64859">
        <w:t>.</w:t>
      </w:r>
    </w:p>
    <w:p w14:paraId="24ECAA5B" w14:textId="1680E9C7" w:rsidR="005C5B6E" w:rsidRPr="008B1347" w:rsidRDefault="008B1347" w:rsidP="005C5B6E">
      <w:pPr>
        <w:pStyle w:val="Body"/>
      </w:pPr>
      <w:r w:rsidRPr="008B1347">
        <w:t xml:space="preserve">Two </w:t>
      </w:r>
      <w:r w:rsidR="005C5B6E" w:rsidRPr="008B1347">
        <w:t xml:space="preserve">key </w:t>
      </w:r>
      <w:r w:rsidRPr="008B1347">
        <w:t>RTW measures are included,</w:t>
      </w:r>
      <w:r w:rsidR="005C5B6E" w:rsidRPr="008B1347">
        <w:t xml:space="preserve"> namely the:</w:t>
      </w:r>
    </w:p>
    <w:p w14:paraId="75436C1B" w14:textId="39EC9915" w:rsidR="00AC6551" w:rsidRPr="008B1347" w:rsidRDefault="005C5B6E" w:rsidP="008B1347">
      <w:pPr>
        <w:pStyle w:val="Body"/>
        <w:numPr>
          <w:ilvl w:val="0"/>
          <w:numId w:val="17"/>
        </w:numPr>
      </w:pPr>
      <w:r w:rsidRPr="008B1347">
        <w:rPr>
          <w:b/>
        </w:rPr>
        <w:t>Returned to Work Rate</w:t>
      </w:r>
      <w:r w:rsidRPr="008B1347">
        <w:t xml:space="preserve"> (equivalent to the </w:t>
      </w:r>
      <w:r w:rsidRPr="008B1347">
        <w:rPr>
          <w:i/>
        </w:rPr>
        <w:t>Return to Work</w:t>
      </w:r>
      <w:r w:rsidR="00AC6551" w:rsidRPr="008B1347">
        <w:rPr>
          <w:i/>
        </w:rPr>
        <w:t xml:space="preserve"> Monitor’s</w:t>
      </w:r>
      <w:r w:rsidR="00AC6551" w:rsidRPr="008B1347">
        <w:t xml:space="preserve"> Return to Work Rate)</w:t>
      </w:r>
      <w:r w:rsidR="008B1347">
        <w:t xml:space="preserve">. </w:t>
      </w:r>
      <w:r w:rsidR="008B1347" w:rsidRPr="00CE0EE2">
        <w:t xml:space="preserve">The </w:t>
      </w:r>
      <w:r w:rsidR="008B1347" w:rsidRPr="00DB2EC7">
        <w:rPr>
          <w:i/>
        </w:rPr>
        <w:t>Returned to Work Rate</w:t>
      </w:r>
      <w:r w:rsidR="008B1347" w:rsidRPr="00CE0EE2">
        <w:t xml:space="preserve"> is the </w:t>
      </w:r>
      <w:r w:rsidR="008B1347" w:rsidRPr="00B31232">
        <w:t>proportion of workers surveyed who reported having returned to work at any time since their work-related injury or illness</w:t>
      </w:r>
      <w:r w:rsidR="008B1347">
        <w:t xml:space="preserve">. </w:t>
      </w:r>
      <w:r w:rsidR="008B1347" w:rsidRPr="00CE0EE2">
        <w:t xml:space="preserve">It is based on </w:t>
      </w:r>
      <w:r w:rsidR="008B1347">
        <w:t>q</w:t>
      </w:r>
      <w:r w:rsidR="008B1347" w:rsidRPr="00CE0EE2">
        <w:t>uestion RTW1 (previously question C7</w:t>
      </w:r>
      <w:r w:rsidR="008B1347">
        <w:t xml:space="preserve"> prior to </w:t>
      </w:r>
      <w:r w:rsidR="00E92B2B">
        <w:t>2018</w:t>
      </w:r>
      <w:r w:rsidR="008B1347" w:rsidRPr="00CE0EE2">
        <w:t>) ‘</w:t>
      </w:r>
      <w:r w:rsidR="008B1347" w:rsidRPr="007F7EF9">
        <w:rPr>
          <w:i/>
        </w:rPr>
        <w:t>Have you returned to work at any time since your work-related injury or illness?</w:t>
      </w:r>
      <w:r w:rsidR="008B1347" w:rsidRPr="00CE0EE2">
        <w:t xml:space="preserve">’ and reports the proportion of workers who </w:t>
      </w:r>
      <w:r w:rsidR="00BF6131">
        <w:t>answered</w:t>
      </w:r>
      <w:r w:rsidR="008B1347" w:rsidRPr="00CE0EE2">
        <w:t xml:space="preserve"> ‘yes’</w:t>
      </w:r>
      <w:r w:rsidR="00BF6131">
        <w:t xml:space="preserve"> to this question.</w:t>
      </w:r>
    </w:p>
    <w:p w14:paraId="3E484584" w14:textId="1ADB5B4D" w:rsidR="005C5B6E" w:rsidRPr="008B1347" w:rsidRDefault="005C5B6E" w:rsidP="008B1347">
      <w:pPr>
        <w:pStyle w:val="Body"/>
        <w:numPr>
          <w:ilvl w:val="0"/>
          <w:numId w:val="17"/>
        </w:numPr>
      </w:pPr>
      <w:r w:rsidRPr="008B1347">
        <w:rPr>
          <w:b/>
        </w:rPr>
        <w:t>Current Return to Work Rate</w:t>
      </w:r>
      <w:r w:rsidRPr="008B1347">
        <w:t xml:space="preserve"> (equivalent to the </w:t>
      </w:r>
      <w:r w:rsidRPr="008B1347">
        <w:rPr>
          <w:i/>
        </w:rPr>
        <w:t>Return to Work Monitor’s</w:t>
      </w:r>
      <w:r w:rsidRPr="008B1347">
        <w:t xml:space="preserve"> Durable Return to Work Rate)</w:t>
      </w:r>
      <w:r w:rsidR="008B1347">
        <w:t xml:space="preserve">. </w:t>
      </w:r>
      <w:r w:rsidR="008B1347" w:rsidRPr="00E7086F">
        <w:t xml:space="preserve">The </w:t>
      </w:r>
      <w:r w:rsidR="008B1347" w:rsidRPr="00DB2EC7">
        <w:rPr>
          <w:i/>
        </w:rPr>
        <w:t>Current Return to Work Rate</w:t>
      </w:r>
      <w:r w:rsidR="008B1347" w:rsidRPr="00E7086F">
        <w:t xml:space="preserve"> is the proportion </w:t>
      </w:r>
      <w:r w:rsidR="008B1347" w:rsidRPr="00B31232">
        <w:t xml:space="preserve">of workers surveyed who reported </w:t>
      </w:r>
      <w:r w:rsidR="008B1347">
        <w:t xml:space="preserve">having </w:t>
      </w:r>
      <w:r w:rsidR="008B1347" w:rsidRPr="00B31232">
        <w:t>returned to work at any time since their work-related injury or illness</w:t>
      </w:r>
      <w:r w:rsidR="008B1347">
        <w:t xml:space="preserve"> and being in a paid job at the time of survey. </w:t>
      </w:r>
      <w:r w:rsidR="008B1347" w:rsidRPr="00E7086F">
        <w:t xml:space="preserve">This measure is based on </w:t>
      </w:r>
      <w:r w:rsidR="008B1347">
        <w:t>q</w:t>
      </w:r>
      <w:r w:rsidR="008B1347" w:rsidRPr="00E7086F">
        <w:t>uestion RTW2 (previously C1) ‘</w:t>
      </w:r>
      <w:r w:rsidR="008B1347" w:rsidRPr="00636906">
        <w:rPr>
          <w:i/>
        </w:rPr>
        <w:t>Are you currently working in a paid job?</w:t>
      </w:r>
      <w:r w:rsidR="008B1347" w:rsidRPr="00E7086F">
        <w:t xml:space="preserve">’ and </w:t>
      </w:r>
      <w:r w:rsidR="008B1347">
        <w:t>q</w:t>
      </w:r>
      <w:r w:rsidR="008B1347" w:rsidRPr="00E7086F">
        <w:t xml:space="preserve">uestion </w:t>
      </w:r>
      <w:r w:rsidR="008B1347">
        <w:t xml:space="preserve">RTW1 (previously </w:t>
      </w:r>
      <w:r w:rsidR="008B1347" w:rsidRPr="00E7086F">
        <w:t>C7</w:t>
      </w:r>
      <w:r w:rsidR="008B1347">
        <w:t>)</w:t>
      </w:r>
      <w:r w:rsidR="008B1347" w:rsidRPr="00E7086F">
        <w:t xml:space="preserve"> ‘</w:t>
      </w:r>
      <w:r w:rsidR="008B1347" w:rsidRPr="00636906">
        <w:rPr>
          <w:i/>
        </w:rPr>
        <w:t>Have you returned to work at any time since your work-related injury or illness?</w:t>
      </w:r>
      <w:r w:rsidR="008B1347" w:rsidRPr="00E7086F">
        <w:t>’</w:t>
      </w:r>
      <w:r w:rsidR="008B1347">
        <w:t>.</w:t>
      </w:r>
      <w:r w:rsidR="008B1347" w:rsidRPr="00E7086F">
        <w:t xml:space="preserve"> It reports the proportion of </w:t>
      </w:r>
      <w:r w:rsidR="008B1347">
        <w:t xml:space="preserve">workers who </w:t>
      </w:r>
      <w:r w:rsidR="00BF6131">
        <w:t>answered</w:t>
      </w:r>
      <w:r w:rsidR="008B1347">
        <w:t xml:space="preserve"> ‘yes’ to both questions.</w:t>
      </w:r>
    </w:p>
    <w:p w14:paraId="2849F389" w14:textId="6DD5C89D" w:rsidR="00D10B9E" w:rsidRDefault="008B1347" w:rsidP="003D1A69">
      <w:pPr>
        <w:pStyle w:val="Heading3"/>
      </w:pPr>
      <w:bookmarkStart w:id="42" w:name="_Toc528056019"/>
      <w:r>
        <w:t>R</w:t>
      </w:r>
      <w:r w:rsidR="00FC415A">
        <w:t xml:space="preserve">eturn to work </w:t>
      </w:r>
      <w:r w:rsidR="004E45CD">
        <w:t>h</w:t>
      </w:r>
      <w:r w:rsidR="007A7D70">
        <w:t xml:space="preserve">eadline </w:t>
      </w:r>
      <w:r w:rsidR="004E45CD">
        <w:t>m</w:t>
      </w:r>
      <w:r w:rsidR="00D10B9E" w:rsidRPr="00A071BF">
        <w:t xml:space="preserve">easures – </w:t>
      </w:r>
      <w:r w:rsidR="006A2841">
        <w:t>total</w:t>
      </w:r>
      <w:bookmarkEnd w:id="42"/>
    </w:p>
    <w:p w14:paraId="67A58894" w14:textId="3D7E0EA5" w:rsidR="008B1347" w:rsidRPr="008B1347" w:rsidRDefault="008B1347" w:rsidP="008B1347">
      <w:pPr>
        <w:pStyle w:val="Body"/>
      </w:pPr>
      <w:r>
        <w:t xml:space="preserve">Sections 3.1.1 and 3.1.2 present the RTW </w:t>
      </w:r>
      <w:r w:rsidR="0079209F">
        <w:t xml:space="preserve">headline </w:t>
      </w:r>
      <w:r>
        <w:t xml:space="preserve">measures for the total sample. All survey respondents are included in the base for these results; for </w:t>
      </w:r>
      <w:r w:rsidR="00E92B2B">
        <w:t>2018</w:t>
      </w:r>
      <w:r>
        <w:t xml:space="preserve"> the </w:t>
      </w:r>
      <w:r w:rsidR="0079209F">
        <w:t>total sample</w:t>
      </w:r>
      <w:r>
        <w:t xml:space="preserve"> size was n=4,602.</w:t>
      </w:r>
    </w:p>
    <w:p w14:paraId="24B690DD" w14:textId="2804A117" w:rsidR="00CD39CA" w:rsidRDefault="00A071BF" w:rsidP="003D1A69">
      <w:pPr>
        <w:pStyle w:val="Heading4"/>
      </w:pPr>
      <w:r w:rsidRPr="00A071BF">
        <w:t>Returned to Work rate (</w:t>
      </w:r>
      <w:r w:rsidR="009734BF">
        <w:t>t</w:t>
      </w:r>
      <w:r w:rsidRPr="00A071BF">
        <w:t>otal)</w:t>
      </w:r>
    </w:p>
    <w:p w14:paraId="1ECB448A" w14:textId="2F2FE388" w:rsidR="00BF6131" w:rsidRDefault="00BF6131" w:rsidP="00A071BF">
      <w:pPr>
        <w:pStyle w:val="Body"/>
      </w:pPr>
      <w:r w:rsidRPr="00CE5403">
        <w:t xml:space="preserve">Overall, </w:t>
      </w:r>
      <w:r>
        <w:t xml:space="preserve">at a national level, </w:t>
      </w:r>
      <w:r w:rsidRPr="00CE5403">
        <w:t>the</w:t>
      </w:r>
      <w:r>
        <w:t xml:space="preserve"> total</w:t>
      </w:r>
      <w:r w:rsidRPr="00CE5403">
        <w:t xml:space="preserve"> </w:t>
      </w:r>
      <w:r w:rsidRPr="00DB2EC7">
        <w:rPr>
          <w:i/>
        </w:rPr>
        <w:t>Returned to Work Rate</w:t>
      </w:r>
      <w:r w:rsidRPr="00CE5403">
        <w:t xml:space="preserve"> </w:t>
      </w:r>
      <w:r>
        <w:t xml:space="preserve">was consistent with the past two </w:t>
      </w:r>
      <w:r w:rsidRPr="00CE5403">
        <w:t>wave</w:t>
      </w:r>
      <w:r>
        <w:t>s</w:t>
      </w:r>
      <w:r w:rsidRPr="00CE5403">
        <w:t xml:space="preserve"> of </w:t>
      </w:r>
      <w:r>
        <w:t xml:space="preserve">the </w:t>
      </w:r>
      <w:r w:rsidRPr="00CE5403">
        <w:t>NRTW</w:t>
      </w:r>
      <w:r>
        <w:t>S (see</w:t>
      </w:r>
      <w:r w:rsidR="00834437">
        <w:t xml:space="preserve"> Figure </w:t>
      </w:r>
      <w:r w:rsidR="00834437">
        <w:rPr>
          <w:noProof/>
        </w:rPr>
        <w:t>2</w:t>
      </w:r>
      <w:r w:rsidR="001D5FF1">
        <w:rPr>
          <w:noProof/>
        </w:rPr>
        <w:t>,</w:t>
      </w:r>
      <w:r w:rsidR="00AA5106">
        <w:rPr>
          <w:noProof/>
        </w:rPr>
        <w:t xml:space="preserve"> overleaf</w:t>
      </w:r>
      <w:r>
        <w:t>).</w:t>
      </w:r>
    </w:p>
    <w:p w14:paraId="5AAB6323" w14:textId="407D27B3" w:rsidR="00A071BF" w:rsidRDefault="006F0E11" w:rsidP="00A071BF">
      <w:pPr>
        <w:pStyle w:val="Body"/>
      </w:pPr>
      <w:r>
        <w:t>At</w:t>
      </w:r>
      <w:r w:rsidR="00B64859">
        <w:t xml:space="preserve"> the</w:t>
      </w:r>
      <w:r>
        <w:t xml:space="preserve"> jurisdiction level, some variation in </w:t>
      </w:r>
      <w:r w:rsidR="00A071BF" w:rsidRPr="00CE0EE2">
        <w:t>the</w:t>
      </w:r>
      <w:r w:rsidR="00A071BF">
        <w:t xml:space="preserve"> total</w:t>
      </w:r>
      <w:r w:rsidR="00A071BF" w:rsidRPr="00CE0EE2">
        <w:t xml:space="preserve"> </w:t>
      </w:r>
      <w:r w:rsidR="00A071BF" w:rsidRPr="00DB2EC7">
        <w:rPr>
          <w:i/>
        </w:rPr>
        <w:t>Returned to Work Rate</w:t>
      </w:r>
      <w:r w:rsidR="00A071BF" w:rsidRPr="00BA76F8">
        <w:t xml:space="preserve"> for</w:t>
      </w:r>
      <w:r>
        <w:t xml:space="preserve"> </w:t>
      </w:r>
      <w:r w:rsidR="00E92B2B">
        <w:t>2018</w:t>
      </w:r>
      <w:r>
        <w:t xml:space="preserve"> </w:t>
      </w:r>
      <w:r w:rsidR="00F42ED0">
        <w:t>was</w:t>
      </w:r>
      <w:r>
        <w:t xml:space="preserve"> evident</w:t>
      </w:r>
      <w:r w:rsidR="00F42ED0">
        <w:t>, as shown in Figure 3</w:t>
      </w:r>
      <w:r w:rsidR="0031421F">
        <w:t xml:space="preserve"> (overleaf)</w:t>
      </w:r>
      <w:r>
        <w:t>.</w:t>
      </w:r>
      <w:r w:rsidR="00A071BF" w:rsidRPr="00BA76F8">
        <w:t xml:space="preserve"> </w:t>
      </w:r>
      <w:r>
        <w:t xml:space="preserve">The </w:t>
      </w:r>
      <w:r w:rsidR="00A071BF">
        <w:t>ACT (9</w:t>
      </w:r>
      <w:r w:rsidR="00D85811">
        <w:t>5.6%), Queensland (93.8</w:t>
      </w:r>
      <w:r w:rsidR="00A071BF">
        <w:t>%) and Comcare (94</w:t>
      </w:r>
      <w:r w:rsidR="00D85811">
        <w:t>.2</w:t>
      </w:r>
      <w:r w:rsidR="00A071BF">
        <w:t>%)</w:t>
      </w:r>
      <w:r w:rsidR="00A071BF" w:rsidRPr="00CB0AFB">
        <w:t xml:space="preserve"> </w:t>
      </w:r>
      <w:r w:rsidR="00A071BF" w:rsidRPr="00BA76F8">
        <w:t>w</w:t>
      </w:r>
      <w:r>
        <w:t xml:space="preserve">ere all </w:t>
      </w:r>
      <w:r w:rsidR="00A071BF" w:rsidRPr="00BA76F8">
        <w:t>higher than the national rate</w:t>
      </w:r>
      <w:r>
        <w:t xml:space="preserve">. </w:t>
      </w:r>
      <w:r w:rsidR="00A071BF">
        <w:t>NSW and WA were both in l</w:t>
      </w:r>
      <w:r w:rsidR="00D85811">
        <w:t>ine with the national rate at 92.7</w:t>
      </w:r>
      <w:r w:rsidR="00A071BF">
        <w:t xml:space="preserve">%. </w:t>
      </w:r>
      <w:r w:rsidR="00A071BF" w:rsidRPr="00BA76F8">
        <w:t>Tasmania (</w:t>
      </w:r>
      <w:r w:rsidR="00A071BF">
        <w:t>92</w:t>
      </w:r>
      <w:r w:rsidR="00D85811">
        <w:t>.2</w:t>
      </w:r>
      <w:r w:rsidR="00A071BF" w:rsidRPr="00BA76F8">
        <w:t>%)</w:t>
      </w:r>
      <w:r w:rsidR="00D85811">
        <w:t>, Victoria (90.8</w:t>
      </w:r>
      <w:r w:rsidR="00A071BF">
        <w:t>%) and Northern Territory (9</w:t>
      </w:r>
      <w:r w:rsidR="00D85811">
        <w:t>0.7</w:t>
      </w:r>
      <w:r w:rsidR="00A071BF">
        <w:t>%) were all slightly lower than the national rate. T</w:t>
      </w:r>
      <w:r w:rsidR="00A071BF" w:rsidRPr="00CE0EE2">
        <w:t>he</w:t>
      </w:r>
      <w:r w:rsidR="00A071BF">
        <w:t xml:space="preserve"> total</w:t>
      </w:r>
      <w:r w:rsidR="00A071BF" w:rsidRPr="00CE0EE2">
        <w:t xml:space="preserve"> </w:t>
      </w:r>
      <w:r w:rsidR="00A071BF" w:rsidRPr="00DB2EC7">
        <w:rPr>
          <w:i/>
        </w:rPr>
        <w:t>Returned to Work Rate</w:t>
      </w:r>
      <w:r w:rsidR="00A071BF" w:rsidRPr="00BA76F8">
        <w:t xml:space="preserve"> </w:t>
      </w:r>
      <w:r w:rsidR="00A071BF">
        <w:t>for Seacare was significantly lower tha</w:t>
      </w:r>
      <w:r>
        <w:t>n other jurisdictions at 80</w:t>
      </w:r>
      <w:r w:rsidR="00D85811">
        <w:t>.5</w:t>
      </w:r>
      <w:r>
        <w:t>%.</w:t>
      </w:r>
    </w:p>
    <w:p w14:paraId="58C693F1" w14:textId="77777777" w:rsidR="006F0E11" w:rsidRDefault="006F0E11">
      <w:pPr>
        <w:rPr>
          <w:rFonts w:ascii="Arial Bold" w:eastAsia="Times New Roman" w:hAnsi="Arial Bold" w:cs="Times New Roman"/>
          <w:b/>
          <w:bCs/>
          <w:color w:val="1F688D"/>
          <w:szCs w:val="18"/>
        </w:rPr>
      </w:pPr>
      <w:r>
        <w:br w:type="page"/>
      </w:r>
    </w:p>
    <w:p w14:paraId="4ED62E6D" w14:textId="5B7B6D17" w:rsidR="00BF6131" w:rsidRDefault="00BF6131" w:rsidP="00D0461D">
      <w:pPr>
        <w:pStyle w:val="Caption"/>
      </w:pPr>
      <w:bookmarkStart w:id="43" w:name="_Ref524105930"/>
      <w:bookmarkStart w:id="44" w:name="_Toc528056569"/>
      <w:r>
        <w:lastRenderedPageBreak/>
        <w:t xml:space="preserve">Figure </w:t>
      </w:r>
      <w:r w:rsidR="006A2841">
        <w:rPr>
          <w:noProof/>
        </w:rPr>
        <w:fldChar w:fldCharType="begin"/>
      </w:r>
      <w:r w:rsidR="006A2841">
        <w:rPr>
          <w:noProof/>
        </w:rPr>
        <w:instrText xml:space="preserve"> SEQ Figure \* ARABIC </w:instrText>
      </w:r>
      <w:r w:rsidR="006A2841">
        <w:rPr>
          <w:noProof/>
        </w:rPr>
        <w:fldChar w:fldCharType="separate"/>
      </w:r>
      <w:r w:rsidR="00B9340A">
        <w:rPr>
          <w:noProof/>
        </w:rPr>
        <w:t>2</w:t>
      </w:r>
      <w:r w:rsidR="006A2841">
        <w:rPr>
          <w:noProof/>
        </w:rPr>
        <w:fldChar w:fldCharType="end"/>
      </w:r>
      <w:bookmarkEnd w:id="43"/>
      <w:r>
        <w:tab/>
      </w:r>
      <w:r w:rsidR="00653402">
        <w:t xml:space="preserve">Returned to Work </w:t>
      </w:r>
      <w:r w:rsidR="004E45CD">
        <w:t xml:space="preserve">Rate </w:t>
      </w:r>
      <w:r w:rsidR="00653402">
        <w:t xml:space="preserve">by </w:t>
      </w:r>
      <w:r w:rsidR="001F2214">
        <w:t xml:space="preserve">national time series </w:t>
      </w:r>
      <w:r>
        <w:t>(%)</w:t>
      </w:r>
      <w:bookmarkEnd w:id="44"/>
    </w:p>
    <w:p w14:paraId="09BFFBC5" w14:textId="35F5B204" w:rsidR="00BF6131" w:rsidRPr="00784056" w:rsidRDefault="00BF6131" w:rsidP="00BF6131">
      <w:pPr>
        <w:pStyle w:val="Body"/>
        <w:rPr>
          <w:sz w:val="18"/>
        </w:rPr>
      </w:pPr>
      <w:r w:rsidRPr="00784056">
        <w:rPr>
          <w:sz w:val="18"/>
        </w:rPr>
        <w:t>RTW1.</w:t>
      </w:r>
      <w:r w:rsidRPr="00784056">
        <w:rPr>
          <w:sz w:val="18"/>
        </w:rPr>
        <w:tab/>
      </w:r>
      <w:r w:rsidRPr="00784056">
        <w:rPr>
          <w:sz w:val="18"/>
        </w:rPr>
        <w:tab/>
        <w:t>Have you returned to work at any time since your work-related injury or illness?</w:t>
      </w:r>
    </w:p>
    <w:p w14:paraId="252A64D2" w14:textId="6F8172D0" w:rsidR="00BF6131" w:rsidRDefault="003D6248" w:rsidP="00BF6131">
      <w:pPr>
        <w:pStyle w:val="Body"/>
      </w:pPr>
      <w:r>
        <w:rPr>
          <w:noProof/>
          <w:lang w:eastAsia="en-AU"/>
        </w:rPr>
        <w:drawing>
          <wp:inline distT="0" distB="0" distL="0" distR="0" wp14:anchorId="1646495F" wp14:editId="037D27A1">
            <wp:extent cx="5759450" cy="2159635"/>
            <wp:effectExtent l="0" t="0" r="12700" b="12065"/>
            <wp:docPr id="203" name="Chart 203" descr="This chart presents a time series of the returned to work rate for the total cohort. The findings are discussed in the text above.">
              <a:extLst xmlns:a="http://schemas.openxmlformats.org/drawingml/2006/main">
                <a:ext uri="{FF2B5EF4-FFF2-40B4-BE49-F238E27FC236}">
                  <a16:creationId xmlns:a16="http://schemas.microsoft.com/office/drawing/2014/main" id="{3FDB2661-6777-47B0-A703-43BE245466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4519337" w14:textId="406944B6" w:rsidR="00BF6131" w:rsidRDefault="00BF6131" w:rsidP="003D6248">
      <w:pPr>
        <w:pStyle w:val="FigureNote"/>
      </w:pPr>
      <w:r w:rsidRPr="00EC47F8">
        <w:t>Base</w:t>
      </w:r>
      <w:r w:rsidR="00002D54">
        <w:t>:</w:t>
      </w:r>
      <w:r w:rsidRPr="00EC47F8">
        <w:tab/>
      </w:r>
      <w:r w:rsidR="00653402">
        <w:t xml:space="preserve">All respondents - Balance and </w:t>
      </w:r>
      <w:r w:rsidR="00653402" w:rsidRPr="00EC47F8">
        <w:t xml:space="preserve">Historic </w:t>
      </w:r>
      <w:r w:rsidR="00653402">
        <w:t>cohorts.</w:t>
      </w:r>
      <w:r w:rsidR="00002D54">
        <w:t xml:space="preserve"> 2</w:t>
      </w:r>
      <w:r>
        <w:t xml:space="preserve">013 </w:t>
      </w:r>
      <w:r w:rsidRPr="00F71709">
        <w:t>(n</w:t>
      </w:r>
      <w:r w:rsidR="006205B1">
        <w:t xml:space="preserve"> </w:t>
      </w:r>
      <w:r w:rsidRPr="00F71709">
        <w:t>=</w:t>
      </w:r>
      <w:r w:rsidR="006205B1">
        <w:t xml:space="preserve"> </w:t>
      </w:r>
      <w:r>
        <w:t xml:space="preserve">4,698), 2014 </w:t>
      </w:r>
      <w:r w:rsidRPr="00F71709">
        <w:t>(n</w:t>
      </w:r>
      <w:r w:rsidR="006205B1">
        <w:t xml:space="preserve"> </w:t>
      </w:r>
      <w:r w:rsidRPr="00F71709">
        <w:t>=</w:t>
      </w:r>
      <w:r w:rsidR="006205B1">
        <w:t xml:space="preserve"> </w:t>
      </w:r>
      <w:r>
        <w:t>4,679</w:t>
      </w:r>
      <w:r w:rsidRPr="00F71709">
        <w:t xml:space="preserve">), </w:t>
      </w:r>
      <w:r w:rsidR="00E92B2B">
        <w:t>2016</w:t>
      </w:r>
      <w:r w:rsidRPr="00F71709">
        <w:t xml:space="preserve"> (n</w:t>
      </w:r>
      <w:r w:rsidR="006205B1">
        <w:t xml:space="preserve"> </w:t>
      </w:r>
      <w:r w:rsidRPr="00F71709">
        <w:t>=</w:t>
      </w:r>
      <w:r w:rsidR="006205B1">
        <w:t xml:space="preserve"> </w:t>
      </w:r>
      <w:r>
        <w:t>5,124</w:t>
      </w:r>
      <w:r w:rsidRPr="00F71709">
        <w:t>),</w:t>
      </w:r>
      <w:r>
        <w:t xml:space="preserve"> </w:t>
      </w:r>
      <w:r w:rsidR="00E92B2B">
        <w:t>2018</w:t>
      </w:r>
      <w:r w:rsidRPr="00F71709">
        <w:t xml:space="preserve"> (n</w:t>
      </w:r>
      <w:r w:rsidR="006205B1">
        <w:t xml:space="preserve"> </w:t>
      </w:r>
      <w:r w:rsidRPr="00F71709">
        <w:t>=</w:t>
      </w:r>
      <w:r w:rsidR="006205B1">
        <w:t xml:space="preserve"> </w:t>
      </w:r>
      <w:r>
        <w:t>4,602</w:t>
      </w:r>
      <w:r w:rsidR="007A7D70">
        <w:t>).</w:t>
      </w:r>
    </w:p>
    <w:p w14:paraId="06A4AD3E" w14:textId="73EDB2EA" w:rsidR="00002D54" w:rsidRPr="00611565" w:rsidRDefault="00002D54" w:rsidP="00011EAE">
      <w:pPr>
        <w:pStyle w:val="FigureNote"/>
        <w:rPr>
          <w:szCs w:val="16"/>
        </w:rPr>
      </w:pPr>
      <w:r w:rsidRPr="00002D54">
        <w:rPr>
          <w:szCs w:val="16"/>
        </w:rPr>
        <w:t>Note</w:t>
      </w:r>
      <w:r>
        <w:rPr>
          <w:szCs w:val="16"/>
        </w:rPr>
        <w:t>:</w:t>
      </w:r>
      <w:r w:rsidRPr="00002D54">
        <w:rPr>
          <w:szCs w:val="16"/>
        </w:rPr>
        <w:tab/>
        <w:t xml:space="preserve">Asterisks indicate statistically significant difference from the previous year (single </w:t>
      </w:r>
      <w:r w:rsidRPr="00611565">
        <w:rPr>
          <w:szCs w:val="16"/>
        </w:rPr>
        <w:t>asterisk (*) indicates a lower proportion; double asterisk (**)</w:t>
      </w:r>
      <w:r w:rsidR="003E25AE">
        <w:rPr>
          <w:szCs w:val="16"/>
        </w:rPr>
        <w:t xml:space="preserve"> indicates a higher proportion)</w:t>
      </w:r>
      <w:r w:rsidR="003E25AE" w:rsidRPr="003E25AE">
        <w:t xml:space="preserve"> </w:t>
      </w:r>
      <w:r w:rsidR="003E25AE" w:rsidRPr="003E25AE">
        <w:rPr>
          <w:szCs w:val="16"/>
        </w:rPr>
        <w:t>(p-value &lt;=0.05).</w:t>
      </w:r>
    </w:p>
    <w:p w14:paraId="39316AAD" w14:textId="77777777" w:rsidR="00002D54" w:rsidRDefault="00002D54" w:rsidP="00D0461D">
      <w:pPr>
        <w:pStyle w:val="Caption"/>
      </w:pPr>
    </w:p>
    <w:p w14:paraId="3570F1D2" w14:textId="4015AA04" w:rsidR="00A071BF" w:rsidRDefault="00A071BF" w:rsidP="00D0461D">
      <w:pPr>
        <w:pStyle w:val="Caption"/>
      </w:pPr>
      <w:bookmarkStart w:id="45" w:name="_Toc528056570"/>
      <w:r>
        <w:t xml:space="preserve">Figure </w:t>
      </w:r>
      <w:r w:rsidR="006A2841">
        <w:rPr>
          <w:noProof/>
        </w:rPr>
        <w:fldChar w:fldCharType="begin"/>
      </w:r>
      <w:r w:rsidR="006A2841">
        <w:rPr>
          <w:noProof/>
        </w:rPr>
        <w:instrText xml:space="preserve"> SEQ Figure \* ARABIC </w:instrText>
      </w:r>
      <w:r w:rsidR="006A2841">
        <w:rPr>
          <w:noProof/>
        </w:rPr>
        <w:fldChar w:fldCharType="separate"/>
      </w:r>
      <w:r w:rsidR="00B9340A">
        <w:rPr>
          <w:noProof/>
        </w:rPr>
        <w:t>3</w:t>
      </w:r>
      <w:r w:rsidR="006A2841">
        <w:rPr>
          <w:noProof/>
        </w:rPr>
        <w:fldChar w:fldCharType="end"/>
      </w:r>
      <w:r>
        <w:tab/>
      </w:r>
      <w:r w:rsidR="00653402">
        <w:t xml:space="preserve">Returned to Work </w:t>
      </w:r>
      <w:r w:rsidR="009734BF">
        <w:t>R</w:t>
      </w:r>
      <w:r w:rsidR="00653402">
        <w:t>ate</w:t>
      </w:r>
      <w:r>
        <w:t xml:space="preserve"> by </w:t>
      </w:r>
      <w:r w:rsidR="007A081F">
        <w:t>jurisdiction – 2</w:t>
      </w:r>
      <w:r w:rsidR="00653402">
        <w:t xml:space="preserve">018 </w:t>
      </w:r>
      <w:r>
        <w:t>(%)</w:t>
      </w:r>
      <w:bookmarkEnd w:id="45"/>
    </w:p>
    <w:p w14:paraId="48F9D024" w14:textId="67335442" w:rsidR="00A071BF" w:rsidRPr="00E27C37" w:rsidRDefault="00A071BF" w:rsidP="00A071BF">
      <w:pPr>
        <w:pStyle w:val="Body"/>
        <w:rPr>
          <w:i/>
          <w:sz w:val="18"/>
        </w:rPr>
      </w:pPr>
      <w:r w:rsidRPr="005667D5">
        <w:rPr>
          <w:sz w:val="18"/>
        </w:rPr>
        <w:t>RTW1.</w:t>
      </w:r>
      <w:r w:rsidRPr="005667D5">
        <w:rPr>
          <w:sz w:val="18"/>
        </w:rPr>
        <w:tab/>
      </w:r>
      <w:r w:rsidRPr="005667D5">
        <w:rPr>
          <w:sz w:val="18"/>
        </w:rPr>
        <w:tab/>
        <w:t>Have you returned to work at any time since your work-related injury or illness</w:t>
      </w:r>
      <w:r w:rsidRPr="00E27C37">
        <w:rPr>
          <w:i/>
          <w:sz w:val="18"/>
        </w:rPr>
        <w:t>?</w:t>
      </w:r>
    </w:p>
    <w:p w14:paraId="32B2E087" w14:textId="7537EB1A" w:rsidR="00A071BF" w:rsidRDefault="00A071BF" w:rsidP="00A071BF">
      <w:pPr>
        <w:pStyle w:val="Body"/>
      </w:pPr>
      <w:r>
        <w:rPr>
          <w:noProof/>
          <w:lang w:eastAsia="en-AU"/>
        </w:rPr>
        <w:drawing>
          <wp:inline distT="0" distB="0" distL="0" distR="0" wp14:anchorId="7BEF7154" wp14:editId="70121360">
            <wp:extent cx="5759450" cy="2160000"/>
            <wp:effectExtent l="0" t="0" r="12700" b="12065"/>
            <wp:docPr id="3" name="Chart 3" descr="This chart presents a jursidictional comparison of the returned to work rate for the total cohort. The findings are discussed in the text above.">
              <a:extLst xmlns:a="http://schemas.openxmlformats.org/drawingml/2006/main">
                <a:ext uri="{FF2B5EF4-FFF2-40B4-BE49-F238E27FC236}">
                  <a16:creationId xmlns:a16="http://schemas.microsoft.com/office/drawing/2014/main" id="{1A95B4C7-0981-4291-9838-2361683069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9F4B6B1" w14:textId="03B1BB20" w:rsidR="00A071BF" w:rsidRDefault="00A071BF" w:rsidP="00002D54">
      <w:pPr>
        <w:pStyle w:val="FigureNote"/>
      </w:pPr>
      <w:r w:rsidRPr="00EC47F8">
        <w:t>Base</w:t>
      </w:r>
      <w:r w:rsidR="00002D54">
        <w:t>:</w:t>
      </w:r>
      <w:r w:rsidRPr="00EC47F8">
        <w:tab/>
      </w:r>
      <w:r w:rsidR="00653402">
        <w:t xml:space="preserve">All respondents - Balance and </w:t>
      </w:r>
      <w:r w:rsidR="00653402" w:rsidRPr="00EC47F8">
        <w:t xml:space="preserve">Historic </w:t>
      </w:r>
      <w:r w:rsidR="00653402">
        <w:t>cohorts.</w:t>
      </w:r>
      <w:r w:rsidR="00002D54">
        <w:t xml:space="preserve"> </w:t>
      </w:r>
      <w:r w:rsidRPr="00F71709">
        <w:t>Aus</w:t>
      </w:r>
      <w:r>
        <w:t>tralia</w:t>
      </w:r>
      <w:r w:rsidRPr="00F71709">
        <w:t xml:space="preserve"> (n</w:t>
      </w:r>
      <w:r w:rsidR="006205B1">
        <w:t xml:space="preserve"> </w:t>
      </w:r>
      <w:r w:rsidRPr="00F71709">
        <w:t>=</w:t>
      </w:r>
      <w:r w:rsidR="006205B1">
        <w:t xml:space="preserve"> </w:t>
      </w:r>
      <w:r>
        <w:t>4,602</w:t>
      </w:r>
      <w:r w:rsidRPr="00F71709">
        <w:t>), VIC (n</w:t>
      </w:r>
      <w:r w:rsidR="006205B1">
        <w:t xml:space="preserve"> </w:t>
      </w:r>
      <w:r w:rsidRPr="00F71709">
        <w:t>=</w:t>
      </w:r>
      <w:r w:rsidR="006205B1">
        <w:t xml:space="preserve"> </w:t>
      </w:r>
      <w:r>
        <w:t>805</w:t>
      </w:r>
      <w:r w:rsidRPr="00F71709">
        <w:t>), QLD (n</w:t>
      </w:r>
      <w:r w:rsidR="006205B1">
        <w:t xml:space="preserve"> </w:t>
      </w:r>
      <w:r w:rsidRPr="00F71709">
        <w:t>=</w:t>
      </w:r>
      <w:r w:rsidR="006205B1">
        <w:t xml:space="preserve"> </w:t>
      </w:r>
      <w:r>
        <w:t>809</w:t>
      </w:r>
      <w:r w:rsidRPr="00F71709">
        <w:t>), WA (n</w:t>
      </w:r>
      <w:r w:rsidR="006205B1">
        <w:t xml:space="preserve"> </w:t>
      </w:r>
      <w:r w:rsidRPr="00F71709">
        <w:t>=</w:t>
      </w:r>
      <w:r w:rsidR="006205B1">
        <w:t xml:space="preserve"> </w:t>
      </w:r>
      <w:r>
        <w:t>513</w:t>
      </w:r>
      <w:r w:rsidRPr="00F71709">
        <w:t>), TAS (n</w:t>
      </w:r>
      <w:r w:rsidR="006205B1">
        <w:t xml:space="preserve"> </w:t>
      </w:r>
      <w:r w:rsidRPr="00F71709">
        <w:t>=</w:t>
      </w:r>
      <w:r w:rsidR="006205B1">
        <w:t xml:space="preserve"> </w:t>
      </w:r>
      <w:r>
        <w:t>482</w:t>
      </w:r>
      <w:r w:rsidRPr="00F71709">
        <w:t>), NT (n</w:t>
      </w:r>
      <w:r w:rsidR="006205B1">
        <w:t xml:space="preserve"> </w:t>
      </w:r>
      <w:r w:rsidRPr="00F71709">
        <w:t>=</w:t>
      </w:r>
      <w:r w:rsidR="006205B1">
        <w:t xml:space="preserve"> </w:t>
      </w:r>
      <w:r>
        <w:t>150</w:t>
      </w:r>
      <w:r w:rsidRPr="00F71709">
        <w:t>), ACT (n</w:t>
      </w:r>
      <w:r w:rsidR="006205B1">
        <w:t xml:space="preserve"> </w:t>
      </w:r>
      <w:r w:rsidRPr="00F71709">
        <w:t>=</w:t>
      </w:r>
      <w:r w:rsidR="006205B1">
        <w:t xml:space="preserve"> </w:t>
      </w:r>
      <w:r>
        <w:t>150</w:t>
      </w:r>
      <w:r w:rsidRPr="00F71709">
        <w:t>), Comcare (n</w:t>
      </w:r>
      <w:r w:rsidR="006205B1">
        <w:t xml:space="preserve"> </w:t>
      </w:r>
      <w:r w:rsidRPr="00F71709">
        <w:t>=</w:t>
      </w:r>
      <w:r w:rsidR="006205B1">
        <w:t xml:space="preserve"> </w:t>
      </w:r>
      <w:r>
        <w:t>770</w:t>
      </w:r>
      <w:r w:rsidRPr="00F71709">
        <w:t>)</w:t>
      </w:r>
      <w:r>
        <w:t>, Seacare</w:t>
      </w:r>
      <w:r w:rsidR="00013ECC">
        <w:t xml:space="preserve"> (n = 58), </w:t>
      </w:r>
      <w:r w:rsidR="00013ECC" w:rsidRPr="00F71709">
        <w:t>NSW (n</w:t>
      </w:r>
      <w:r w:rsidR="00013ECC">
        <w:t xml:space="preserve"> </w:t>
      </w:r>
      <w:r w:rsidR="00013ECC" w:rsidRPr="00F71709">
        <w:t>=</w:t>
      </w:r>
      <w:r w:rsidR="00013ECC">
        <w:t xml:space="preserve"> 865</w:t>
      </w:r>
      <w:r w:rsidR="00013ECC" w:rsidRPr="00F71709">
        <w:t>)</w:t>
      </w:r>
      <w:r w:rsidR="00013ECC">
        <w:t>.</w:t>
      </w:r>
    </w:p>
    <w:p w14:paraId="3755A1C6" w14:textId="7561B97B" w:rsidR="008E09C0" w:rsidRPr="00611565" w:rsidRDefault="008E09C0" w:rsidP="00002D54">
      <w:pPr>
        <w:pStyle w:val="FigureNote"/>
      </w:pPr>
      <w:bookmarkStart w:id="46" w:name="_Hlk524359883"/>
      <w:r>
        <w:t>Note:</w:t>
      </w:r>
      <w:r>
        <w:tab/>
      </w:r>
      <w:r w:rsidRPr="008E09C0">
        <w:t xml:space="preserve">Asterisks indicate statistically significant difference between </w:t>
      </w:r>
      <w:r w:rsidRPr="00611565">
        <w:t>jurisdiction and aggregate of all other jurisdictions (single asterisk (*) indicates a lower proportion; double asterisk (**) indicates a higher proportion</w:t>
      </w:r>
      <w:r w:rsidR="00002D54" w:rsidRPr="00611565">
        <w:t>)</w:t>
      </w:r>
      <w:r w:rsidR="003E25AE">
        <w:t xml:space="preserve"> (p-value &lt;=0.05).</w:t>
      </w:r>
    </w:p>
    <w:bookmarkEnd w:id="46"/>
    <w:p w14:paraId="6881A8B4" w14:textId="77777777" w:rsidR="00BF6131" w:rsidRPr="00611565" w:rsidRDefault="00BF6131" w:rsidP="00BF6131">
      <w:pPr>
        <w:pStyle w:val="Body"/>
        <w:spacing w:before="0" w:line="240" w:lineRule="auto"/>
        <w:rPr>
          <w:i/>
          <w:sz w:val="16"/>
          <w:szCs w:val="16"/>
        </w:rPr>
      </w:pPr>
    </w:p>
    <w:p w14:paraId="0F62548C" w14:textId="77777777" w:rsidR="008E09C0" w:rsidRDefault="008E09C0">
      <w:pPr>
        <w:rPr>
          <w:b/>
          <w:color w:val="1F688D"/>
          <w:sz w:val="22"/>
        </w:rPr>
      </w:pPr>
      <w:bookmarkStart w:id="47" w:name="_Toc518982081"/>
      <w:r>
        <w:br w:type="page"/>
      </w:r>
    </w:p>
    <w:p w14:paraId="70B189AB" w14:textId="35B65599" w:rsidR="00A071BF" w:rsidRDefault="00A071BF" w:rsidP="003D1A69">
      <w:pPr>
        <w:pStyle w:val="Heading4"/>
      </w:pPr>
      <w:r>
        <w:lastRenderedPageBreak/>
        <w:t xml:space="preserve">Current Return to Work </w:t>
      </w:r>
      <w:r w:rsidR="009734BF">
        <w:t>R</w:t>
      </w:r>
      <w:r>
        <w:t>ate</w:t>
      </w:r>
      <w:bookmarkEnd w:id="47"/>
      <w:r w:rsidR="007A081F">
        <w:t xml:space="preserve"> (t</w:t>
      </w:r>
      <w:r>
        <w:t>otal)</w:t>
      </w:r>
    </w:p>
    <w:p w14:paraId="71F8CF21" w14:textId="6D154658" w:rsidR="00E27C37" w:rsidRDefault="00E27C37" w:rsidP="00E27C37">
      <w:pPr>
        <w:pStyle w:val="Body"/>
      </w:pPr>
      <w:r w:rsidRPr="00CE5403">
        <w:t xml:space="preserve">Overall, </w:t>
      </w:r>
      <w:r>
        <w:t xml:space="preserve">at a national level, </w:t>
      </w:r>
      <w:r w:rsidRPr="00CE5403">
        <w:t>the</w:t>
      </w:r>
      <w:r>
        <w:t xml:space="preserve"> total</w:t>
      </w:r>
      <w:r w:rsidRPr="00CE5403">
        <w:t xml:space="preserve"> </w:t>
      </w:r>
      <w:r>
        <w:rPr>
          <w:i/>
        </w:rPr>
        <w:t>Current Return</w:t>
      </w:r>
      <w:r w:rsidRPr="00DB2EC7">
        <w:rPr>
          <w:i/>
        </w:rPr>
        <w:t xml:space="preserve"> to Work Rate</w:t>
      </w:r>
      <w:r w:rsidRPr="00CE5403">
        <w:t xml:space="preserve"> </w:t>
      </w:r>
      <w:r>
        <w:t xml:space="preserve">was consistent with the past two </w:t>
      </w:r>
      <w:r w:rsidRPr="00CE5403">
        <w:t>wave</w:t>
      </w:r>
      <w:r>
        <w:t>s</w:t>
      </w:r>
      <w:r w:rsidRPr="00CE5403">
        <w:t xml:space="preserve"> of </w:t>
      </w:r>
      <w:r>
        <w:t xml:space="preserve">the </w:t>
      </w:r>
      <w:r w:rsidRPr="00CE5403">
        <w:t>NRTW</w:t>
      </w:r>
      <w:r>
        <w:t>S (see Figure 4).</w:t>
      </w:r>
    </w:p>
    <w:p w14:paraId="1E4E5CFC" w14:textId="7ADD30F1" w:rsidR="006414BA" w:rsidRDefault="006414BA" w:rsidP="00D0461D">
      <w:pPr>
        <w:pStyle w:val="Caption"/>
      </w:pPr>
      <w:bookmarkStart w:id="48" w:name="_Ref518904484"/>
      <w:bookmarkStart w:id="49" w:name="_Toc528056571"/>
      <w:r>
        <w:t xml:space="preserve">Figure </w:t>
      </w:r>
      <w:r w:rsidR="006A2841">
        <w:rPr>
          <w:noProof/>
        </w:rPr>
        <w:fldChar w:fldCharType="begin"/>
      </w:r>
      <w:r w:rsidR="006A2841">
        <w:rPr>
          <w:noProof/>
        </w:rPr>
        <w:instrText xml:space="preserve"> SEQ Figure \* ARABIC </w:instrText>
      </w:r>
      <w:r w:rsidR="006A2841">
        <w:rPr>
          <w:noProof/>
        </w:rPr>
        <w:fldChar w:fldCharType="separate"/>
      </w:r>
      <w:r w:rsidR="00B9340A">
        <w:rPr>
          <w:noProof/>
        </w:rPr>
        <w:t>4</w:t>
      </w:r>
      <w:r w:rsidR="006A2841">
        <w:rPr>
          <w:noProof/>
        </w:rPr>
        <w:fldChar w:fldCharType="end"/>
      </w:r>
      <w:bookmarkEnd w:id="48"/>
      <w:r>
        <w:tab/>
        <w:t xml:space="preserve">Current Return to Work </w:t>
      </w:r>
      <w:r w:rsidR="009734BF">
        <w:t>R</w:t>
      </w:r>
      <w:r>
        <w:t>ate</w:t>
      </w:r>
      <w:r w:rsidR="00653402">
        <w:t xml:space="preserve"> by </w:t>
      </w:r>
      <w:r w:rsidR="001F2214">
        <w:t xml:space="preserve">national time series </w:t>
      </w:r>
      <w:r>
        <w:t>(%)</w:t>
      </w:r>
      <w:bookmarkEnd w:id="49"/>
      <w:r>
        <w:t xml:space="preserve"> </w:t>
      </w:r>
    </w:p>
    <w:p w14:paraId="3950C96F" w14:textId="77777777" w:rsidR="00E27C37" w:rsidRPr="005667D5" w:rsidRDefault="00E27C37" w:rsidP="00E27C37">
      <w:pPr>
        <w:pStyle w:val="Body"/>
        <w:spacing w:before="60" w:after="60"/>
        <w:rPr>
          <w:sz w:val="18"/>
        </w:rPr>
      </w:pPr>
      <w:r w:rsidRPr="005667D5">
        <w:rPr>
          <w:sz w:val="18"/>
        </w:rPr>
        <w:t>RTW1.</w:t>
      </w:r>
      <w:r w:rsidRPr="005667D5">
        <w:rPr>
          <w:sz w:val="18"/>
        </w:rPr>
        <w:tab/>
      </w:r>
      <w:r w:rsidRPr="005667D5">
        <w:rPr>
          <w:sz w:val="18"/>
        </w:rPr>
        <w:tab/>
        <w:t>Have you returned to work at any time since your work-related injury or illness?</w:t>
      </w:r>
    </w:p>
    <w:p w14:paraId="0A142EC6" w14:textId="70299AC2" w:rsidR="00E27C37" w:rsidRPr="005667D5" w:rsidRDefault="006414BA" w:rsidP="00E27C37">
      <w:pPr>
        <w:pStyle w:val="Body"/>
        <w:spacing w:before="60" w:after="60"/>
        <w:rPr>
          <w:sz w:val="18"/>
        </w:rPr>
      </w:pPr>
      <w:r w:rsidRPr="005667D5">
        <w:rPr>
          <w:sz w:val="18"/>
        </w:rPr>
        <w:t xml:space="preserve">RTW2. </w:t>
      </w:r>
      <w:r w:rsidRPr="005667D5">
        <w:rPr>
          <w:sz w:val="18"/>
        </w:rPr>
        <w:tab/>
      </w:r>
      <w:r w:rsidRPr="005667D5">
        <w:rPr>
          <w:sz w:val="18"/>
        </w:rPr>
        <w:tab/>
        <w:t>Are you c</w:t>
      </w:r>
      <w:r w:rsidR="00E27C37" w:rsidRPr="005667D5">
        <w:rPr>
          <w:sz w:val="18"/>
        </w:rPr>
        <w:t>urrently working in a paid job?</w:t>
      </w:r>
    </w:p>
    <w:p w14:paraId="47C65D94" w14:textId="4074DD27" w:rsidR="006414BA" w:rsidRDefault="003D6248" w:rsidP="006414BA">
      <w:pPr>
        <w:pStyle w:val="Body"/>
      </w:pPr>
      <w:r>
        <w:rPr>
          <w:noProof/>
          <w:lang w:eastAsia="en-AU"/>
        </w:rPr>
        <w:drawing>
          <wp:inline distT="0" distB="0" distL="0" distR="0" wp14:anchorId="371BA847" wp14:editId="732E9281">
            <wp:extent cx="5759450" cy="2159635"/>
            <wp:effectExtent l="0" t="0" r="12700" b="12065"/>
            <wp:docPr id="205" name="Chart 205" descr="This chart presents a time series of the current return to work rate for the total cohort.  There was limited change between years.">
              <a:extLst xmlns:a="http://schemas.openxmlformats.org/drawingml/2006/main">
                <a:ext uri="{FF2B5EF4-FFF2-40B4-BE49-F238E27FC236}">
                  <a16:creationId xmlns:a16="http://schemas.microsoft.com/office/drawing/2014/main" id="{70713C1C-9C24-47D1-85F9-14F304BCE0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AA8B7F8" w14:textId="02D0CF2E" w:rsidR="006414BA" w:rsidRDefault="006414BA" w:rsidP="003D6248">
      <w:pPr>
        <w:pStyle w:val="FigureNote"/>
      </w:pPr>
      <w:r w:rsidRPr="00EC47F8">
        <w:t>Base</w:t>
      </w:r>
      <w:r w:rsidR="00002D54">
        <w:t>:</w:t>
      </w:r>
      <w:r w:rsidRPr="00EC47F8">
        <w:tab/>
      </w:r>
      <w:r w:rsidR="00653402">
        <w:t xml:space="preserve">All respondents - Balance and </w:t>
      </w:r>
      <w:r w:rsidR="00653402" w:rsidRPr="00EC47F8">
        <w:t xml:space="preserve">Historic </w:t>
      </w:r>
      <w:r w:rsidR="00653402">
        <w:t>cohorts.</w:t>
      </w:r>
      <w:r w:rsidR="00002D54">
        <w:t xml:space="preserve"> </w:t>
      </w:r>
      <w:r>
        <w:t xml:space="preserve">2013 </w:t>
      </w:r>
      <w:r w:rsidRPr="00F71709">
        <w:t>(n=</w:t>
      </w:r>
      <w:r>
        <w:t xml:space="preserve">4,698), 2014 </w:t>
      </w:r>
      <w:r w:rsidRPr="00F71709">
        <w:t>(n=</w:t>
      </w:r>
      <w:r>
        <w:t>4,679</w:t>
      </w:r>
      <w:r w:rsidRPr="00F71709">
        <w:t xml:space="preserve">), </w:t>
      </w:r>
      <w:r>
        <w:t>2016</w:t>
      </w:r>
      <w:r w:rsidRPr="00F71709">
        <w:t xml:space="preserve"> (n=</w:t>
      </w:r>
      <w:r>
        <w:t>5,124</w:t>
      </w:r>
      <w:r w:rsidRPr="00F71709">
        <w:t>),</w:t>
      </w:r>
      <w:r>
        <w:t xml:space="preserve"> 2018</w:t>
      </w:r>
      <w:r w:rsidRPr="00F71709">
        <w:t xml:space="preserve"> (n=</w:t>
      </w:r>
      <w:r>
        <w:t>4,602</w:t>
      </w:r>
      <w:r w:rsidR="003B3ACE">
        <w:t>).</w:t>
      </w:r>
    </w:p>
    <w:p w14:paraId="44C9896D" w14:textId="122870FB" w:rsidR="00002D54" w:rsidRDefault="008E09C0" w:rsidP="00011EAE">
      <w:pPr>
        <w:pStyle w:val="FigureNote"/>
        <w:rPr>
          <w:szCs w:val="16"/>
        </w:rPr>
      </w:pPr>
      <w:r w:rsidRPr="00002D54">
        <w:rPr>
          <w:szCs w:val="16"/>
        </w:rPr>
        <w:t>Note:</w:t>
      </w:r>
      <w:r>
        <w:tab/>
      </w:r>
      <w:r w:rsidR="00002D54" w:rsidRPr="00887D32">
        <w:rPr>
          <w:szCs w:val="16"/>
        </w:rPr>
        <w:t xml:space="preserve">Asterisks indicate statistically significant difference from the </w:t>
      </w:r>
      <w:r w:rsidR="00002D54" w:rsidRPr="00611565">
        <w:rPr>
          <w:szCs w:val="16"/>
        </w:rPr>
        <w:t>previous year (single asterisk (*) indicates a lower proportion; double asterisk (**</w:t>
      </w:r>
      <w:r w:rsidR="003E25AE">
        <w:rPr>
          <w:szCs w:val="16"/>
        </w:rPr>
        <w:t xml:space="preserve">) indicates a higher proportion </w:t>
      </w:r>
      <w:r w:rsidR="003E25AE" w:rsidRPr="003E25AE">
        <w:rPr>
          <w:szCs w:val="16"/>
        </w:rPr>
        <w:t>(p-value &lt;=0.05).</w:t>
      </w:r>
    </w:p>
    <w:p w14:paraId="73CE26B8" w14:textId="46B04612" w:rsidR="005320D2" w:rsidRDefault="005320D2" w:rsidP="00002D54">
      <w:pPr>
        <w:ind w:left="720" w:hanging="720"/>
        <w:rPr>
          <w:sz w:val="16"/>
          <w:szCs w:val="16"/>
        </w:rPr>
      </w:pPr>
    </w:p>
    <w:p w14:paraId="2290F7A8" w14:textId="4602909A" w:rsidR="008E09C0" w:rsidRPr="00D17E58" w:rsidRDefault="005320D2" w:rsidP="005320D2">
      <w:pPr>
        <w:pStyle w:val="Body"/>
      </w:pPr>
      <w:r>
        <w:t xml:space="preserve">At jurisdiction level, as shown in Figure 5, the ACT (86.3%), Comcare (84.6%) and Queensland (83.4%) reported the highest total </w:t>
      </w:r>
      <w:r w:rsidRPr="00DB2EC7">
        <w:rPr>
          <w:i/>
        </w:rPr>
        <w:t>Current Return to Work Rate</w:t>
      </w:r>
      <w:r>
        <w:t xml:space="preserve"> followed by WA (82.1%), Victoria (81.0%), NSW (81.1%) and Tasmania (79.3%). The Northern Territory (73.4%) and Seacare (68.1%) reported a significantly lower rate than other jurisdictions.</w:t>
      </w:r>
    </w:p>
    <w:p w14:paraId="3DD5BBE9" w14:textId="0C008B1F" w:rsidR="00A071BF" w:rsidRDefault="00A071BF" w:rsidP="00D0461D">
      <w:pPr>
        <w:pStyle w:val="Caption"/>
      </w:pPr>
      <w:bookmarkStart w:id="50" w:name="_Toc528056572"/>
      <w:r>
        <w:t xml:space="preserve">Figure </w:t>
      </w:r>
      <w:r w:rsidR="006A2841">
        <w:rPr>
          <w:noProof/>
        </w:rPr>
        <w:fldChar w:fldCharType="begin"/>
      </w:r>
      <w:r w:rsidR="006A2841">
        <w:rPr>
          <w:noProof/>
        </w:rPr>
        <w:instrText xml:space="preserve"> SEQ Figure \* ARABIC </w:instrText>
      </w:r>
      <w:r w:rsidR="006A2841">
        <w:rPr>
          <w:noProof/>
        </w:rPr>
        <w:fldChar w:fldCharType="separate"/>
      </w:r>
      <w:r w:rsidR="00B9340A">
        <w:rPr>
          <w:noProof/>
        </w:rPr>
        <w:t>5</w:t>
      </w:r>
      <w:r w:rsidR="006A2841">
        <w:rPr>
          <w:noProof/>
        </w:rPr>
        <w:fldChar w:fldCharType="end"/>
      </w:r>
      <w:r>
        <w:tab/>
        <w:t xml:space="preserve">Current Return to Work </w:t>
      </w:r>
      <w:r w:rsidR="004E45CD">
        <w:t>R</w:t>
      </w:r>
      <w:r>
        <w:t xml:space="preserve">ate by </w:t>
      </w:r>
      <w:r w:rsidR="001F2214">
        <w:t>j</w:t>
      </w:r>
      <w:r>
        <w:t>urisdiction</w:t>
      </w:r>
      <w:r w:rsidR="007A081F">
        <w:t xml:space="preserve"> – 2</w:t>
      </w:r>
      <w:r w:rsidR="00653402">
        <w:t>018</w:t>
      </w:r>
      <w:r>
        <w:t xml:space="preserve"> (%)</w:t>
      </w:r>
      <w:bookmarkEnd w:id="50"/>
    </w:p>
    <w:p w14:paraId="34761D75" w14:textId="77777777" w:rsidR="00E27C37" w:rsidRPr="005667D5" w:rsidRDefault="00E27C37" w:rsidP="00E27C37">
      <w:pPr>
        <w:pStyle w:val="Body"/>
        <w:spacing w:before="60" w:after="60"/>
        <w:rPr>
          <w:sz w:val="18"/>
        </w:rPr>
      </w:pPr>
      <w:r w:rsidRPr="005667D5">
        <w:rPr>
          <w:sz w:val="18"/>
        </w:rPr>
        <w:t>RTW1.</w:t>
      </w:r>
      <w:r w:rsidRPr="005667D5">
        <w:rPr>
          <w:sz w:val="18"/>
        </w:rPr>
        <w:tab/>
      </w:r>
      <w:r w:rsidRPr="005667D5">
        <w:rPr>
          <w:sz w:val="18"/>
        </w:rPr>
        <w:tab/>
        <w:t>Have you returned to work at any time since your work-related injury or illness?</w:t>
      </w:r>
    </w:p>
    <w:p w14:paraId="4B96B0F0" w14:textId="3FC3B9D3" w:rsidR="00A071BF" w:rsidRPr="005667D5" w:rsidRDefault="00E27C37" w:rsidP="00E27C37">
      <w:pPr>
        <w:pStyle w:val="Body"/>
        <w:spacing w:before="60" w:after="60"/>
        <w:rPr>
          <w:sz w:val="18"/>
        </w:rPr>
      </w:pPr>
      <w:r w:rsidRPr="005667D5">
        <w:rPr>
          <w:sz w:val="18"/>
        </w:rPr>
        <w:t xml:space="preserve">RTW2. </w:t>
      </w:r>
      <w:r w:rsidRPr="005667D5">
        <w:rPr>
          <w:sz w:val="18"/>
        </w:rPr>
        <w:tab/>
      </w:r>
      <w:r w:rsidRPr="005667D5">
        <w:rPr>
          <w:sz w:val="18"/>
        </w:rPr>
        <w:tab/>
        <w:t>Are you currently working in a paid job?</w:t>
      </w:r>
    </w:p>
    <w:p w14:paraId="6F0EB21D" w14:textId="34778401" w:rsidR="00A071BF" w:rsidRDefault="003D6248" w:rsidP="00A071BF">
      <w:pPr>
        <w:pStyle w:val="Body"/>
      </w:pPr>
      <w:r>
        <w:rPr>
          <w:noProof/>
          <w:lang w:eastAsia="en-AU"/>
        </w:rPr>
        <w:drawing>
          <wp:inline distT="0" distB="0" distL="0" distR="0" wp14:anchorId="354200FD" wp14:editId="5F96B7EB">
            <wp:extent cx="5759450" cy="2159635"/>
            <wp:effectExtent l="0" t="0" r="12700" b="12065"/>
            <wp:docPr id="206" name="Chart 206" descr="This chart presents a jurisdictional comparison of the current return to work rate for the total cohort. The findings are discussed in the text above.">
              <a:extLst xmlns:a="http://schemas.openxmlformats.org/drawingml/2006/main">
                <a:ext uri="{FF2B5EF4-FFF2-40B4-BE49-F238E27FC236}">
                  <a16:creationId xmlns:a16="http://schemas.microsoft.com/office/drawing/2014/main" id="{37AD583B-07D8-4E29-97A0-1F07D2F0D2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B68F634" w14:textId="70C8EE07" w:rsidR="00A071BF" w:rsidRDefault="00A071BF" w:rsidP="00002D54">
      <w:pPr>
        <w:pStyle w:val="FigureNote"/>
      </w:pPr>
      <w:r w:rsidRPr="00EC47F8">
        <w:t>Base</w:t>
      </w:r>
      <w:r w:rsidRPr="00EC47F8">
        <w:tab/>
      </w:r>
      <w:r w:rsidR="00E27C37">
        <w:t>All respondents</w:t>
      </w:r>
      <w:r w:rsidR="00653402">
        <w:t xml:space="preserve"> - </w:t>
      </w:r>
      <w:r w:rsidR="00E27C37">
        <w:t xml:space="preserve">Balance and </w:t>
      </w:r>
      <w:r w:rsidR="00E27C37" w:rsidRPr="00EC47F8">
        <w:t xml:space="preserve">Historic </w:t>
      </w:r>
      <w:r w:rsidR="00653402">
        <w:t xml:space="preserve">cohorts. </w:t>
      </w:r>
      <w:r w:rsidRPr="00F71709">
        <w:t>Aus</w:t>
      </w:r>
      <w:r>
        <w:t>tralia</w:t>
      </w:r>
      <w:r w:rsidRPr="00F71709">
        <w:t xml:space="preserve"> (n=</w:t>
      </w:r>
      <w:r>
        <w:t>4,602</w:t>
      </w:r>
      <w:r w:rsidRPr="00F71709">
        <w:t>), VIC (n=</w:t>
      </w:r>
      <w:r>
        <w:t>805</w:t>
      </w:r>
      <w:r w:rsidRPr="00F71709">
        <w:t>), QLD (n=</w:t>
      </w:r>
      <w:r>
        <w:t>809</w:t>
      </w:r>
      <w:r w:rsidRPr="00F71709">
        <w:t>), WA (n=</w:t>
      </w:r>
      <w:r>
        <w:t>513</w:t>
      </w:r>
      <w:r w:rsidRPr="00F71709">
        <w:t>), TAS (n=</w:t>
      </w:r>
      <w:r>
        <w:t>482</w:t>
      </w:r>
      <w:r w:rsidRPr="00F71709">
        <w:t>), NT (n=</w:t>
      </w:r>
      <w:r>
        <w:t>150</w:t>
      </w:r>
      <w:r w:rsidRPr="00F71709">
        <w:t>), ACT (n=</w:t>
      </w:r>
      <w:r>
        <w:t>150</w:t>
      </w:r>
      <w:r w:rsidRPr="00F71709">
        <w:t>), Comcare (n=</w:t>
      </w:r>
      <w:r>
        <w:t>770</w:t>
      </w:r>
      <w:r w:rsidRPr="00F71709">
        <w:t>)</w:t>
      </w:r>
      <w:r w:rsidR="00E27C37">
        <w:t>, Seacare (n=58)</w:t>
      </w:r>
      <w:r w:rsidR="00013ECC">
        <w:t xml:space="preserve">, </w:t>
      </w:r>
      <w:r w:rsidR="00013ECC" w:rsidRPr="00F71709">
        <w:t>NSW (n=</w:t>
      </w:r>
      <w:r w:rsidR="00013ECC">
        <w:t>865</w:t>
      </w:r>
      <w:r w:rsidR="00013ECC" w:rsidRPr="00F71709">
        <w:t>)</w:t>
      </w:r>
      <w:r w:rsidR="00E27C37">
        <w:t>.</w:t>
      </w:r>
    </w:p>
    <w:p w14:paraId="7659C8E0" w14:textId="66A87ABC" w:rsidR="008E09C0" w:rsidRPr="00611565" w:rsidRDefault="00E27C37" w:rsidP="009A7AC8">
      <w:pPr>
        <w:pStyle w:val="FigureNote"/>
      </w:pPr>
      <w:r w:rsidRPr="00B00C38">
        <w:t>Note:</w:t>
      </w:r>
      <w:r w:rsidR="008E09C0">
        <w:tab/>
      </w:r>
      <w:r w:rsidR="008E09C0" w:rsidRPr="008E09C0">
        <w:t xml:space="preserve">Asterisks indicate statistically significant difference </w:t>
      </w:r>
      <w:r w:rsidR="008E09C0" w:rsidRPr="00611565">
        <w:t>between jurisdiction and aggregate of all other jurisdictions (single asterisk (*) indicates a lower proportion; double asterisk (**) indicates a higher proportion</w:t>
      </w:r>
      <w:r w:rsidR="00002D54" w:rsidRPr="00611565">
        <w:t>)</w:t>
      </w:r>
      <w:r w:rsidR="003E25AE">
        <w:t xml:space="preserve"> (p-value &lt;=0.05).</w:t>
      </w:r>
    </w:p>
    <w:p w14:paraId="4F987D64" w14:textId="0C2D07BD" w:rsidR="00F27BDF" w:rsidRDefault="00F27BDF">
      <w:pPr>
        <w:rPr>
          <w:rFonts w:eastAsia="Times New Roman" w:cs="Times New Roman"/>
          <w:szCs w:val="20"/>
        </w:rPr>
      </w:pPr>
      <w:r>
        <w:br w:type="page"/>
      </w:r>
    </w:p>
    <w:p w14:paraId="00A619F8" w14:textId="6C4A48A0" w:rsidR="005320D2" w:rsidRPr="005320D2" w:rsidRDefault="005320D2" w:rsidP="005320D2">
      <w:pPr>
        <w:pStyle w:val="Body"/>
        <w:rPr>
          <w:color w:val="FF0000"/>
        </w:rPr>
      </w:pPr>
      <w:r w:rsidRPr="005320D2">
        <w:lastRenderedPageBreak/>
        <w:t xml:space="preserve">As shown in Figure </w:t>
      </w:r>
      <w:r>
        <w:t>6</w:t>
      </w:r>
      <w:r w:rsidRPr="005320D2">
        <w:t xml:space="preserve">, workers from large employers reported a significantly higher total </w:t>
      </w:r>
      <w:r>
        <w:rPr>
          <w:i/>
        </w:rPr>
        <w:t>Current Return to Work Rate</w:t>
      </w:r>
      <w:r>
        <w:t xml:space="preserve"> (81.9%) in comparison to </w:t>
      </w:r>
      <w:r w:rsidR="00AA5106">
        <w:t>s</w:t>
      </w:r>
      <w:r>
        <w:t xml:space="preserve">mall (73.5%) and </w:t>
      </w:r>
      <w:r w:rsidR="00AA5106">
        <w:t>m</w:t>
      </w:r>
      <w:r>
        <w:t xml:space="preserve">edium (75.0%) </w:t>
      </w:r>
      <w:r w:rsidR="00AA5106">
        <w:t xml:space="preserve">sized </w:t>
      </w:r>
      <w:r>
        <w:t>employers.</w:t>
      </w:r>
    </w:p>
    <w:p w14:paraId="2531222E" w14:textId="6B09423A" w:rsidR="00FB1914" w:rsidRDefault="00FB1914" w:rsidP="00D0461D">
      <w:pPr>
        <w:pStyle w:val="Caption"/>
      </w:pPr>
      <w:bookmarkStart w:id="51" w:name="_Toc528056573"/>
      <w:r>
        <w:t xml:space="preserve">Figure </w:t>
      </w:r>
      <w:r w:rsidR="006F2BDD">
        <w:rPr>
          <w:noProof/>
        </w:rPr>
        <w:fldChar w:fldCharType="begin"/>
      </w:r>
      <w:r w:rsidR="006F2BDD">
        <w:rPr>
          <w:noProof/>
        </w:rPr>
        <w:instrText xml:space="preserve"> SEQ Figure \* ARABIC </w:instrText>
      </w:r>
      <w:r w:rsidR="006F2BDD">
        <w:rPr>
          <w:noProof/>
        </w:rPr>
        <w:fldChar w:fldCharType="separate"/>
      </w:r>
      <w:r w:rsidR="00B9340A">
        <w:rPr>
          <w:noProof/>
        </w:rPr>
        <w:t>6</w:t>
      </w:r>
      <w:r w:rsidR="006F2BDD">
        <w:rPr>
          <w:noProof/>
        </w:rPr>
        <w:fldChar w:fldCharType="end"/>
      </w:r>
      <w:r>
        <w:tab/>
        <w:t xml:space="preserve">Current Return to Work Rate by </w:t>
      </w:r>
      <w:r w:rsidR="008E6918">
        <w:t>e</w:t>
      </w:r>
      <w:r>
        <w:t xml:space="preserve">mployer </w:t>
      </w:r>
      <w:r w:rsidR="008E6918">
        <w:t>s</w:t>
      </w:r>
      <w:r>
        <w:t>ize – 2018 (%)</w:t>
      </w:r>
      <w:bookmarkEnd w:id="51"/>
    </w:p>
    <w:p w14:paraId="31FC3BBF" w14:textId="77777777" w:rsidR="00FB1914" w:rsidRPr="005667D5" w:rsidRDefault="00FB1914" w:rsidP="00FB1914">
      <w:pPr>
        <w:pStyle w:val="Body"/>
        <w:spacing w:before="60" w:after="60"/>
        <w:rPr>
          <w:sz w:val="18"/>
        </w:rPr>
      </w:pPr>
      <w:r w:rsidRPr="005667D5">
        <w:rPr>
          <w:sz w:val="18"/>
        </w:rPr>
        <w:t>RTW1.</w:t>
      </w:r>
      <w:r w:rsidRPr="005667D5">
        <w:rPr>
          <w:sz w:val="18"/>
        </w:rPr>
        <w:tab/>
      </w:r>
      <w:r w:rsidRPr="005667D5">
        <w:rPr>
          <w:sz w:val="18"/>
        </w:rPr>
        <w:tab/>
        <w:t>Have you returned to work at any time since your work-related injury or illness?</w:t>
      </w:r>
    </w:p>
    <w:p w14:paraId="348CDC77" w14:textId="77777777" w:rsidR="00FB1914" w:rsidRPr="005667D5" w:rsidRDefault="00FB1914" w:rsidP="00FB1914">
      <w:pPr>
        <w:pStyle w:val="Body"/>
        <w:spacing w:before="60" w:after="60"/>
        <w:rPr>
          <w:sz w:val="18"/>
        </w:rPr>
      </w:pPr>
      <w:r w:rsidRPr="005667D5">
        <w:rPr>
          <w:sz w:val="18"/>
        </w:rPr>
        <w:t xml:space="preserve">RTW2. </w:t>
      </w:r>
      <w:r w:rsidRPr="005667D5">
        <w:rPr>
          <w:sz w:val="18"/>
        </w:rPr>
        <w:tab/>
      </w:r>
      <w:r w:rsidRPr="005667D5">
        <w:rPr>
          <w:sz w:val="18"/>
        </w:rPr>
        <w:tab/>
        <w:t>Are you currently working in a paid job?</w:t>
      </w:r>
    </w:p>
    <w:p w14:paraId="6B31ACAB" w14:textId="1354C8C6" w:rsidR="00FB1914" w:rsidRDefault="00FB1914">
      <w:pPr>
        <w:rPr>
          <w:rFonts w:eastAsia="Calibri" w:cs="Times New Roman"/>
          <w:sz w:val="16"/>
          <w:lang w:val="en-GB"/>
        </w:rPr>
      </w:pPr>
      <w:r>
        <w:rPr>
          <w:rFonts w:eastAsia="Calibri" w:cs="Times New Roman"/>
          <w:noProof/>
          <w:sz w:val="16"/>
          <w:lang w:eastAsia="en-AU"/>
        </w:rPr>
        <w:drawing>
          <wp:inline distT="0" distB="0" distL="0" distR="0" wp14:anchorId="36A72155" wp14:editId="673ED2E4">
            <wp:extent cx="5760000" cy="2160000"/>
            <wp:effectExtent l="0" t="0" r="12700" b="12065"/>
            <wp:docPr id="20" name="Chart 20" descr="This chart presentes a business size comparison of the current return to work rate for the total cohort. The findings are discussed in the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F7B13B2" w14:textId="77777777" w:rsidR="00FB1914" w:rsidRDefault="00FB1914" w:rsidP="00FB1914">
      <w:pPr>
        <w:pStyle w:val="FigureNote"/>
      </w:pPr>
    </w:p>
    <w:p w14:paraId="71890B2D" w14:textId="0E3708D2" w:rsidR="00FB1914" w:rsidRPr="00823D4D" w:rsidRDefault="00FB1914" w:rsidP="00823D4D">
      <w:pPr>
        <w:pStyle w:val="FigureNote"/>
      </w:pPr>
      <w:r w:rsidRPr="00823D4D">
        <w:t>Base</w:t>
      </w:r>
      <w:r w:rsidRPr="00823D4D">
        <w:tab/>
        <w:t>All respondents</w:t>
      </w:r>
      <w:r w:rsidR="00754B12" w:rsidRPr="00823D4D">
        <w:t>, Small (n=488), Medium (n=672), Large (n=630)</w:t>
      </w:r>
      <w:r w:rsidRPr="00823D4D">
        <w:t>.</w:t>
      </w:r>
    </w:p>
    <w:p w14:paraId="317EAB92" w14:textId="716A2377" w:rsidR="00FB1914" w:rsidRPr="00823D4D" w:rsidRDefault="00FB1914" w:rsidP="00823D4D">
      <w:pPr>
        <w:pStyle w:val="FigureNote"/>
      </w:pPr>
      <w:r w:rsidRPr="00823D4D">
        <w:t>Note:</w:t>
      </w:r>
      <w:r w:rsidRPr="00823D4D">
        <w:tab/>
      </w:r>
      <w:r w:rsidR="00685143" w:rsidRPr="00823D4D">
        <w:t xml:space="preserve">Employer size is based on the total remuneration on which (the worker’s employer’s) workers’ compensation premium is calculated. </w:t>
      </w:r>
      <w:r w:rsidRPr="00823D4D">
        <w:t>Asterisks indicate statistically significant difference</w:t>
      </w:r>
      <w:r w:rsidR="0031421F" w:rsidRPr="00823D4D">
        <w:t xml:space="preserve"> </w:t>
      </w:r>
      <w:r w:rsidRPr="00823D4D">
        <w:t>(single asterisk (*) indicates a lower proportion; double asterisk (**)</w:t>
      </w:r>
      <w:r w:rsidR="003E25AE" w:rsidRPr="00823D4D">
        <w:t xml:space="preserve"> indicates a higher proportion) (p</w:t>
      </w:r>
      <w:r w:rsidR="001D5FF1" w:rsidRPr="00823D4D">
        <w:noBreakHyphen/>
      </w:r>
      <w:r w:rsidR="003E25AE" w:rsidRPr="00823D4D">
        <w:t>value &lt;=0.05).</w:t>
      </w:r>
    </w:p>
    <w:p w14:paraId="09F41617" w14:textId="77777777" w:rsidR="00FB1914" w:rsidRPr="00611565" w:rsidRDefault="00FB1914">
      <w:pPr>
        <w:rPr>
          <w:rFonts w:eastAsia="Calibri" w:cs="Times New Roman"/>
          <w:sz w:val="16"/>
          <w:lang w:val="en-GB"/>
        </w:rPr>
      </w:pPr>
    </w:p>
    <w:p w14:paraId="35782922" w14:textId="6B15414F" w:rsidR="00A071BF" w:rsidRPr="00A071BF" w:rsidRDefault="009734BF" w:rsidP="003D1A69">
      <w:pPr>
        <w:pStyle w:val="Heading3"/>
      </w:pPr>
      <w:bookmarkStart w:id="52" w:name="_Toc518982082"/>
      <w:bookmarkStart w:id="53" w:name="_Toc528056020"/>
      <w:r>
        <w:t>Return to W</w:t>
      </w:r>
      <w:r w:rsidR="00FC415A">
        <w:t xml:space="preserve">ork </w:t>
      </w:r>
      <w:r w:rsidR="006A2841">
        <w:t>h</w:t>
      </w:r>
      <w:r w:rsidR="006A2841" w:rsidRPr="00A071BF">
        <w:t xml:space="preserve">eadline </w:t>
      </w:r>
      <w:bookmarkEnd w:id="52"/>
      <w:r w:rsidR="006A2841">
        <w:t>m</w:t>
      </w:r>
      <w:r w:rsidR="006A2841" w:rsidRPr="00A071BF">
        <w:t xml:space="preserve">easures </w:t>
      </w:r>
      <w:r w:rsidR="00A071BF" w:rsidRPr="00A071BF">
        <w:t xml:space="preserve">– </w:t>
      </w:r>
      <w:r w:rsidR="006A2841">
        <w:t>h</w:t>
      </w:r>
      <w:r w:rsidR="006A2841" w:rsidRPr="00A071BF">
        <w:t>istoric</w:t>
      </w:r>
      <w:bookmarkEnd w:id="53"/>
    </w:p>
    <w:p w14:paraId="5DCEC429" w14:textId="02C62EE9" w:rsidR="00A071BF" w:rsidRDefault="0079209F" w:rsidP="00A071BF">
      <w:pPr>
        <w:pStyle w:val="Body"/>
      </w:pPr>
      <w:r>
        <w:t>The</w:t>
      </w:r>
      <w:r w:rsidR="00A071BF">
        <w:t xml:space="preserve"> </w:t>
      </w:r>
      <w:r>
        <w:t xml:space="preserve">RTW </w:t>
      </w:r>
      <w:r w:rsidR="00A071BF">
        <w:t xml:space="preserve">headline measures reported in this section </w:t>
      </w:r>
      <w:r w:rsidR="00A071BF" w:rsidRPr="00BF79C9">
        <w:t xml:space="preserve">are calculated using the </w:t>
      </w:r>
      <w:r w:rsidR="00A071BF" w:rsidRPr="00AD076D">
        <w:t>Historic</w:t>
      </w:r>
      <w:r w:rsidR="00A071BF" w:rsidRPr="00F3778F">
        <w:rPr>
          <w:b/>
        </w:rPr>
        <w:t xml:space="preserve"> </w:t>
      </w:r>
      <w:r w:rsidR="00A071BF" w:rsidRPr="00AD076D">
        <w:t>cohort</w:t>
      </w:r>
      <w:r w:rsidR="00A071BF" w:rsidRPr="00BF79C9">
        <w:t xml:space="preserve"> only</w:t>
      </w:r>
      <w:r w:rsidR="00A071BF">
        <w:t>. For</w:t>
      </w:r>
      <w:r w:rsidR="00626857">
        <w:t> </w:t>
      </w:r>
      <w:r w:rsidR="00A071BF">
        <w:t xml:space="preserve">the </w:t>
      </w:r>
      <w:r w:rsidR="00E92B2B">
        <w:t>2018</w:t>
      </w:r>
      <w:r w:rsidR="00A071BF">
        <w:t xml:space="preserve"> survey, </w:t>
      </w:r>
      <w:r>
        <w:t>n=</w:t>
      </w:r>
      <w:r w:rsidR="00A071BF">
        <w:t>1,889 interviews were completed with Historic cohort respondents</w:t>
      </w:r>
      <w:r w:rsidR="00A071BF" w:rsidRPr="00BF79C9">
        <w:t xml:space="preserve">. </w:t>
      </w:r>
      <w:r w:rsidR="0070293D">
        <w:t xml:space="preserve">The Historic Cohort is </w:t>
      </w:r>
      <w:r w:rsidR="0070293D" w:rsidRPr="0070293D">
        <w:t>a group of workers</w:t>
      </w:r>
      <w:r w:rsidR="0070293D">
        <w:t>,</w:t>
      </w:r>
      <w:r w:rsidR="0070293D" w:rsidRPr="0070293D">
        <w:t xml:space="preserve"> purposefully sampled from </w:t>
      </w:r>
      <w:r w:rsidR="0070293D">
        <w:t>the broader population, who are</w:t>
      </w:r>
      <w:r w:rsidR="0070293D" w:rsidRPr="0070293D">
        <w:t xml:space="preserve"> employed by premium paying organisations who had 10 or more days compensated and whose claim was submitted between July and September.</w:t>
      </w:r>
    </w:p>
    <w:p w14:paraId="60483C53" w14:textId="62BB1623" w:rsidR="00A071BF" w:rsidRPr="008E09C0" w:rsidRDefault="0079209F" w:rsidP="00A071BF">
      <w:pPr>
        <w:pStyle w:val="Body"/>
        <w:rPr>
          <w:i/>
        </w:rPr>
      </w:pPr>
      <w:r w:rsidRPr="008E09C0">
        <w:rPr>
          <w:i/>
        </w:rPr>
        <w:t xml:space="preserve">Note: </w:t>
      </w:r>
      <w:r w:rsidR="00A071BF" w:rsidRPr="008E09C0">
        <w:rPr>
          <w:i/>
        </w:rPr>
        <w:t xml:space="preserve">The Historic cohort quota for the Seacare jurisdiction was not obtained due to </w:t>
      </w:r>
      <w:r w:rsidR="009058CE">
        <w:rPr>
          <w:i/>
        </w:rPr>
        <w:t xml:space="preserve">an </w:t>
      </w:r>
      <w:r w:rsidR="00A071BF" w:rsidRPr="008E09C0">
        <w:rPr>
          <w:i/>
        </w:rPr>
        <w:t xml:space="preserve">insufficient sample and, as such, the headline measures for Seacare are not reported </w:t>
      </w:r>
      <w:r w:rsidRPr="008E09C0">
        <w:rPr>
          <w:i/>
        </w:rPr>
        <w:t>her</w:t>
      </w:r>
      <w:r w:rsidR="00A071BF" w:rsidRPr="008E09C0">
        <w:rPr>
          <w:i/>
        </w:rPr>
        <w:t>e.</w:t>
      </w:r>
    </w:p>
    <w:p w14:paraId="4E3F176A" w14:textId="4FD94AAC" w:rsidR="00A071BF" w:rsidRDefault="00A071BF" w:rsidP="003D1A69">
      <w:pPr>
        <w:pStyle w:val="Heading4"/>
      </w:pPr>
      <w:bookmarkStart w:id="54" w:name="_Toc518982083"/>
      <w:r>
        <w:t>Returned to Work Rate</w:t>
      </w:r>
      <w:bookmarkEnd w:id="54"/>
      <w:r>
        <w:t xml:space="preserve"> (</w:t>
      </w:r>
      <w:r w:rsidR="006A2841">
        <w:t>historic</w:t>
      </w:r>
      <w:r>
        <w:t>)</w:t>
      </w:r>
    </w:p>
    <w:p w14:paraId="6572207C" w14:textId="7FBF727C" w:rsidR="00A071BF" w:rsidRPr="0099154F" w:rsidRDefault="0079209F" w:rsidP="00A071BF">
      <w:pPr>
        <w:pStyle w:val="Body"/>
        <w:rPr>
          <w:color w:val="000000" w:themeColor="text1"/>
        </w:rPr>
      </w:pPr>
      <w:r>
        <w:t xml:space="preserve">Figure </w:t>
      </w:r>
      <w:r w:rsidR="005320D2">
        <w:t>7</w:t>
      </w:r>
      <w:r w:rsidR="00A071BF">
        <w:t xml:space="preserve"> </w:t>
      </w:r>
      <w:r w:rsidR="003E25AE">
        <w:t xml:space="preserve">(overleaf) </w:t>
      </w:r>
      <w:r w:rsidR="00A071BF" w:rsidRPr="00477144">
        <w:t xml:space="preserve">shows that in </w:t>
      </w:r>
      <w:r w:rsidR="00E92B2B">
        <w:t>2018</w:t>
      </w:r>
      <w:r w:rsidR="00A071BF" w:rsidRPr="00BA76F8">
        <w:t>, 86</w:t>
      </w:r>
      <w:r w:rsidR="005320D2">
        <w:t>.4</w:t>
      </w:r>
      <w:r w:rsidR="00A071BF" w:rsidRPr="00BA76F8">
        <w:t>% of</w:t>
      </w:r>
      <w:r w:rsidR="00A071BF" w:rsidRPr="00477144">
        <w:t xml:space="preserve"> </w:t>
      </w:r>
      <w:r>
        <w:t xml:space="preserve">all </w:t>
      </w:r>
      <w:r w:rsidR="00A071BF" w:rsidRPr="00477144">
        <w:t xml:space="preserve">workers </w:t>
      </w:r>
      <w:r>
        <w:t xml:space="preserve">reported that they </w:t>
      </w:r>
      <w:r w:rsidR="00A071BF" w:rsidRPr="00477144">
        <w:t>had returned to work at some time since their injury or illness.</w:t>
      </w:r>
    </w:p>
    <w:p w14:paraId="6D9B0D69" w14:textId="6E97F01C" w:rsidR="00A071BF" w:rsidRPr="00CF0B54" w:rsidRDefault="0079209F" w:rsidP="00A071BF">
      <w:pPr>
        <w:pStyle w:val="Body"/>
      </w:pPr>
      <w:r>
        <w:t>By jurisdiction,</w:t>
      </w:r>
      <w:r w:rsidR="00A071BF" w:rsidRPr="00CE0EE2">
        <w:t xml:space="preserve"> the </w:t>
      </w:r>
      <w:r w:rsidR="00A071BF" w:rsidRPr="00DB2EC7">
        <w:rPr>
          <w:i/>
        </w:rPr>
        <w:t>Returned to Work Rate</w:t>
      </w:r>
      <w:r w:rsidR="005320D2">
        <w:t xml:space="preserve"> for Tasmania (92.7</w:t>
      </w:r>
      <w:r w:rsidR="00A071BF" w:rsidRPr="00BA76F8">
        <w:t>%)</w:t>
      </w:r>
      <w:r w:rsidR="005320D2">
        <w:t>, New South Wales (88.5</w:t>
      </w:r>
      <w:r w:rsidR="00A071BF">
        <w:t>%), Victoria</w:t>
      </w:r>
      <w:r w:rsidR="001D5FF1">
        <w:t> </w:t>
      </w:r>
      <w:r w:rsidR="00A071BF">
        <w:t>(8</w:t>
      </w:r>
      <w:r w:rsidR="005320D2">
        <w:t>6.</w:t>
      </w:r>
      <w:r w:rsidR="00A071BF">
        <w:t>7%) and Western Australia (87</w:t>
      </w:r>
      <w:r w:rsidR="005320D2">
        <w:t>.1</w:t>
      </w:r>
      <w:r w:rsidR="00A071BF">
        <w:t>%)</w:t>
      </w:r>
      <w:r w:rsidR="00A071BF" w:rsidRPr="00CB0AFB">
        <w:t xml:space="preserve"> </w:t>
      </w:r>
      <w:r w:rsidR="00A071BF" w:rsidRPr="00BA76F8">
        <w:t>was higher than the national rate.</w:t>
      </w:r>
      <w:r w:rsidR="00A071BF">
        <w:t xml:space="preserve"> </w:t>
      </w:r>
      <w:r w:rsidR="00A071BF" w:rsidRPr="00BA76F8">
        <w:t>The ACT (8</w:t>
      </w:r>
      <w:r w:rsidR="005320D2">
        <w:t>4.6</w:t>
      </w:r>
      <w:r w:rsidR="00A071BF" w:rsidRPr="00BA76F8">
        <w:t>%</w:t>
      </w:r>
      <w:r w:rsidR="00A071BF">
        <w:t xml:space="preserve">), </w:t>
      </w:r>
      <w:r w:rsidR="00A071BF" w:rsidRPr="00BA76F8">
        <w:t>Queensland (8</w:t>
      </w:r>
      <w:r w:rsidR="005320D2">
        <w:t>2.7</w:t>
      </w:r>
      <w:r w:rsidR="00A071BF">
        <w:t xml:space="preserve">%), </w:t>
      </w:r>
      <w:r w:rsidR="00A071BF" w:rsidRPr="00BA76F8">
        <w:t>Comcare (82</w:t>
      </w:r>
      <w:r w:rsidR="005320D2">
        <w:t>.4</w:t>
      </w:r>
      <w:r w:rsidR="00A071BF">
        <w:t xml:space="preserve">%) and the </w:t>
      </w:r>
      <w:r w:rsidR="00A071BF" w:rsidRPr="00BA76F8">
        <w:t>Northern Territory (79</w:t>
      </w:r>
      <w:r w:rsidR="005320D2">
        <w:t>.5</w:t>
      </w:r>
      <w:r w:rsidR="00A071BF" w:rsidRPr="00BA76F8">
        <w:t>%)</w:t>
      </w:r>
      <w:r>
        <w:t xml:space="preserve"> all reported a lower rate compared to the national rate</w:t>
      </w:r>
      <w:r w:rsidR="00A071BF" w:rsidRPr="00BA76F8">
        <w:t xml:space="preserve">. </w:t>
      </w:r>
      <w:bookmarkStart w:id="55" w:name="_Ref451982089"/>
      <w:r w:rsidR="00A071BF">
        <w:t xml:space="preserve">However, none of the differences between jurisdictions </w:t>
      </w:r>
      <w:r w:rsidR="00447D23">
        <w:t>were statistically significant.</w:t>
      </w:r>
    </w:p>
    <w:p w14:paraId="7038C51C" w14:textId="77777777" w:rsidR="002C60B6" w:rsidRDefault="002C60B6">
      <w:pPr>
        <w:rPr>
          <w:rFonts w:eastAsia="Times New Roman" w:cs="Arial"/>
          <w:b/>
          <w:bCs/>
          <w:color w:val="1F688D"/>
          <w:szCs w:val="18"/>
        </w:rPr>
      </w:pPr>
      <w:bookmarkStart w:id="56" w:name="_Ref517790315"/>
      <w:r>
        <w:br w:type="page"/>
      </w:r>
    </w:p>
    <w:p w14:paraId="705E7113" w14:textId="57E547F8" w:rsidR="00A071BF" w:rsidRDefault="00A071BF" w:rsidP="00D0461D">
      <w:pPr>
        <w:pStyle w:val="Caption"/>
      </w:pPr>
      <w:bookmarkStart w:id="57" w:name="_Toc528056574"/>
      <w:r>
        <w:lastRenderedPageBreak/>
        <w:t xml:space="preserve">Figure </w:t>
      </w:r>
      <w:r w:rsidR="006A2841">
        <w:rPr>
          <w:noProof/>
        </w:rPr>
        <w:fldChar w:fldCharType="begin"/>
      </w:r>
      <w:r w:rsidR="006A2841">
        <w:rPr>
          <w:noProof/>
        </w:rPr>
        <w:instrText xml:space="preserve"> SEQ Figure \* ARABIC </w:instrText>
      </w:r>
      <w:r w:rsidR="006A2841">
        <w:rPr>
          <w:noProof/>
        </w:rPr>
        <w:fldChar w:fldCharType="separate"/>
      </w:r>
      <w:r w:rsidR="00B9340A">
        <w:rPr>
          <w:noProof/>
        </w:rPr>
        <w:t>7</w:t>
      </w:r>
      <w:r w:rsidR="006A2841">
        <w:rPr>
          <w:noProof/>
        </w:rPr>
        <w:fldChar w:fldCharType="end"/>
      </w:r>
      <w:bookmarkEnd w:id="55"/>
      <w:bookmarkEnd w:id="56"/>
      <w:r>
        <w:rPr>
          <w:noProof/>
        </w:rPr>
        <w:tab/>
        <w:t xml:space="preserve">Historic </w:t>
      </w:r>
      <w:r>
        <w:t xml:space="preserve">Returned to Work Rate by </w:t>
      </w:r>
      <w:r w:rsidR="001F2214">
        <w:t>j</w:t>
      </w:r>
      <w:r>
        <w:t>urisdiction</w:t>
      </w:r>
      <w:r w:rsidR="007A081F">
        <w:t xml:space="preserve"> – 2</w:t>
      </w:r>
      <w:r w:rsidR="00653402">
        <w:t>018</w:t>
      </w:r>
      <w:r>
        <w:t xml:space="preserve"> (%)</w:t>
      </w:r>
      <w:bookmarkEnd w:id="57"/>
    </w:p>
    <w:p w14:paraId="7224D086" w14:textId="09F89AFB" w:rsidR="00A071BF" w:rsidRPr="005667D5" w:rsidRDefault="00A071BF" w:rsidP="00A071BF">
      <w:pPr>
        <w:pStyle w:val="Body"/>
        <w:rPr>
          <w:sz w:val="18"/>
        </w:rPr>
      </w:pPr>
      <w:r w:rsidRPr="005667D5">
        <w:rPr>
          <w:sz w:val="18"/>
        </w:rPr>
        <w:t>RTW1.</w:t>
      </w:r>
      <w:r w:rsidRPr="005667D5">
        <w:rPr>
          <w:sz w:val="18"/>
        </w:rPr>
        <w:tab/>
      </w:r>
      <w:r w:rsidRPr="005667D5">
        <w:rPr>
          <w:sz w:val="18"/>
        </w:rPr>
        <w:tab/>
        <w:t>Have you returned to work at any time since your work-related injury or illness?</w:t>
      </w:r>
    </w:p>
    <w:p w14:paraId="096090CE" w14:textId="77777777" w:rsidR="00A071BF" w:rsidRDefault="00A071BF" w:rsidP="00A071BF">
      <w:pPr>
        <w:pStyle w:val="Body"/>
      </w:pPr>
      <w:r>
        <w:rPr>
          <w:noProof/>
          <w:lang w:eastAsia="en-AU"/>
        </w:rPr>
        <w:drawing>
          <wp:inline distT="0" distB="0" distL="0" distR="0" wp14:anchorId="5CA33C29" wp14:editId="1E5A4210">
            <wp:extent cx="5759450" cy="2340000"/>
            <wp:effectExtent l="0" t="0" r="12700" b="3175"/>
            <wp:docPr id="10" name="Chart 10" descr="This chart presents a time series of the returned to work rate for the historic cohort. The findings are discussed in the text above.">
              <a:extLst xmlns:a="http://schemas.openxmlformats.org/drawingml/2006/main">
                <a:ext uri="{FF2B5EF4-FFF2-40B4-BE49-F238E27FC236}">
                  <a16:creationId xmlns:a16="http://schemas.microsoft.com/office/drawing/2014/main" id="{E32C3CE6-2359-4C75-950F-22D3BD0334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95AE17F" w14:textId="79135706" w:rsidR="00A071BF" w:rsidRDefault="00A071BF" w:rsidP="009A7AC8">
      <w:pPr>
        <w:pStyle w:val="FigureNote"/>
      </w:pPr>
      <w:r w:rsidRPr="00EC47F8">
        <w:t>Base</w:t>
      </w:r>
      <w:r w:rsidRPr="00EC47F8">
        <w:tab/>
        <w:t xml:space="preserve">Historic </w:t>
      </w:r>
      <w:r>
        <w:t>cohort</w:t>
      </w:r>
      <w:r w:rsidR="00447D23">
        <w:t xml:space="preserve"> only</w:t>
      </w:r>
      <w:r w:rsidR="00002D54">
        <w:t xml:space="preserve">. </w:t>
      </w:r>
      <w:r w:rsidRPr="00AD076D">
        <w:t>Australia (n=1,889), NSW (n=419), VIC (n=399), QLD (n=439), WA (n=373), TAS (n=123), NT (n=39), ACT (n=39), Comcare (n=51), Seacare (n=7) (not shown).</w:t>
      </w:r>
    </w:p>
    <w:p w14:paraId="7ABCB284" w14:textId="75FE783D" w:rsidR="00A071BF" w:rsidRDefault="00A071BF" w:rsidP="009A7AC8">
      <w:pPr>
        <w:pStyle w:val="FigureNote"/>
      </w:pPr>
      <w:r>
        <w:t xml:space="preserve">Note: </w:t>
      </w:r>
      <w:r w:rsidR="00002D54">
        <w:tab/>
      </w:r>
      <w:r>
        <w:t>No statistically significant differences between jurisdictions.</w:t>
      </w:r>
    </w:p>
    <w:p w14:paraId="10DDB8EC" w14:textId="77777777" w:rsidR="009B18D7" w:rsidRPr="009B18D7" w:rsidRDefault="009B18D7" w:rsidP="009B18D7">
      <w:pPr>
        <w:pStyle w:val="Body"/>
        <w:spacing w:before="0" w:line="240" w:lineRule="auto"/>
        <w:ind w:left="720"/>
        <w:rPr>
          <w:i/>
          <w:sz w:val="16"/>
          <w:szCs w:val="16"/>
        </w:rPr>
      </w:pPr>
    </w:p>
    <w:p w14:paraId="4C51DBE7" w14:textId="43031DA8" w:rsidR="00A071BF" w:rsidRDefault="00A071BF" w:rsidP="003D1A69">
      <w:pPr>
        <w:pStyle w:val="Heading4"/>
      </w:pPr>
      <w:bookmarkStart w:id="58" w:name="_Toc518982084"/>
      <w:r>
        <w:t>Current Return to Work Rate</w:t>
      </w:r>
      <w:bookmarkEnd w:id="58"/>
      <w:r>
        <w:t xml:space="preserve"> (</w:t>
      </w:r>
      <w:r w:rsidR="007A081F">
        <w:t>h</w:t>
      </w:r>
      <w:r>
        <w:t>istoric)</w:t>
      </w:r>
    </w:p>
    <w:p w14:paraId="7B6E0A93" w14:textId="3294B060" w:rsidR="00A071BF" w:rsidRDefault="009B18D7" w:rsidP="00011EAE">
      <w:pPr>
        <w:pStyle w:val="Body"/>
      </w:pPr>
      <w:r>
        <w:t xml:space="preserve">Figure </w:t>
      </w:r>
      <w:r w:rsidR="005320D2">
        <w:rPr>
          <w:noProof/>
        </w:rPr>
        <w:t>8</w:t>
      </w:r>
      <w:r w:rsidR="00A071BF">
        <w:t xml:space="preserve"> shows the</w:t>
      </w:r>
      <w:r w:rsidR="00C11794">
        <w:t xml:space="preserve"> </w:t>
      </w:r>
      <w:r w:rsidR="00E92B2B">
        <w:t>2018</w:t>
      </w:r>
      <w:r w:rsidR="00A071BF">
        <w:t xml:space="preserve"> </w:t>
      </w:r>
      <w:r w:rsidR="00A071BF" w:rsidRPr="00DB2EC7">
        <w:rPr>
          <w:i/>
        </w:rPr>
        <w:t>Current Return to Work Rate</w:t>
      </w:r>
      <w:r w:rsidR="00A071BF">
        <w:t xml:space="preserve"> overall </w:t>
      </w:r>
      <w:r w:rsidR="00C11794">
        <w:t xml:space="preserve">(national) </w:t>
      </w:r>
      <w:r w:rsidR="00A071BF">
        <w:t>and f</w:t>
      </w:r>
      <w:r w:rsidR="00A071BF" w:rsidRPr="00AD076D">
        <w:t>or each participating jurisdiction</w:t>
      </w:r>
      <w:r w:rsidR="005320D2">
        <w:t xml:space="preserve"> among the historic cohort</w:t>
      </w:r>
      <w:r w:rsidR="00A071BF" w:rsidRPr="00AD076D">
        <w:t xml:space="preserve">. </w:t>
      </w:r>
      <w:r w:rsidR="00AA1F2E">
        <w:t xml:space="preserve">At a national level, the </w:t>
      </w:r>
      <w:r w:rsidR="00E92B2B">
        <w:t>2018</w:t>
      </w:r>
      <w:r w:rsidR="00AA1F2E">
        <w:t xml:space="preserve"> rate was 7</w:t>
      </w:r>
      <w:r w:rsidR="005320D2">
        <w:t>6.9</w:t>
      </w:r>
      <w:r w:rsidR="00AA1F2E">
        <w:t>%.</w:t>
      </w:r>
    </w:p>
    <w:p w14:paraId="4798AB8D" w14:textId="7A13D18D" w:rsidR="00A071BF" w:rsidRDefault="00AA1F2E" w:rsidP="000C0B90">
      <w:pPr>
        <w:pStyle w:val="Body"/>
      </w:pPr>
      <w:r>
        <w:t xml:space="preserve">Among the jurisdictions, </w:t>
      </w:r>
      <w:r w:rsidR="00A071BF">
        <w:t>Comcare (82</w:t>
      </w:r>
      <w:r w:rsidR="002A7F73">
        <w:t>.4</w:t>
      </w:r>
      <w:r w:rsidR="00A071BF">
        <w:t>%)</w:t>
      </w:r>
      <w:r w:rsidR="00A071BF" w:rsidRPr="002C5864">
        <w:t xml:space="preserve"> </w:t>
      </w:r>
      <w:r w:rsidR="002A7F73">
        <w:t>and NSW (81.6</w:t>
      </w:r>
      <w:r w:rsidR="00A071BF">
        <w:t xml:space="preserve">%) reported the highest </w:t>
      </w:r>
      <w:r w:rsidR="00A071BF" w:rsidRPr="00DB2EC7">
        <w:rPr>
          <w:i/>
        </w:rPr>
        <w:t>Current Return to Work Rate</w:t>
      </w:r>
      <w:r w:rsidR="00A071BF">
        <w:t>, closely followed by Tasmania (80</w:t>
      </w:r>
      <w:r w:rsidR="002A7F73">
        <w:t>.5</w:t>
      </w:r>
      <w:r w:rsidR="00A071BF">
        <w:t>%); while the Northern Territory (59</w:t>
      </w:r>
      <w:r w:rsidR="002A7F73">
        <w:t>.0</w:t>
      </w:r>
      <w:r w:rsidR="00A071BF">
        <w:t xml:space="preserve">%) reported the lowest. NSW </w:t>
      </w:r>
      <w:r>
        <w:t xml:space="preserve">reported a significantly higher rate, while the </w:t>
      </w:r>
      <w:r w:rsidR="00A071BF">
        <w:t>Northern Territory</w:t>
      </w:r>
      <w:r>
        <w:t xml:space="preserve"> reported a s</w:t>
      </w:r>
      <w:r w:rsidR="00A071BF">
        <w:t>ignificant</w:t>
      </w:r>
      <w:r>
        <w:t>ly lower rate</w:t>
      </w:r>
      <w:r w:rsidR="00A071BF">
        <w:t>, when compared against the aggreg</w:t>
      </w:r>
      <w:r>
        <w:t>ate of all other jurisdictions.</w:t>
      </w:r>
    </w:p>
    <w:p w14:paraId="46FA2DB1" w14:textId="5AA8A35A" w:rsidR="00A071BF" w:rsidRDefault="00A071BF" w:rsidP="00D0461D">
      <w:pPr>
        <w:pStyle w:val="Caption"/>
      </w:pPr>
      <w:bookmarkStart w:id="59" w:name="_Ref517797443"/>
      <w:bookmarkStart w:id="60" w:name="_Toc528056575"/>
      <w:r>
        <w:t xml:space="preserve">Figure </w:t>
      </w:r>
      <w:r w:rsidR="006A2841">
        <w:rPr>
          <w:noProof/>
        </w:rPr>
        <w:fldChar w:fldCharType="begin"/>
      </w:r>
      <w:r w:rsidR="006A2841">
        <w:rPr>
          <w:noProof/>
        </w:rPr>
        <w:instrText xml:space="preserve"> SEQ Figure \* ARABIC </w:instrText>
      </w:r>
      <w:r w:rsidR="006A2841">
        <w:rPr>
          <w:noProof/>
        </w:rPr>
        <w:fldChar w:fldCharType="separate"/>
      </w:r>
      <w:r w:rsidR="00B9340A">
        <w:rPr>
          <w:noProof/>
        </w:rPr>
        <w:t>8</w:t>
      </w:r>
      <w:r w:rsidR="006A2841">
        <w:rPr>
          <w:noProof/>
        </w:rPr>
        <w:fldChar w:fldCharType="end"/>
      </w:r>
      <w:bookmarkEnd w:id="59"/>
      <w:r>
        <w:rPr>
          <w:noProof/>
        </w:rPr>
        <w:tab/>
        <w:t xml:space="preserve">Historic </w:t>
      </w:r>
      <w:r>
        <w:t xml:space="preserve">Current Return to Work Rate by </w:t>
      </w:r>
      <w:r w:rsidR="001F2214">
        <w:t>j</w:t>
      </w:r>
      <w:r>
        <w:t xml:space="preserve">urisdiction </w:t>
      </w:r>
      <w:r w:rsidR="00653402">
        <w:t xml:space="preserve">– 2018 </w:t>
      </w:r>
      <w:r>
        <w:t>(%)</w:t>
      </w:r>
      <w:bookmarkEnd w:id="60"/>
    </w:p>
    <w:p w14:paraId="5EF1637C" w14:textId="77777777" w:rsidR="009B18D7" w:rsidRPr="005667D5" w:rsidRDefault="009B18D7" w:rsidP="008E09C0">
      <w:pPr>
        <w:pStyle w:val="Body"/>
        <w:spacing w:before="60" w:after="60" w:line="240" w:lineRule="auto"/>
        <w:rPr>
          <w:sz w:val="18"/>
        </w:rPr>
      </w:pPr>
      <w:r w:rsidRPr="005667D5">
        <w:rPr>
          <w:sz w:val="18"/>
        </w:rPr>
        <w:t>RTW1.</w:t>
      </w:r>
      <w:r w:rsidRPr="005667D5">
        <w:rPr>
          <w:sz w:val="18"/>
        </w:rPr>
        <w:tab/>
      </w:r>
      <w:r w:rsidRPr="005667D5">
        <w:rPr>
          <w:sz w:val="18"/>
        </w:rPr>
        <w:tab/>
        <w:t>Have you returned to work at any time since your work-related injury or illness?</w:t>
      </w:r>
    </w:p>
    <w:p w14:paraId="6D826848" w14:textId="367B32BA" w:rsidR="009B18D7" w:rsidRPr="005667D5" w:rsidRDefault="009B18D7" w:rsidP="008E09C0">
      <w:pPr>
        <w:pStyle w:val="Body"/>
        <w:spacing w:before="60" w:after="60" w:line="240" w:lineRule="auto"/>
        <w:rPr>
          <w:sz w:val="18"/>
        </w:rPr>
      </w:pPr>
      <w:r w:rsidRPr="005667D5">
        <w:rPr>
          <w:sz w:val="18"/>
        </w:rPr>
        <w:t xml:space="preserve">RTW2. </w:t>
      </w:r>
      <w:r w:rsidRPr="005667D5">
        <w:rPr>
          <w:sz w:val="18"/>
        </w:rPr>
        <w:tab/>
      </w:r>
      <w:r w:rsidRPr="005667D5">
        <w:rPr>
          <w:sz w:val="18"/>
        </w:rPr>
        <w:tab/>
        <w:t>Are you currently working in a paid job?</w:t>
      </w:r>
    </w:p>
    <w:p w14:paraId="06B7C79B" w14:textId="143BE38E" w:rsidR="00A071BF" w:rsidRDefault="00A071BF" w:rsidP="00A071BF">
      <w:pPr>
        <w:pStyle w:val="Body"/>
        <w:spacing w:before="0" w:after="0" w:line="240" w:lineRule="auto"/>
        <w:rPr>
          <w:sz w:val="16"/>
        </w:rPr>
      </w:pPr>
      <w:r>
        <w:rPr>
          <w:noProof/>
          <w:lang w:eastAsia="en-AU"/>
        </w:rPr>
        <w:drawing>
          <wp:inline distT="0" distB="0" distL="0" distR="0" wp14:anchorId="46B224D1" wp14:editId="1EF2237B">
            <wp:extent cx="5562600" cy="2200275"/>
            <wp:effectExtent l="0" t="0" r="0" b="9525"/>
            <wp:docPr id="23" name="Chart 23" descr="This chart presents a jursidictional comparison of the returned to work rate for the historic cohort. The findings are discussed in the text above.">
              <a:extLst xmlns:a="http://schemas.openxmlformats.org/drawingml/2006/main">
                <a:ext uri="{FF2B5EF4-FFF2-40B4-BE49-F238E27FC236}">
                  <a16:creationId xmlns:a16="http://schemas.microsoft.com/office/drawing/2014/main" id="{82CD1998-08CD-4D02-81CF-294750380E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59C7070" w14:textId="2CB86B91" w:rsidR="00A071BF" w:rsidRPr="00D47779" w:rsidRDefault="00A071BF" w:rsidP="00553DEC">
      <w:pPr>
        <w:pStyle w:val="FigureNote"/>
        <w:spacing w:before="120" w:after="60"/>
      </w:pPr>
      <w:r w:rsidRPr="009E7F29">
        <w:t xml:space="preserve">Base: </w:t>
      </w:r>
      <w:r w:rsidRPr="009E7F29">
        <w:tab/>
      </w:r>
      <w:r w:rsidRPr="00D47779">
        <w:t xml:space="preserve">Historic </w:t>
      </w:r>
      <w:r>
        <w:t>cohort</w:t>
      </w:r>
      <w:r w:rsidR="009B18D7">
        <w:t xml:space="preserve"> only.</w:t>
      </w:r>
      <w:r w:rsidR="00553DEC">
        <w:t xml:space="preserve"> </w:t>
      </w:r>
      <w:r w:rsidRPr="00D47779">
        <w:t>Australia (n=1,889), NSW (n=419), VIC (n=399), QLD (n=439), WA (n=373), TAS (n=123), NT (n=39), ACT (n=39), Comcare (n=51), Seacare (n=7) (not shown).</w:t>
      </w:r>
    </w:p>
    <w:p w14:paraId="54113FFD" w14:textId="0FDF7BE0" w:rsidR="008E09C0" w:rsidRPr="00D17E58" w:rsidRDefault="00A071BF" w:rsidP="0099154F">
      <w:pPr>
        <w:pStyle w:val="FigureNote"/>
        <w:spacing w:after="60"/>
      </w:pPr>
      <w:r w:rsidRPr="00D47779">
        <w:t>Note</w:t>
      </w:r>
      <w:r w:rsidR="005C0C08">
        <w:tab/>
      </w:r>
      <w:r w:rsidR="008E09C0" w:rsidRPr="008E09C0">
        <w:t xml:space="preserve">Asterisks indicate statistically significant </w:t>
      </w:r>
      <w:r w:rsidR="008E09C0" w:rsidRPr="00611565">
        <w:t xml:space="preserve">difference (single asterisk (*) indicates a lower proportion; double asterisk (**) </w:t>
      </w:r>
      <w:r w:rsidR="008E09C0" w:rsidRPr="008E09C0">
        <w:t>indicates a higher proportion</w:t>
      </w:r>
      <w:r w:rsidR="00553DEC">
        <w:t>)</w:t>
      </w:r>
      <w:r w:rsidR="003E25AE">
        <w:t xml:space="preserve"> (p-value &lt;=0.05).</w:t>
      </w:r>
    </w:p>
    <w:p w14:paraId="20DA97F9" w14:textId="0913F216" w:rsidR="007A7D70" w:rsidRDefault="00FC415A" w:rsidP="005755C8">
      <w:pPr>
        <w:pStyle w:val="Heading2"/>
      </w:pPr>
      <w:bookmarkStart w:id="61" w:name="_Toc528056021"/>
      <w:r>
        <w:lastRenderedPageBreak/>
        <w:t xml:space="preserve">Return to work </w:t>
      </w:r>
      <w:r w:rsidR="006A2841">
        <w:t>a</w:t>
      </w:r>
      <w:r w:rsidR="007A7D70">
        <w:t>ttempts</w:t>
      </w:r>
      <w:bookmarkEnd w:id="61"/>
    </w:p>
    <w:p w14:paraId="60C9923F" w14:textId="0FD18829" w:rsidR="007A7D70" w:rsidRDefault="00F27BDF" w:rsidP="007A7D70">
      <w:pPr>
        <w:pStyle w:val="Body"/>
      </w:pPr>
      <w:r>
        <w:t>W</w:t>
      </w:r>
      <w:r w:rsidR="00C831D4">
        <w:t xml:space="preserve">orkers who reported they </w:t>
      </w:r>
      <w:r w:rsidR="00BF3203">
        <w:t>were currently working</w:t>
      </w:r>
      <w:r w:rsidR="00C831D4">
        <w:t xml:space="preserve"> were asked whether they </w:t>
      </w:r>
      <w:r w:rsidR="00BF3203">
        <w:t xml:space="preserve">had </w:t>
      </w:r>
      <w:r w:rsidR="00C831D4">
        <w:t>needed to take additional time off (due to their injury or illness) since the</w:t>
      </w:r>
      <w:r w:rsidR="00BF3203">
        <w:t>y f</w:t>
      </w:r>
      <w:r w:rsidR="00C831D4">
        <w:t>ir</w:t>
      </w:r>
      <w:r w:rsidR="00BF3203">
        <w:t>st</w:t>
      </w:r>
      <w:r w:rsidR="00C831D4">
        <w:t xml:space="preserve"> return</w:t>
      </w:r>
      <w:r w:rsidR="00BF3203">
        <w:t>ed</w:t>
      </w:r>
      <w:r w:rsidR="00C831D4">
        <w:t xml:space="preserve"> to work. This</w:t>
      </w:r>
      <w:r w:rsidR="00394BCC">
        <w:t xml:space="preserve"> measure</w:t>
      </w:r>
      <w:r w:rsidR="00C831D4">
        <w:t xml:space="preserve"> provides an indica</w:t>
      </w:r>
      <w:r w:rsidR="00394BCC">
        <w:t>tion of how many return to work attempts might be considered successful, in that the worker was able to make a permanent return to the workplace.</w:t>
      </w:r>
    </w:p>
    <w:p w14:paraId="70AA1902" w14:textId="01738090" w:rsidR="00394BCC" w:rsidRDefault="00CB71C7" w:rsidP="007A7D70">
      <w:pPr>
        <w:pStyle w:val="Body"/>
      </w:pPr>
      <w:r>
        <w:t>As sh</w:t>
      </w:r>
      <w:r w:rsidRPr="00283E8F">
        <w:rPr>
          <w:color w:val="000000" w:themeColor="text1"/>
        </w:rPr>
        <w:t xml:space="preserve">own in Figure </w:t>
      </w:r>
      <w:r>
        <w:rPr>
          <w:color w:val="000000" w:themeColor="text1"/>
        </w:rPr>
        <w:t>9</w:t>
      </w:r>
      <w:r w:rsidRPr="00283E8F">
        <w:rPr>
          <w:color w:val="000000" w:themeColor="text1"/>
        </w:rPr>
        <w:t xml:space="preserve">, </w:t>
      </w:r>
      <w:r>
        <w:t>80.4% of RTW attempts in 2018 were successful (i.e. no additional time off was needed once the worker had returned to work). However, this proportion was significantly lower in comparison to 2016. One-in-five workers (19.6%) reported making more than one attempt to return to work, a significant increase from 2016.</w:t>
      </w:r>
    </w:p>
    <w:p w14:paraId="420F5884" w14:textId="7D4C452E" w:rsidR="0017689E" w:rsidRDefault="0017689E" w:rsidP="00D0461D">
      <w:pPr>
        <w:pStyle w:val="Caption"/>
      </w:pPr>
      <w:bookmarkStart w:id="62" w:name="_Ref524005353"/>
      <w:bookmarkStart w:id="63" w:name="_Toc528056576"/>
      <w:r>
        <w:t xml:space="preserve">Figure </w:t>
      </w:r>
      <w:r w:rsidR="006A2841">
        <w:rPr>
          <w:noProof/>
        </w:rPr>
        <w:fldChar w:fldCharType="begin"/>
      </w:r>
      <w:r w:rsidR="006A2841">
        <w:rPr>
          <w:noProof/>
        </w:rPr>
        <w:instrText xml:space="preserve"> SEQ Figure \* ARABIC </w:instrText>
      </w:r>
      <w:r w:rsidR="006A2841">
        <w:rPr>
          <w:noProof/>
        </w:rPr>
        <w:fldChar w:fldCharType="separate"/>
      </w:r>
      <w:r w:rsidR="00B9340A">
        <w:rPr>
          <w:noProof/>
        </w:rPr>
        <w:t>9</w:t>
      </w:r>
      <w:r w:rsidR="006A2841">
        <w:rPr>
          <w:noProof/>
        </w:rPr>
        <w:fldChar w:fldCharType="end"/>
      </w:r>
      <w:bookmarkEnd w:id="62"/>
      <w:r>
        <w:tab/>
      </w:r>
      <w:r w:rsidR="00AF778A">
        <w:t xml:space="preserve">Additional </w:t>
      </w:r>
      <w:r w:rsidR="00BE4B2B">
        <w:t>return to work a</w:t>
      </w:r>
      <w:r>
        <w:t>ttempts</w:t>
      </w:r>
      <w:r w:rsidR="00AF778A">
        <w:t xml:space="preserve"> by </w:t>
      </w:r>
      <w:r w:rsidR="00BE4B2B">
        <w:t>t</w:t>
      </w:r>
      <w:r>
        <w:t xml:space="preserve">ime </w:t>
      </w:r>
      <w:r w:rsidR="001F2214">
        <w:t>s</w:t>
      </w:r>
      <w:r>
        <w:t>eries</w:t>
      </w:r>
      <w:r w:rsidR="00AF778A">
        <w:t xml:space="preserve"> (%)</w:t>
      </w:r>
      <w:bookmarkEnd w:id="63"/>
    </w:p>
    <w:p w14:paraId="7B537CB7" w14:textId="0BA00CBB" w:rsidR="006E72F3" w:rsidRDefault="00823D4D" w:rsidP="007A7D70">
      <w:pPr>
        <w:pStyle w:val="Body"/>
      </w:pPr>
      <w:r>
        <w:rPr>
          <w:noProof/>
          <w:lang w:eastAsia="en-AU"/>
        </w:rPr>
        <w:drawing>
          <wp:inline distT="0" distB="0" distL="0" distR="0" wp14:anchorId="53E5DDE0" wp14:editId="36DCFBF4">
            <wp:extent cx="5759450" cy="2159635"/>
            <wp:effectExtent l="0" t="0" r="12700" b="12065"/>
            <wp:docPr id="207" name="Chart 207" descr="This chart presents the additional return to work attempts of those respondents who had returned to work. The findings are discussed in the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5D6B84B" w14:textId="5ADBE15D" w:rsidR="0017689E" w:rsidRPr="00D17E58" w:rsidRDefault="00B1073E" w:rsidP="00823D4D">
      <w:pPr>
        <w:pStyle w:val="FigureNote"/>
      </w:pPr>
      <w:r>
        <w:t>Base</w:t>
      </w:r>
      <w:r w:rsidR="00553DEC">
        <w:t>:</w:t>
      </w:r>
      <w:r>
        <w:tab/>
        <w:t>R</w:t>
      </w:r>
      <w:r w:rsidR="0017689E">
        <w:t>espondents who reported they were currently working.</w:t>
      </w:r>
      <w:r w:rsidR="00553DEC">
        <w:t xml:space="preserve"> </w:t>
      </w:r>
      <w:r w:rsidR="0017689E">
        <w:t>2013 (</w:t>
      </w:r>
      <w:r w:rsidR="00553DEC">
        <w:t>n=</w:t>
      </w:r>
      <w:r w:rsidR="0017689E">
        <w:t>3,540), 2014 (</w:t>
      </w:r>
      <w:r w:rsidR="00553DEC">
        <w:t>n=</w:t>
      </w:r>
      <w:r w:rsidR="0017689E">
        <w:t>3,631), 2016 (</w:t>
      </w:r>
      <w:r w:rsidR="00553DEC">
        <w:t>n=</w:t>
      </w:r>
      <w:r w:rsidR="0017689E">
        <w:t>4,069), 2018 (</w:t>
      </w:r>
      <w:r w:rsidR="00553DEC">
        <w:t>n=</w:t>
      </w:r>
      <w:r w:rsidR="0017689E">
        <w:t>3,610)</w:t>
      </w:r>
      <w:r w:rsidR="00553DEC">
        <w:t xml:space="preserve">. </w:t>
      </w:r>
      <w:r w:rsidR="00553DEC" w:rsidRPr="00553DEC">
        <w:rPr>
          <w:szCs w:val="16"/>
        </w:rPr>
        <w:t>Don’t know and Refused responses excluded from base.</w:t>
      </w:r>
    </w:p>
    <w:p w14:paraId="2968F814" w14:textId="44EE4E19" w:rsidR="0017689E" w:rsidRDefault="0017689E" w:rsidP="00823D4D">
      <w:pPr>
        <w:pStyle w:val="FigureNote"/>
      </w:pPr>
      <w:r>
        <w:t>RTW8</w:t>
      </w:r>
      <w:r w:rsidRPr="00D17E58">
        <w:tab/>
      </w:r>
      <w:r w:rsidRPr="0017689E">
        <w:t>Since you FIRST returned to work, have you had to have any additional time off because of your work-related injury or illness</w:t>
      </w:r>
      <w:r w:rsidRPr="00D17E58">
        <w:t>?</w:t>
      </w:r>
    </w:p>
    <w:p w14:paraId="7211A58E" w14:textId="2543F01A" w:rsidR="00553DEC" w:rsidRPr="00611565" w:rsidRDefault="0017689E" w:rsidP="00011EAE">
      <w:pPr>
        <w:pStyle w:val="FigureNote"/>
        <w:rPr>
          <w:szCs w:val="16"/>
        </w:rPr>
      </w:pPr>
      <w:r w:rsidRPr="00553DEC">
        <w:rPr>
          <w:szCs w:val="16"/>
        </w:rPr>
        <w:t>Note</w:t>
      </w:r>
      <w:r w:rsidR="00553DEC">
        <w:rPr>
          <w:szCs w:val="16"/>
        </w:rPr>
        <w:t>:</w:t>
      </w:r>
      <w:r w:rsidRPr="00553DEC">
        <w:rPr>
          <w:szCs w:val="16"/>
        </w:rPr>
        <w:tab/>
      </w:r>
      <w:r w:rsidR="00553DEC" w:rsidRPr="00553DEC">
        <w:rPr>
          <w:szCs w:val="16"/>
        </w:rPr>
        <w:t>Asterisks indicate</w:t>
      </w:r>
      <w:r w:rsidR="00553DEC" w:rsidRPr="00887D32">
        <w:rPr>
          <w:szCs w:val="16"/>
        </w:rPr>
        <w:t xml:space="preserve"> statistically significant difference from the previous </w:t>
      </w:r>
      <w:r w:rsidR="00553DEC" w:rsidRPr="00611565">
        <w:rPr>
          <w:szCs w:val="16"/>
        </w:rPr>
        <w:t>year (single asterisk (*) indicates a lower proportion; double asterisk (**</w:t>
      </w:r>
      <w:r w:rsidR="003E25AE">
        <w:rPr>
          <w:szCs w:val="16"/>
        </w:rPr>
        <w:t xml:space="preserve">) indicates a higher proportion </w:t>
      </w:r>
      <w:r w:rsidR="003E25AE" w:rsidRPr="003E25AE">
        <w:rPr>
          <w:szCs w:val="16"/>
        </w:rPr>
        <w:t>(p-value &lt;=0.05).</w:t>
      </w:r>
    </w:p>
    <w:p w14:paraId="0536F5AB" w14:textId="1AC0D0A9" w:rsidR="0017689E" w:rsidRPr="00611565" w:rsidRDefault="0017689E" w:rsidP="009A7AC8">
      <w:pPr>
        <w:pStyle w:val="FigureNote"/>
      </w:pPr>
    </w:p>
    <w:p w14:paraId="32BDF381" w14:textId="7DE5DB11" w:rsidR="00CB71C7" w:rsidRDefault="00CB71C7" w:rsidP="00CB71C7">
      <w:pPr>
        <w:pStyle w:val="Body"/>
      </w:pPr>
      <w:r>
        <w:t>The proportion of unsuccessful RTW attempts is significantly higher among the Historic cohort (25.5%), than it is for the Balance cohort (</w:t>
      </w:r>
      <w:r w:rsidRPr="00283E8F">
        <w:t>19</w:t>
      </w:r>
      <w:r>
        <w:t>.3</w:t>
      </w:r>
      <w:r w:rsidRPr="00283E8F">
        <w:rPr>
          <w:color w:val="000000" w:themeColor="text1"/>
        </w:rPr>
        <w:t xml:space="preserve">%) (see Table </w:t>
      </w:r>
      <w:r>
        <w:rPr>
          <w:noProof/>
          <w:color w:val="000000" w:themeColor="text1"/>
        </w:rPr>
        <w:t>4, overleaf</w:t>
      </w:r>
      <w:r w:rsidRPr="00283E8F">
        <w:rPr>
          <w:color w:val="000000" w:themeColor="text1"/>
        </w:rPr>
        <w:t xml:space="preserve">). </w:t>
      </w:r>
      <w:r w:rsidRPr="00283E8F">
        <w:t>Given</w:t>
      </w:r>
      <w:r>
        <w:t xml:space="preserve"> the criteria for the Historic cohort required a longer period of absence from the workplace, this result is not surprising.</w:t>
      </w:r>
    </w:p>
    <w:p w14:paraId="3C337434" w14:textId="55FFB084" w:rsidR="00CB71C7" w:rsidRDefault="00CB71C7" w:rsidP="00CB71C7">
      <w:pPr>
        <w:pStyle w:val="Body"/>
      </w:pPr>
      <w:r>
        <w:t>Two jurisdictions – Victoria (28.8%) and Comcare (27.9%) – reported a significantly higher proportion of unsuccessful RTW attempts. Apart from this, there were no other significant differences by jurisdiction. A higher proportion of workers from large organisations reported taking additional time off (22.6%) compared to those from small (19.3%) or medium (17.7%) sized employers, however the differences were not statistically significant.</w:t>
      </w:r>
    </w:p>
    <w:p w14:paraId="2EA32569" w14:textId="77777777" w:rsidR="002C60B6" w:rsidRDefault="002C60B6">
      <w:pPr>
        <w:rPr>
          <w:rFonts w:eastAsia="Times New Roman" w:cs="Arial"/>
          <w:b/>
          <w:bCs/>
          <w:color w:val="1F688D"/>
          <w:szCs w:val="18"/>
        </w:rPr>
      </w:pPr>
      <w:bookmarkStart w:id="64" w:name="_Ref524078767"/>
      <w:r>
        <w:br w:type="page"/>
      </w:r>
    </w:p>
    <w:p w14:paraId="732BD19E" w14:textId="2122E54D" w:rsidR="00394BCC" w:rsidRDefault="0017689E" w:rsidP="00D0461D">
      <w:pPr>
        <w:pStyle w:val="Caption"/>
      </w:pPr>
      <w:bookmarkStart w:id="65" w:name="_Toc528056603"/>
      <w:r>
        <w:lastRenderedPageBreak/>
        <w:t xml:space="preserve">Table </w:t>
      </w:r>
      <w:r w:rsidR="006A2841">
        <w:rPr>
          <w:noProof/>
        </w:rPr>
        <w:fldChar w:fldCharType="begin"/>
      </w:r>
      <w:r w:rsidR="006A2841">
        <w:rPr>
          <w:noProof/>
        </w:rPr>
        <w:instrText xml:space="preserve"> SEQ Table \* ARABIC </w:instrText>
      </w:r>
      <w:r w:rsidR="006A2841">
        <w:rPr>
          <w:noProof/>
        </w:rPr>
        <w:fldChar w:fldCharType="separate"/>
      </w:r>
      <w:r w:rsidR="00B9340A">
        <w:rPr>
          <w:noProof/>
        </w:rPr>
        <w:t>4</w:t>
      </w:r>
      <w:r w:rsidR="006A2841">
        <w:rPr>
          <w:noProof/>
        </w:rPr>
        <w:fldChar w:fldCharType="end"/>
      </w:r>
      <w:bookmarkEnd w:id="64"/>
      <w:r>
        <w:tab/>
      </w:r>
      <w:r w:rsidR="004D4F1C">
        <w:t>Return to work a</w:t>
      </w:r>
      <w:r>
        <w:t>ttempts</w:t>
      </w:r>
      <w:r w:rsidR="008A0651">
        <w:t xml:space="preserve"> b</w:t>
      </w:r>
      <w:r>
        <w:t xml:space="preserve">y </w:t>
      </w:r>
      <w:r w:rsidR="004D4F1C">
        <w:t>c</w:t>
      </w:r>
      <w:r>
        <w:t xml:space="preserve">ohort and </w:t>
      </w:r>
      <w:r w:rsidR="004D4F1C">
        <w:t>j</w:t>
      </w:r>
      <w:r>
        <w:t>urisdiction</w:t>
      </w:r>
      <w:r w:rsidR="007A081F">
        <w:t xml:space="preserve"> – 2</w:t>
      </w:r>
      <w:r w:rsidR="00E92B2B">
        <w:t>018</w:t>
      </w:r>
      <w:r w:rsidR="007A081F">
        <w:t xml:space="preserve"> (%</w:t>
      </w:r>
      <w:r w:rsidR="00CB12E8">
        <w:t>)</w:t>
      </w:r>
      <w:bookmarkEnd w:id="65"/>
    </w:p>
    <w:tbl>
      <w:tblPr>
        <w:tblStyle w:val="SRC1"/>
        <w:tblW w:w="9071" w:type="dxa"/>
        <w:tblLook w:val="04A0" w:firstRow="1" w:lastRow="0" w:firstColumn="1" w:lastColumn="0" w:noHBand="0" w:noVBand="1"/>
        <w:tblDescription w:val="This table presents return to work attempts by cohort and jurisdiction. Findings are discussed in the text above."/>
      </w:tblPr>
      <w:tblGrid>
        <w:gridCol w:w="3969"/>
        <w:gridCol w:w="2551"/>
        <w:gridCol w:w="2551"/>
      </w:tblGrid>
      <w:tr w:rsidR="0017689E" w:rsidRPr="0017689E" w14:paraId="24B77BE6" w14:textId="77777777" w:rsidTr="00916DD7">
        <w:trPr>
          <w:cnfStyle w:val="100000000000" w:firstRow="1" w:lastRow="0" w:firstColumn="0" w:lastColumn="0" w:oddVBand="0" w:evenVBand="0" w:oddHBand="0" w:evenHBand="0" w:firstRowFirstColumn="0" w:firstRowLastColumn="0" w:lastRowFirstColumn="0" w:lastRowLastColumn="0"/>
          <w:trHeight w:val="159"/>
          <w:tblHeader/>
        </w:trPr>
        <w:tc>
          <w:tcPr>
            <w:cnfStyle w:val="001000000100" w:firstRow="0" w:lastRow="0" w:firstColumn="1" w:lastColumn="0" w:oddVBand="0" w:evenVBand="0" w:oddHBand="0" w:evenHBand="0" w:firstRowFirstColumn="1" w:firstRowLastColumn="0" w:lastRowFirstColumn="0" w:lastRowLastColumn="0"/>
            <w:tcW w:w="3969" w:type="dxa"/>
          </w:tcPr>
          <w:p w14:paraId="68DB16FB" w14:textId="4A54CA74" w:rsidR="005667D5" w:rsidRPr="0017689E" w:rsidRDefault="005667D5" w:rsidP="00155B0F">
            <w:pPr>
              <w:pStyle w:val="Body"/>
              <w:spacing w:before="40" w:after="40" w:line="240" w:lineRule="auto"/>
              <w:rPr>
                <w:sz w:val="18"/>
              </w:rPr>
            </w:pPr>
          </w:p>
        </w:tc>
        <w:tc>
          <w:tcPr>
            <w:tcW w:w="2551" w:type="dxa"/>
            <w:vAlign w:val="bottom"/>
          </w:tcPr>
          <w:p w14:paraId="380D9505" w14:textId="733BE956" w:rsidR="0017689E" w:rsidRPr="0017689E" w:rsidRDefault="0017689E" w:rsidP="00155B0F">
            <w:pPr>
              <w:pStyle w:val="Body"/>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18"/>
              </w:rPr>
            </w:pPr>
            <w:r>
              <w:rPr>
                <w:sz w:val="18"/>
              </w:rPr>
              <w:t>Y</w:t>
            </w:r>
            <w:r w:rsidR="005667D5">
              <w:rPr>
                <w:sz w:val="18"/>
              </w:rPr>
              <w:t>es</w:t>
            </w:r>
            <w:r w:rsidR="00CF7445">
              <w:rPr>
                <w:sz w:val="18"/>
              </w:rPr>
              <w:t>, have had additional time off</w:t>
            </w:r>
          </w:p>
        </w:tc>
        <w:tc>
          <w:tcPr>
            <w:tcW w:w="2551" w:type="dxa"/>
            <w:vAlign w:val="bottom"/>
          </w:tcPr>
          <w:p w14:paraId="7C1AA1A0" w14:textId="20F74EB2" w:rsidR="0017689E" w:rsidRPr="0017689E" w:rsidRDefault="005667D5" w:rsidP="00155B0F">
            <w:pPr>
              <w:pStyle w:val="Body"/>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18"/>
              </w:rPr>
            </w:pPr>
            <w:r>
              <w:rPr>
                <w:sz w:val="18"/>
              </w:rPr>
              <w:t xml:space="preserve">No </w:t>
            </w:r>
            <w:r w:rsidR="00CF7445">
              <w:rPr>
                <w:sz w:val="18"/>
              </w:rPr>
              <w:t>additional time off</w:t>
            </w:r>
          </w:p>
        </w:tc>
      </w:tr>
      <w:tr w:rsidR="00823D4D" w:rsidRPr="0017689E" w14:paraId="2F17A5E1" w14:textId="77777777" w:rsidTr="00011EAE">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6A91C0A3" w14:textId="77777777" w:rsidR="00823D4D" w:rsidRPr="00651B7E" w:rsidRDefault="00823D4D" w:rsidP="005050E6">
            <w:pPr>
              <w:pStyle w:val="Body"/>
              <w:spacing w:before="40" w:after="40" w:line="240" w:lineRule="auto"/>
              <w:rPr>
                <w:b/>
                <w:sz w:val="18"/>
              </w:rPr>
            </w:pPr>
            <w:r w:rsidRPr="00651B7E">
              <w:rPr>
                <w:b/>
                <w:sz w:val="18"/>
              </w:rPr>
              <w:t>Total</w:t>
            </w:r>
          </w:p>
        </w:tc>
        <w:tc>
          <w:tcPr>
            <w:tcW w:w="2551" w:type="dxa"/>
            <w:shd w:val="clear" w:color="auto" w:fill="auto"/>
          </w:tcPr>
          <w:p w14:paraId="74982074" w14:textId="77777777" w:rsidR="00823D4D" w:rsidRPr="00651B7E" w:rsidRDefault="00823D4D" w:rsidP="005050E6">
            <w:pPr>
              <w:pStyle w:val="Body"/>
              <w:spacing w:before="40" w:after="40" w:line="240" w:lineRule="auto"/>
              <w:ind w:right="907"/>
              <w:jc w:val="right"/>
              <w:cnfStyle w:val="000000100000" w:firstRow="0" w:lastRow="0" w:firstColumn="0" w:lastColumn="0" w:oddVBand="0" w:evenVBand="0" w:oddHBand="1" w:evenHBand="0" w:firstRowFirstColumn="0" w:firstRowLastColumn="0" w:lastRowFirstColumn="0" w:lastRowLastColumn="0"/>
              <w:rPr>
                <w:b/>
                <w:sz w:val="18"/>
              </w:rPr>
            </w:pPr>
            <w:r w:rsidRPr="00651B7E">
              <w:rPr>
                <w:b/>
                <w:sz w:val="18"/>
              </w:rPr>
              <w:t>19.6</w:t>
            </w:r>
          </w:p>
        </w:tc>
        <w:tc>
          <w:tcPr>
            <w:tcW w:w="2551" w:type="dxa"/>
            <w:shd w:val="clear" w:color="auto" w:fill="auto"/>
          </w:tcPr>
          <w:p w14:paraId="0B21E9EB" w14:textId="77777777" w:rsidR="00823D4D" w:rsidRPr="00651B7E" w:rsidRDefault="00823D4D" w:rsidP="005050E6">
            <w:pPr>
              <w:pStyle w:val="Body"/>
              <w:spacing w:before="40" w:after="40" w:line="240" w:lineRule="auto"/>
              <w:ind w:right="850"/>
              <w:jc w:val="right"/>
              <w:cnfStyle w:val="000000100000" w:firstRow="0" w:lastRow="0" w:firstColumn="0" w:lastColumn="0" w:oddVBand="0" w:evenVBand="0" w:oddHBand="1" w:evenHBand="0" w:firstRowFirstColumn="0" w:firstRowLastColumn="0" w:lastRowFirstColumn="0" w:lastRowLastColumn="0"/>
              <w:rPr>
                <w:b/>
                <w:sz w:val="18"/>
              </w:rPr>
            </w:pPr>
            <w:r w:rsidRPr="00651B7E">
              <w:rPr>
                <w:b/>
                <w:sz w:val="18"/>
              </w:rPr>
              <w:t>80.4</w:t>
            </w:r>
          </w:p>
        </w:tc>
      </w:tr>
      <w:tr w:rsidR="0017689E" w:rsidRPr="0017689E" w14:paraId="73F2D7C8" w14:textId="77777777" w:rsidTr="007524AD">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969" w:type="dxa"/>
            <w:shd w:val="clear" w:color="auto" w:fill="58AFDA" w:themeFill="accent1" w:themeFillTint="99"/>
          </w:tcPr>
          <w:p w14:paraId="2E18FB4D" w14:textId="010503E2" w:rsidR="0017689E" w:rsidRPr="0017689E" w:rsidRDefault="0017689E" w:rsidP="00155B0F">
            <w:pPr>
              <w:pStyle w:val="Body"/>
              <w:spacing w:before="40" w:after="40" w:line="240" w:lineRule="auto"/>
              <w:rPr>
                <w:b/>
                <w:sz w:val="18"/>
              </w:rPr>
            </w:pPr>
            <w:r w:rsidRPr="0017689E">
              <w:rPr>
                <w:b/>
                <w:sz w:val="18"/>
              </w:rPr>
              <w:t>Cohort</w:t>
            </w:r>
          </w:p>
        </w:tc>
        <w:tc>
          <w:tcPr>
            <w:tcW w:w="2551" w:type="dxa"/>
            <w:shd w:val="clear" w:color="auto" w:fill="58AFDA" w:themeFill="accent1" w:themeFillTint="99"/>
          </w:tcPr>
          <w:p w14:paraId="0F6D7D29" w14:textId="344C396D" w:rsidR="0017689E" w:rsidRPr="0017689E" w:rsidRDefault="0017689E" w:rsidP="00155B0F">
            <w:pPr>
              <w:pStyle w:val="Body"/>
              <w:spacing w:before="40" w:after="40" w:line="240" w:lineRule="auto"/>
              <w:jc w:val="center"/>
              <w:cnfStyle w:val="000000010000" w:firstRow="0" w:lastRow="0" w:firstColumn="0" w:lastColumn="0" w:oddVBand="0" w:evenVBand="0" w:oddHBand="0" w:evenHBand="1" w:firstRowFirstColumn="0" w:firstRowLastColumn="0" w:lastRowFirstColumn="0" w:lastRowLastColumn="0"/>
              <w:rPr>
                <w:b/>
                <w:sz w:val="18"/>
              </w:rPr>
            </w:pPr>
          </w:p>
        </w:tc>
        <w:tc>
          <w:tcPr>
            <w:tcW w:w="2551" w:type="dxa"/>
            <w:shd w:val="clear" w:color="auto" w:fill="58AFDA" w:themeFill="accent1" w:themeFillTint="99"/>
          </w:tcPr>
          <w:p w14:paraId="76674C9B" w14:textId="77777777" w:rsidR="0017689E" w:rsidRPr="0017689E" w:rsidRDefault="0017689E" w:rsidP="00155B0F">
            <w:pPr>
              <w:pStyle w:val="Body"/>
              <w:spacing w:before="40" w:after="40" w:line="240" w:lineRule="auto"/>
              <w:jc w:val="center"/>
              <w:cnfStyle w:val="000000010000" w:firstRow="0" w:lastRow="0" w:firstColumn="0" w:lastColumn="0" w:oddVBand="0" w:evenVBand="0" w:oddHBand="0" w:evenHBand="1" w:firstRowFirstColumn="0" w:firstRowLastColumn="0" w:lastRowFirstColumn="0" w:lastRowLastColumn="0"/>
              <w:rPr>
                <w:b/>
                <w:sz w:val="18"/>
              </w:rPr>
            </w:pPr>
          </w:p>
        </w:tc>
      </w:tr>
      <w:tr w:rsidR="0017689E" w:rsidRPr="0017689E" w14:paraId="36B8DBD0" w14:textId="77777777" w:rsidTr="007524AD">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969" w:type="dxa"/>
          </w:tcPr>
          <w:p w14:paraId="464D0F10" w14:textId="532CE275" w:rsidR="0017689E" w:rsidRPr="0017689E" w:rsidRDefault="0017689E" w:rsidP="00155B0F">
            <w:pPr>
              <w:pStyle w:val="Body"/>
              <w:spacing w:before="40" w:after="40" w:line="240" w:lineRule="auto"/>
              <w:rPr>
                <w:sz w:val="18"/>
              </w:rPr>
            </w:pPr>
            <w:r>
              <w:rPr>
                <w:sz w:val="18"/>
              </w:rPr>
              <w:t>Historic</w:t>
            </w:r>
          </w:p>
        </w:tc>
        <w:tc>
          <w:tcPr>
            <w:tcW w:w="2551" w:type="dxa"/>
          </w:tcPr>
          <w:p w14:paraId="1547B8F3" w14:textId="2F90DDE0" w:rsidR="0017689E" w:rsidRPr="00611565" w:rsidRDefault="00633B9D" w:rsidP="00AA5106">
            <w:pPr>
              <w:pStyle w:val="Body"/>
              <w:spacing w:before="40" w:after="40" w:line="240" w:lineRule="auto"/>
              <w:ind w:right="907"/>
              <w:jc w:val="right"/>
              <w:cnfStyle w:val="000000100000" w:firstRow="0" w:lastRow="0" w:firstColumn="0" w:lastColumn="0" w:oddVBand="0" w:evenVBand="0" w:oddHBand="1" w:evenHBand="0" w:firstRowFirstColumn="0" w:firstRowLastColumn="0" w:lastRowFirstColumn="0" w:lastRowLastColumn="0"/>
              <w:rPr>
                <w:sz w:val="18"/>
              </w:rPr>
            </w:pPr>
            <w:r w:rsidRPr="00611565">
              <w:rPr>
                <w:sz w:val="18"/>
              </w:rPr>
              <w:t>25.5</w:t>
            </w:r>
            <w:r w:rsidR="005667D5" w:rsidRPr="00611565">
              <w:rPr>
                <w:sz w:val="18"/>
              </w:rPr>
              <w:t>**</w:t>
            </w:r>
          </w:p>
        </w:tc>
        <w:tc>
          <w:tcPr>
            <w:tcW w:w="2551" w:type="dxa"/>
          </w:tcPr>
          <w:p w14:paraId="7B8EF779" w14:textId="0DBD5387" w:rsidR="0017689E" w:rsidRPr="00611565" w:rsidRDefault="005667D5" w:rsidP="00AA5106">
            <w:pPr>
              <w:pStyle w:val="Body"/>
              <w:spacing w:before="40" w:after="40" w:line="240" w:lineRule="auto"/>
              <w:ind w:right="850"/>
              <w:jc w:val="right"/>
              <w:cnfStyle w:val="000000100000" w:firstRow="0" w:lastRow="0" w:firstColumn="0" w:lastColumn="0" w:oddVBand="0" w:evenVBand="0" w:oddHBand="1" w:evenHBand="0" w:firstRowFirstColumn="0" w:firstRowLastColumn="0" w:lastRowFirstColumn="0" w:lastRowLastColumn="0"/>
              <w:rPr>
                <w:sz w:val="18"/>
              </w:rPr>
            </w:pPr>
            <w:r w:rsidRPr="00611565">
              <w:rPr>
                <w:sz w:val="18"/>
              </w:rPr>
              <w:t>74</w:t>
            </w:r>
            <w:r w:rsidR="00633B9D" w:rsidRPr="00611565">
              <w:rPr>
                <w:sz w:val="18"/>
              </w:rPr>
              <w:t>.5</w:t>
            </w:r>
            <w:r w:rsidRPr="00611565">
              <w:rPr>
                <w:sz w:val="18"/>
              </w:rPr>
              <w:t>*</w:t>
            </w:r>
          </w:p>
        </w:tc>
      </w:tr>
      <w:tr w:rsidR="0017689E" w:rsidRPr="0017689E" w14:paraId="4BD987BB" w14:textId="77777777" w:rsidTr="007524AD">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969" w:type="dxa"/>
          </w:tcPr>
          <w:p w14:paraId="6CD581F7" w14:textId="39A02917" w:rsidR="0017689E" w:rsidRPr="0017689E" w:rsidRDefault="0017689E" w:rsidP="00155B0F">
            <w:pPr>
              <w:pStyle w:val="Body"/>
              <w:spacing w:before="40" w:after="40" w:line="240" w:lineRule="auto"/>
              <w:rPr>
                <w:sz w:val="18"/>
              </w:rPr>
            </w:pPr>
            <w:r>
              <w:rPr>
                <w:sz w:val="18"/>
              </w:rPr>
              <w:t>Balance</w:t>
            </w:r>
          </w:p>
        </w:tc>
        <w:tc>
          <w:tcPr>
            <w:tcW w:w="2551" w:type="dxa"/>
          </w:tcPr>
          <w:p w14:paraId="55E7E4E7" w14:textId="55A908E0" w:rsidR="0017689E" w:rsidRPr="00611565" w:rsidRDefault="005667D5" w:rsidP="00AA5106">
            <w:pPr>
              <w:pStyle w:val="Body"/>
              <w:spacing w:before="40" w:after="40" w:line="240" w:lineRule="auto"/>
              <w:ind w:right="907"/>
              <w:jc w:val="right"/>
              <w:cnfStyle w:val="000000010000" w:firstRow="0" w:lastRow="0" w:firstColumn="0" w:lastColumn="0" w:oddVBand="0" w:evenVBand="0" w:oddHBand="0" w:evenHBand="1" w:firstRowFirstColumn="0" w:firstRowLastColumn="0" w:lastRowFirstColumn="0" w:lastRowLastColumn="0"/>
              <w:rPr>
                <w:sz w:val="18"/>
              </w:rPr>
            </w:pPr>
            <w:r w:rsidRPr="00611565">
              <w:rPr>
                <w:sz w:val="18"/>
              </w:rPr>
              <w:t>19</w:t>
            </w:r>
            <w:r w:rsidR="00633B9D" w:rsidRPr="00611565">
              <w:rPr>
                <w:sz w:val="18"/>
              </w:rPr>
              <w:t>.3</w:t>
            </w:r>
            <w:r w:rsidRPr="00611565">
              <w:rPr>
                <w:sz w:val="18"/>
              </w:rPr>
              <w:t>*</w:t>
            </w:r>
          </w:p>
        </w:tc>
        <w:tc>
          <w:tcPr>
            <w:tcW w:w="2551" w:type="dxa"/>
          </w:tcPr>
          <w:p w14:paraId="3C455BA4" w14:textId="342268D0" w:rsidR="0017689E" w:rsidRPr="00611565" w:rsidRDefault="00633B9D" w:rsidP="00AA5106">
            <w:pPr>
              <w:pStyle w:val="Body"/>
              <w:spacing w:before="40" w:after="40" w:line="240" w:lineRule="auto"/>
              <w:ind w:right="850"/>
              <w:jc w:val="right"/>
              <w:cnfStyle w:val="000000010000" w:firstRow="0" w:lastRow="0" w:firstColumn="0" w:lastColumn="0" w:oddVBand="0" w:evenVBand="0" w:oddHBand="0" w:evenHBand="1" w:firstRowFirstColumn="0" w:firstRowLastColumn="0" w:lastRowFirstColumn="0" w:lastRowLastColumn="0"/>
              <w:rPr>
                <w:sz w:val="18"/>
              </w:rPr>
            </w:pPr>
            <w:r w:rsidRPr="00611565">
              <w:rPr>
                <w:sz w:val="18"/>
              </w:rPr>
              <w:t>80.7</w:t>
            </w:r>
            <w:r w:rsidR="005667D5" w:rsidRPr="00611565">
              <w:rPr>
                <w:sz w:val="18"/>
              </w:rPr>
              <w:t>**</w:t>
            </w:r>
          </w:p>
        </w:tc>
      </w:tr>
      <w:tr w:rsidR="0017689E" w:rsidRPr="0017689E" w14:paraId="41B0F7D9" w14:textId="77777777" w:rsidTr="007524AD">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969" w:type="dxa"/>
            <w:shd w:val="clear" w:color="auto" w:fill="58AFDA" w:themeFill="accent1" w:themeFillTint="99"/>
          </w:tcPr>
          <w:p w14:paraId="7338F303" w14:textId="6BF3287B" w:rsidR="0017689E" w:rsidRPr="00CB12E8" w:rsidRDefault="0017689E" w:rsidP="00155B0F">
            <w:pPr>
              <w:pStyle w:val="Body"/>
              <w:spacing w:before="40" w:after="40" w:line="240" w:lineRule="auto"/>
              <w:rPr>
                <w:b/>
                <w:sz w:val="18"/>
              </w:rPr>
            </w:pPr>
            <w:r w:rsidRPr="00CB12E8">
              <w:rPr>
                <w:b/>
                <w:sz w:val="18"/>
              </w:rPr>
              <w:t>Jurisdiction</w:t>
            </w:r>
          </w:p>
        </w:tc>
        <w:tc>
          <w:tcPr>
            <w:tcW w:w="2551" w:type="dxa"/>
            <w:shd w:val="clear" w:color="auto" w:fill="58AFDA" w:themeFill="accent1" w:themeFillTint="99"/>
          </w:tcPr>
          <w:p w14:paraId="6ACFB160" w14:textId="77777777" w:rsidR="0017689E" w:rsidRPr="00611565" w:rsidRDefault="0017689E" w:rsidP="00AA5106">
            <w:pPr>
              <w:pStyle w:val="Body"/>
              <w:spacing w:before="40" w:after="40" w:line="240" w:lineRule="auto"/>
              <w:ind w:right="907"/>
              <w:jc w:val="right"/>
              <w:cnfStyle w:val="000000100000" w:firstRow="0" w:lastRow="0" w:firstColumn="0" w:lastColumn="0" w:oddVBand="0" w:evenVBand="0" w:oddHBand="1" w:evenHBand="0" w:firstRowFirstColumn="0" w:firstRowLastColumn="0" w:lastRowFirstColumn="0" w:lastRowLastColumn="0"/>
              <w:rPr>
                <w:b/>
                <w:sz w:val="18"/>
              </w:rPr>
            </w:pPr>
          </w:p>
        </w:tc>
        <w:tc>
          <w:tcPr>
            <w:tcW w:w="2551" w:type="dxa"/>
            <w:shd w:val="clear" w:color="auto" w:fill="58AFDA" w:themeFill="accent1" w:themeFillTint="99"/>
          </w:tcPr>
          <w:p w14:paraId="3CD4904F" w14:textId="77777777" w:rsidR="0017689E" w:rsidRPr="00611565" w:rsidRDefault="0017689E" w:rsidP="00AA5106">
            <w:pPr>
              <w:pStyle w:val="Body"/>
              <w:spacing w:before="40" w:after="40" w:line="240" w:lineRule="auto"/>
              <w:ind w:right="850"/>
              <w:jc w:val="right"/>
              <w:cnfStyle w:val="000000100000" w:firstRow="0" w:lastRow="0" w:firstColumn="0" w:lastColumn="0" w:oddVBand="0" w:evenVBand="0" w:oddHBand="1" w:evenHBand="0" w:firstRowFirstColumn="0" w:firstRowLastColumn="0" w:lastRowFirstColumn="0" w:lastRowLastColumn="0"/>
              <w:rPr>
                <w:b/>
                <w:sz w:val="18"/>
              </w:rPr>
            </w:pPr>
          </w:p>
        </w:tc>
      </w:tr>
      <w:tr w:rsidR="0017689E" w:rsidRPr="0017689E" w14:paraId="3E6BAE8F" w14:textId="77777777" w:rsidTr="007524AD">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969" w:type="dxa"/>
          </w:tcPr>
          <w:p w14:paraId="3D210ECF" w14:textId="62F3B52C" w:rsidR="0017689E" w:rsidRPr="0017689E" w:rsidRDefault="0017689E" w:rsidP="00155B0F">
            <w:pPr>
              <w:pStyle w:val="Body"/>
              <w:spacing w:before="40" w:after="40" w:line="240" w:lineRule="auto"/>
              <w:rPr>
                <w:sz w:val="18"/>
              </w:rPr>
            </w:pPr>
            <w:r w:rsidRPr="008B2C65">
              <w:rPr>
                <w:rFonts w:cs="Arial"/>
                <w:color w:val="000000"/>
                <w:sz w:val="18"/>
                <w:szCs w:val="18"/>
                <w:lang w:eastAsia="en-AU"/>
              </w:rPr>
              <w:t>A</w:t>
            </w:r>
            <w:r w:rsidR="00FF7BA8">
              <w:rPr>
                <w:rFonts w:cs="Arial"/>
                <w:color w:val="000000"/>
                <w:sz w:val="18"/>
                <w:szCs w:val="18"/>
                <w:lang w:eastAsia="en-AU"/>
              </w:rPr>
              <w:t xml:space="preserve">ustralian </w:t>
            </w:r>
            <w:r w:rsidRPr="008B2C65">
              <w:rPr>
                <w:rFonts w:cs="Arial"/>
                <w:color w:val="000000"/>
                <w:sz w:val="18"/>
                <w:szCs w:val="18"/>
                <w:lang w:eastAsia="en-AU"/>
              </w:rPr>
              <w:t>C</w:t>
            </w:r>
            <w:r w:rsidR="00FF7BA8">
              <w:rPr>
                <w:rFonts w:cs="Arial"/>
                <w:color w:val="000000"/>
                <w:sz w:val="18"/>
                <w:szCs w:val="18"/>
                <w:lang w:eastAsia="en-AU"/>
              </w:rPr>
              <w:t xml:space="preserve">apital </w:t>
            </w:r>
            <w:r w:rsidRPr="008B2C65">
              <w:rPr>
                <w:rFonts w:cs="Arial"/>
                <w:color w:val="000000"/>
                <w:sz w:val="18"/>
                <w:szCs w:val="18"/>
                <w:lang w:eastAsia="en-AU"/>
              </w:rPr>
              <w:t>T</w:t>
            </w:r>
            <w:r w:rsidR="00FF7BA8">
              <w:rPr>
                <w:rFonts w:cs="Arial"/>
                <w:color w:val="000000"/>
                <w:sz w:val="18"/>
                <w:szCs w:val="18"/>
                <w:lang w:eastAsia="en-AU"/>
              </w:rPr>
              <w:t>erritory</w:t>
            </w:r>
          </w:p>
        </w:tc>
        <w:tc>
          <w:tcPr>
            <w:tcW w:w="2551" w:type="dxa"/>
          </w:tcPr>
          <w:p w14:paraId="3841DFE9" w14:textId="68D1BE17" w:rsidR="0017689E" w:rsidRPr="00611565" w:rsidRDefault="00633B9D" w:rsidP="00AA5106">
            <w:pPr>
              <w:pStyle w:val="Body"/>
              <w:spacing w:before="40" w:after="40" w:line="240" w:lineRule="auto"/>
              <w:ind w:right="907"/>
              <w:jc w:val="right"/>
              <w:cnfStyle w:val="000000010000" w:firstRow="0" w:lastRow="0" w:firstColumn="0" w:lastColumn="0" w:oddVBand="0" w:evenVBand="0" w:oddHBand="0" w:evenHBand="1" w:firstRowFirstColumn="0" w:firstRowLastColumn="0" w:lastRowFirstColumn="0" w:lastRowLastColumn="0"/>
              <w:rPr>
                <w:sz w:val="18"/>
              </w:rPr>
            </w:pPr>
            <w:r w:rsidRPr="00611565">
              <w:rPr>
                <w:sz w:val="18"/>
              </w:rPr>
              <w:t>27.8</w:t>
            </w:r>
          </w:p>
        </w:tc>
        <w:tc>
          <w:tcPr>
            <w:tcW w:w="2551" w:type="dxa"/>
          </w:tcPr>
          <w:p w14:paraId="5237B6C6" w14:textId="44670C63" w:rsidR="0017689E" w:rsidRPr="00611565" w:rsidRDefault="00CB12E8" w:rsidP="00AA5106">
            <w:pPr>
              <w:pStyle w:val="Body"/>
              <w:spacing w:before="40" w:after="40" w:line="240" w:lineRule="auto"/>
              <w:ind w:right="850"/>
              <w:jc w:val="right"/>
              <w:cnfStyle w:val="000000010000" w:firstRow="0" w:lastRow="0" w:firstColumn="0" w:lastColumn="0" w:oddVBand="0" w:evenVBand="0" w:oddHBand="0" w:evenHBand="1" w:firstRowFirstColumn="0" w:firstRowLastColumn="0" w:lastRowFirstColumn="0" w:lastRowLastColumn="0"/>
              <w:rPr>
                <w:sz w:val="18"/>
              </w:rPr>
            </w:pPr>
            <w:r w:rsidRPr="00611565">
              <w:rPr>
                <w:sz w:val="18"/>
              </w:rPr>
              <w:t>72</w:t>
            </w:r>
            <w:r w:rsidR="00633B9D" w:rsidRPr="00611565">
              <w:rPr>
                <w:sz w:val="18"/>
              </w:rPr>
              <w:t>.2</w:t>
            </w:r>
          </w:p>
        </w:tc>
      </w:tr>
      <w:tr w:rsidR="0017689E" w:rsidRPr="0017689E" w14:paraId="72B26AAA" w14:textId="77777777" w:rsidTr="007524AD">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969" w:type="dxa"/>
          </w:tcPr>
          <w:p w14:paraId="44147B9E" w14:textId="764E4DFA" w:rsidR="0017689E" w:rsidRPr="0017689E" w:rsidRDefault="0017689E" w:rsidP="00155B0F">
            <w:pPr>
              <w:pStyle w:val="Body"/>
              <w:spacing w:before="40" w:after="40" w:line="240" w:lineRule="auto"/>
              <w:rPr>
                <w:sz w:val="18"/>
              </w:rPr>
            </w:pPr>
            <w:r w:rsidRPr="008B2C65">
              <w:rPr>
                <w:rFonts w:cs="Arial"/>
                <w:color w:val="000000"/>
                <w:sz w:val="18"/>
                <w:szCs w:val="18"/>
                <w:lang w:eastAsia="en-AU"/>
              </w:rPr>
              <w:t>Comcare</w:t>
            </w:r>
          </w:p>
        </w:tc>
        <w:tc>
          <w:tcPr>
            <w:tcW w:w="2551" w:type="dxa"/>
          </w:tcPr>
          <w:p w14:paraId="60D723CE" w14:textId="627AD4A0" w:rsidR="0017689E" w:rsidRPr="00611565" w:rsidRDefault="00633B9D" w:rsidP="00AA5106">
            <w:pPr>
              <w:pStyle w:val="Body"/>
              <w:spacing w:before="40" w:after="40" w:line="240" w:lineRule="auto"/>
              <w:ind w:right="907"/>
              <w:jc w:val="right"/>
              <w:cnfStyle w:val="000000100000" w:firstRow="0" w:lastRow="0" w:firstColumn="0" w:lastColumn="0" w:oddVBand="0" w:evenVBand="0" w:oddHBand="1" w:evenHBand="0" w:firstRowFirstColumn="0" w:firstRowLastColumn="0" w:lastRowFirstColumn="0" w:lastRowLastColumn="0"/>
              <w:rPr>
                <w:sz w:val="18"/>
              </w:rPr>
            </w:pPr>
            <w:r w:rsidRPr="00611565">
              <w:rPr>
                <w:sz w:val="18"/>
              </w:rPr>
              <w:t>27.9</w:t>
            </w:r>
            <w:r w:rsidR="00CB12E8" w:rsidRPr="00611565">
              <w:rPr>
                <w:sz w:val="18"/>
              </w:rPr>
              <w:t>**</w:t>
            </w:r>
          </w:p>
        </w:tc>
        <w:tc>
          <w:tcPr>
            <w:tcW w:w="2551" w:type="dxa"/>
          </w:tcPr>
          <w:p w14:paraId="388573A6" w14:textId="4BEA7BAA" w:rsidR="0017689E" w:rsidRPr="00611565" w:rsidRDefault="005667D5" w:rsidP="00AA5106">
            <w:pPr>
              <w:pStyle w:val="Body"/>
              <w:spacing w:before="40" w:after="40" w:line="240" w:lineRule="auto"/>
              <w:ind w:right="850"/>
              <w:jc w:val="right"/>
              <w:cnfStyle w:val="000000100000" w:firstRow="0" w:lastRow="0" w:firstColumn="0" w:lastColumn="0" w:oddVBand="0" w:evenVBand="0" w:oddHBand="1" w:evenHBand="0" w:firstRowFirstColumn="0" w:firstRowLastColumn="0" w:lastRowFirstColumn="0" w:lastRowLastColumn="0"/>
              <w:rPr>
                <w:sz w:val="18"/>
              </w:rPr>
            </w:pPr>
            <w:r w:rsidRPr="00611565">
              <w:rPr>
                <w:sz w:val="18"/>
              </w:rPr>
              <w:t>72</w:t>
            </w:r>
            <w:r w:rsidR="00633B9D" w:rsidRPr="00611565">
              <w:rPr>
                <w:sz w:val="18"/>
              </w:rPr>
              <w:t>.1</w:t>
            </w:r>
            <w:r w:rsidRPr="00611565">
              <w:rPr>
                <w:sz w:val="18"/>
              </w:rPr>
              <w:t>*</w:t>
            </w:r>
          </w:p>
        </w:tc>
      </w:tr>
      <w:tr w:rsidR="0017689E" w:rsidRPr="0017689E" w14:paraId="51BC679A" w14:textId="77777777" w:rsidTr="007524AD">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969" w:type="dxa"/>
          </w:tcPr>
          <w:p w14:paraId="63D936E8" w14:textId="211C912E" w:rsidR="0017689E" w:rsidRPr="0017689E" w:rsidRDefault="0017689E" w:rsidP="00155B0F">
            <w:pPr>
              <w:pStyle w:val="Body"/>
              <w:spacing w:before="40" w:after="40" w:line="240" w:lineRule="auto"/>
              <w:rPr>
                <w:sz w:val="18"/>
              </w:rPr>
            </w:pPr>
            <w:r w:rsidRPr="008B2C65">
              <w:rPr>
                <w:rFonts w:cs="Arial"/>
                <w:color w:val="000000"/>
                <w:sz w:val="18"/>
                <w:szCs w:val="18"/>
                <w:lang w:eastAsia="en-AU"/>
              </w:rPr>
              <w:t>N</w:t>
            </w:r>
            <w:r w:rsidR="00FF7BA8">
              <w:rPr>
                <w:rFonts w:cs="Arial"/>
                <w:color w:val="000000"/>
                <w:sz w:val="18"/>
                <w:szCs w:val="18"/>
                <w:lang w:eastAsia="en-AU"/>
              </w:rPr>
              <w:t xml:space="preserve">ew </w:t>
            </w:r>
            <w:r w:rsidRPr="008B2C65">
              <w:rPr>
                <w:rFonts w:cs="Arial"/>
                <w:color w:val="000000"/>
                <w:sz w:val="18"/>
                <w:szCs w:val="18"/>
                <w:lang w:eastAsia="en-AU"/>
              </w:rPr>
              <w:t>S</w:t>
            </w:r>
            <w:r w:rsidR="00FF7BA8">
              <w:rPr>
                <w:rFonts w:cs="Arial"/>
                <w:color w:val="000000"/>
                <w:sz w:val="18"/>
                <w:szCs w:val="18"/>
                <w:lang w:eastAsia="en-AU"/>
              </w:rPr>
              <w:t xml:space="preserve">outh </w:t>
            </w:r>
            <w:r w:rsidRPr="008B2C65">
              <w:rPr>
                <w:rFonts w:cs="Arial"/>
                <w:color w:val="000000"/>
                <w:sz w:val="18"/>
                <w:szCs w:val="18"/>
                <w:lang w:eastAsia="en-AU"/>
              </w:rPr>
              <w:t>W</w:t>
            </w:r>
            <w:r w:rsidR="00FF7BA8">
              <w:rPr>
                <w:rFonts w:cs="Arial"/>
                <w:color w:val="000000"/>
                <w:sz w:val="18"/>
                <w:szCs w:val="18"/>
                <w:lang w:eastAsia="en-AU"/>
              </w:rPr>
              <w:t>ales</w:t>
            </w:r>
            <w:r w:rsidRPr="008B2C65">
              <w:rPr>
                <w:rFonts w:cs="Arial"/>
                <w:color w:val="000000"/>
                <w:sz w:val="18"/>
                <w:szCs w:val="18"/>
                <w:lang w:eastAsia="en-AU"/>
              </w:rPr>
              <w:t xml:space="preserve"> (SIRA)</w:t>
            </w:r>
          </w:p>
        </w:tc>
        <w:tc>
          <w:tcPr>
            <w:tcW w:w="2551" w:type="dxa"/>
          </w:tcPr>
          <w:p w14:paraId="1F1C5AB1" w14:textId="1BFE4EB9" w:rsidR="0017689E" w:rsidRPr="00611565" w:rsidRDefault="00CB12E8" w:rsidP="00AA5106">
            <w:pPr>
              <w:pStyle w:val="Body"/>
              <w:spacing w:before="40" w:after="40" w:line="240" w:lineRule="auto"/>
              <w:ind w:right="907"/>
              <w:jc w:val="right"/>
              <w:cnfStyle w:val="000000010000" w:firstRow="0" w:lastRow="0" w:firstColumn="0" w:lastColumn="0" w:oddVBand="0" w:evenVBand="0" w:oddHBand="0" w:evenHBand="1" w:firstRowFirstColumn="0" w:firstRowLastColumn="0" w:lastRowFirstColumn="0" w:lastRowLastColumn="0"/>
              <w:rPr>
                <w:sz w:val="18"/>
              </w:rPr>
            </w:pPr>
            <w:r w:rsidRPr="00611565">
              <w:rPr>
                <w:sz w:val="18"/>
              </w:rPr>
              <w:t>17</w:t>
            </w:r>
            <w:r w:rsidR="00633B9D" w:rsidRPr="00611565">
              <w:rPr>
                <w:sz w:val="18"/>
              </w:rPr>
              <w:t>.2</w:t>
            </w:r>
          </w:p>
        </w:tc>
        <w:tc>
          <w:tcPr>
            <w:tcW w:w="2551" w:type="dxa"/>
          </w:tcPr>
          <w:p w14:paraId="1DD00E2C" w14:textId="6D84915F" w:rsidR="0017689E" w:rsidRPr="00611565" w:rsidRDefault="00633B9D" w:rsidP="00AA5106">
            <w:pPr>
              <w:pStyle w:val="Body"/>
              <w:spacing w:before="40" w:after="40" w:line="240" w:lineRule="auto"/>
              <w:ind w:right="850"/>
              <w:jc w:val="right"/>
              <w:cnfStyle w:val="000000010000" w:firstRow="0" w:lastRow="0" w:firstColumn="0" w:lastColumn="0" w:oddVBand="0" w:evenVBand="0" w:oddHBand="0" w:evenHBand="1" w:firstRowFirstColumn="0" w:firstRowLastColumn="0" w:lastRowFirstColumn="0" w:lastRowLastColumn="0"/>
              <w:rPr>
                <w:sz w:val="18"/>
              </w:rPr>
            </w:pPr>
            <w:r w:rsidRPr="00611565">
              <w:rPr>
                <w:sz w:val="18"/>
              </w:rPr>
              <w:t>82.8</w:t>
            </w:r>
          </w:p>
        </w:tc>
      </w:tr>
      <w:tr w:rsidR="0017689E" w:rsidRPr="0017689E" w14:paraId="63159A2F" w14:textId="77777777" w:rsidTr="007524AD">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969" w:type="dxa"/>
          </w:tcPr>
          <w:p w14:paraId="3F9B5671" w14:textId="4345077D" w:rsidR="0017689E" w:rsidRPr="0017689E" w:rsidRDefault="0017689E" w:rsidP="00155B0F">
            <w:pPr>
              <w:pStyle w:val="Body"/>
              <w:spacing w:before="40" w:after="40" w:line="240" w:lineRule="auto"/>
              <w:rPr>
                <w:sz w:val="18"/>
              </w:rPr>
            </w:pPr>
            <w:r w:rsidRPr="008B2C65">
              <w:rPr>
                <w:rFonts w:cs="Arial"/>
                <w:color w:val="000000"/>
                <w:sz w:val="18"/>
                <w:szCs w:val="18"/>
                <w:lang w:eastAsia="en-AU"/>
              </w:rPr>
              <w:t>N</w:t>
            </w:r>
            <w:r w:rsidR="00FF7BA8">
              <w:rPr>
                <w:rFonts w:cs="Arial"/>
                <w:color w:val="000000"/>
                <w:sz w:val="18"/>
                <w:szCs w:val="18"/>
                <w:lang w:eastAsia="en-AU"/>
              </w:rPr>
              <w:t xml:space="preserve">orthern </w:t>
            </w:r>
            <w:r w:rsidRPr="008B2C65">
              <w:rPr>
                <w:rFonts w:cs="Arial"/>
                <w:color w:val="000000"/>
                <w:sz w:val="18"/>
                <w:szCs w:val="18"/>
                <w:lang w:eastAsia="en-AU"/>
              </w:rPr>
              <w:t>T</w:t>
            </w:r>
            <w:r w:rsidR="00FF7BA8">
              <w:rPr>
                <w:rFonts w:cs="Arial"/>
                <w:color w:val="000000"/>
                <w:sz w:val="18"/>
                <w:szCs w:val="18"/>
                <w:lang w:eastAsia="en-AU"/>
              </w:rPr>
              <w:t>erritory</w:t>
            </w:r>
          </w:p>
        </w:tc>
        <w:tc>
          <w:tcPr>
            <w:tcW w:w="2551" w:type="dxa"/>
          </w:tcPr>
          <w:p w14:paraId="45500551" w14:textId="5B96DF4E" w:rsidR="0017689E" w:rsidRPr="00611565" w:rsidRDefault="00CB12E8" w:rsidP="00AA5106">
            <w:pPr>
              <w:pStyle w:val="Body"/>
              <w:spacing w:before="40" w:after="40" w:line="240" w:lineRule="auto"/>
              <w:ind w:right="907"/>
              <w:jc w:val="right"/>
              <w:cnfStyle w:val="000000100000" w:firstRow="0" w:lastRow="0" w:firstColumn="0" w:lastColumn="0" w:oddVBand="0" w:evenVBand="0" w:oddHBand="1" w:evenHBand="0" w:firstRowFirstColumn="0" w:firstRowLastColumn="0" w:lastRowFirstColumn="0" w:lastRowLastColumn="0"/>
              <w:rPr>
                <w:sz w:val="18"/>
              </w:rPr>
            </w:pPr>
            <w:r w:rsidRPr="00611565">
              <w:rPr>
                <w:sz w:val="18"/>
              </w:rPr>
              <w:t>20</w:t>
            </w:r>
            <w:r w:rsidR="00633B9D" w:rsidRPr="00611565">
              <w:rPr>
                <w:sz w:val="18"/>
              </w:rPr>
              <w:t>.3</w:t>
            </w:r>
          </w:p>
        </w:tc>
        <w:tc>
          <w:tcPr>
            <w:tcW w:w="2551" w:type="dxa"/>
          </w:tcPr>
          <w:p w14:paraId="29E8CD38" w14:textId="6EE618B9" w:rsidR="0017689E" w:rsidRPr="00611565" w:rsidRDefault="00633B9D" w:rsidP="00AA5106">
            <w:pPr>
              <w:pStyle w:val="Body"/>
              <w:spacing w:before="40" w:after="40" w:line="240" w:lineRule="auto"/>
              <w:ind w:right="850"/>
              <w:jc w:val="right"/>
              <w:cnfStyle w:val="000000100000" w:firstRow="0" w:lastRow="0" w:firstColumn="0" w:lastColumn="0" w:oddVBand="0" w:evenVBand="0" w:oddHBand="1" w:evenHBand="0" w:firstRowFirstColumn="0" w:firstRowLastColumn="0" w:lastRowFirstColumn="0" w:lastRowLastColumn="0"/>
              <w:rPr>
                <w:sz w:val="18"/>
              </w:rPr>
            </w:pPr>
            <w:r w:rsidRPr="00611565">
              <w:rPr>
                <w:sz w:val="18"/>
              </w:rPr>
              <w:t>79.7</w:t>
            </w:r>
          </w:p>
        </w:tc>
      </w:tr>
      <w:tr w:rsidR="0017689E" w:rsidRPr="0017689E" w14:paraId="540D4C05" w14:textId="77777777" w:rsidTr="007524AD">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969" w:type="dxa"/>
          </w:tcPr>
          <w:p w14:paraId="21FD3145" w14:textId="6A1709F8" w:rsidR="0017689E" w:rsidRPr="0017689E" w:rsidRDefault="0017689E" w:rsidP="000E5060">
            <w:pPr>
              <w:pStyle w:val="Body"/>
              <w:spacing w:before="40" w:after="40" w:line="240" w:lineRule="auto"/>
              <w:rPr>
                <w:sz w:val="18"/>
              </w:rPr>
            </w:pPr>
            <w:r w:rsidRPr="008B2C65">
              <w:rPr>
                <w:rFonts w:cs="Arial"/>
                <w:color w:val="000000"/>
                <w:sz w:val="18"/>
                <w:szCs w:val="18"/>
                <w:lang w:eastAsia="en-AU"/>
              </w:rPr>
              <w:t>Queensland</w:t>
            </w:r>
          </w:p>
        </w:tc>
        <w:tc>
          <w:tcPr>
            <w:tcW w:w="2551" w:type="dxa"/>
          </w:tcPr>
          <w:p w14:paraId="0957EABA" w14:textId="7A4D05E8" w:rsidR="0017689E" w:rsidRPr="00611565" w:rsidRDefault="00633B9D" w:rsidP="00AA5106">
            <w:pPr>
              <w:pStyle w:val="Body"/>
              <w:spacing w:before="40" w:after="40" w:line="240" w:lineRule="auto"/>
              <w:ind w:right="907"/>
              <w:jc w:val="right"/>
              <w:cnfStyle w:val="000000010000" w:firstRow="0" w:lastRow="0" w:firstColumn="0" w:lastColumn="0" w:oddVBand="0" w:evenVBand="0" w:oddHBand="0" w:evenHBand="1" w:firstRowFirstColumn="0" w:firstRowLastColumn="0" w:lastRowFirstColumn="0" w:lastRowLastColumn="0"/>
              <w:rPr>
                <w:sz w:val="18"/>
              </w:rPr>
            </w:pPr>
            <w:r w:rsidRPr="00611565">
              <w:rPr>
                <w:sz w:val="18"/>
              </w:rPr>
              <w:t>15.5</w:t>
            </w:r>
          </w:p>
        </w:tc>
        <w:tc>
          <w:tcPr>
            <w:tcW w:w="2551" w:type="dxa"/>
          </w:tcPr>
          <w:p w14:paraId="0CD4A010" w14:textId="305F8BEF" w:rsidR="0017689E" w:rsidRPr="00611565" w:rsidRDefault="00CB12E8" w:rsidP="00AA5106">
            <w:pPr>
              <w:pStyle w:val="Body"/>
              <w:spacing w:before="40" w:after="40" w:line="240" w:lineRule="auto"/>
              <w:ind w:right="850"/>
              <w:jc w:val="right"/>
              <w:cnfStyle w:val="000000010000" w:firstRow="0" w:lastRow="0" w:firstColumn="0" w:lastColumn="0" w:oddVBand="0" w:evenVBand="0" w:oddHBand="0" w:evenHBand="1" w:firstRowFirstColumn="0" w:firstRowLastColumn="0" w:lastRowFirstColumn="0" w:lastRowLastColumn="0"/>
              <w:rPr>
                <w:sz w:val="18"/>
              </w:rPr>
            </w:pPr>
            <w:r w:rsidRPr="00611565">
              <w:rPr>
                <w:sz w:val="18"/>
              </w:rPr>
              <w:t>84</w:t>
            </w:r>
            <w:r w:rsidR="00633B9D" w:rsidRPr="00611565">
              <w:rPr>
                <w:sz w:val="18"/>
              </w:rPr>
              <w:t>.5</w:t>
            </w:r>
          </w:p>
        </w:tc>
      </w:tr>
      <w:tr w:rsidR="0017689E" w:rsidRPr="0017689E" w14:paraId="269B35A9" w14:textId="77777777" w:rsidTr="007524AD">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969" w:type="dxa"/>
          </w:tcPr>
          <w:p w14:paraId="487F2C83" w14:textId="22AD0F62" w:rsidR="0017689E" w:rsidRPr="0017689E" w:rsidRDefault="0017689E" w:rsidP="00155B0F">
            <w:pPr>
              <w:pStyle w:val="Body"/>
              <w:spacing w:before="40" w:after="40" w:line="240" w:lineRule="auto"/>
              <w:rPr>
                <w:sz w:val="18"/>
              </w:rPr>
            </w:pPr>
            <w:r w:rsidRPr="008B2C65">
              <w:rPr>
                <w:rFonts w:cs="Arial"/>
                <w:color w:val="000000"/>
                <w:sz w:val="18"/>
                <w:szCs w:val="18"/>
                <w:lang w:eastAsia="en-AU"/>
              </w:rPr>
              <w:t>Seacare</w:t>
            </w:r>
          </w:p>
        </w:tc>
        <w:tc>
          <w:tcPr>
            <w:tcW w:w="2551" w:type="dxa"/>
          </w:tcPr>
          <w:p w14:paraId="51DB6CDD" w14:textId="40DC568F" w:rsidR="0017689E" w:rsidRPr="00611565" w:rsidRDefault="00633B9D" w:rsidP="00AA5106">
            <w:pPr>
              <w:pStyle w:val="Body"/>
              <w:spacing w:before="40" w:after="40" w:line="240" w:lineRule="auto"/>
              <w:ind w:right="907"/>
              <w:jc w:val="right"/>
              <w:cnfStyle w:val="000000100000" w:firstRow="0" w:lastRow="0" w:firstColumn="0" w:lastColumn="0" w:oddVBand="0" w:evenVBand="0" w:oddHBand="1" w:evenHBand="0" w:firstRowFirstColumn="0" w:firstRowLastColumn="0" w:lastRowFirstColumn="0" w:lastRowLastColumn="0"/>
              <w:rPr>
                <w:sz w:val="18"/>
              </w:rPr>
            </w:pPr>
            <w:r w:rsidRPr="00611565">
              <w:rPr>
                <w:sz w:val="18"/>
              </w:rPr>
              <w:t>8.9</w:t>
            </w:r>
          </w:p>
        </w:tc>
        <w:tc>
          <w:tcPr>
            <w:tcW w:w="2551" w:type="dxa"/>
          </w:tcPr>
          <w:p w14:paraId="69EC3ADE" w14:textId="4F616B28" w:rsidR="0017689E" w:rsidRPr="00611565" w:rsidRDefault="00CB12E8" w:rsidP="00AA5106">
            <w:pPr>
              <w:pStyle w:val="Body"/>
              <w:spacing w:before="40" w:after="40" w:line="240" w:lineRule="auto"/>
              <w:ind w:right="850"/>
              <w:jc w:val="right"/>
              <w:cnfStyle w:val="000000100000" w:firstRow="0" w:lastRow="0" w:firstColumn="0" w:lastColumn="0" w:oddVBand="0" w:evenVBand="0" w:oddHBand="1" w:evenHBand="0" w:firstRowFirstColumn="0" w:firstRowLastColumn="0" w:lastRowFirstColumn="0" w:lastRowLastColumn="0"/>
              <w:rPr>
                <w:sz w:val="18"/>
              </w:rPr>
            </w:pPr>
            <w:r w:rsidRPr="00611565">
              <w:rPr>
                <w:sz w:val="18"/>
              </w:rPr>
              <w:t>91</w:t>
            </w:r>
            <w:r w:rsidR="00633B9D" w:rsidRPr="00611565">
              <w:rPr>
                <w:sz w:val="18"/>
              </w:rPr>
              <w:t>.1</w:t>
            </w:r>
          </w:p>
        </w:tc>
      </w:tr>
      <w:tr w:rsidR="0017689E" w:rsidRPr="0017689E" w14:paraId="675B565A" w14:textId="77777777" w:rsidTr="007524AD">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969" w:type="dxa"/>
          </w:tcPr>
          <w:p w14:paraId="65033C35" w14:textId="5472515F" w:rsidR="0017689E" w:rsidRPr="0017689E" w:rsidRDefault="00CB12E8" w:rsidP="00155B0F">
            <w:pPr>
              <w:pStyle w:val="Body"/>
              <w:spacing w:before="40" w:after="40" w:line="240" w:lineRule="auto"/>
              <w:rPr>
                <w:sz w:val="18"/>
              </w:rPr>
            </w:pPr>
            <w:r w:rsidRPr="008B2C65">
              <w:rPr>
                <w:rFonts w:cs="Arial"/>
                <w:color w:val="000000"/>
                <w:sz w:val="18"/>
                <w:szCs w:val="18"/>
                <w:lang w:eastAsia="en-AU"/>
              </w:rPr>
              <w:t>Tasmania</w:t>
            </w:r>
          </w:p>
        </w:tc>
        <w:tc>
          <w:tcPr>
            <w:tcW w:w="2551" w:type="dxa"/>
          </w:tcPr>
          <w:p w14:paraId="4829AD46" w14:textId="371D3544" w:rsidR="0017689E" w:rsidRPr="00611565" w:rsidRDefault="00633B9D" w:rsidP="00AA5106">
            <w:pPr>
              <w:pStyle w:val="Body"/>
              <w:spacing w:before="40" w:after="40" w:line="240" w:lineRule="auto"/>
              <w:ind w:right="907"/>
              <w:jc w:val="right"/>
              <w:cnfStyle w:val="000000010000" w:firstRow="0" w:lastRow="0" w:firstColumn="0" w:lastColumn="0" w:oddVBand="0" w:evenVBand="0" w:oddHBand="0" w:evenHBand="1" w:firstRowFirstColumn="0" w:firstRowLastColumn="0" w:lastRowFirstColumn="0" w:lastRowLastColumn="0"/>
              <w:rPr>
                <w:sz w:val="18"/>
              </w:rPr>
            </w:pPr>
            <w:r w:rsidRPr="00611565">
              <w:rPr>
                <w:sz w:val="18"/>
              </w:rPr>
              <w:t>23.7</w:t>
            </w:r>
          </w:p>
        </w:tc>
        <w:tc>
          <w:tcPr>
            <w:tcW w:w="2551" w:type="dxa"/>
          </w:tcPr>
          <w:p w14:paraId="01E91F1D" w14:textId="3E59AD30" w:rsidR="0017689E" w:rsidRPr="00611565" w:rsidRDefault="00CB12E8" w:rsidP="00AA5106">
            <w:pPr>
              <w:pStyle w:val="Body"/>
              <w:spacing w:before="40" w:after="40" w:line="240" w:lineRule="auto"/>
              <w:ind w:right="850"/>
              <w:jc w:val="right"/>
              <w:cnfStyle w:val="000000010000" w:firstRow="0" w:lastRow="0" w:firstColumn="0" w:lastColumn="0" w:oddVBand="0" w:evenVBand="0" w:oddHBand="0" w:evenHBand="1" w:firstRowFirstColumn="0" w:firstRowLastColumn="0" w:lastRowFirstColumn="0" w:lastRowLastColumn="0"/>
              <w:rPr>
                <w:sz w:val="18"/>
              </w:rPr>
            </w:pPr>
            <w:r w:rsidRPr="00611565">
              <w:rPr>
                <w:sz w:val="18"/>
              </w:rPr>
              <w:t>76</w:t>
            </w:r>
            <w:r w:rsidR="00633B9D" w:rsidRPr="00611565">
              <w:rPr>
                <w:sz w:val="18"/>
              </w:rPr>
              <w:t>.3</w:t>
            </w:r>
          </w:p>
        </w:tc>
      </w:tr>
      <w:tr w:rsidR="0017689E" w:rsidRPr="0017689E" w14:paraId="0CF20466" w14:textId="77777777" w:rsidTr="007524AD">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969" w:type="dxa"/>
            <w:tcBorders>
              <w:bottom w:val="nil"/>
            </w:tcBorders>
          </w:tcPr>
          <w:p w14:paraId="308D73BE" w14:textId="589D3C8B" w:rsidR="0017689E" w:rsidRPr="0017689E" w:rsidRDefault="00CB12E8" w:rsidP="00155B0F">
            <w:pPr>
              <w:pStyle w:val="Body"/>
              <w:spacing w:before="40" w:after="40" w:line="240" w:lineRule="auto"/>
              <w:rPr>
                <w:sz w:val="18"/>
              </w:rPr>
            </w:pPr>
            <w:r w:rsidRPr="008B2C65">
              <w:rPr>
                <w:rFonts w:cs="Arial"/>
                <w:color w:val="000000"/>
                <w:sz w:val="18"/>
                <w:szCs w:val="18"/>
                <w:lang w:eastAsia="en-AU"/>
              </w:rPr>
              <w:t>W</w:t>
            </w:r>
            <w:r w:rsidR="00FF7BA8">
              <w:rPr>
                <w:rFonts w:cs="Arial"/>
                <w:color w:val="000000"/>
                <w:sz w:val="18"/>
                <w:szCs w:val="18"/>
                <w:lang w:eastAsia="en-AU"/>
              </w:rPr>
              <w:t>estern Australia</w:t>
            </w:r>
          </w:p>
        </w:tc>
        <w:tc>
          <w:tcPr>
            <w:tcW w:w="2551" w:type="dxa"/>
            <w:tcBorders>
              <w:bottom w:val="nil"/>
            </w:tcBorders>
          </w:tcPr>
          <w:p w14:paraId="3D9E19DD" w14:textId="48FEC740" w:rsidR="0017689E" w:rsidRPr="00611565" w:rsidRDefault="00633B9D" w:rsidP="00AA5106">
            <w:pPr>
              <w:pStyle w:val="Body"/>
              <w:spacing w:before="40" w:after="40" w:line="240" w:lineRule="auto"/>
              <w:ind w:right="907"/>
              <w:jc w:val="right"/>
              <w:cnfStyle w:val="000000100000" w:firstRow="0" w:lastRow="0" w:firstColumn="0" w:lastColumn="0" w:oddVBand="0" w:evenVBand="0" w:oddHBand="1" w:evenHBand="0" w:firstRowFirstColumn="0" w:firstRowLastColumn="0" w:lastRowFirstColumn="0" w:lastRowLastColumn="0"/>
              <w:rPr>
                <w:sz w:val="18"/>
              </w:rPr>
            </w:pPr>
            <w:r w:rsidRPr="00611565">
              <w:rPr>
                <w:sz w:val="18"/>
              </w:rPr>
              <w:t>19.9</w:t>
            </w:r>
          </w:p>
        </w:tc>
        <w:tc>
          <w:tcPr>
            <w:tcW w:w="2551" w:type="dxa"/>
            <w:tcBorders>
              <w:bottom w:val="nil"/>
            </w:tcBorders>
          </w:tcPr>
          <w:p w14:paraId="755304F4" w14:textId="270CC5E3" w:rsidR="0017689E" w:rsidRPr="00611565" w:rsidRDefault="00CB12E8" w:rsidP="00AA5106">
            <w:pPr>
              <w:pStyle w:val="Body"/>
              <w:spacing w:before="40" w:after="40" w:line="240" w:lineRule="auto"/>
              <w:ind w:right="850"/>
              <w:jc w:val="right"/>
              <w:cnfStyle w:val="000000100000" w:firstRow="0" w:lastRow="0" w:firstColumn="0" w:lastColumn="0" w:oddVBand="0" w:evenVBand="0" w:oddHBand="1" w:evenHBand="0" w:firstRowFirstColumn="0" w:firstRowLastColumn="0" w:lastRowFirstColumn="0" w:lastRowLastColumn="0"/>
              <w:rPr>
                <w:sz w:val="18"/>
              </w:rPr>
            </w:pPr>
            <w:r w:rsidRPr="00611565">
              <w:rPr>
                <w:sz w:val="18"/>
              </w:rPr>
              <w:t>80</w:t>
            </w:r>
            <w:r w:rsidR="00633B9D" w:rsidRPr="00611565">
              <w:rPr>
                <w:sz w:val="18"/>
              </w:rPr>
              <w:t>.1</w:t>
            </w:r>
          </w:p>
        </w:tc>
      </w:tr>
      <w:tr w:rsidR="007524AD" w:rsidRPr="0017689E" w14:paraId="11AB2F16" w14:textId="77777777" w:rsidTr="007524AD">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969" w:type="dxa"/>
            <w:tcBorders>
              <w:bottom w:val="nil"/>
            </w:tcBorders>
          </w:tcPr>
          <w:p w14:paraId="61B460FB" w14:textId="7A9A424A" w:rsidR="007524AD" w:rsidRPr="008B2C65" w:rsidRDefault="007524AD" w:rsidP="007524AD">
            <w:pPr>
              <w:pStyle w:val="Body"/>
              <w:spacing w:before="40" w:after="40" w:line="240" w:lineRule="auto"/>
              <w:rPr>
                <w:rFonts w:cs="Arial"/>
                <w:color w:val="000000"/>
                <w:sz w:val="18"/>
                <w:szCs w:val="18"/>
                <w:lang w:eastAsia="en-AU"/>
              </w:rPr>
            </w:pPr>
            <w:r w:rsidRPr="008B2C65">
              <w:rPr>
                <w:rFonts w:cs="Arial"/>
                <w:color w:val="000000"/>
                <w:sz w:val="18"/>
                <w:szCs w:val="18"/>
                <w:lang w:eastAsia="en-AU"/>
              </w:rPr>
              <w:t>Victoria</w:t>
            </w:r>
          </w:p>
        </w:tc>
        <w:tc>
          <w:tcPr>
            <w:tcW w:w="2551" w:type="dxa"/>
            <w:tcBorders>
              <w:bottom w:val="nil"/>
            </w:tcBorders>
          </w:tcPr>
          <w:p w14:paraId="5FF970B9" w14:textId="0AEE01A7" w:rsidR="007524AD" w:rsidRPr="00611565" w:rsidRDefault="007524AD" w:rsidP="00AA5106">
            <w:pPr>
              <w:pStyle w:val="Body"/>
              <w:spacing w:before="40" w:after="40" w:line="240" w:lineRule="auto"/>
              <w:ind w:right="907"/>
              <w:jc w:val="right"/>
              <w:cnfStyle w:val="000000010000" w:firstRow="0" w:lastRow="0" w:firstColumn="0" w:lastColumn="0" w:oddVBand="0" w:evenVBand="0" w:oddHBand="0" w:evenHBand="1" w:firstRowFirstColumn="0" w:firstRowLastColumn="0" w:lastRowFirstColumn="0" w:lastRowLastColumn="0"/>
              <w:rPr>
                <w:sz w:val="18"/>
              </w:rPr>
            </w:pPr>
            <w:r w:rsidRPr="00611565">
              <w:rPr>
                <w:sz w:val="18"/>
              </w:rPr>
              <w:t>28.8**</w:t>
            </w:r>
          </w:p>
        </w:tc>
        <w:tc>
          <w:tcPr>
            <w:tcW w:w="2551" w:type="dxa"/>
            <w:tcBorders>
              <w:bottom w:val="nil"/>
            </w:tcBorders>
          </w:tcPr>
          <w:p w14:paraId="7F66467D" w14:textId="67C22561" w:rsidR="007524AD" w:rsidRPr="00611565" w:rsidRDefault="007524AD" w:rsidP="00AA5106">
            <w:pPr>
              <w:pStyle w:val="Body"/>
              <w:spacing w:before="40" w:after="40" w:line="240" w:lineRule="auto"/>
              <w:ind w:right="850"/>
              <w:jc w:val="right"/>
              <w:cnfStyle w:val="000000010000" w:firstRow="0" w:lastRow="0" w:firstColumn="0" w:lastColumn="0" w:oddVBand="0" w:evenVBand="0" w:oddHBand="0" w:evenHBand="1" w:firstRowFirstColumn="0" w:firstRowLastColumn="0" w:lastRowFirstColumn="0" w:lastRowLastColumn="0"/>
              <w:rPr>
                <w:sz w:val="18"/>
              </w:rPr>
            </w:pPr>
            <w:r w:rsidRPr="00611565">
              <w:rPr>
                <w:sz w:val="18"/>
              </w:rPr>
              <w:t>71.2*</w:t>
            </w:r>
          </w:p>
        </w:tc>
      </w:tr>
      <w:tr w:rsidR="007524AD" w:rsidRPr="0017689E" w14:paraId="2C7E4402" w14:textId="77777777" w:rsidTr="007524AD">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969" w:type="dxa"/>
            <w:tcBorders>
              <w:bottom w:val="nil"/>
            </w:tcBorders>
            <w:shd w:val="clear" w:color="auto" w:fill="58AFDA" w:themeFill="accent1" w:themeFillTint="99"/>
          </w:tcPr>
          <w:p w14:paraId="241BF128" w14:textId="3B06F919" w:rsidR="007524AD" w:rsidRPr="008B2C65" w:rsidRDefault="007524AD" w:rsidP="007524AD">
            <w:pPr>
              <w:pStyle w:val="Body"/>
              <w:spacing w:before="40" w:after="40" w:line="240" w:lineRule="auto"/>
              <w:rPr>
                <w:rFonts w:cs="Arial"/>
                <w:color w:val="000000"/>
                <w:sz w:val="18"/>
                <w:szCs w:val="18"/>
                <w:lang w:eastAsia="en-AU"/>
              </w:rPr>
            </w:pPr>
            <w:r>
              <w:rPr>
                <w:b/>
                <w:sz w:val="18"/>
              </w:rPr>
              <w:t>Employer Size</w:t>
            </w:r>
          </w:p>
        </w:tc>
        <w:tc>
          <w:tcPr>
            <w:tcW w:w="2551" w:type="dxa"/>
            <w:tcBorders>
              <w:bottom w:val="nil"/>
            </w:tcBorders>
            <w:shd w:val="clear" w:color="auto" w:fill="58AFDA" w:themeFill="accent1" w:themeFillTint="99"/>
          </w:tcPr>
          <w:p w14:paraId="5EFF5B67" w14:textId="77777777" w:rsidR="007524AD" w:rsidRPr="00611565" w:rsidRDefault="007524AD" w:rsidP="00AA5106">
            <w:pPr>
              <w:pStyle w:val="Body"/>
              <w:spacing w:before="40" w:after="40" w:line="240" w:lineRule="auto"/>
              <w:ind w:right="907"/>
              <w:jc w:val="right"/>
              <w:cnfStyle w:val="000000100000" w:firstRow="0" w:lastRow="0" w:firstColumn="0" w:lastColumn="0" w:oddVBand="0" w:evenVBand="0" w:oddHBand="1" w:evenHBand="0" w:firstRowFirstColumn="0" w:firstRowLastColumn="0" w:lastRowFirstColumn="0" w:lastRowLastColumn="0"/>
              <w:rPr>
                <w:sz w:val="18"/>
              </w:rPr>
            </w:pPr>
          </w:p>
        </w:tc>
        <w:tc>
          <w:tcPr>
            <w:tcW w:w="2551" w:type="dxa"/>
            <w:tcBorders>
              <w:bottom w:val="nil"/>
            </w:tcBorders>
            <w:shd w:val="clear" w:color="auto" w:fill="58AFDA" w:themeFill="accent1" w:themeFillTint="99"/>
          </w:tcPr>
          <w:p w14:paraId="05627063" w14:textId="77777777" w:rsidR="007524AD" w:rsidRPr="00611565" w:rsidRDefault="007524AD" w:rsidP="00AA5106">
            <w:pPr>
              <w:pStyle w:val="Body"/>
              <w:spacing w:before="40" w:after="40" w:line="240" w:lineRule="auto"/>
              <w:ind w:right="850"/>
              <w:jc w:val="right"/>
              <w:cnfStyle w:val="000000100000" w:firstRow="0" w:lastRow="0" w:firstColumn="0" w:lastColumn="0" w:oddVBand="0" w:evenVBand="0" w:oddHBand="1" w:evenHBand="0" w:firstRowFirstColumn="0" w:firstRowLastColumn="0" w:lastRowFirstColumn="0" w:lastRowLastColumn="0"/>
              <w:rPr>
                <w:sz w:val="18"/>
              </w:rPr>
            </w:pPr>
          </w:p>
        </w:tc>
      </w:tr>
      <w:tr w:rsidR="007524AD" w:rsidRPr="0017689E" w14:paraId="4C2852C1" w14:textId="77777777" w:rsidTr="007524AD">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969" w:type="dxa"/>
            <w:tcBorders>
              <w:bottom w:val="nil"/>
            </w:tcBorders>
          </w:tcPr>
          <w:p w14:paraId="169670FD" w14:textId="50EE1E89" w:rsidR="007524AD" w:rsidRPr="008B2C65" w:rsidRDefault="007524AD" w:rsidP="007524AD">
            <w:pPr>
              <w:pStyle w:val="Body"/>
              <w:spacing w:before="40" w:after="40" w:line="240" w:lineRule="auto"/>
              <w:rPr>
                <w:rFonts w:cs="Arial"/>
                <w:color w:val="000000"/>
                <w:sz w:val="18"/>
                <w:szCs w:val="18"/>
                <w:lang w:eastAsia="en-AU"/>
              </w:rPr>
            </w:pPr>
            <w:r w:rsidRPr="008B2C65">
              <w:rPr>
                <w:rFonts w:cs="Arial"/>
                <w:color w:val="000000"/>
                <w:sz w:val="18"/>
                <w:szCs w:val="18"/>
                <w:lang w:eastAsia="en-AU"/>
              </w:rPr>
              <w:t>Small (Less than $</w:t>
            </w:r>
            <w:r>
              <w:rPr>
                <w:rFonts w:cs="Arial"/>
                <w:color w:val="000000"/>
                <w:sz w:val="18"/>
                <w:szCs w:val="18"/>
                <w:lang w:eastAsia="en-AU"/>
              </w:rPr>
              <w:t>1</w:t>
            </w:r>
            <w:r w:rsidRPr="008B2C65">
              <w:rPr>
                <w:rFonts w:cs="Arial"/>
                <w:color w:val="000000"/>
                <w:sz w:val="18"/>
                <w:szCs w:val="18"/>
                <w:lang w:eastAsia="en-AU"/>
              </w:rPr>
              <w:t>m)</w:t>
            </w:r>
          </w:p>
        </w:tc>
        <w:tc>
          <w:tcPr>
            <w:tcW w:w="2551" w:type="dxa"/>
            <w:tcBorders>
              <w:bottom w:val="nil"/>
            </w:tcBorders>
          </w:tcPr>
          <w:p w14:paraId="247961D8" w14:textId="0901A857" w:rsidR="007524AD" w:rsidRPr="00611565" w:rsidRDefault="00EE1A09" w:rsidP="00AA5106">
            <w:pPr>
              <w:pStyle w:val="Body"/>
              <w:spacing w:before="40" w:after="40" w:line="240" w:lineRule="auto"/>
              <w:ind w:right="907"/>
              <w:jc w:val="right"/>
              <w:cnfStyle w:val="000000010000" w:firstRow="0" w:lastRow="0" w:firstColumn="0" w:lastColumn="0" w:oddVBand="0" w:evenVBand="0" w:oddHBand="0" w:evenHBand="1" w:firstRowFirstColumn="0" w:firstRowLastColumn="0" w:lastRowFirstColumn="0" w:lastRowLastColumn="0"/>
              <w:rPr>
                <w:sz w:val="18"/>
              </w:rPr>
            </w:pPr>
            <w:r>
              <w:rPr>
                <w:sz w:val="18"/>
              </w:rPr>
              <w:t>19.3</w:t>
            </w:r>
          </w:p>
        </w:tc>
        <w:tc>
          <w:tcPr>
            <w:tcW w:w="2551" w:type="dxa"/>
            <w:tcBorders>
              <w:bottom w:val="nil"/>
            </w:tcBorders>
          </w:tcPr>
          <w:p w14:paraId="5FAB5D54" w14:textId="5C61351B" w:rsidR="007524AD" w:rsidRPr="00611565" w:rsidRDefault="00EE1A09" w:rsidP="00AA5106">
            <w:pPr>
              <w:pStyle w:val="Body"/>
              <w:spacing w:before="40" w:after="40" w:line="240" w:lineRule="auto"/>
              <w:ind w:right="850"/>
              <w:jc w:val="right"/>
              <w:cnfStyle w:val="000000010000" w:firstRow="0" w:lastRow="0" w:firstColumn="0" w:lastColumn="0" w:oddVBand="0" w:evenVBand="0" w:oddHBand="0" w:evenHBand="1" w:firstRowFirstColumn="0" w:firstRowLastColumn="0" w:lastRowFirstColumn="0" w:lastRowLastColumn="0"/>
              <w:rPr>
                <w:sz w:val="18"/>
              </w:rPr>
            </w:pPr>
            <w:r>
              <w:rPr>
                <w:sz w:val="18"/>
              </w:rPr>
              <w:t>80.7</w:t>
            </w:r>
          </w:p>
        </w:tc>
      </w:tr>
      <w:tr w:rsidR="007524AD" w:rsidRPr="0017689E" w14:paraId="46F2F241" w14:textId="77777777" w:rsidTr="007524AD">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969" w:type="dxa"/>
            <w:tcBorders>
              <w:bottom w:val="nil"/>
            </w:tcBorders>
          </w:tcPr>
          <w:p w14:paraId="07AF9093" w14:textId="2213F0E0" w:rsidR="007524AD" w:rsidRPr="008B2C65" w:rsidRDefault="007524AD" w:rsidP="007524AD">
            <w:pPr>
              <w:pStyle w:val="Body"/>
              <w:spacing w:before="40" w:after="40" w:line="240" w:lineRule="auto"/>
              <w:rPr>
                <w:rFonts w:cs="Arial"/>
                <w:color w:val="000000"/>
                <w:sz w:val="18"/>
                <w:szCs w:val="18"/>
                <w:lang w:eastAsia="en-AU"/>
              </w:rPr>
            </w:pPr>
            <w:r w:rsidRPr="008B2C65">
              <w:rPr>
                <w:rFonts w:cs="Arial"/>
                <w:color w:val="000000"/>
                <w:sz w:val="18"/>
                <w:szCs w:val="18"/>
                <w:lang w:eastAsia="en-AU"/>
              </w:rPr>
              <w:t>Medium (Between $1m and less than $20m)</w:t>
            </w:r>
          </w:p>
        </w:tc>
        <w:tc>
          <w:tcPr>
            <w:tcW w:w="2551" w:type="dxa"/>
            <w:tcBorders>
              <w:bottom w:val="nil"/>
            </w:tcBorders>
          </w:tcPr>
          <w:p w14:paraId="754A1358" w14:textId="340293B8" w:rsidR="007524AD" w:rsidRPr="00611565" w:rsidRDefault="00EE1A09" w:rsidP="00AA5106">
            <w:pPr>
              <w:pStyle w:val="Body"/>
              <w:spacing w:before="40" w:after="40" w:line="240" w:lineRule="auto"/>
              <w:ind w:right="907"/>
              <w:jc w:val="right"/>
              <w:cnfStyle w:val="000000100000" w:firstRow="0" w:lastRow="0" w:firstColumn="0" w:lastColumn="0" w:oddVBand="0" w:evenVBand="0" w:oddHBand="1" w:evenHBand="0" w:firstRowFirstColumn="0" w:firstRowLastColumn="0" w:lastRowFirstColumn="0" w:lastRowLastColumn="0"/>
              <w:rPr>
                <w:sz w:val="18"/>
              </w:rPr>
            </w:pPr>
            <w:r>
              <w:rPr>
                <w:sz w:val="18"/>
              </w:rPr>
              <w:t>17.7</w:t>
            </w:r>
          </w:p>
        </w:tc>
        <w:tc>
          <w:tcPr>
            <w:tcW w:w="2551" w:type="dxa"/>
            <w:tcBorders>
              <w:bottom w:val="nil"/>
            </w:tcBorders>
          </w:tcPr>
          <w:p w14:paraId="35D4FCCC" w14:textId="0B4A2D7D" w:rsidR="007524AD" w:rsidRPr="00611565" w:rsidRDefault="00EE1A09" w:rsidP="00AA5106">
            <w:pPr>
              <w:pStyle w:val="Body"/>
              <w:spacing w:before="40" w:after="40" w:line="240" w:lineRule="auto"/>
              <w:ind w:right="850"/>
              <w:jc w:val="right"/>
              <w:cnfStyle w:val="000000100000" w:firstRow="0" w:lastRow="0" w:firstColumn="0" w:lastColumn="0" w:oddVBand="0" w:evenVBand="0" w:oddHBand="1" w:evenHBand="0" w:firstRowFirstColumn="0" w:firstRowLastColumn="0" w:lastRowFirstColumn="0" w:lastRowLastColumn="0"/>
              <w:rPr>
                <w:sz w:val="18"/>
              </w:rPr>
            </w:pPr>
            <w:r>
              <w:rPr>
                <w:sz w:val="18"/>
              </w:rPr>
              <w:t>82.3</w:t>
            </w:r>
          </w:p>
        </w:tc>
      </w:tr>
      <w:tr w:rsidR="007524AD" w:rsidRPr="0017689E" w14:paraId="594C3DF1" w14:textId="77777777" w:rsidTr="007524AD">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969" w:type="dxa"/>
            <w:tcBorders>
              <w:bottom w:val="single" w:sz="4" w:space="0" w:color="1F698E"/>
            </w:tcBorders>
          </w:tcPr>
          <w:p w14:paraId="34646F1B" w14:textId="641F3307" w:rsidR="007524AD" w:rsidRPr="0017689E" w:rsidRDefault="007524AD" w:rsidP="007524AD">
            <w:pPr>
              <w:pStyle w:val="Body"/>
              <w:spacing w:before="40" w:after="40" w:line="240" w:lineRule="auto"/>
              <w:rPr>
                <w:sz w:val="18"/>
              </w:rPr>
            </w:pPr>
            <w:r w:rsidRPr="008B2C65">
              <w:rPr>
                <w:rFonts w:cs="Arial"/>
                <w:color w:val="000000"/>
                <w:sz w:val="18"/>
                <w:szCs w:val="18"/>
                <w:lang w:eastAsia="en-AU"/>
              </w:rPr>
              <w:t>Large ($20m or more)</w:t>
            </w:r>
          </w:p>
        </w:tc>
        <w:tc>
          <w:tcPr>
            <w:tcW w:w="2551" w:type="dxa"/>
            <w:tcBorders>
              <w:bottom w:val="single" w:sz="4" w:space="0" w:color="1F698E"/>
            </w:tcBorders>
          </w:tcPr>
          <w:p w14:paraId="0C0736C7" w14:textId="6E88D010" w:rsidR="007524AD" w:rsidRPr="00611565" w:rsidRDefault="00EE1A09" w:rsidP="00AA5106">
            <w:pPr>
              <w:pStyle w:val="Body"/>
              <w:spacing w:before="40" w:after="40" w:line="240" w:lineRule="auto"/>
              <w:ind w:right="907"/>
              <w:jc w:val="right"/>
              <w:cnfStyle w:val="000000010000" w:firstRow="0" w:lastRow="0" w:firstColumn="0" w:lastColumn="0" w:oddVBand="0" w:evenVBand="0" w:oddHBand="0" w:evenHBand="1" w:firstRowFirstColumn="0" w:firstRowLastColumn="0" w:lastRowFirstColumn="0" w:lastRowLastColumn="0"/>
              <w:rPr>
                <w:sz w:val="18"/>
              </w:rPr>
            </w:pPr>
            <w:r>
              <w:rPr>
                <w:sz w:val="18"/>
              </w:rPr>
              <w:t>22.6</w:t>
            </w:r>
          </w:p>
        </w:tc>
        <w:tc>
          <w:tcPr>
            <w:tcW w:w="2551" w:type="dxa"/>
            <w:tcBorders>
              <w:bottom w:val="single" w:sz="4" w:space="0" w:color="1F698E"/>
            </w:tcBorders>
          </w:tcPr>
          <w:p w14:paraId="0BCD2D37" w14:textId="5A488359" w:rsidR="007524AD" w:rsidRPr="00611565" w:rsidRDefault="00EE1A09" w:rsidP="00AA5106">
            <w:pPr>
              <w:pStyle w:val="Body"/>
              <w:spacing w:before="40" w:after="40" w:line="240" w:lineRule="auto"/>
              <w:ind w:right="850"/>
              <w:jc w:val="right"/>
              <w:cnfStyle w:val="000000010000" w:firstRow="0" w:lastRow="0" w:firstColumn="0" w:lastColumn="0" w:oddVBand="0" w:evenVBand="0" w:oddHBand="0" w:evenHBand="1" w:firstRowFirstColumn="0" w:firstRowLastColumn="0" w:lastRowFirstColumn="0" w:lastRowLastColumn="0"/>
              <w:rPr>
                <w:sz w:val="18"/>
              </w:rPr>
            </w:pPr>
            <w:r>
              <w:rPr>
                <w:sz w:val="18"/>
              </w:rPr>
              <w:t>77.4</w:t>
            </w:r>
          </w:p>
        </w:tc>
      </w:tr>
    </w:tbl>
    <w:p w14:paraId="766D3D37" w14:textId="6F99B2B3" w:rsidR="00CB12E8" w:rsidRPr="008E09C0" w:rsidRDefault="00CB12E8" w:rsidP="009A7AC8">
      <w:pPr>
        <w:pStyle w:val="FigureNote"/>
      </w:pPr>
      <w:r w:rsidRPr="00BB7225">
        <w:t>Base</w:t>
      </w:r>
      <w:r w:rsidR="00553DEC">
        <w:t>:</w:t>
      </w:r>
      <w:r w:rsidRPr="00BB7225">
        <w:tab/>
      </w:r>
      <w:r w:rsidR="00B1073E" w:rsidRPr="00BB7225">
        <w:t>Respondents who reported they were currently working</w:t>
      </w:r>
      <w:r w:rsidR="00553DEC">
        <w:t xml:space="preserve">. </w:t>
      </w:r>
      <w:r w:rsidRPr="008E09C0">
        <w:t>Historic (</w:t>
      </w:r>
      <w:r w:rsidR="00553DEC">
        <w:t>n=</w:t>
      </w:r>
      <w:r w:rsidRPr="008E09C0">
        <w:t>1,427), Balance (</w:t>
      </w:r>
      <w:r w:rsidR="00553DEC">
        <w:t>n=</w:t>
      </w:r>
      <w:r w:rsidRPr="008E09C0">
        <w:t>2,183), ACT (</w:t>
      </w:r>
      <w:r w:rsidR="00553DEC">
        <w:t>n=</w:t>
      </w:r>
      <w:r w:rsidRPr="008E09C0">
        <w:t>124), Comcare (</w:t>
      </w:r>
      <w:r w:rsidR="00553DEC">
        <w:t>n=</w:t>
      </w:r>
      <w:r w:rsidRPr="008E09C0">
        <w:t>640), NSW (</w:t>
      </w:r>
      <w:r w:rsidR="00553DEC">
        <w:t>n=</w:t>
      </w:r>
      <w:r w:rsidRPr="008E09C0">
        <w:t>696), NT (</w:t>
      </w:r>
      <w:r w:rsidR="00553DEC">
        <w:t>n=</w:t>
      </w:r>
      <w:r w:rsidRPr="008E09C0">
        <w:t xml:space="preserve">100), </w:t>
      </w:r>
      <w:r w:rsidR="008E2E1A" w:rsidRPr="008E09C0">
        <w:t>Q</w:t>
      </w:r>
      <w:r w:rsidR="008E2E1A">
        <w:t>LD</w:t>
      </w:r>
      <w:r w:rsidR="008E2E1A" w:rsidRPr="008E09C0">
        <w:t xml:space="preserve"> </w:t>
      </w:r>
      <w:r w:rsidRPr="008E09C0">
        <w:t>(</w:t>
      </w:r>
      <w:r w:rsidR="00553DEC">
        <w:t>n=</w:t>
      </w:r>
      <w:r w:rsidRPr="008E09C0">
        <w:t>618), Seacare (</w:t>
      </w:r>
      <w:r w:rsidR="00553DEC">
        <w:t>n=</w:t>
      </w:r>
      <w:r w:rsidRPr="008E09C0">
        <w:t xml:space="preserve">39), </w:t>
      </w:r>
      <w:r w:rsidR="008E2E1A">
        <w:t>TAS</w:t>
      </w:r>
      <w:r w:rsidR="008E2E1A" w:rsidRPr="008E09C0">
        <w:t xml:space="preserve"> </w:t>
      </w:r>
      <w:r w:rsidRPr="008E09C0">
        <w:t>(</w:t>
      </w:r>
      <w:r w:rsidR="00553DEC">
        <w:t>n=</w:t>
      </w:r>
      <w:r w:rsidRPr="008E09C0">
        <w:t>375), WA (</w:t>
      </w:r>
      <w:r w:rsidR="00553DEC">
        <w:t>n=</w:t>
      </w:r>
      <w:r w:rsidRPr="008E09C0">
        <w:t>389), Vic (</w:t>
      </w:r>
      <w:r w:rsidR="00553DEC">
        <w:t>n=</w:t>
      </w:r>
      <w:r w:rsidRPr="008E09C0">
        <w:t>629).</w:t>
      </w:r>
    </w:p>
    <w:p w14:paraId="57D25174" w14:textId="01EF8B66" w:rsidR="00CB12E8" w:rsidRPr="008E09C0" w:rsidRDefault="00CB12E8" w:rsidP="009A7AC8">
      <w:pPr>
        <w:pStyle w:val="FigureNote"/>
      </w:pPr>
      <w:r w:rsidRPr="008E09C0">
        <w:t>RTW8</w:t>
      </w:r>
      <w:r w:rsidRPr="008E09C0">
        <w:tab/>
        <w:t>Since you FIRST returned to work, have you had to have any additional time off because of your work-related injury or illness?</w:t>
      </w:r>
    </w:p>
    <w:p w14:paraId="16C8A9B8" w14:textId="5FE36199" w:rsidR="005F6213" w:rsidRPr="004B4C3C" w:rsidRDefault="005C0C08" w:rsidP="004B4C3C">
      <w:pPr>
        <w:pStyle w:val="FigureNote"/>
      </w:pPr>
      <w:r w:rsidRPr="008E09C0">
        <w:t>Note</w:t>
      </w:r>
      <w:r w:rsidR="00553DEC">
        <w:t>:</w:t>
      </w:r>
      <w:r w:rsidRPr="008E09C0">
        <w:tab/>
      </w:r>
      <w:r w:rsidR="00CB12E8" w:rsidRPr="008E09C0">
        <w:t xml:space="preserve">Don’t know and Refused responses excluded from base. Asterisks indicate statistically significant difference </w:t>
      </w:r>
      <w:r w:rsidR="00CB12E8" w:rsidRPr="004B4C3C">
        <w:t>(single asterisk (*) indicates a lower proportion; double asterisk (**) indicates a higher proportion</w:t>
      </w:r>
      <w:r w:rsidR="003E25AE">
        <w:t xml:space="preserve"> (p-value &lt;=0.05).</w:t>
      </w:r>
    </w:p>
    <w:p w14:paraId="5F074C5A" w14:textId="0D9AADE9" w:rsidR="007A7D70" w:rsidRDefault="007A7D70" w:rsidP="005755C8">
      <w:pPr>
        <w:pStyle w:val="Heading2"/>
      </w:pPr>
      <w:bookmarkStart w:id="66" w:name="_Toc528056022"/>
      <w:r>
        <w:t>Work Ability</w:t>
      </w:r>
      <w:bookmarkEnd w:id="66"/>
    </w:p>
    <w:p w14:paraId="37B2E251" w14:textId="73291278" w:rsidR="003D1A69" w:rsidRDefault="003D1A69" w:rsidP="007A7D70">
      <w:pPr>
        <w:pStyle w:val="Body"/>
      </w:pPr>
      <w:r>
        <w:t>The Work Ability Index measures workers’ perception of their ability to work. It was asked of all survey respondents, including both those who had returned to work and those who had not. Respondents answer</w:t>
      </w:r>
      <w:r w:rsidR="000D33C8">
        <w:t>ed</w:t>
      </w:r>
      <w:r>
        <w:t xml:space="preserve"> using a scale of 0 to 10, where 0 means ‘completely unable to work’ and 10 means ‘work ability at its best’. </w:t>
      </w:r>
      <w:r w:rsidR="004E028B">
        <w:t xml:space="preserve">Figure </w:t>
      </w:r>
      <w:r w:rsidR="00592A76">
        <w:rPr>
          <w:noProof/>
        </w:rPr>
        <w:t>10</w:t>
      </w:r>
      <w:r w:rsidR="004E028B">
        <w:t xml:space="preserve"> </w:t>
      </w:r>
      <w:r>
        <w:t xml:space="preserve">shows the mean Work Ability score, overall and for each jurisdiction and </w:t>
      </w:r>
      <w:r w:rsidR="0025300B">
        <w:t>injury/illness</w:t>
      </w:r>
      <w:r>
        <w:t xml:space="preserve"> type</w:t>
      </w:r>
      <w:r w:rsidR="002B4BE5">
        <w:t xml:space="preserve"> sub-group</w:t>
      </w:r>
      <w:r>
        <w:t>.</w:t>
      </w:r>
    </w:p>
    <w:p w14:paraId="0FB08984" w14:textId="4B2A9182" w:rsidR="00592A76" w:rsidRDefault="00592A76" w:rsidP="00592A76">
      <w:pPr>
        <w:pStyle w:val="Body"/>
      </w:pPr>
      <w:r>
        <w:t>The overall mean Work Ability score for all workers surveyed in 2018 was 8.0. Two jurisdictions reported a significantly lower score – Tasmania (7.4) and Victoria (7.6).</w:t>
      </w:r>
    </w:p>
    <w:p w14:paraId="029855B6" w14:textId="5F82AA8C" w:rsidR="00592A76" w:rsidRDefault="00F27BDF" w:rsidP="00592A76">
      <w:pPr>
        <w:pStyle w:val="Body"/>
      </w:pPr>
      <w:r>
        <w:t>W</w:t>
      </w:r>
      <w:r w:rsidR="00592A76">
        <w:t>orkers who experience other trauma reported a significantly higher average Work Ability, with a mean score of 8.5. Conversely, those who experienced mental illness reported a significantly lower mean score (6.5).</w:t>
      </w:r>
    </w:p>
    <w:p w14:paraId="291CE8E8" w14:textId="3B1D0E0E" w:rsidR="00592A76" w:rsidRDefault="00592A76" w:rsidP="00592A76">
      <w:pPr>
        <w:pStyle w:val="Body"/>
      </w:pPr>
      <w:r>
        <w:t>Those who reported they were working at the time of survey gave a significantly higher mean rating of their work ability (8.6) than those not working (4.6).</w:t>
      </w:r>
      <w:r w:rsidR="0070293D">
        <w:t xml:space="preserve"> This result is interesting as it suggests that, despite returning to work, workers do not perceive that they have regained fully their work ability and that it takes some time after returning to work for workers to reach ‘their best’.</w:t>
      </w:r>
    </w:p>
    <w:p w14:paraId="5C867574" w14:textId="77777777" w:rsidR="002C60B6" w:rsidRDefault="002C60B6">
      <w:pPr>
        <w:rPr>
          <w:rFonts w:eastAsia="Times New Roman" w:cs="Arial"/>
          <w:b/>
          <w:bCs/>
          <w:color w:val="1F688D"/>
          <w:szCs w:val="18"/>
        </w:rPr>
      </w:pPr>
      <w:bookmarkStart w:id="67" w:name="_Ref524078811"/>
      <w:r>
        <w:br w:type="page"/>
      </w:r>
    </w:p>
    <w:p w14:paraId="654108FC" w14:textId="4397E4F7" w:rsidR="003D1A69" w:rsidRDefault="0037604C" w:rsidP="00D0461D">
      <w:pPr>
        <w:pStyle w:val="Caption"/>
        <w:rPr>
          <w:color w:val="FF0000"/>
        </w:rPr>
      </w:pPr>
      <w:bookmarkStart w:id="68" w:name="_Toc528056577"/>
      <w:r>
        <w:lastRenderedPageBreak/>
        <w:t xml:space="preserve">Figure </w:t>
      </w:r>
      <w:r w:rsidR="006A2841">
        <w:rPr>
          <w:noProof/>
        </w:rPr>
        <w:fldChar w:fldCharType="begin"/>
      </w:r>
      <w:r w:rsidR="006A2841">
        <w:rPr>
          <w:noProof/>
        </w:rPr>
        <w:instrText xml:space="preserve"> SEQ Figure \* ARABIC </w:instrText>
      </w:r>
      <w:r w:rsidR="006A2841">
        <w:rPr>
          <w:noProof/>
        </w:rPr>
        <w:fldChar w:fldCharType="separate"/>
      </w:r>
      <w:r w:rsidR="00B9340A">
        <w:rPr>
          <w:noProof/>
        </w:rPr>
        <w:t>10</w:t>
      </w:r>
      <w:r w:rsidR="006A2841">
        <w:rPr>
          <w:noProof/>
        </w:rPr>
        <w:fldChar w:fldCharType="end"/>
      </w:r>
      <w:bookmarkEnd w:id="67"/>
      <w:r w:rsidR="008A0651">
        <w:tab/>
        <w:t>Work Ability Index b</w:t>
      </w:r>
      <w:r>
        <w:t xml:space="preserve">y </w:t>
      </w:r>
      <w:r w:rsidR="00BE4B2B">
        <w:t>j</w:t>
      </w:r>
      <w:r>
        <w:t xml:space="preserve">urisdiction and </w:t>
      </w:r>
      <w:r w:rsidR="0025300B">
        <w:t>injury/illness</w:t>
      </w:r>
      <w:r>
        <w:t xml:space="preserve"> </w:t>
      </w:r>
      <w:r w:rsidR="00BE4B2B">
        <w:t>t</w:t>
      </w:r>
      <w:r>
        <w:t>ype</w:t>
      </w:r>
      <w:r w:rsidR="00AF778A">
        <w:t xml:space="preserve"> (</w:t>
      </w:r>
      <w:r w:rsidR="00BE4B2B">
        <w:t>a</w:t>
      </w:r>
      <w:r w:rsidR="00AF778A">
        <w:t>verage)</w:t>
      </w:r>
      <w:bookmarkEnd w:id="68"/>
    </w:p>
    <w:p w14:paraId="76F0A680" w14:textId="31241A00" w:rsidR="0037604C" w:rsidRPr="009C28FA" w:rsidRDefault="000C0B90" w:rsidP="009C28FA">
      <w:pPr>
        <w:pStyle w:val="Body"/>
        <w:rPr>
          <w:rStyle w:val="FigureNoteChar"/>
        </w:rPr>
      </w:pPr>
      <w:r>
        <w:rPr>
          <w:noProof/>
          <w:color w:val="FF0000"/>
          <w:lang w:eastAsia="en-AU"/>
        </w:rPr>
        <w:drawing>
          <wp:inline distT="0" distB="0" distL="0" distR="0" wp14:anchorId="1B82CD76" wp14:editId="1DC932BC">
            <wp:extent cx="5759450" cy="3599815"/>
            <wp:effectExtent l="0" t="0" r="12700" b="635"/>
            <wp:docPr id="208" name="Chart 208" descr="This chart presentes the average Work Ability Index for respondents by jursidiction and injury/illness types. The findings are discussed in the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AF2D94" w:rsidRPr="009C28FA">
        <w:rPr>
          <w:rStyle w:val="FigureNoteChar"/>
        </w:rPr>
        <w:t>Base</w:t>
      </w:r>
      <w:r w:rsidR="00553DEC" w:rsidRPr="009C28FA">
        <w:rPr>
          <w:rStyle w:val="FigureNoteChar"/>
        </w:rPr>
        <w:t>:</w:t>
      </w:r>
      <w:r w:rsidR="00AF2D94" w:rsidRPr="009C28FA">
        <w:rPr>
          <w:rStyle w:val="FigureNoteChar"/>
        </w:rPr>
        <w:tab/>
        <w:t>All respondents – Balance and Historic Cohorts in</w:t>
      </w:r>
      <w:r w:rsidR="0037604C" w:rsidRPr="009C28FA">
        <w:rPr>
          <w:rStyle w:val="FigureNoteChar"/>
        </w:rPr>
        <w:t xml:space="preserve"> </w:t>
      </w:r>
      <w:r w:rsidR="00E92B2B" w:rsidRPr="009C28FA">
        <w:rPr>
          <w:rStyle w:val="FigureNoteChar"/>
        </w:rPr>
        <w:t>2018</w:t>
      </w:r>
      <w:r w:rsidR="0037604C" w:rsidRPr="009C28FA">
        <w:rPr>
          <w:rStyle w:val="FigureNoteChar"/>
        </w:rPr>
        <w:t>.</w:t>
      </w:r>
    </w:p>
    <w:p w14:paraId="09306328" w14:textId="44446DFB" w:rsidR="0037604C" w:rsidRPr="00D17E58" w:rsidRDefault="0037604C" w:rsidP="00553DEC">
      <w:pPr>
        <w:pStyle w:val="FigureNote"/>
        <w:ind w:firstLine="0"/>
      </w:pPr>
      <w:r>
        <w:t>Total (</w:t>
      </w:r>
      <w:r w:rsidR="00553DEC">
        <w:t>n=</w:t>
      </w:r>
      <w:r>
        <w:t>4,529), ACT (</w:t>
      </w:r>
      <w:r w:rsidR="00553DEC">
        <w:t>n=</w:t>
      </w:r>
      <w:r>
        <w:t>150), Comcare (</w:t>
      </w:r>
      <w:r w:rsidR="00553DEC">
        <w:t>n=</w:t>
      </w:r>
      <w:r>
        <w:t>750), NSW (</w:t>
      </w:r>
      <w:r w:rsidR="00553DEC">
        <w:t>n=</w:t>
      </w:r>
      <w:r>
        <w:t>852), NT (</w:t>
      </w:r>
      <w:r w:rsidR="00553DEC">
        <w:t>n=</w:t>
      </w:r>
      <w:r>
        <w:t xml:space="preserve">148), </w:t>
      </w:r>
      <w:r w:rsidR="008E2E1A">
        <w:t xml:space="preserve">QLD </w:t>
      </w:r>
      <w:r>
        <w:t>(</w:t>
      </w:r>
      <w:r w:rsidR="00553DEC">
        <w:t>n=</w:t>
      </w:r>
      <w:r>
        <w:t>793), Seacare (</w:t>
      </w:r>
      <w:r w:rsidR="00553DEC">
        <w:t>n=</w:t>
      </w:r>
      <w:r>
        <w:t xml:space="preserve">58), </w:t>
      </w:r>
      <w:r w:rsidR="008E2E1A">
        <w:t xml:space="preserve">TAS </w:t>
      </w:r>
      <w:r>
        <w:t>(</w:t>
      </w:r>
      <w:r w:rsidR="00553DEC">
        <w:t>n=</w:t>
      </w:r>
      <w:r>
        <w:t>477), WA (</w:t>
      </w:r>
      <w:r w:rsidR="00553DEC">
        <w:t>n=</w:t>
      </w:r>
      <w:r w:rsidR="005B3A7F">
        <w:t>508), VIC</w:t>
      </w:r>
      <w:r>
        <w:t xml:space="preserve"> (</w:t>
      </w:r>
      <w:r w:rsidR="00553DEC">
        <w:t>n=</w:t>
      </w:r>
      <w:r>
        <w:t>793).</w:t>
      </w:r>
      <w:r w:rsidR="009772EA">
        <w:t xml:space="preserve"> </w:t>
      </w:r>
      <w:r w:rsidR="009772EA">
        <w:rPr>
          <w:rFonts w:cs="Arial"/>
          <w:szCs w:val="16"/>
        </w:rPr>
        <w:t>Fractures (</w:t>
      </w:r>
      <w:r w:rsidR="00553DEC">
        <w:rPr>
          <w:rFonts w:cs="Arial"/>
          <w:szCs w:val="16"/>
        </w:rPr>
        <w:t>n=</w:t>
      </w:r>
      <w:r w:rsidR="009772EA">
        <w:rPr>
          <w:rFonts w:cs="Arial"/>
          <w:szCs w:val="16"/>
        </w:rPr>
        <w:t>620), Musculoskeletal Disorders (</w:t>
      </w:r>
      <w:r w:rsidR="00553DEC">
        <w:rPr>
          <w:rFonts w:cs="Arial"/>
          <w:szCs w:val="16"/>
        </w:rPr>
        <w:t>n=</w:t>
      </w:r>
      <w:r w:rsidR="009772EA">
        <w:rPr>
          <w:rFonts w:cs="Arial"/>
          <w:szCs w:val="16"/>
        </w:rPr>
        <w:t>2,634), Other Trauma (</w:t>
      </w:r>
      <w:r w:rsidR="00553DEC">
        <w:rPr>
          <w:rFonts w:cs="Arial"/>
          <w:szCs w:val="16"/>
        </w:rPr>
        <w:t>n=</w:t>
      </w:r>
      <w:r w:rsidR="009772EA">
        <w:rPr>
          <w:rFonts w:cs="Arial"/>
          <w:szCs w:val="16"/>
        </w:rPr>
        <w:t>782), Mental Illness (</w:t>
      </w:r>
      <w:r w:rsidR="00553DEC">
        <w:rPr>
          <w:rFonts w:cs="Arial"/>
          <w:szCs w:val="16"/>
        </w:rPr>
        <w:t>n=</w:t>
      </w:r>
      <w:r w:rsidR="009772EA">
        <w:rPr>
          <w:rFonts w:cs="Arial"/>
          <w:szCs w:val="16"/>
        </w:rPr>
        <w:t>277), Other Diseases (</w:t>
      </w:r>
      <w:r w:rsidR="00553DEC">
        <w:rPr>
          <w:rFonts w:cs="Arial"/>
          <w:szCs w:val="16"/>
        </w:rPr>
        <w:t>n=</w:t>
      </w:r>
      <w:r w:rsidR="009772EA">
        <w:rPr>
          <w:rFonts w:cs="Arial"/>
          <w:szCs w:val="16"/>
        </w:rPr>
        <w:t>216).</w:t>
      </w:r>
      <w:r w:rsidR="000C0B90">
        <w:rPr>
          <w:rFonts w:cs="Arial"/>
          <w:szCs w:val="16"/>
        </w:rPr>
        <w:t xml:space="preserve"> Currently working (n=3,644; Not working (n=873).</w:t>
      </w:r>
    </w:p>
    <w:p w14:paraId="2058A351" w14:textId="1819E9F4" w:rsidR="0037604C" w:rsidRDefault="0037604C" w:rsidP="00553DEC">
      <w:pPr>
        <w:pStyle w:val="FigureNote"/>
      </w:pPr>
      <w:r>
        <w:t>JP10</w:t>
      </w:r>
      <w:r w:rsidRPr="00D17E58">
        <w:tab/>
      </w:r>
      <w:r w:rsidRPr="0037604C">
        <w:t>How many points would you give your ability to work today</w:t>
      </w:r>
      <w:r w:rsidRPr="00D17E58">
        <w:t>?</w:t>
      </w:r>
    </w:p>
    <w:p w14:paraId="3A19481F" w14:textId="1F064879" w:rsidR="0037604C" w:rsidRPr="00FF7BA8" w:rsidRDefault="0037604C" w:rsidP="00553DEC">
      <w:pPr>
        <w:pStyle w:val="FigureNote"/>
      </w:pPr>
      <w:r>
        <w:t>Note</w:t>
      </w:r>
      <w:r w:rsidR="00553DEC">
        <w:t>:</w:t>
      </w:r>
      <w:r>
        <w:tab/>
      </w:r>
      <w:r w:rsidR="003E25AE" w:rsidRPr="009C28FA">
        <w:rPr>
          <w:rStyle w:val="FigureNoteChar"/>
        </w:rPr>
        <w:t>Don’t know and Refused responses excluded from base</w:t>
      </w:r>
      <w:r w:rsidR="003E25AE">
        <w:rPr>
          <w:rStyle w:val="FigureNoteChar"/>
        </w:rPr>
        <w:t>.</w:t>
      </w:r>
      <w:r w:rsidR="003E25AE" w:rsidRPr="00CB12E8">
        <w:t xml:space="preserve"> </w:t>
      </w:r>
      <w:r w:rsidRPr="00CB12E8">
        <w:t xml:space="preserve">Asterisks indicate statistically significant </w:t>
      </w:r>
      <w:r w:rsidRPr="00FF7BA8">
        <w:t>difference</w:t>
      </w:r>
      <w:r w:rsidR="000C0B90">
        <w:t xml:space="preserve"> </w:t>
      </w:r>
      <w:r w:rsidRPr="00FF7BA8">
        <w:t>(single asterisk (*) indicates a lower proportion; double asterisk (**) indicates a higher proportion</w:t>
      </w:r>
      <w:r w:rsidR="00553DEC" w:rsidRPr="00FF7BA8">
        <w:t>)</w:t>
      </w:r>
      <w:r w:rsidR="003E25AE">
        <w:t xml:space="preserve"> </w:t>
      </w:r>
      <w:bookmarkStart w:id="69" w:name="_Hlk525840826"/>
      <w:r w:rsidR="003E25AE">
        <w:t>(p-value &lt;=0.05).</w:t>
      </w:r>
      <w:bookmarkEnd w:id="69"/>
    </w:p>
    <w:p w14:paraId="5BF95751" w14:textId="73AEE2AB" w:rsidR="005F6213" w:rsidRPr="00FF7BA8" w:rsidRDefault="005F6213">
      <w:pPr>
        <w:rPr>
          <w:rFonts w:eastAsiaTheme="majorEastAsia" w:cstheme="majorBidi"/>
          <w:b/>
          <w:bCs/>
          <w:sz w:val="32"/>
          <w:szCs w:val="26"/>
        </w:rPr>
      </w:pPr>
      <w:r w:rsidRPr="00FF7BA8">
        <w:br w:type="page"/>
      </w:r>
    </w:p>
    <w:p w14:paraId="13D3E043" w14:textId="6232FB03" w:rsidR="007A7D70" w:rsidRDefault="007A7D70" w:rsidP="00742EE9">
      <w:pPr>
        <w:pStyle w:val="Heading2"/>
        <w:spacing w:before="0"/>
        <w:ind w:left="794" w:hanging="794"/>
      </w:pPr>
      <w:bookmarkStart w:id="70" w:name="_Toc528056023"/>
      <w:r>
        <w:lastRenderedPageBreak/>
        <w:t xml:space="preserve">Work </w:t>
      </w:r>
      <w:r w:rsidR="006A2841">
        <w:t>l</w:t>
      </w:r>
      <w:r>
        <w:t>imitations</w:t>
      </w:r>
      <w:bookmarkEnd w:id="70"/>
    </w:p>
    <w:p w14:paraId="39412922" w14:textId="1DAB96AE" w:rsidR="007A7D70" w:rsidRDefault="002B4BE5" w:rsidP="007A7D70">
      <w:pPr>
        <w:pStyle w:val="Body"/>
      </w:pPr>
      <w:r>
        <w:t xml:space="preserve">The Work Limitations measure utilises the Work Role Functioning scale, which asks workers who are currently working, to assess the frequency with which they have difficulty with certain </w:t>
      </w:r>
      <w:r w:rsidR="006361E3">
        <w:t xml:space="preserve">(generic) </w:t>
      </w:r>
      <w:r>
        <w:t>work functions. It is an</w:t>
      </w:r>
      <w:r w:rsidRPr="002B4BE5">
        <w:t xml:space="preserve"> indicator of </w:t>
      </w:r>
      <w:r>
        <w:t>(</w:t>
      </w:r>
      <w:r w:rsidRPr="002B4BE5">
        <w:t>self-reported</w:t>
      </w:r>
      <w:r>
        <w:t>)</w:t>
      </w:r>
      <w:r w:rsidRPr="002B4BE5">
        <w:t xml:space="preserve"> work </w:t>
      </w:r>
      <w:r w:rsidR="009F152C" w:rsidRPr="002B4BE5">
        <w:t>limitations</w:t>
      </w:r>
      <w:r w:rsidR="009F152C">
        <w:t xml:space="preserve"> that</w:t>
      </w:r>
      <w:r w:rsidR="006361E3">
        <w:t xml:space="preserve"> may be a residual effect of their work-related injury or illness</w:t>
      </w:r>
      <w:r>
        <w:t>.</w:t>
      </w:r>
      <w:r w:rsidR="00BA4270">
        <w:t xml:space="preserve"> </w:t>
      </w:r>
      <w:r w:rsidR="00BA4270" w:rsidRPr="00BA4270">
        <w:t>It is important to acknowledge that in the absence of pre-injury/illness data it is difficult to ascertain to what extent the self-reported work limitations are a result of the injury/illness</w:t>
      </w:r>
      <w:r w:rsidR="00BA4270">
        <w:t>.</w:t>
      </w:r>
    </w:p>
    <w:p w14:paraId="5853F8D3" w14:textId="17950629" w:rsidR="006361E3" w:rsidRDefault="006361E3" w:rsidP="00916DD7">
      <w:pPr>
        <w:pStyle w:val="Body"/>
        <w:spacing w:after="60"/>
      </w:pPr>
      <w:r>
        <w:t>The following five work functions were assessed:</w:t>
      </w:r>
    </w:p>
    <w:p w14:paraId="4AF874D2" w14:textId="10288375" w:rsidR="006361E3" w:rsidRDefault="00155B0F" w:rsidP="00916DD7">
      <w:pPr>
        <w:pStyle w:val="Body"/>
        <w:numPr>
          <w:ilvl w:val="0"/>
          <w:numId w:val="20"/>
        </w:numPr>
        <w:spacing w:before="60" w:after="60" w:line="240" w:lineRule="auto"/>
        <w:ind w:left="714" w:hanging="357"/>
      </w:pPr>
      <w:r>
        <w:t>c</w:t>
      </w:r>
      <w:r w:rsidR="006361E3">
        <w:t>oncentrate on your work</w:t>
      </w:r>
    </w:p>
    <w:p w14:paraId="38A674B5" w14:textId="1034695B" w:rsidR="006361E3" w:rsidRDefault="00155B0F" w:rsidP="00916DD7">
      <w:pPr>
        <w:pStyle w:val="Body"/>
        <w:numPr>
          <w:ilvl w:val="0"/>
          <w:numId w:val="20"/>
        </w:numPr>
        <w:spacing w:before="60" w:after="60" w:line="240" w:lineRule="auto"/>
        <w:ind w:left="714" w:hanging="357"/>
      </w:pPr>
      <w:r>
        <w:t>w</w:t>
      </w:r>
      <w:r w:rsidR="006361E3">
        <w:t>ork without mistakes</w:t>
      </w:r>
    </w:p>
    <w:p w14:paraId="64D8041E" w14:textId="009ADB70" w:rsidR="006361E3" w:rsidRDefault="00155B0F" w:rsidP="00916DD7">
      <w:pPr>
        <w:pStyle w:val="Body"/>
        <w:numPr>
          <w:ilvl w:val="0"/>
          <w:numId w:val="20"/>
        </w:numPr>
        <w:spacing w:before="60" w:after="60" w:line="240" w:lineRule="auto"/>
        <w:ind w:left="714" w:hanging="357"/>
      </w:pPr>
      <w:r>
        <w:t>s</w:t>
      </w:r>
      <w:r w:rsidR="006361E3">
        <w:t>tart as soon as you arrive</w:t>
      </w:r>
    </w:p>
    <w:p w14:paraId="4E22CDDC" w14:textId="78818830" w:rsidR="006361E3" w:rsidRDefault="00155B0F" w:rsidP="00916DD7">
      <w:pPr>
        <w:pStyle w:val="Body"/>
        <w:numPr>
          <w:ilvl w:val="0"/>
          <w:numId w:val="20"/>
        </w:numPr>
        <w:spacing w:before="60" w:after="60" w:line="240" w:lineRule="auto"/>
        <w:ind w:left="714" w:hanging="357"/>
      </w:pPr>
      <w:r>
        <w:t>r</w:t>
      </w:r>
      <w:r w:rsidR="006361E3">
        <w:t>epeat the same motions</w:t>
      </w:r>
    </w:p>
    <w:p w14:paraId="4B1A161B" w14:textId="246F948B" w:rsidR="006361E3" w:rsidRDefault="00155B0F" w:rsidP="00916DD7">
      <w:pPr>
        <w:pStyle w:val="Body"/>
        <w:numPr>
          <w:ilvl w:val="0"/>
          <w:numId w:val="20"/>
        </w:numPr>
        <w:spacing w:before="60" w:line="240" w:lineRule="auto"/>
        <w:ind w:left="714" w:hanging="357"/>
      </w:pPr>
      <w:r>
        <w:t>p</w:t>
      </w:r>
      <w:r w:rsidR="006361E3">
        <w:t>erform multiple tasks</w:t>
      </w:r>
      <w:r>
        <w:t>.</w:t>
      </w:r>
    </w:p>
    <w:p w14:paraId="2D5A2873" w14:textId="77777777" w:rsidR="00236404" w:rsidRDefault="00236404" w:rsidP="00742EE9">
      <w:pPr>
        <w:pStyle w:val="Body"/>
      </w:pPr>
      <w:r>
        <w:t>An average rating (with a range of 1 to 5) was calculated across all of these attributes for each respondent. A higher score indicates low limitation (i.e. difficulty is experienced infrequently) while a lower score indicates that the worker is experiencing limitations with a high degree of frequency.</w:t>
      </w:r>
    </w:p>
    <w:p w14:paraId="1C2A5E59" w14:textId="46577E8B" w:rsidR="00144D09" w:rsidRDefault="00144D09" w:rsidP="006361E3">
      <w:pPr>
        <w:pStyle w:val="Body"/>
      </w:pPr>
      <w:r>
        <w:t xml:space="preserve">As </w:t>
      </w:r>
      <w:r w:rsidR="0002120C">
        <w:t xml:space="preserve">Figure </w:t>
      </w:r>
      <w:r w:rsidR="0002120C">
        <w:rPr>
          <w:noProof/>
        </w:rPr>
        <w:t>1</w:t>
      </w:r>
      <w:r w:rsidR="005320D2">
        <w:rPr>
          <w:noProof/>
        </w:rPr>
        <w:t>1</w:t>
      </w:r>
      <w:r w:rsidR="0002120C">
        <w:t xml:space="preserve"> </w:t>
      </w:r>
      <w:r>
        <w:t xml:space="preserve">shows, the vast majority of respondents to the </w:t>
      </w:r>
      <w:r w:rsidR="00E92B2B">
        <w:t>2018</w:t>
      </w:r>
      <w:r>
        <w:t xml:space="preserve"> NRTWS reported high scores, meaning that most of the workers surveyed who were working at the time of survey, were experiencing few, if any, difficulties in performing these fundamental work functions.</w:t>
      </w:r>
    </w:p>
    <w:p w14:paraId="7C14B237" w14:textId="094305A8" w:rsidR="00B1073E" w:rsidRDefault="00B1073E" w:rsidP="00011EAE">
      <w:pPr>
        <w:pStyle w:val="Body"/>
        <w:spacing w:after="0"/>
      </w:pPr>
      <w:r>
        <w:t xml:space="preserve">No statistically significant differences in Work Limitations were observed between jurisdictions or </w:t>
      </w:r>
      <w:r w:rsidR="0025300B">
        <w:t>injury/illness</w:t>
      </w:r>
      <w:r>
        <w:t xml:space="preserve"> type sub-groups.</w:t>
      </w:r>
    </w:p>
    <w:p w14:paraId="42DE019A" w14:textId="03605579" w:rsidR="00144D09" w:rsidRPr="00742EE9" w:rsidRDefault="00B1073E" w:rsidP="00011EAE">
      <w:pPr>
        <w:pStyle w:val="Caption"/>
        <w:spacing w:before="120"/>
        <w:rPr>
          <w:color w:val="000000" w:themeColor="text1"/>
        </w:rPr>
      </w:pPr>
      <w:bookmarkStart w:id="71" w:name="_Ref524079030"/>
      <w:bookmarkStart w:id="72" w:name="_Toc528056578"/>
      <w:r>
        <w:t xml:space="preserve">Figure </w:t>
      </w:r>
      <w:r w:rsidR="006A2841">
        <w:rPr>
          <w:noProof/>
        </w:rPr>
        <w:fldChar w:fldCharType="begin"/>
      </w:r>
      <w:r w:rsidR="006A2841">
        <w:rPr>
          <w:noProof/>
        </w:rPr>
        <w:instrText xml:space="preserve"> SEQ Figure \* ARABIC </w:instrText>
      </w:r>
      <w:r w:rsidR="006A2841">
        <w:rPr>
          <w:noProof/>
        </w:rPr>
        <w:fldChar w:fldCharType="separate"/>
      </w:r>
      <w:r w:rsidR="00B9340A">
        <w:rPr>
          <w:noProof/>
        </w:rPr>
        <w:t>11</w:t>
      </w:r>
      <w:r w:rsidR="006A2841">
        <w:rPr>
          <w:noProof/>
        </w:rPr>
        <w:fldChar w:fldCharType="end"/>
      </w:r>
      <w:bookmarkEnd w:id="71"/>
      <w:r>
        <w:tab/>
        <w:t xml:space="preserve">Work </w:t>
      </w:r>
      <w:r w:rsidR="00BE4B2B">
        <w:t>l</w:t>
      </w:r>
      <w:r>
        <w:t xml:space="preserve">imitations </w:t>
      </w:r>
      <w:r w:rsidR="008A0651">
        <w:t>b</w:t>
      </w:r>
      <w:r>
        <w:t xml:space="preserve">y </w:t>
      </w:r>
      <w:r w:rsidR="00BE4B2B">
        <w:t>j</w:t>
      </w:r>
      <w:r>
        <w:t xml:space="preserve">urisdiction and </w:t>
      </w:r>
      <w:r w:rsidR="0025300B">
        <w:t>injury/illness</w:t>
      </w:r>
      <w:r>
        <w:t xml:space="preserve"> </w:t>
      </w:r>
      <w:r w:rsidR="00BE4B2B">
        <w:t>t</w:t>
      </w:r>
      <w:r>
        <w:t>ype</w:t>
      </w:r>
      <w:r w:rsidR="00AF778A">
        <w:t xml:space="preserve"> (%)</w:t>
      </w:r>
      <w:bookmarkEnd w:id="72"/>
      <w:r w:rsidR="00AF778A">
        <w:t xml:space="preserve"> </w:t>
      </w:r>
    </w:p>
    <w:p w14:paraId="0213DD12" w14:textId="76B87BC0" w:rsidR="008612EF" w:rsidRPr="00B1073E" w:rsidRDefault="000C0B90" w:rsidP="00A87FF6">
      <w:pPr>
        <w:pStyle w:val="Body"/>
        <w:spacing w:before="0" w:after="80" w:line="240" w:lineRule="auto"/>
        <w:rPr>
          <w:color w:val="FF0000"/>
        </w:rPr>
      </w:pPr>
      <w:r>
        <w:rPr>
          <w:noProof/>
          <w:color w:val="FF0000"/>
          <w:lang w:eastAsia="en-AU"/>
        </w:rPr>
        <w:drawing>
          <wp:inline distT="0" distB="0" distL="0" distR="0" wp14:anchorId="6B7000CC" wp14:editId="1544A6E4">
            <wp:extent cx="5759450" cy="3599815"/>
            <wp:effectExtent l="0" t="0" r="12700" b="635"/>
            <wp:docPr id="209" name="Chart 209" descr="This chart presents the proportion of respondents reporting work limitations by jurisdiction and injury/illness types. The findings are discussed in the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81999A5" w14:textId="7DF8AF48" w:rsidR="00B1073E" w:rsidRPr="00D17E58" w:rsidRDefault="00B1073E" w:rsidP="003E25AE">
      <w:pPr>
        <w:pStyle w:val="FigureNote"/>
      </w:pPr>
      <w:r>
        <w:t>Base</w:t>
      </w:r>
      <w:r>
        <w:tab/>
        <w:t xml:space="preserve">Respondents who reported they were currently working, </w:t>
      </w:r>
      <w:r w:rsidR="00E92B2B">
        <w:t>2018</w:t>
      </w:r>
      <w:r>
        <w:t>.</w:t>
      </w:r>
      <w:r w:rsidR="00F0509F" w:rsidRPr="00F0509F">
        <w:t xml:space="preserve"> </w:t>
      </w:r>
      <w:r w:rsidR="00F0509F">
        <w:t xml:space="preserve">Don’t know and Refused responses excluded from base. </w:t>
      </w:r>
      <w:r>
        <w:t>Total (</w:t>
      </w:r>
      <w:r w:rsidR="00553DEC">
        <w:t>n=</w:t>
      </w:r>
      <w:r>
        <w:t>3,579), ACT (</w:t>
      </w:r>
      <w:r w:rsidR="00553DEC">
        <w:t>n=</w:t>
      </w:r>
      <w:r>
        <w:t>122), Comcare (</w:t>
      </w:r>
      <w:r w:rsidR="00553DEC">
        <w:t>n=</w:t>
      </w:r>
      <w:r>
        <w:t>633), NSW (</w:t>
      </w:r>
      <w:r w:rsidR="00553DEC">
        <w:t>n=</w:t>
      </w:r>
      <w:r>
        <w:t>688), NT (</w:t>
      </w:r>
      <w:r w:rsidR="00553DEC">
        <w:t>n=</w:t>
      </w:r>
      <w:r>
        <w:t xml:space="preserve">101), </w:t>
      </w:r>
      <w:r w:rsidR="008E2E1A">
        <w:t xml:space="preserve">QLD </w:t>
      </w:r>
      <w:r>
        <w:t>(</w:t>
      </w:r>
      <w:r w:rsidR="00553DEC">
        <w:t>n=</w:t>
      </w:r>
      <w:r>
        <w:t>617), Seacare (</w:t>
      </w:r>
      <w:r w:rsidR="00553DEC">
        <w:t>n=</w:t>
      </w:r>
      <w:r>
        <w:t xml:space="preserve">37), </w:t>
      </w:r>
      <w:r w:rsidR="008E2E1A">
        <w:t xml:space="preserve">TAS </w:t>
      </w:r>
      <w:r>
        <w:t>(</w:t>
      </w:r>
      <w:r w:rsidR="00553DEC">
        <w:t>n=</w:t>
      </w:r>
      <w:r>
        <w:t>369), WA (</w:t>
      </w:r>
      <w:r w:rsidR="00553DEC">
        <w:t>n=</w:t>
      </w:r>
      <w:r w:rsidR="005B3A7F">
        <w:t>385), VIC</w:t>
      </w:r>
      <w:r>
        <w:t xml:space="preserve"> (</w:t>
      </w:r>
      <w:r w:rsidR="00553DEC">
        <w:t>n=</w:t>
      </w:r>
      <w:r>
        <w:t>627).</w:t>
      </w:r>
      <w:r w:rsidR="009772EA">
        <w:t xml:space="preserve"> Fractures (</w:t>
      </w:r>
      <w:r w:rsidR="00553DEC">
        <w:t>n=</w:t>
      </w:r>
      <w:r w:rsidR="009772EA">
        <w:t>499), Musculoskeletal Disorders (</w:t>
      </w:r>
      <w:r w:rsidR="00553DEC">
        <w:t>n=</w:t>
      </w:r>
      <w:r w:rsidR="009772EA">
        <w:t>2,089), Other Trauma (</w:t>
      </w:r>
      <w:r w:rsidR="00553DEC">
        <w:t>n=</w:t>
      </w:r>
      <w:r w:rsidR="009772EA">
        <w:t>644), Mental Illness (</w:t>
      </w:r>
      <w:r w:rsidR="00553DEC">
        <w:t>n=</w:t>
      </w:r>
      <w:r w:rsidR="009772EA">
        <w:t>171), Other Diseases (</w:t>
      </w:r>
      <w:r w:rsidR="00553DEC">
        <w:t>n=</w:t>
      </w:r>
      <w:r w:rsidR="009772EA">
        <w:t>176).</w:t>
      </w:r>
    </w:p>
    <w:p w14:paraId="19283885" w14:textId="5FD71038" w:rsidR="00B1073E" w:rsidRDefault="00B1073E" w:rsidP="003E25AE">
      <w:pPr>
        <w:pStyle w:val="FigureNote"/>
      </w:pPr>
      <w:r>
        <w:t>JP9</w:t>
      </w:r>
      <w:r w:rsidRPr="00D17E58">
        <w:tab/>
      </w:r>
      <w:r w:rsidRPr="00B1073E">
        <w:t>Thinking about the last four weeks, how often have you found it difficult to do the following</w:t>
      </w:r>
      <w:r>
        <w:t>…</w:t>
      </w:r>
      <w:r w:rsidRPr="00D17E58">
        <w:t>?</w:t>
      </w:r>
    </w:p>
    <w:p w14:paraId="58960C4F" w14:textId="3FF9CAAC" w:rsidR="003E25AE" w:rsidRDefault="003E25AE" w:rsidP="003E25AE">
      <w:pPr>
        <w:pStyle w:val="FigureNote"/>
      </w:pPr>
      <w:r>
        <w:t>Note:</w:t>
      </w:r>
      <w:r>
        <w:tab/>
      </w:r>
      <w:r w:rsidRPr="009C28FA">
        <w:rPr>
          <w:rStyle w:val="FigureNoteChar"/>
        </w:rPr>
        <w:t>Don’t know and Refused responses excluded from</w:t>
      </w:r>
      <w:r>
        <w:rPr>
          <w:rStyle w:val="FigureNoteChar"/>
        </w:rPr>
        <w:t xml:space="preserve"> average calculation. </w:t>
      </w:r>
    </w:p>
    <w:p w14:paraId="0E76C576" w14:textId="26606182" w:rsidR="007A7D70" w:rsidRDefault="007A7D70" w:rsidP="005755C8">
      <w:pPr>
        <w:pStyle w:val="Heading2"/>
      </w:pPr>
      <w:bookmarkStart w:id="73" w:name="_Toc528056024"/>
      <w:r>
        <w:lastRenderedPageBreak/>
        <w:t xml:space="preserve">Modified </w:t>
      </w:r>
      <w:r w:rsidR="006A2841">
        <w:t>h</w:t>
      </w:r>
      <w:r w:rsidR="00132C5C">
        <w:t>ours</w:t>
      </w:r>
      <w:r w:rsidR="006A2841">
        <w:t>/duties</w:t>
      </w:r>
      <w:bookmarkEnd w:id="73"/>
    </w:p>
    <w:p w14:paraId="311B3AD0" w14:textId="259E6A12" w:rsidR="008A793D" w:rsidRDefault="00F27BDF" w:rsidP="008A793D">
      <w:pPr>
        <w:pStyle w:val="Body"/>
      </w:pPr>
      <w:r>
        <w:t>W</w:t>
      </w:r>
      <w:r w:rsidR="008A793D">
        <w:t xml:space="preserve">orkers who reported they had returned to work at any time since their injury or illness, were asked about the conditions they returned to. Specifically, how the duties and hours they performed </w:t>
      </w:r>
      <w:r w:rsidR="002011B3">
        <w:t>when they first returned to work</w:t>
      </w:r>
      <w:r w:rsidR="008A793D">
        <w:t xml:space="preserve"> compared with their pre-injury</w:t>
      </w:r>
      <w:r w:rsidR="00316A21">
        <w:t>/illness</w:t>
      </w:r>
      <w:r w:rsidR="008A793D">
        <w:t xml:space="preserve"> </w:t>
      </w:r>
      <w:r w:rsidR="002011B3">
        <w:t xml:space="preserve">working </w:t>
      </w:r>
      <w:r w:rsidR="008A793D">
        <w:t>conditions.</w:t>
      </w:r>
    </w:p>
    <w:p w14:paraId="615CF3F4" w14:textId="0433C581" w:rsidR="000A3560" w:rsidRPr="008A793D" w:rsidRDefault="000A3560" w:rsidP="008A793D">
      <w:pPr>
        <w:pStyle w:val="Body"/>
      </w:pPr>
      <w:r>
        <w:t xml:space="preserve">The findings of these </w:t>
      </w:r>
      <w:r w:rsidR="00D22268">
        <w:t>m</w:t>
      </w:r>
      <w:r>
        <w:t xml:space="preserve">odified </w:t>
      </w:r>
      <w:r w:rsidR="00D22268">
        <w:t>h</w:t>
      </w:r>
      <w:r>
        <w:t>ours</w:t>
      </w:r>
      <w:r w:rsidR="00D22268">
        <w:t>/d</w:t>
      </w:r>
      <w:r>
        <w:t xml:space="preserve">uties measures suggest that many workers and employers exercise flexibility in integrating workers back into the workplace following a work-related injury or illness. </w:t>
      </w:r>
      <w:r w:rsidR="001D5FF1">
        <w:t>T</w:t>
      </w:r>
      <w:r>
        <w:t>here are benefits to both workers and employers in having workers back at work at the earliest possibility, even it means a change in the nature of their workplace participation.</w:t>
      </w:r>
    </w:p>
    <w:p w14:paraId="1FF6D355" w14:textId="56939651" w:rsidR="008A793D" w:rsidRPr="008A793D" w:rsidRDefault="008A793D" w:rsidP="008A793D">
      <w:pPr>
        <w:pStyle w:val="Heading3"/>
      </w:pPr>
      <w:bookmarkStart w:id="74" w:name="_Toc528056025"/>
      <w:r>
        <w:t xml:space="preserve">Hours </w:t>
      </w:r>
      <w:r w:rsidR="001B68DC">
        <w:t>upon</w:t>
      </w:r>
      <w:r>
        <w:t xml:space="preserve"> return</w:t>
      </w:r>
      <w:r w:rsidR="001B68DC">
        <w:t>ing</w:t>
      </w:r>
      <w:r>
        <w:t xml:space="preserve"> to work</w:t>
      </w:r>
      <w:bookmarkEnd w:id="74"/>
    </w:p>
    <w:p w14:paraId="388E7D88" w14:textId="512CA15B" w:rsidR="00BF3203" w:rsidRDefault="00E922E2" w:rsidP="007A7D70">
      <w:pPr>
        <w:pStyle w:val="Body"/>
      </w:pPr>
      <w:r>
        <w:t xml:space="preserve">As shown in </w:t>
      </w:r>
      <w:r w:rsidR="005320D2">
        <w:t>Figure 12</w:t>
      </w:r>
      <w:r>
        <w:t xml:space="preserve"> (overleaf), o</w:t>
      </w:r>
      <w:r w:rsidR="00BF3203">
        <w:t>verall, 6</w:t>
      </w:r>
      <w:r w:rsidR="00A43E38">
        <w:t>0.7</w:t>
      </w:r>
      <w:r w:rsidR="00BF3203">
        <w:t>% of workers returned to working the same hours as they had prior to their injury or illness, while 3</w:t>
      </w:r>
      <w:r w:rsidR="00A43E38">
        <w:t>7.6</w:t>
      </w:r>
      <w:r w:rsidR="00BF3203">
        <w:t xml:space="preserve">% </w:t>
      </w:r>
      <w:r w:rsidR="00A43E38">
        <w:t>were working fewer hours. Only 1.7</w:t>
      </w:r>
      <w:r w:rsidR="00BF3203">
        <w:t xml:space="preserve">% reported that their hours increased </w:t>
      </w:r>
      <w:r w:rsidR="002011B3">
        <w:t xml:space="preserve">when they </w:t>
      </w:r>
      <w:r w:rsidR="00BF3203">
        <w:t>return</w:t>
      </w:r>
      <w:r w:rsidR="002011B3">
        <w:t>ed</w:t>
      </w:r>
      <w:r w:rsidR="00BF3203">
        <w:t xml:space="preserve"> to the workplace.</w:t>
      </w:r>
    </w:p>
    <w:p w14:paraId="1365C096" w14:textId="31656F7C" w:rsidR="008A793D" w:rsidRDefault="008A793D" w:rsidP="007A7D70">
      <w:pPr>
        <w:pStyle w:val="Body"/>
      </w:pPr>
      <w:r>
        <w:t>Significantly higher proportions of worke</w:t>
      </w:r>
      <w:r w:rsidR="00A2250D">
        <w:t xml:space="preserve">rs </w:t>
      </w:r>
      <w:r w:rsidR="00592A76">
        <w:t xml:space="preserve">from </w:t>
      </w:r>
      <w:r w:rsidR="00A2250D">
        <w:t>Tasmania (54</w:t>
      </w:r>
      <w:r w:rsidR="00A43E38">
        <w:t>.2%), Comcare (49.6</w:t>
      </w:r>
      <w:r>
        <w:t>%) and Victoria (44</w:t>
      </w:r>
      <w:r w:rsidR="00A43E38">
        <w:t>.5</w:t>
      </w:r>
      <w:r>
        <w:t xml:space="preserve">%) reported that their hours following returning to work were less than they had been prior to their </w:t>
      </w:r>
      <w:r w:rsidR="0025300B">
        <w:t>injury/illness</w:t>
      </w:r>
      <w:r>
        <w:t>.</w:t>
      </w:r>
    </w:p>
    <w:p w14:paraId="3F117938" w14:textId="447D3A72" w:rsidR="00BF3203" w:rsidRDefault="008A793D" w:rsidP="007A7D70">
      <w:pPr>
        <w:pStyle w:val="Body"/>
      </w:pPr>
      <w:r>
        <w:t>Certain injury</w:t>
      </w:r>
      <w:r w:rsidR="00316A21">
        <w:t>/illness</w:t>
      </w:r>
      <w:r>
        <w:t xml:space="preserve"> types appear to be linked with varied hours </w:t>
      </w:r>
      <w:r w:rsidR="002011B3">
        <w:t>upon</w:t>
      </w:r>
      <w:r>
        <w:t xml:space="preserve"> a return to work. Those who experienced ment</w:t>
      </w:r>
      <w:r w:rsidR="00A43E38">
        <w:t>al illness (53.7%) or fractures (49.6</w:t>
      </w:r>
      <w:r>
        <w:t xml:space="preserve">%) were significantly more likely to work fewer hours </w:t>
      </w:r>
      <w:r w:rsidR="002011B3">
        <w:t>when</w:t>
      </w:r>
      <w:r>
        <w:t xml:space="preserve"> returning to work. Meanwhile, a significantly higher proportion of those who experienced other trauma (7</w:t>
      </w:r>
      <w:r w:rsidR="00A43E38">
        <w:t>0.8</w:t>
      </w:r>
      <w:r>
        <w:t>%) reported that they work</w:t>
      </w:r>
      <w:r w:rsidR="002011B3">
        <w:t>ed</w:t>
      </w:r>
      <w:r>
        <w:t xml:space="preserve"> the same hours </w:t>
      </w:r>
      <w:r w:rsidR="002011B3">
        <w:t xml:space="preserve">on return </w:t>
      </w:r>
      <w:r w:rsidR="00F1525E">
        <w:t>as before their injury/illness.</w:t>
      </w:r>
    </w:p>
    <w:p w14:paraId="7C449017" w14:textId="77777777" w:rsidR="00742EE9" w:rsidRDefault="00742EE9">
      <w:pPr>
        <w:rPr>
          <w:rFonts w:ascii="Arial Bold" w:eastAsia="Times New Roman" w:hAnsi="Arial Bold" w:cs="Times New Roman"/>
          <w:b/>
          <w:bCs/>
          <w:color w:val="1F688D"/>
          <w:szCs w:val="18"/>
        </w:rPr>
      </w:pPr>
      <w:r>
        <w:br w:type="page"/>
      </w:r>
    </w:p>
    <w:p w14:paraId="72847CB7" w14:textId="28F2EE5D" w:rsidR="00A2250D" w:rsidRDefault="00A2250D" w:rsidP="00D0461D">
      <w:pPr>
        <w:pStyle w:val="Caption"/>
      </w:pPr>
      <w:bookmarkStart w:id="75" w:name="_Toc528056579"/>
      <w:r>
        <w:lastRenderedPageBreak/>
        <w:t xml:space="preserve">Figure </w:t>
      </w:r>
      <w:r w:rsidR="006A2841">
        <w:rPr>
          <w:noProof/>
        </w:rPr>
        <w:fldChar w:fldCharType="begin"/>
      </w:r>
      <w:r w:rsidR="006A2841">
        <w:rPr>
          <w:noProof/>
        </w:rPr>
        <w:instrText xml:space="preserve"> SEQ Figure \* ARABIC </w:instrText>
      </w:r>
      <w:r w:rsidR="006A2841">
        <w:rPr>
          <w:noProof/>
        </w:rPr>
        <w:fldChar w:fldCharType="separate"/>
      </w:r>
      <w:r w:rsidR="00B9340A">
        <w:rPr>
          <w:noProof/>
        </w:rPr>
        <w:t>12</w:t>
      </w:r>
      <w:r w:rsidR="006A2841">
        <w:rPr>
          <w:noProof/>
        </w:rPr>
        <w:fldChar w:fldCharType="end"/>
      </w:r>
      <w:r>
        <w:tab/>
        <w:t xml:space="preserve">Hours </w:t>
      </w:r>
      <w:r w:rsidR="001B68DC">
        <w:t>upon</w:t>
      </w:r>
      <w:r>
        <w:t xml:space="preserve"> return</w:t>
      </w:r>
      <w:r w:rsidR="001B68DC">
        <w:t>ing</w:t>
      </w:r>
      <w:r w:rsidR="008A0651">
        <w:t xml:space="preserve"> to work b</w:t>
      </w:r>
      <w:r>
        <w:t xml:space="preserve">y </w:t>
      </w:r>
      <w:r w:rsidR="00BE4B2B">
        <w:t>j</w:t>
      </w:r>
      <w:r>
        <w:t xml:space="preserve">urisdiction and </w:t>
      </w:r>
      <w:r w:rsidR="0025300B">
        <w:t>injury/illness</w:t>
      </w:r>
      <w:r>
        <w:t xml:space="preserve"> </w:t>
      </w:r>
      <w:r w:rsidR="00BE4B2B">
        <w:t>t</w:t>
      </w:r>
      <w:r>
        <w:t>ype</w:t>
      </w:r>
      <w:bookmarkEnd w:id="75"/>
    </w:p>
    <w:p w14:paraId="2365D103" w14:textId="7E86BF12" w:rsidR="004C6558" w:rsidRPr="004C6558" w:rsidRDefault="000C0B90" w:rsidP="007A7D70">
      <w:pPr>
        <w:pStyle w:val="Body"/>
        <w:rPr>
          <w:color w:val="FF0000"/>
        </w:rPr>
      </w:pPr>
      <w:r>
        <w:rPr>
          <w:noProof/>
          <w:color w:val="FF0000"/>
          <w:lang w:eastAsia="en-AU"/>
        </w:rPr>
        <w:drawing>
          <wp:inline distT="0" distB="0" distL="0" distR="0" wp14:anchorId="55D9F6DC" wp14:editId="1AE9DC0E">
            <wp:extent cx="5759450" cy="3599815"/>
            <wp:effectExtent l="0" t="0" r="12700" b="635"/>
            <wp:docPr id="210" name="Chart 210" descr="This chart presents the differences in hours respondents reported before and after thier injury/illness by jursidiction and injury/illness type. Categories are fewer hours, the same hours and more hours. The findings are discussed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CD2DDA6" w14:textId="11414AC0" w:rsidR="00A2250D" w:rsidRPr="00D17E58" w:rsidRDefault="00A2250D" w:rsidP="00553DEC">
      <w:pPr>
        <w:spacing w:before="60" w:line="264" w:lineRule="auto"/>
        <w:ind w:left="851" w:hanging="851"/>
        <w:rPr>
          <w:rFonts w:cs="Arial"/>
          <w:sz w:val="16"/>
          <w:szCs w:val="16"/>
        </w:rPr>
      </w:pPr>
      <w:r>
        <w:rPr>
          <w:rFonts w:cs="Arial"/>
          <w:sz w:val="16"/>
          <w:szCs w:val="16"/>
        </w:rPr>
        <w:t>Base</w:t>
      </w:r>
      <w:r w:rsidR="00553DEC">
        <w:rPr>
          <w:rFonts w:cs="Arial"/>
          <w:sz w:val="16"/>
          <w:szCs w:val="16"/>
        </w:rPr>
        <w:t>:</w:t>
      </w:r>
      <w:r>
        <w:rPr>
          <w:rFonts w:cs="Arial"/>
          <w:sz w:val="16"/>
          <w:szCs w:val="16"/>
        </w:rPr>
        <w:tab/>
        <w:t xml:space="preserve">Respondents who reported they had returned to work at some stage, </w:t>
      </w:r>
      <w:r w:rsidR="00E92B2B">
        <w:rPr>
          <w:rFonts w:cs="Arial"/>
          <w:sz w:val="16"/>
          <w:szCs w:val="16"/>
        </w:rPr>
        <w:t>2018</w:t>
      </w:r>
      <w:r>
        <w:rPr>
          <w:rFonts w:cs="Arial"/>
          <w:sz w:val="16"/>
          <w:szCs w:val="16"/>
        </w:rPr>
        <w:t>.</w:t>
      </w:r>
      <w:r w:rsidR="00553DEC">
        <w:rPr>
          <w:rFonts w:cs="Arial"/>
          <w:sz w:val="16"/>
          <w:szCs w:val="16"/>
        </w:rPr>
        <w:t xml:space="preserve"> </w:t>
      </w:r>
      <w:r>
        <w:rPr>
          <w:rFonts w:cs="Arial"/>
          <w:sz w:val="16"/>
          <w:szCs w:val="16"/>
        </w:rPr>
        <w:t>Total (</w:t>
      </w:r>
      <w:r w:rsidR="00553DEC">
        <w:rPr>
          <w:rFonts w:cs="Arial"/>
          <w:sz w:val="16"/>
          <w:szCs w:val="16"/>
        </w:rPr>
        <w:t>n=</w:t>
      </w:r>
      <w:r>
        <w:rPr>
          <w:rFonts w:cs="Arial"/>
          <w:sz w:val="16"/>
          <w:szCs w:val="16"/>
        </w:rPr>
        <w:t>4,112), ACT (</w:t>
      </w:r>
      <w:r w:rsidR="00553DEC">
        <w:rPr>
          <w:rFonts w:cs="Arial"/>
          <w:sz w:val="16"/>
          <w:szCs w:val="16"/>
        </w:rPr>
        <w:t>n=</w:t>
      </w:r>
      <w:r>
        <w:rPr>
          <w:rFonts w:cs="Arial"/>
          <w:sz w:val="16"/>
          <w:szCs w:val="16"/>
        </w:rPr>
        <w:t>138), Comcare (</w:t>
      </w:r>
      <w:r w:rsidR="00553DEC">
        <w:rPr>
          <w:rFonts w:cs="Arial"/>
          <w:sz w:val="16"/>
          <w:szCs w:val="16"/>
        </w:rPr>
        <w:t>n=</w:t>
      </w:r>
      <w:r>
        <w:rPr>
          <w:rFonts w:cs="Arial"/>
          <w:sz w:val="16"/>
          <w:szCs w:val="16"/>
        </w:rPr>
        <w:t>717), NSW (</w:t>
      </w:r>
      <w:r w:rsidR="00553DEC">
        <w:rPr>
          <w:rFonts w:cs="Arial"/>
          <w:sz w:val="16"/>
          <w:szCs w:val="16"/>
        </w:rPr>
        <w:t>n=</w:t>
      </w:r>
      <w:r>
        <w:rPr>
          <w:rFonts w:cs="Arial"/>
          <w:sz w:val="16"/>
          <w:szCs w:val="16"/>
        </w:rPr>
        <w:t>775), NT (</w:t>
      </w:r>
      <w:r w:rsidR="00553DEC">
        <w:rPr>
          <w:rFonts w:cs="Arial"/>
          <w:sz w:val="16"/>
          <w:szCs w:val="16"/>
        </w:rPr>
        <w:t>n=</w:t>
      </w:r>
      <w:r>
        <w:rPr>
          <w:rFonts w:cs="Arial"/>
          <w:sz w:val="16"/>
          <w:szCs w:val="16"/>
        </w:rPr>
        <w:t xml:space="preserve">125), </w:t>
      </w:r>
      <w:r w:rsidR="008E2E1A">
        <w:rPr>
          <w:rFonts w:cs="Arial"/>
          <w:sz w:val="16"/>
          <w:szCs w:val="16"/>
        </w:rPr>
        <w:t xml:space="preserve">QLD </w:t>
      </w:r>
      <w:r>
        <w:rPr>
          <w:rFonts w:cs="Arial"/>
          <w:sz w:val="16"/>
          <w:szCs w:val="16"/>
        </w:rPr>
        <w:t>(</w:t>
      </w:r>
      <w:r w:rsidR="00553DEC">
        <w:rPr>
          <w:rFonts w:cs="Arial"/>
          <w:sz w:val="16"/>
          <w:szCs w:val="16"/>
        </w:rPr>
        <w:t>n=</w:t>
      </w:r>
      <w:r>
        <w:rPr>
          <w:rFonts w:cs="Arial"/>
          <w:sz w:val="16"/>
          <w:szCs w:val="16"/>
        </w:rPr>
        <w:t>701), Seacare (</w:t>
      </w:r>
      <w:r w:rsidR="00553DEC">
        <w:rPr>
          <w:rFonts w:cs="Arial"/>
          <w:sz w:val="16"/>
          <w:szCs w:val="16"/>
        </w:rPr>
        <w:t>n=</w:t>
      </w:r>
      <w:r>
        <w:rPr>
          <w:rFonts w:cs="Arial"/>
          <w:sz w:val="16"/>
          <w:szCs w:val="16"/>
        </w:rPr>
        <w:t xml:space="preserve">45), </w:t>
      </w:r>
      <w:r w:rsidR="008E2E1A">
        <w:rPr>
          <w:rFonts w:cs="Arial"/>
          <w:sz w:val="16"/>
          <w:szCs w:val="16"/>
        </w:rPr>
        <w:t>TAS</w:t>
      </w:r>
      <w:r>
        <w:rPr>
          <w:rFonts w:cs="Arial"/>
          <w:sz w:val="16"/>
          <w:szCs w:val="16"/>
        </w:rPr>
        <w:t xml:space="preserve"> (</w:t>
      </w:r>
      <w:r w:rsidR="00553DEC">
        <w:rPr>
          <w:rFonts w:cs="Arial"/>
          <w:sz w:val="16"/>
          <w:szCs w:val="16"/>
        </w:rPr>
        <w:t>n=</w:t>
      </w:r>
      <w:r>
        <w:rPr>
          <w:rFonts w:cs="Arial"/>
          <w:sz w:val="16"/>
          <w:szCs w:val="16"/>
        </w:rPr>
        <w:t>441), WA (</w:t>
      </w:r>
      <w:r w:rsidR="00553DEC">
        <w:rPr>
          <w:rFonts w:cs="Arial"/>
          <w:sz w:val="16"/>
          <w:szCs w:val="16"/>
        </w:rPr>
        <w:t>n=</w:t>
      </w:r>
      <w:r>
        <w:rPr>
          <w:rFonts w:cs="Arial"/>
          <w:sz w:val="16"/>
          <w:szCs w:val="16"/>
        </w:rPr>
        <w:t>455), V</w:t>
      </w:r>
      <w:r w:rsidR="005B3A7F">
        <w:rPr>
          <w:rFonts w:cs="Arial"/>
          <w:sz w:val="16"/>
          <w:szCs w:val="16"/>
        </w:rPr>
        <w:t>IC</w:t>
      </w:r>
      <w:r>
        <w:rPr>
          <w:rFonts w:cs="Arial"/>
          <w:sz w:val="16"/>
          <w:szCs w:val="16"/>
        </w:rPr>
        <w:t xml:space="preserve"> (</w:t>
      </w:r>
      <w:r w:rsidR="00553DEC">
        <w:rPr>
          <w:rFonts w:cs="Arial"/>
          <w:sz w:val="16"/>
          <w:szCs w:val="16"/>
        </w:rPr>
        <w:t>n=</w:t>
      </w:r>
      <w:r>
        <w:rPr>
          <w:rFonts w:cs="Arial"/>
          <w:sz w:val="16"/>
          <w:szCs w:val="16"/>
        </w:rPr>
        <w:t>715). Fractures (</w:t>
      </w:r>
      <w:r w:rsidR="00553DEC">
        <w:rPr>
          <w:rFonts w:cs="Arial"/>
          <w:sz w:val="16"/>
          <w:szCs w:val="16"/>
        </w:rPr>
        <w:t>n=</w:t>
      </w:r>
      <w:r>
        <w:rPr>
          <w:rFonts w:cs="Arial"/>
          <w:sz w:val="16"/>
          <w:szCs w:val="16"/>
        </w:rPr>
        <w:t>563), Musculoskeletal</w:t>
      </w:r>
      <w:r w:rsidR="009772EA">
        <w:rPr>
          <w:rFonts w:cs="Arial"/>
          <w:sz w:val="16"/>
          <w:szCs w:val="16"/>
        </w:rPr>
        <w:t xml:space="preserve"> Disorders</w:t>
      </w:r>
      <w:r>
        <w:rPr>
          <w:rFonts w:cs="Arial"/>
          <w:sz w:val="16"/>
          <w:szCs w:val="16"/>
        </w:rPr>
        <w:t xml:space="preserve"> (</w:t>
      </w:r>
      <w:r w:rsidR="00553DEC">
        <w:rPr>
          <w:rFonts w:cs="Arial"/>
          <w:sz w:val="16"/>
          <w:szCs w:val="16"/>
        </w:rPr>
        <w:t>n=</w:t>
      </w:r>
      <w:r>
        <w:rPr>
          <w:rFonts w:cs="Arial"/>
          <w:sz w:val="16"/>
          <w:szCs w:val="16"/>
        </w:rPr>
        <w:t>2,415), Other Trauma (</w:t>
      </w:r>
      <w:r w:rsidR="00553DEC">
        <w:rPr>
          <w:rFonts w:cs="Arial"/>
          <w:sz w:val="16"/>
          <w:szCs w:val="16"/>
        </w:rPr>
        <w:t>n=</w:t>
      </w:r>
      <w:r>
        <w:rPr>
          <w:rFonts w:cs="Arial"/>
          <w:sz w:val="16"/>
          <w:szCs w:val="16"/>
        </w:rPr>
        <w:t>728), Mental Illness (</w:t>
      </w:r>
      <w:r w:rsidR="00553DEC">
        <w:rPr>
          <w:rFonts w:cs="Arial"/>
          <w:sz w:val="16"/>
          <w:szCs w:val="16"/>
        </w:rPr>
        <w:t>n=</w:t>
      </w:r>
      <w:r>
        <w:rPr>
          <w:rFonts w:cs="Arial"/>
          <w:sz w:val="16"/>
          <w:szCs w:val="16"/>
        </w:rPr>
        <w:t>210), Other Diseases (</w:t>
      </w:r>
      <w:r w:rsidR="00553DEC">
        <w:rPr>
          <w:rFonts w:cs="Arial"/>
          <w:sz w:val="16"/>
          <w:szCs w:val="16"/>
        </w:rPr>
        <w:t>n=</w:t>
      </w:r>
      <w:r w:rsidR="009772EA">
        <w:rPr>
          <w:rFonts w:cs="Arial"/>
          <w:sz w:val="16"/>
          <w:szCs w:val="16"/>
        </w:rPr>
        <w:t>196</w:t>
      </w:r>
      <w:r>
        <w:rPr>
          <w:rFonts w:cs="Arial"/>
          <w:sz w:val="16"/>
          <w:szCs w:val="16"/>
        </w:rPr>
        <w:t>).</w:t>
      </w:r>
    </w:p>
    <w:p w14:paraId="408E1F2B" w14:textId="215E1D1A" w:rsidR="00A2250D" w:rsidRDefault="001B68DC" w:rsidP="00553DEC">
      <w:pPr>
        <w:spacing w:before="60" w:line="264" w:lineRule="auto"/>
        <w:ind w:left="851" w:hanging="851"/>
        <w:rPr>
          <w:rFonts w:cs="Arial"/>
          <w:sz w:val="16"/>
          <w:szCs w:val="16"/>
        </w:rPr>
      </w:pPr>
      <w:r>
        <w:rPr>
          <w:rFonts w:cs="Arial"/>
          <w:sz w:val="16"/>
          <w:szCs w:val="16"/>
        </w:rPr>
        <w:t>RTW6</w:t>
      </w:r>
      <w:r w:rsidR="00A2250D" w:rsidRPr="00D17E58">
        <w:rPr>
          <w:rFonts w:cs="Arial"/>
          <w:sz w:val="16"/>
          <w:szCs w:val="16"/>
        </w:rPr>
        <w:tab/>
      </w:r>
      <w:r>
        <w:rPr>
          <w:rFonts w:cs="Arial"/>
          <w:sz w:val="16"/>
          <w:szCs w:val="16"/>
        </w:rPr>
        <w:t>W</w:t>
      </w:r>
      <w:r w:rsidRPr="001B68DC">
        <w:rPr>
          <w:rFonts w:cs="Arial"/>
          <w:sz w:val="16"/>
          <w:szCs w:val="16"/>
        </w:rPr>
        <w:t>ere the hours you returned to the same</w:t>
      </w:r>
      <w:r w:rsidR="00A2250D" w:rsidRPr="00D17E58">
        <w:rPr>
          <w:rFonts w:cs="Arial"/>
          <w:sz w:val="16"/>
          <w:szCs w:val="16"/>
        </w:rPr>
        <w:t>?</w:t>
      </w:r>
    </w:p>
    <w:p w14:paraId="274E83D2" w14:textId="24277227" w:rsidR="00A2250D" w:rsidRPr="00CD4ABE" w:rsidRDefault="00A2250D" w:rsidP="00553DEC">
      <w:pPr>
        <w:spacing w:before="60" w:line="264" w:lineRule="auto"/>
        <w:ind w:left="851" w:hanging="851"/>
        <w:rPr>
          <w:rFonts w:cs="Arial"/>
          <w:sz w:val="16"/>
          <w:szCs w:val="16"/>
        </w:rPr>
      </w:pPr>
      <w:r>
        <w:rPr>
          <w:rFonts w:cs="Arial"/>
          <w:sz w:val="16"/>
          <w:szCs w:val="16"/>
        </w:rPr>
        <w:t>Note</w:t>
      </w:r>
      <w:r w:rsidR="00553DEC">
        <w:rPr>
          <w:rFonts w:cs="Arial"/>
          <w:sz w:val="16"/>
          <w:szCs w:val="16"/>
        </w:rPr>
        <w:t>:</w:t>
      </w:r>
      <w:r>
        <w:rPr>
          <w:rFonts w:cs="Arial"/>
          <w:sz w:val="16"/>
          <w:szCs w:val="16"/>
        </w:rPr>
        <w:tab/>
        <w:t>Don’t know and Refused responses excluded from base</w:t>
      </w:r>
      <w:r w:rsidRPr="003E25AE">
        <w:rPr>
          <w:rFonts w:cs="Arial"/>
          <w:sz w:val="16"/>
          <w:szCs w:val="16"/>
        </w:rPr>
        <w:t>.</w:t>
      </w:r>
      <w:r w:rsidR="00742EE9" w:rsidRPr="003E25AE">
        <w:rPr>
          <w:rFonts w:cs="Arial"/>
          <w:sz w:val="16"/>
          <w:szCs w:val="16"/>
        </w:rPr>
        <w:t xml:space="preserve"> </w:t>
      </w:r>
      <w:r w:rsidR="00742EE9" w:rsidRPr="003E25AE">
        <w:rPr>
          <w:sz w:val="16"/>
        </w:rPr>
        <w:t>Asterisks indicate statistically significant difference (single asterisk (*) indicates a lower proportion; double asterisk (**) indicates a higher proportion</w:t>
      </w:r>
      <w:r w:rsidR="00553DEC" w:rsidRPr="003E25AE">
        <w:rPr>
          <w:sz w:val="16"/>
        </w:rPr>
        <w:t>)</w:t>
      </w:r>
      <w:r w:rsidR="003E25AE" w:rsidRPr="003E25AE">
        <w:rPr>
          <w:sz w:val="16"/>
        </w:rPr>
        <w:t xml:space="preserve"> (p-value &lt;=0.05).</w:t>
      </w:r>
    </w:p>
    <w:p w14:paraId="286626BE" w14:textId="0B7F5266" w:rsidR="008A793D" w:rsidRDefault="008A793D" w:rsidP="007A7D70">
      <w:pPr>
        <w:pStyle w:val="Heading3"/>
      </w:pPr>
      <w:bookmarkStart w:id="76" w:name="_Toc528056026"/>
      <w:r>
        <w:t xml:space="preserve">Duties </w:t>
      </w:r>
      <w:r w:rsidR="001B68DC">
        <w:t>upon</w:t>
      </w:r>
      <w:r>
        <w:t xml:space="preserve"> return</w:t>
      </w:r>
      <w:r w:rsidR="001B68DC">
        <w:t>ing</w:t>
      </w:r>
      <w:r>
        <w:t xml:space="preserve"> to work</w:t>
      </w:r>
      <w:bookmarkEnd w:id="76"/>
    </w:p>
    <w:p w14:paraId="49C4B27D" w14:textId="6F8C1AA1" w:rsidR="00BF3203" w:rsidRDefault="00F1525E" w:rsidP="008A793D">
      <w:pPr>
        <w:pStyle w:val="Body"/>
      </w:pPr>
      <w:r>
        <w:t>While a majority of workers perform</w:t>
      </w:r>
      <w:r w:rsidR="002011B3">
        <w:t>ed</w:t>
      </w:r>
      <w:r>
        <w:t xml:space="preserve"> the same hours </w:t>
      </w:r>
      <w:r w:rsidR="002011B3">
        <w:t xml:space="preserve">when they </w:t>
      </w:r>
      <w:r>
        <w:t>return</w:t>
      </w:r>
      <w:r w:rsidR="002011B3">
        <w:t>ed</w:t>
      </w:r>
      <w:r>
        <w:t xml:space="preserve"> to work, a minority reported performing the same duties </w:t>
      </w:r>
      <w:r w:rsidR="002011B3">
        <w:t xml:space="preserve">when they first returned to work after </w:t>
      </w:r>
      <w:r>
        <w:t>thei</w:t>
      </w:r>
      <w:r w:rsidRPr="00F1525E">
        <w:t>r work-related injury or illness</w:t>
      </w:r>
      <w:r>
        <w:t xml:space="preserve">. Overall, around two-in-five </w:t>
      </w:r>
      <w:r w:rsidR="00A2250D">
        <w:t>(4</w:t>
      </w:r>
      <w:r w:rsidR="003F7DEB">
        <w:t>2.6</w:t>
      </w:r>
      <w:r w:rsidR="00AD0548">
        <w:t xml:space="preserve">%) </w:t>
      </w:r>
      <w:r>
        <w:t xml:space="preserve">workers reported performing the </w:t>
      </w:r>
      <w:r w:rsidR="00AD0548">
        <w:t>same duties. A</w:t>
      </w:r>
      <w:r w:rsidR="0031421F">
        <w:t> </w:t>
      </w:r>
      <w:r w:rsidR="00AD0548">
        <w:t>further two-in-five (38</w:t>
      </w:r>
      <w:r w:rsidR="003F7DEB">
        <w:t>.4</w:t>
      </w:r>
      <w:r w:rsidR="00AD0548">
        <w:t>%) reported th</w:t>
      </w:r>
      <w:r w:rsidR="007A081F">
        <w:t>ey</w:t>
      </w:r>
      <w:r w:rsidR="00AD0548">
        <w:t xml:space="preserve"> were performing slightly different (modified/light) duties and the remaining one-in-five (19</w:t>
      </w:r>
      <w:r w:rsidR="003F7DEB">
        <w:t>.0</w:t>
      </w:r>
      <w:r w:rsidR="00AD0548">
        <w:t xml:space="preserve">%) </w:t>
      </w:r>
      <w:r w:rsidR="007A081F">
        <w:t>reported</w:t>
      </w:r>
      <w:r w:rsidR="00AD0548">
        <w:t xml:space="preserve"> performing completely different duties.</w:t>
      </w:r>
    </w:p>
    <w:p w14:paraId="74C3D506" w14:textId="703E80E4" w:rsidR="00E83DF4" w:rsidRDefault="00142472" w:rsidP="00D0461D">
      <w:pPr>
        <w:pStyle w:val="Caption"/>
      </w:pPr>
      <w:bookmarkStart w:id="77" w:name="_Toc528056580"/>
      <w:r>
        <w:t xml:space="preserve">Figure </w:t>
      </w:r>
      <w:r w:rsidR="006A2841">
        <w:rPr>
          <w:noProof/>
        </w:rPr>
        <w:fldChar w:fldCharType="begin"/>
      </w:r>
      <w:r w:rsidR="006A2841">
        <w:rPr>
          <w:noProof/>
        </w:rPr>
        <w:instrText xml:space="preserve"> SEQ Figure \* ARABIC </w:instrText>
      </w:r>
      <w:r w:rsidR="006A2841">
        <w:rPr>
          <w:noProof/>
        </w:rPr>
        <w:fldChar w:fldCharType="separate"/>
      </w:r>
      <w:r w:rsidR="00B9340A">
        <w:rPr>
          <w:noProof/>
        </w:rPr>
        <w:t>13</w:t>
      </w:r>
      <w:r w:rsidR="006A2841">
        <w:rPr>
          <w:noProof/>
        </w:rPr>
        <w:fldChar w:fldCharType="end"/>
      </w:r>
      <w:r>
        <w:tab/>
        <w:t xml:space="preserve">Duties </w:t>
      </w:r>
      <w:r w:rsidR="001B68DC">
        <w:t>upon</w:t>
      </w:r>
      <w:r>
        <w:t xml:space="preserve"> return</w:t>
      </w:r>
      <w:r w:rsidR="001B68DC">
        <w:t>ing</w:t>
      </w:r>
      <w:r w:rsidR="00E92B2B">
        <w:t xml:space="preserve"> to work</w:t>
      </w:r>
      <w:bookmarkEnd w:id="77"/>
    </w:p>
    <w:p w14:paraId="4BC9B40D" w14:textId="4B2A3198" w:rsidR="00142472" w:rsidRPr="00142472" w:rsidRDefault="000C0B90" w:rsidP="00011EAE">
      <w:pPr>
        <w:pStyle w:val="Body"/>
      </w:pPr>
      <w:r>
        <w:rPr>
          <w:noProof/>
          <w:lang w:eastAsia="en-AU"/>
        </w:rPr>
        <mc:AlternateContent>
          <mc:Choice Requires="wpg">
            <w:drawing>
              <wp:inline distT="0" distB="0" distL="0" distR="0" wp14:anchorId="1BA97C27" wp14:editId="08F0E193">
                <wp:extent cx="5759450" cy="1634490"/>
                <wp:effectExtent l="0" t="0" r="12700" b="3810"/>
                <wp:docPr id="213" name="Group 213" descr="This graphic presents the differences in duties that respondents had before and after their injury. The findings are discussed in the text above."/>
                <wp:cNvGraphicFramePr/>
                <a:graphic xmlns:a="http://schemas.openxmlformats.org/drawingml/2006/main">
                  <a:graphicData uri="http://schemas.microsoft.com/office/word/2010/wordprocessingGroup">
                    <wpg:wgp>
                      <wpg:cNvGrpSpPr/>
                      <wpg:grpSpPr>
                        <a:xfrm>
                          <a:off x="0" y="0"/>
                          <a:ext cx="5759450" cy="1634490"/>
                          <a:chOff x="0" y="0"/>
                          <a:chExt cx="5760000" cy="1634490"/>
                        </a:xfrm>
                      </wpg:grpSpPr>
                      <wps:wsp>
                        <wps:cNvPr id="214" name="Rectangle 214"/>
                        <wps:cNvSpPr/>
                        <wps:spPr>
                          <a:xfrm>
                            <a:off x="0" y="0"/>
                            <a:ext cx="5760000" cy="162000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5" name="Picture 215" descr="This graphic shows the duties that respondents had on returning to work. This is discussed in the text above."/>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501650" y="177800"/>
                            <a:ext cx="4751705" cy="1456690"/>
                          </a:xfrm>
                          <a:prstGeom prst="rect">
                            <a:avLst/>
                          </a:prstGeom>
                          <a:noFill/>
                        </pic:spPr>
                      </pic:pic>
                    </wpg:wgp>
                  </a:graphicData>
                </a:graphic>
              </wp:inline>
            </w:drawing>
          </mc:Choice>
          <mc:Fallback>
            <w:pict>
              <v:group w14:anchorId="43E63E30" id="Group 213" o:spid="_x0000_s1026" alt="This graphic presents the differences in duties that respondents had before and after their injury. The findings are discussed in the text above." style="width:453.5pt;height:128.7pt;mso-position-horizontal-relative:char;mso-position-vertical-relative:line" coordsize="57600,16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">
                <v:rect id="Rectangle 214" o:spid="_x0000_s1027" style="position:absolute;width:57600;height:16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" filled="f" strokecolor="#1f698e [32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5" o:spid="_x0000_s1028" type="#_x0000_t75" alt="This graphic shows the duties that respondents had on returning to work. This is discussed in the text above." style="position:absolute;left:5016;top:1778;width:47517;height:1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">
                  <v:imagedata r:id="rId46" o:title="This graphic shows the duties that respondents had on returning to work. This is discussed in the text above"/>
                  <v:path arrowok="t"/>
                </v:shape>
                <w10:anchorlock/>
              </v:group>
            </w:pict>
          </mc:Fallback>
        </mc:AlternateContent>
      </w:r>
    </w:p>
    <w:p w14:paraId="3B66BA53" w14:textId="77777777" w:rsidR="005320D2" w:rsidRDefault="005320D2">
      <w:pPr>
        <w:rPr>
          <w:rFonts w:eastAsia="Times New Roman" w:cs="Times New Roman"/>
          <w:szCs w:val="20"/>
        </w:rPr>
      </w:pPr>
      <w:r>
        <w:br w:type="page"/>
      </w:r>
    </w:p>
    <w:p w14:paraId="271ACBA9" w14:textId="59D2BEDF" w:rsidR="002011B3" w:rsidRDefault="00142472" w:rsidP="008A793D">
      <w:pPr>
        <w:pStyle w:val="Body"/>
      </w:pPr>
      <w:r>
        <w:lastRenderedPageBreak/>
        <w:t>Comparing sub-groups, a</w:t>
      </w:r>
      <w:r w:rsidR="002011B3">
        <w:t xml:space="preserve"> significantly higher proportion of retu</w:t>
      </w:r>
      <w:r w:rsidR="00B64859">
        <w:t>r</w:t>
      </w:r>
      <w:r w:rsidR="002011B3">
        <w:t xml:space="preserve">ning workers </w:t>
      </w:r>
      <w:r w:rsidR="006C4EDE">
        <w:t xml:space="preserve">from </w:t>
      </w:r>
      <w:r w:rsidR="002011B3">
        <w:t>Queensland (49</w:t>
      </w:r>
      <w:r w:rsidR="00E06325">
        <w:t>.3</w:t>
      </w:r>
      <w:r w:rsidR="002011B3">
        <w:t xml:space="preserve">%) reported that they </w:t>
      </w:r>
      <w:r w:rsidR="00672410">
        <w:t>returned to the same duties. Conversely, those in Tasmania (33</w:t>
      </w:r>
      <w:r w:rsidR="00E06325">
        <w:t>.1</w:t>
      </w:r>
      <w:r w:rsidR="00672410">
        <w:t xml:space="preserve">%), </w:t>
      </w:r>
      <w:r w:rsidR="004C6558">
        <w:t>Victoria (34</w:t>
      </w:r>
      <w:r w:rsidR="00E06325">
        <w:t>.0</w:t>
      </w:r>
      <w:r w:rsidR="004C6558">
        <w:t xml:space="preserve">%) </w:t>
      </w:r>
      <w:r w:rsidR="00A2250D">
        <w:t>and Comcare (3</w:t>
      </w:r>
      <w:r w:rsidR="00E06325">
        <w:t>4.7</w:t>
      </w:r>
      <w:r w:rsidR="00A2250D">
        <w:t xml:space="preserve">%) </w:t>
      </w:r>
      <w:r w:rsidR="004C6558">
        <w:t>were significantly less likely to have returned to the same duties.</w:t>
      </w:r>
      <w:r w:rsidR="00D22268" w:rsidRPr="00D22268">
        <w:t xml:space="preserve"> </w:t>
      </w:r>
      <w:r w:rsidR="00F27BDF">
        <w:t>W</w:t>
      </w:r>
      <w:r w:rsidR="00D22268" w:rsidRPr="00D22268">
        <w:t xml:space="preserve">orkers from </w:t>
      </w:r>
      <w:r w:rsidR="00A2250D">
        <w:t xml:space="preserve">Comcare </w:t>
      </w:r>
      <w:r w:rsidR="001B68DC">
        <w:t xml:space="preserve">and Victoria </w:t>
      </w:r>
      <w:r w:rsidR="00A2250D">
        <w:t xml:space="preserve">reported the </w:t>
      </w:r>
      <w:r w:rsidR="00D22268">
        <w:t xml:space="preserve">largest </w:t>
      </w:r>
      <w:r w:rsidR="004C6558">
        <w:t>change in duties, with 25</w:t>
      </w:r>
      <w:r w:rsidR="00E06325">
        <w:t>.3</w:t>
      </w:r>
      <w:r w:rsidR="004C6558">
        <w:t>%</w:t>
      </w:r>
      <w:r w:rsidR="001B68DC">
        <w:t xml:space="preserve"> and 2</w:t>
      </w:r>
      <w:r w:rsidR="00E06325">
        <w:t>3.8</w:t>
      </w:r>
      <w:r w:rsidR="001B68DC">
        <w:t>% (respectively)</w:t>
      </w:r>
      <w:r w:rsidR="004C6558">
        <w:t xml:space="preserve"> performing completely different duties upon their return to work.</w:t>
      </w:r>
    </w:p>
    <w:p w14:paraId="46580E6F" w14:textId="04F159C4" w:rsidR="00142472" w:rsidRPr="00172B20" w:rsidRDefault="004C6558" w:rsidP="00172B20">
      <w:pPr>
        <w:pStyle w:val="Body"/>
      </w:pPr>
      <w:r>
        <w:t>Few difference</w:t>
      </w:r>
      <w:r w:rsidR="00E922E2">
        <w:t>s</w:t>
      </w:r>
      <w:r>
        <w:t xml:space="preserve"> were observed between workers with different </w:t>
      </w:r>
      <w:r w:rsidR="0025300B">
        <w:t>injury/illness</w:t>
      </w:r>
      <w:r>
        <w:t xml:space="preserve"> types. The only significant difference being a highe</w:t>
      </w:r>
      <w:r w:rsidR="00E06325">
        <w:t>r proportion (49.7</w:t>
      </w:r>
      <w:r>
        <w:t>%) of those who experienced other trauma, returning to perform the same duties as at the time of their injury/illness. This group were also more likely to have returned to the same hours</w:t>
      </w:r>
      <w:r w:rsidR="00172B20">
        <w:t>.</w:t>
      </w:r>
      <w:r w:rsidR="00175732">
        <w:t xml:space="preserve"> No significant differences were reported by employer size, however workers from medium sized organisations appeared more likely to perform different duties upon their return to work.</w:t>
      </w:r>
    </w:p>
    <w:p w14:paraId="1BFBA2D8" w14:textId="4EDD5FCD" w:rsidR="00142472" w:rsidRDefault="00142472" w:rsidP="00D0461D">
      <w:pPr>
        <w:pStyle w:val="Caption"/>
      </w:pPr>
      <w:bookmarkStart w:id="78" w:name="_Toc528056581"/>
      <w:r>
        <w:t xml:space="preserve">Figure </w:t>
      </w:r>
      <w:r w:rsidR="006A2841">
        <w:rPr>
          <w:noProof/>
        </w:rPr>
        <w:fldChar w:fldCharType="begin"/>
      </w:r>
      <w:r w:rsidR="006A2841">
        <w:rPr>
          <w:noProof/>
        </w:rPr>
        <w:instrText xml:space="preserve"> SEQ Figure \* ARABIC </w:instrText>
      </w:r>
      <w:r w:rsidR="006A2841">
        <w:rPr>
          <w:noProof/>
        </w:rPr>
        <w:fldChar w:fldCharType="separate"/>
      </w:r>
      <w:r w:rsidR="00B9340A">
        <w:rPr>
          <w:noProof/>
        </w:rPr>
        <w:t>14</w:t>
      </w:r>
      <w:r w:rsidR="006A2841">
        <w:rPr>
          <w:noProof/>
        </w:rPr>
        <w:fldChar w:fldCharType="end"/>
      </w:r>
      <w:r>
        <w:tab/>
        <w:t xml:space="preserve">Duties upon returning to work, </w:t>
      </w:r>
      <w:r w:rsidR="004D4F1C">
        <w:t>b</w:t>
      </w:r>
      <w:r>
        <w:t xml:space="preserve">y </w:t>
      </w:r>
      <w:r w:rsidR="004D4F1C">
        <w:t>j</w:t>
      </w:r>
      <w:r>
        <w:t>urisdiction</w:t>
      </w:r>
      <w:r w:rsidR="0008229C">
        <w:t xml:space="preserve">, </w:t>
      </w:r>
      <w:r w:rsidR="0025300B">
        <w:t>injury/illness</w:t>
      </w:r>
      <w:r>
        <w:t xml:space="preserve"> </w:t>
      </w:r>
      <w:r w:rsidR="004D4F1C">
        <w:t>t</w:t>
      </w:r>
      <w:r>
        <w:t>ype</w:t>
      </w:r>
      <w:r w:rsidR="0008229C">
        <w:t xml:space="preserve"> and employer size</w:t>
      </w:r>
      <w:bookmarkEnd w:id="78"/>
    </w:p>
    <w:p w14:paraId="309A21A8" w14:textId="4186F3AD" w:rsidR="00142472" w:rsidRPr="00142472" w:rsidRDefault="000C0B90" w:rsidP="00142472">
      <w:pPr>
        <w:pStyle w:val="Body"/>
      </w:pPr>
      <w:r>
        <w:rPr>
          <w:noProof/>
          <w:color w:val="FF0000"/>
          <w:lang w:eastAsia="en-AU"/>
        </w:rPr>
        <w:drawing>
          <wp:inline distT="0" distB="0" distL="0" distR="0" wp14:anchorId="2198FD87" wp14:editId="4DD50A6E">
            <wp:extent cx="5759450" cy="4499610"/>
            <wp:effectExtent l="0" t="0" r="12700" b="15240"/>
            <wp:docPr id="216" name="Chart 216" descr="This chart presents the duties upon of respondents on returning to work by jursidiction, injury/illness types and employer size. The categories are the same duties, modified/light duties and different duties. The findings are dicussed in the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051BFB9" w14:textId="7B216DC1" w:rsidR="00142472" w:rsidRPr="00D17E58" w:rsidRDefault="00142472" w:rsidP="00011EAE">
      <w:pPr>
        <w:pStyle w:val="FigureNote"/>
      </w:pPr>
      <w:r>
        <w:t>Base</w:t>
      </w:r>
      <w:r w:rsidR="00885BFA">
        <w:t>:</w:t>
      </w:r>
      <w:r>
        <w:tab/>
        <w:t xml:space="preserve">Respondents who reported they had returned to work at some stage, </w:t>
      </w:r>
      <w:r w:rsidR="00E92B2B">
        <w:t>2018</w:t>
      </w:r>
      <w:r>
        <w:t>.</w:t>
      </w:r>
      <w:r w:rsidR="00885BFA">
        <w:t xml:space="preserve"> Don’t know and Refused responses excluded from base. </w:t>
      </w:r>
      <w:r>
        <w:t>Total (</w:t>
      </w:r>
      <w:r w:rsidR="00885BFA">
        <w:t>n=</w:t>
      </w:r>
      <w:r>
        <w:t>4,128), ACT (</w:t>
      </w:r>
      <w:r w:rsidR="00885BFA">
        <w:t>n=</w:t>
      </w:r>
      <w:r>
        <w:t>1</w:t>
      </w:r>
      <w:r w:rsidR="001B68DC">
        <w:t>40</w:t>
      </w:r>
      <w:r>
        <w:t>), Comcare (</w:t>
      </w:r>
      <w:r w:rsidR="00885BFA">
        <w:t>n=</w:t>
      </w:r>
      <w:r>
        <w:t>717), NSW (</w:t>
      </w:r>
      <w:r w:rsidR="00885BFA">
        <w:t>n=</w:t>
      </w:r>
      <w:r>
        <w:t>7</w:t>
      </w:r>
      <w:r w:rsidR="001B68DC">
        <w:t>81</w:t>
      </w:r>
      <w:r>
        <w:t>), NT (</w:t>
      </w:r>
      <w:r w:rsidR="00885BFA">
        <w:t>n=</w:t>
      </w:r>
      <w:r>
        <w:t>12</w:t>
      </w:r>
      <w:r w:rsidR="001B68DC">
        <w:t>8</w:t>
      </w:r>
      <w:r>
        <w:t xml:space="preserve">), </w:t>
      </w:r>
      <w:r w:rsidR="008E2E1A">
        <w:t xml:space="preserve">QLD </w:t>
      </w:r>
      <w:r>
        <w:t>(</w:t>
      </w:r>
      <w:r w:rsidR="00885BFA">
        <w:t>n=</w:t>
      </w:r>
      <w:r w:rsidR="001B68DC">
        <w:t>705</w:t>
      </w:r>
      <w:r>
        <w:t>), Seacare (</w:t>
      </w:r>
      <w:r w:rsidR="00885BFA">
        <w:t>n=</w:t>
      </w:r>
      <w:r>
        <w:t>4</w:t>
      </w:r>
      <w:r w:rsidR="001B68DC">
        <w:t>6</w:t>
      </w:r>
      <w:r>
        <w:t xml:space="preserve">), </w:t>
      </w:r>
      <w:r w:rsidR="008E2E1A">
        <w:t xml:space="preserve">TAS </w:t>
      </w:r>
      <w:r>
        <w:t>(</w:t>
      </w:r>
      <w:r w:rsidR="00885BFA">
        <w:t>n=</w:t>
      </w:r>
      <w:r>
        <w:t>44</w:t>
      </w:r>
      <w:r w:rsidR="001B68DC">
        <w:t>0</w:t>
      </w:r>
      <w:r>
        <w:t>), WA (</w:t>
      </w:r>
      <w:r w:rsidR="00885BFA">
        <w:t>n=</w:t>
      </w:r>
      <w:r>
        <w:t>45</w:t>
      </w:r>
      <w:r w:rsidR="001B68DC">
        <w:t>6</w:t>
      </w:r>
      <w:r>
        <w:t>), V</w:t>
      </w:r>
      <w:r w:rsidR="005B3A7F">
        <w:t>IC</w:t>
      </w:r>
      <w:r>
        <w:t xml:space="preserve"> (</w:t>
      </w:r>
      <w:r w:rsidR="00885BFA">
        <w:t>n=</w:t>
      </w:r>
      <w:r>
        <w:t>715). Fractures (</w:t>
      </w:r>
      <w:r w:rsidR="00885BFA">
        <w:t>n=</w:t>
      </w:r>
      <w:r>
        <w:t>56</w:t>
      </w:r>
      <w:r w:rsidR="001B68DC">
        <w:t>6</w:t>
      </w:r>
      <w:r>
        <w:t>), Musculoskeletal Disorders (</w:t>
      </w:r>
      <w:r w:rsidR="00885BFA">
        <w:t>n=</w:t>
      </w:r>
      <w:r>
        <w:t>2,4</w:t>
      </w:r>
      <w:r w:rsidR="001B68DC">
        <w:t>24</w:t>
      </w:r>
      <w:r>
        <w:t>), Other Trauma (</w:t>
      </w:r>
      <w:r w:rsidR="00885BFA">
        <w:t>n=</w:t>
      </w:r>
      <w:r>
        <w:t>7</w:t>
      </w:r>
      <w:r w:rsidR="001B68DC">
        <w:t>3</w:t>
      </w:r>
      <w:r>
        <w:t>2), Mental Illness (</w:t>
      </w:r>
      <w:r w:rsidR="00885BFA">
        <w:t>n=</w:t>
      </w:r>
      <w:r>
        <w:t>20</w:t>
      </w:r>
      <w:r w:rsidR="001B68DC">
        <w:t>9</w:t>
      </w:r>
      <w:r>
        <w:t>), Other Diseases (</w:t>
      </w:r>
      <w:r w:rsidR="00885BFA">
        <w:t>n=</w:t>
      </w:r>
      <w:r>
        <w:t>19</w:t>
      </w:r>
      <w:r w:rsidR="001B68DC">
        <w:t>7</w:t>
      </w:r>
      <w:r>
        <w:t>)</w:t>
      </w:r>
      <w:r w:rsidR="0008229C">
        <w:t>, Small (Less than $1m) (n=760), Medium (Between $1m and less than $20m) (n=1,139), Large ($20m or more) (n=1,173)</w:t>
      </w:r>
      <w:r>
        <w:t>.</w:t>
      </w:r>
    </w:p>
    <w:p w14:paraId="4B34F85E" w14:textId="7B44F536" w:rsidR="00142472" w:rsidRDefault="001B68DC" w:rsidP="00011EAE">
      <w:pPr>
        <w:pStyle w:val="FigureNote"/>
      </w:pPr>
      <w:r>
        <w:t>RTW7</w:t>
      </w:r>
      <w:r w:rsidR="00142472" w:rsidRPr="00D17E58">
        <w:tab/>
      </w:r>
      <w:r w:rsidRPr="001B68DC">
        <w:t>Were the duties you returned to the same</w:t>
      </w:r>
      <w:r w:rsidR="00142472" w:rsidRPr="00D17E58">
        <w:t>?</w:t>
      </w:r>
    </w:p>
    <w:p w14:paraId="1F2233A3" w14:textId="3ABEB1D2" w:rsidR="00142472" w:rsidRPr="00142472" w:rsidRDefault="00142472" w:rsidP="00011EAE">
      <w:pPr>
        <w:pStyle w:val="FigureNote"/>
      </w:pPr>
      <w:r>
        <w:t>Note</w:t>
      </w:r>
      <w:r w:rsidR="00885BFA">
        <w:t>:</w:t>
      </w:r>
      <w:r>
        <w:tab/>
      </w:r>
      <w:r w:rsidR="000C0B90" w:rsidRPr="000C0B90">
        <w:t>Don’t know and Refused responses excluded from base. Asterisks indicate statistically significant difference (single asterisk (*) indicates a lower proportion; double asterisk (**) indicates a higher proportion) (p-value &lt;=0.05).</w:t>
      </w:r>
    </w:p>
    <w:p w14:paraId="5FF43692" w14:textId="1915CD64" w:rsidR="00CD39CA" w:rsidRDefault="00CD39CA" w:rsidP="00CD39CA">
      <w:pPr>
        <w:pStyle w:val="Heading1"/>
      </w:pPr>
      <w:bookmarkStart w:id="79" w:name="_Toc528056027"/>
      <w:r>
        <w:lastRenderedPageBreak/>
        <w:t>Personal Domain Measures</w:t>
      </w:r>
      <w:bookmarkEnd w:id="79"/>
    </w:p>
    <w:p w14:paraId="795851A1" w14:textId="4DB89B52" w:rsidR="003B6788" w:rsidRDefault="00960E84" w:rsidP="003B6788">
      <w:pPr>
        <w:pStyle w:val="Body"/>
      </w:pPr>
      <w:r>
        <w:t xml:space="preserve">The personal domain </w:t>
      </w:r>
      <w:r w:rsidRPr="00960E84">
        <w:t>encompasses biological characteristics, psychologica</w:t>
      </w:r>
      <w:r w:rsidR="006D4A1B">
        <w:t xml:space="preserve">l and behavioural factors, and </w:t>
      </w:r>
      <w:r w:rsidRPr="00960E84">
        <w:t>social relationships</w:t>
      </w:r>
      <w:r>
        <w:t xml:space="preserve">. </w:t>
      </w:r>
      <w:r w:rsidR="00792EB5" w:rsidRPr="000F25C9">
        <w:t xml:space="preserve">This section </w:t>
      </w:r>
      <w:r w:rsidR="00792EB5">
        <w:t xml:space="preserve">looks at </w:t>
      </w:r>
      <w:r w:rsidR="00792EB5" w:rsidRPr="000F25C9">
        <w:t>respondents’ perceptions of their overall level of health</w:t>
      </w:r>
      <w:r w:rsidR="00792EB5">
        <w:t>, across physical</w:t>
      </w:r>
      <w:r w:rsidR="002A37D3">
        <w:t xml:space="preserve">, </w:t>
      </w:r>
      <w:r w:rsidR="00792EB5">
        <w:t xml:space="preserve">affective </w:t>
      </w:r>
      <w:r w:rsidR="0064079F">
        <w:t xml:space="preserve">and financial </w:t>
      </w:r>
      <w:r w:rsidR="00792EB5">
        <w:t>dimensions</w:t>
      </w:r>
      <w:r w:rsidR="00792EB5" w:rsidRPr="000F25C9">
        <w:t>.</w:t>
      </w:r>
    </w:p>
    <w:p w14:paraId="751F50E1" w14:textId="6CE67CF5" w:rsidR="004046A8" w:rsidRDefault="00092C0D" w:rsidP="004046A8">
      <w:pPr>
        <w:pStyle w:val="Body"/>
      </w:pPr>
      <w:r>
        <w:t xml:space="preserve">Personal domain </w:t>
      </w:r>
      <w:r w:rsidR="004046A8">
        <w:t xml:space="preserve">questions were </w:t>
      </w:r>
      <w:r>
        <w:t>deliberately positioned t</w:t>
      </w:r>
      <w:r w:rsidR="004046A8">
        <w:t xml:space="preserve">owards the end of the survey given their potentially sensitive nature. </w:t>
      </w:r>
      <w:r w:rsidR="00BB3F94">
        <w:t>During the survey</w:t>
      </w:r>
      <w:r w:rsidR="001D5FF1">
        <w:t>,</w:t>
      </w:r>
      <w:r w:rsidR="00BB3F94">
        <w:t xml:space="preserve"> r</w:t>
      </w:r>
      <w:r w:rsidR="004046A8">
        <w:t xml:space="preserve">espondents were </w:t>
      </w:r>
      <w:r>
        <w:t xml:space="preserve">reminded that </w:t>
      </w:r>
      <w:r w:rsidR="00BB3F94">
        <w:t xml:space="preserve">if they felt uncomfortable with any question </w:t>
      </w:r>
      <w:r>
        <w:t xml:space="preserve">they </w:t>
      </w:r>
      <w:r w:rsidR="004046A8">
        <w:t>were able to skip without answering. Despite this</w:t>
      </w:r>
      <w:r w:rsidR="00BB3F94">
        <w:t xml:space="preserve"> precaution</w:t>
      </w:r>
      <w:r w:rsidR="00E06325">
        <w:t>,</w:t>
      </w:r>
      <w:r w:rsidR="00BB3F94">
        <w:t xml:space="preserve"> the</w:t>
      </w:r>
      <w:r w:rsidR="00626857">
        <w:t> </w:t>
      </w:r>
      <w:r w:rsidR="004046A8">
        <w:t>majority of respondents</w:t>
      </w:r>
      <w:r w:rsidR="00BB3F94">
        <w:t xml:space="preserve"> provided responses to all personal domain measures </w:t>
      </w:r>
      <w:r w:rsidR="004046A8">
        <w:t xml:space="preserve">with the refusal rate </w:t>
      </w:r>
      <w:r w:rsidR="006D4A1B">
        <w:t xml:space="preserve">being below three percent </w:t>
      </w:r>
      <w:r w:rsidR="004046A8">
        <w:t>for all items.</w:t>
      </w:r>
    </w:p>
    <w:p w14:paraId="4D6ECF5C" w14:textId="77777777" w:rsidR="004046A8" w:rsidRDefault="004046A8" w:rsidP="00FA7A15">
      <w:pPr>
        <w:pStyle w:val="Heading2"/>
      </w:pPr>
      <w:bookmarkStart w:id="80" w:name="_Toc523486354"/>
      <w:bookmarkStart w:id="81" w:name="_Toc528056028"/>
      <w:r>
        <w:t>General health</w:t>
      </w:r>
      <w:bookmarkEnd w:id="80"/>
      <w:bookmarkEnd w:id="81"/>
    </w:p>
    <w:p w14:paraId="3500DEE8" w14:textId="51383150" w:rsidR="006C5C2A" w:rsidRDefault="006C5C2A" w:rsidP="004046A8">
      <w:pPr>
        <w:pStyle w:val="Body"/>
      </w:pPr>
      <w:r>
        <w:t>All respondents were asked a series of questions to understand their health status including questions about general health, comorbidity</w:t>
      </w:r>
      <w:r w:rsidR="00E922E2">
        <w:t>,</w:t>
      </w:r>
      <w:r>
        <w:t xml:space="preserve"> and intensity and length of pain. </w:t>
      </w:r>
    </w:p>
    <w:p w14:paraId="727C2903" w14:textId="2EED9448" w:rsidR="004046A8" w:rsidRDefault="004046A8" w:rsidP="004046A8">
      <w:pPr>
        <w:pStyle w:val="Body"/>
      </w:pPr>
      <w:r>
        <w:t>Of those workers who felt able to rate their level of health</w:t>
      </w:r>
      <w:r w:rsidR="000373BE">
        <w:t xml:space="preserve"> at the time of the survey,</w:t>
      </w:r>
      <w:r w:rsidR="00086FE5">
        <w:t xml:space="preserve"> most reported a positive rating – 32.0% ‘Good’, 23.6% ‘Very Good’ and 14.3% ‘E</w:t>
      </w:r>
      <w:r w:rsidR="002E3D44">
        <w:t>xcellent’</w:t>
      </w:r>
      <w:r w:rsidR="00E922E2">
        <w:t>.</w:t>
      </w:r>
      <w:r w:rsidR="002E3D44">
        <w:t xml:space="preserve"> </w:t>
      </w:r>
      <w:r w:rsidR="00086FE5">
        <w:t>However, results were less positive than in 2016, with a significantly higher proportion rating their general health as ‘Fair’ (20.4%, compared to 13.5% in 2016)</w:t>
      </w:r>
      <w:r>
        <w:t>.</w:t>
      </w:r>
    </w:p>
    <w:p w14:paraId="203E432A" w14:textId="4216052A" w:rsidR="004046A8" w:rsidRDefault="009851F6" w:rsidP="00D0461D">
      <w:pPr>
        <w:pStyle w:val="Caption"/>
      </w:pPr>
      <w:bookmarkStart w:id="82" w:name="_Toc523486367"/>
      <w:bookmarkStart w:id="83" w:name="_Toc528056582"/>
      <w:r>
        <w:t xml:space="preserve">Figure </w:t>
      </w:r>
      <w:r w:rsidR="006A2841">
        <w:rPr>
          <w:noProof/>
        </w:rPr>
        <w:fldChar w:fldCharType="begin"/>
      </w:r>
      <w:r w:rsidR="006A2841">
        <w:rPr>
          <w:noProof/>
        </w:rPr>
        <w:instrText xml:space="preserve"> SEQ Figure \* ARABIC </w:instrText>
      </w:r>
      <w:r w:rsidR="006A2841">
        <w:rPr>
          <w:noProof/>
        </w:rPr>
        <w:fldChar w:fldCharType="separate"/>
      </w:r>
      <w:r w:rsidR="00B9340A">
        <w:rPr>
          <w:noProof/>
        </w:rPr>
        <w:t>15</w:t>
      </w:r>
      <w:r w:rsidR="006A2841">
        <w:rPr>
          <w:noProof/>
        </w:rPr>
        <w:fldChar w:fldCharType="end"/>
      </w:r>
      <w:r w:rsidR="004046A8">
        <w:tab/>
        <w:t xml:space="preserve">General </w:t>
      </w:r>
      <w:r w:rsidR="004D4F1C">
        <w:t>h</w:t>
      </w:r>
      <w:r w:rsidR="004046A8">
        <w:t xml:space="preserve">ealth by </w:t>
      </w:r>
      <w:r w:rsidR="004D4F1C">
        <w:t>t</w:t>
      </w:r>
      <w:r w:rsidR="00AF778A">
        <w:t>ime</w:t>
      </w:r>
      <w:r w:rsidR="004D4F1C">
        <w:t xml:space="preserve"> </w:t>
      </w:r>
      <w:r w:rsidR="00AF778A">
        <w:t>series</w:t>
      </w:r>
      <w:r w:rsidR="004046A8">
        <w:t xml:space="preserve"> (%)</w:t>
      </w:r>
      <w:bookmarkEnd w:id="82"/>
      <w:bookmarkEnd w:id="83"/>
      <w:r w:rsidR="004046A8">
        <w:tab/>
      </w:r>
    </w:p>
    <w:p w14:paraId="4EF0860C" w14:textId="4EE9536B" w:rsidR="00C56135" w:rsidRPr="00C56135" w:rsidRDefault="00032C63" w:rsidP="00C56135">
      <w:pPr>
        <w:pStyle w:val="Body"/>
      </w:pPr>
      <w:r>
        <w:rPr>
          <w:noProof/>
          <w:lang w:eastAsia="en-AU"/>
        </w:rPr>
        <w:drawing>
          <wp:inline distT="0" distB="0" distL="0" distR="0" wp14:anchorId="68321300" wp14:editId="3641BC04">
            <wp:extent cx="5760000" cy="2340000"/>
            <wp:effectExtent l="0" t="0" r="12700" b="3175"/>
            <wp:docPr id="21" name="Chart 21" descr="This chart presents a time series of reports of general health. Categories are excellent, very good, good, fair and poor. Findings are discussed in the text above.">
              <a:extLst xmlns:a="http://schemas.openxmlformats.org/drawingml/2006/main">
                <a:ext uri="{FF2B5EF4-FFF2-40B4-BE49-F238E27FC236}">
                  <a16:creationId xmlns:a16="http://schemas.microsoft.com/office/drawing/2014/main" id="{CADD3F58-2F2E-4CB5-94BE-E62101CF53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A7A65A4" w14:textId="6BCB5D69" w:rsidR="00D2691E" w:rsidRPr="00D17E58" w:rsidRDefault="004046A8" w:rsidP="00C81D54">
      <w:pPr>
        <w:pStyle w:val="FigureNote"/>
      </w:pPr>
      <w:r>
        <w:t>Base</w:t>
      </w:r>
      <w:r>
        <w:tab/>
      </w:r>
      <w:r w:rsidR="00A7470B">
        <w:t xml:space="preserve">All respondents, </w:t>
      </w:r>
      <w:r w:rsidR="00D2691E">
        <w:t>2013</w:t>
      </w:r>
      <w:r w:rsidR="00C81D54">
        <w:t xml:space="preserve"> </w:t>
      </w:r>
      <w:r w:rsidR="009329F1">
        <w:t>(n</w:t>
      </w:r>
      <w:r w:rsidR="00D2691E">
        <w:t>=4,6</w:t>
      </w:r>
      <w:r w:rsidR="00D16DA3">
        <w:t>6</w:t>
      </w:r>
      <w:r w:rsidR="00D2691E">
        <w:t>8</w:t>
      </w:r>
      <w:r w:rsidR="009329F1">
        <w:t>)</w:t>
      </w:r>
      <w:r w:rsidR="00D2691E">
        <w:t xml:space="preserve">, 2014 </w:t>
      </w:r>
      <w:r w:rsidR="009329F1">
        <w:t>(n</w:t>
      </w:r>
      <w:r w:rsidR="00D2691E">
        <w:t>=4,6</w:t>
      </w:r>
      <w:r w:rsidR="00D16DA3">
        <w:t>4</w:t>
      </w:r>
      <w:r w:rsidR="00D2691E">
        <w:t>9</w:t>
      </w:r>
      <w:r w:rsidR="009329F1">
        <w:t>)</w:t>
      </w:r>
      <w:r w:rsidR="00092C0D">
        <w:t xml:space="preserve">, </w:t>
      </w:r>
      <w:r w:rsidR="00D2691E">
        <w:t>2016</w:t>
      </w:r>
      <w:r w:rsidR="00092C0D">
        <w:t xml:space="preserve"> </w:t>
      </w:r>
      <w:r w:rsidR="009329F1">
        <w:t>(n</w:t>
      </w:r>
      <w:r w:rsidR="00D2691E">
        <w:t>=5,</w:t>
      </w:r>
      <w:r w:rsidR="00D16DA3">
        <w:t>08</w:t>
      </w:r>
      <w:r w:rsidR="00D2691E">
        <w:t>4</w:t>
      </w:r>
      <w:r w:rsidR="009329F1">
        <w:t>)</w:t>
      </w:r>
      <w:r w:rsidR="00D2691E">
        <w:t xml:space="preserve">, 2016 </w:t>
      </w:r>
      <w:r w:rsidR="009329F1">
        <w:t>(n</w:t>
      </w:r>
      <w:r w:rsidR="00092C0D">
        <w:t>=4,</w:t>
      </w:r>
      <w:r w:rsidR="00E44830">
        <w:t>565</w:t>
      </w:r>
      <w:r w:rsidR="009329F1">
        <w:t>)</w:t>
      </w:r>
      <w:r w:rsidR="00D2691E">
        <w:t xml:space="preserve">. </w:t>
      </w:r>
    </w:p>
    <w:p w14:paraId="53CF75A6" w14:textId="77777777" w:rsidR="009329F1" w:rsidRDefault="004046A8" w:rsidP="00C81D54">
      <w:pPr>
        <w:pStyle w:val="FigureNote"/>
      </w:pPr>
      <w:r w:rsidRPr="00D17E58">
        <w:t>PP1</w:t>
      </w:r>
      <w:r w:rsidRPr="00D17E58">
        <w:tab/>
        <w:t>In gene</w:t>
      </w:r>
      <w:r w:rsidR="00E06325">
        <w:t>ral, would you say your health now</w:t>
      </w:r>
      <w:r w:rsidRPr="00D17E58">
        <w:t xml:space="preserve"> is…poor, fair, good, very good or excellent?</w:t>
      </w:r>
      <w:r w:rsidR="00762D91">
        <w:t xml:space="preserve"> </w:t>
      </w:r>
    </w:p>
    <w:p w14:paraId="7568FDE1" w14:textId="6D113A12" w:rsidR="009329F1" w:rsidRPr="00887D32" w:rsidRDefault="00742EE9" w:rsidP="00C81D54">
      <w:pPr>
        <w:spacing w:before="60"/>
        <w:ind w:left="720" w:hanging="720"/>
        <w:rPr>
          <w:sz w:val="16"/>
          <w:szCs w:val="16"/>
        </w:rPr>
      </w:pPr>
      <w:r>
        <w:rPr>
          <w:sz w:val="16"/>
        </w:rPr>
        <w:t>Note:</w:t>
      </w:r>
      <w:r>
        <w:rPr>
          <w:sz w:val="16"/>
        </w:rPr>
        <w:tab/>
      </w:r>
      <w:r w:rsidR="00A7470B" w:rsidRPr="00A7470B">
        <w:rPr>
          <w:sz w:val="16"/>
        </w:rPr>
        <w:t>Don’t know and refused excluded from base for analysis</w:t>
      </w:r>
      <w:r w:rsidR="00A7470B">
        <w:rPr>
          <w:sz w:val="16"/>
        </w:rPr>
        <w:t>.</w:t>
      </w:r>
      <w:r w:rsidR="00A7470B" w:rsidRPr="00A7470B">
        <w:rPr>
          <w:sz w:val="16"/>
        </w:rPr>
        <w:t xml:space="preserve"> </w:t>
      </w:r>
      <w:r w:rsidR="009329F1" w:rsidRPr="00887D32">
        <w:rPr>
          <w:sz w:val="16"/>
          <w:szCs w:val="16"/>
        </w:rPr>
        <w:t xml:space="preserve">Asterisks indicate statistically significant </w:t>
      </w:r>
      <w:r w:rsidR="009329F1" w:rsidRPr="00611565">
        <w:rPr>
          <w:sz w:val="16"/>
          <w:szCs w:val="16"/>
        </w:rPr>
        <w:t>difference</w:t>
      </w:r>
      <w:r w:rsidR="006C4EDE">
        <w:rPr>
          <w:sz w:val="16"/>
          <w:szCs w:val="16"/>
        </w:rPr>
        <w:t xml:space="preserve"> between sub-groups</w:t>
      </w:r>
      <w:r w:rsidR="009329F1" w:rsidRPr="00611565">
        <w:rPr>
          <w:sz w:val="16"/>
          <w:szCs w:val="16"/>
        </w:rPr>
        <w:t xml:space="preserve"> (single asterisk (*) indicates a lower proportion; double asterisk (**) indicates a higher p</w:t>
      </w:r>
      <w:r w:rsidR="009329F1" w:rsidRPr="00887D32">
        <w:rPr>
          <w:sz w:val="16"/>
          <w:szCs w:val="16"/>
        </w:rPr>
        <w:t>roportion</w:t>
      </w:r>
      <w:r w:rsidR="00C81D54">
        <w:rPr>
          <w:sz w:val="16"/>
          <w:szCs w:val="16"/>
        </w:rPr>
        <w:t>)</w:t>
      </w:r>
      <w:r w:rsidR="003E25AE">
        <w:rPr>
          <w:sz w:val="16"/>
          <w:szCs w:val="16"/>
        </w:rPr>
        <w:t xml:space="preserve"> </w:t>
      </w:r>
      <w:r w:rsidR="003E25AE" w:rsidRPr="003E25AE">
        <w:rPr>
          <w:sz w:val="16"/>
          <w:szCs w:val="16"/>
        </w:rPr>
        <w:t>(p-value &lt;=0.05).</w:t>
      </w:r>
    </w:p>
    <w:p w14:paraId="786329E7" w14:textId="6B5E5A35" w:rsidR="008D2409" w:rsidRDefault="00C2129F" w:rsidP="007F14A7">
      <w:pPr>
        <w:pStyle w:val="Body"/>
      </w:pPr>
      <w:r>
        <w:t xml:space="preserve">For comparison </w:t>
      </w:r>
      <w:r w:rsidR="00874A9E">
        <w:t>between sub-groups, Figure 16</w:t>
      </w:r>
      <w:r w:rsidR="001D5FF1">
        <w:t xml:space="preserve"> (overleaf)</w:t>
      </w:r>
      <w:r>
        <w:t xml:space="preserve"> shows the proportion who rated their general health as either </w:t>
      </w:r>
      <w:r w:rsidR="005320D2">
        <w:t>‘</w:t>
      </w:r>
      <w:r>
        <w:t>Very Good</w:t>
      </w:r>
      <w:r w:rsidR="005320D2">
        <w:t>’</w:t>
      </w:r>
      <w:r>
        <w:t xml:space="preserve"> or </w:t>
      </w:r>
      <w:r w:rsidR="005320D2">
        <w:t>‘</w:t>
      </w:r>
      <w:r>
        <w:t>Excellent</w:t>
      </w:r>
      <w:r w:rsidR="005320D2">
        <w:t>’</w:t>
      </w:r>
      <w:r>
        <w:t>.</w:t>
      </w:r>
      <w:r w:rsidR="007F14A7">
        <w:t xml:space="preserve"> Despite seemingly varied results, there were no statistically significant differences between jurisdictions. Some smaller jurisdictions, notably the Northern Territory (46.9%), Seacare (45.7%) and the ACT (42.6%) appeared to have higher proportions of workers whose self-reported general health rating was positive.</w:t>
      </w:r>
    </w:p>
    <w:p w14:paraId="648F90C0" w14:textId="1DB78B1B" w:rsidR="007F14A7" w:rsidRDefault="007F14A7" w:rsidP="007F14A7">
      <w:pPr>
        <w:pStyle w:val="Body"/>
      </w:pPr>
      <w:r>
        <w:t xml:space="preserve">Likewise there were apparent, but not statistically significant differences based on </w:t>
      </w:r>
      <w:r w:rsidR="0025300B">
        <w:t>injury/illness</w:t>
      </w:r>
      <w:r>
        <w:t xml:space="preserve"> type. Those who experienced fractures (43.3%) or other trauma (44.8%) reported higher ratings of </w:t>
      </w:r>
      <w:r w:rsidR="005320D2">
        <w:t>‘</w:t>
      </w:r>
      <w:r>
        <w:t>Excellent</w:t>
      </w:r>
      <w:r w:rsidR="005320D2">
        <w:t>’</w:t>
      </w:r>
      <w:r>
        <w:t xml:space="preserve"> or </w:t>
      </w:r>
      <w:r w:rsidR="005320D2">
        <w:t xml:space="preserve">‘Very Good’ </w:t>
      </w:r>
      <w:r>
        <w:t>general health, while those who experienced mental illness had the lowest rating at</w:t>
      </w:r>
      <w:r w:rsidR="00F27BDF">
        <w:t> </w:t>
      </w:r>
      <w:r>
        <w:t>27.0%.</w:t>
      </w:r>
    </w:p>
    <w:p w14:paraId="7A46E153" w14:textId="7C9D9602" w:rsidR="007F14A7" w:rsidRDefault="007F14A7" w:rsidP="007F14A7">
      <w:pPr>
        <w:pStyle w:val="Body"/>
      </w:pPr>
      <w:r>
        <w:lastRenderedPageBreak/>
        <w:t>A clear, statistically significant, difference in perceived general health was evident between workers who were currently working (42.1%) and those not working at the time of survey (16.9%). This</w:t>
      </w:r>
      <w:r w:rsidR="001D5FF1">
        <w:t> </w:t>
      </w:r>
      <w:r>
        <w:t>suggests</w:t>
      </w:r>
      <w:r w:rsidR="001D5FF1">
        <w:t xml:space="preserve"> </w:t>
      </w:r>
      <w:r>
        <w:t>perceived health and, by extension degree of recovery, is intrinsically linked to return to work outcomes.</w:t>
      </w:r>
    </w:p>
    <w:p w14:paraId="722EF6C6" w14:textId="2A8D0F01" w:rsidR="00C2129F" w:rsidRDefault="00C2129F" w:rsidP="00C2129F">
      <w:pPr>
        <w:pStyle w:val="Caption"/>
      </w:pPr>
      <w:bookmarkStart w:id="84" w:name="_Toc528056583"/>
      <w:r>
        <w:t xml:space="preserve">Figure </w:t>
      </w:r>
      <w:r w:rsidR="006F2BDD">
        <w:rPr>
          <w:noProof/>
        </w:rPr>
        <w:fldChar w:fldCharType="begin"/>
      </w:r>
      <w:r w:rsidR="006F2BDD">
        <w:rPr>
          <w:noProof/>
        </w:rPr>
        <w:instrText xml:space="preserve"> SEQ Figure \* ARABIC </w:instrText>
      </w:r>
      <w:r w:rsidR="006F2BDD">
        <w:rPr>
          <w:noProof/>
        </w:rPr>
        <w:fldChar w:fldCharType="separate"/>
      </w:r>
      <w:r w:rsidR="00B9340A">
        <w:rPr>
          <w:noProof/>
        </w:rPr>
        <w:t>16</w:t>
      </w:r>
      <w:r w:rsidR="006F2BDD">
        <w:rPr>
          <w:noProof/>
        </w:rPr>
        <w:fldChar w:fldCharType="end"/>
      </w:r>
      <w:r>
        <w:tab/>
        <w:t xml:space="preserve">General health rating, by jurisdiction, </w:t>
      </w:r>
      <w:r w:rsidR="0025300B">
        <w:t>injury/illness</w:t>
      </w:r>
      <w:r>
        <w:t xml:space="preserve"> type and work status – 2018 </w:t>
      </w:r>
      <w:r w:rsidR="008E6918">
        <w:t>(% </w:t>
      </w:r>
      <w:r>
        <w:t>Excellent / Very Good)</w:t>
      </w:r>
      <w:bookmarkEnd w:id="84"/>
    </w:p>
    <w:p w14:paraId="264905A9" w14:textId="494F2304" w:rsidR="00C2129F" w:rsidRPr="00C2129F" w:rsidRDefault="00C2129F" w:rsidP="00C2129F">
      <w:pPr>
        <w:pStyle w:val="Body"/>
      </w:pPr>
      <w:r>
        <w:rPr>
          <w:noProof/>
          <w:color w:val="FF0000"/>
          <w:lang w:eastAsia="en-AU"/>
        </w:rPr>
        <w:drawing>
          <wp:inline distT="0" distB="0" distL="0" distR="0" wp14:anchorId="7BFF2066" wp14:editId="1DE356E1">
            <wp:extent cx="5759450" cy="3959860"/>
            <wp:effectExtent l="0" t="0" r="12700" b="2540"/>
            <wp:docPr id="198" name="Chart 198" descr="This chart presents the percentage of respondents reporting excellent or very good health, by jursidiction, injury/illness types and work status. Findings are discussed in the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B2D9A18" w14:textId="641D16ED" w:rsidR="00D16DA3" w:rsidRPr="00D17E58" w:rsidRDefault="00D16DA3" w:rsidP="00E10103">
      <w:pPr>
        <w:pStyle w:val="FigureNote"/>
      </w:pPr>
      <w:r>
        <w:t>Base</w:t>
      </w:r>
      <w:r>
        <w:tab/>
        <w:t>All respondents, ACT (n=150</w:t>
      </w:r>
      <w:r w:rsidRPr="00D16DA3">
        <w:t>), Comcare (n=7</w:t>
      </w:r>
      <w:r>
        <w:t>64</w:t>
      </w:r>
      <w:r w:rsidRPr="00D16DA3">
        <w:t>), NSW (n=</w:t>
      </w:r>
      <w:r>
        <w:t>858</w:t>
      </w:r>
      <w:r w:rsidRPr="00D16DA3">
        <w:t>), NT (n=14</w:t>
      </w:r>
      <w:r>
        <w:t>5), QLD (n=</w:t>
      </w:r>
      <w:r w:rsidRPr="00D16DA3">
        <w:t>8</w:t>
      </w:r>
      <w:r>
        <w:t>02</w:t>
      </w:r>
      <w:r w:rsidRPr="00D16DA3">
        <w:t>), Seacare (n=5</w:t>
      </w:r>
      <w:r>
        <w:t>8</w:t>
      </w:r>
      <w:r w:rsidRPr="00D16DA3">
        <w:t>), TAS (n=</w:t>
      </w:r>
      <w:r>
        <w:t>480</w:t>
      </w:r>
      <w:r w:rsidRPr="00D16DA3">
        <w:t>), WA (n=5</w:t>
      </w:r>
      <w:r>
        <w:t>10</w:t>
      </w:r>
      <w:r w:rsidRPr="00D16DA3">
        <w:t>), VIC (n=7</w:t>
      </w:r>
      <w:r>
        <w:t>9</w:t>
      </w:r>
      <w:r w:rsidRPr="00D16DA3">
        <w:t>8</w:t>
      </w:r>
      <w:r>
        <w:t>). Fractures (n=622</w:t>
      </w:r>
      <w:r w:rsidRPr="00D16DA3">
        <w:t>), Musculoskeletal Disorders (n=2,</w:t>
      </w:r>
      <w:r>
        <w:t>664</w:t>
      </w:r>
      <w:r w:rsidRPr="00D16DA3">
        <w:t>), Other Trauma (n=</w:t>
      </w:r>
      <w:r>
        <w:t>784</w:t>
      </w:r>
      <w:r w:rsidRPr="00D16DA3">
        <w:t>), Mental Illness (n=2</w:t>
      </w:r>
      <w:r>
        <w:t>78</w:t>
      </w:r>
      <w:r w:rsidRPr="00D16DA3">
        <w:t>), Other Diseases (n=21</w:t>
      </w:r>
      <w:r>
        <w:t>7), Currently working (n=3,667</w:t>
      </w:r>
      <w:r w:rsidRPr="00D16DA3">
        <w:t>), Not working (n=8</w:t>
      </w:r>
      <w:r>
        <w:t xml:space="preserve">86). </w:t>
      </w:r>
    </w:p>
    <w:p w14:paraId="2F7D6323" w14:textId="77777777" w:rsidR="00D16DA3" w:rsidRDefault="00D16DA3" w:rsidP="00E10103">
      <w:pPr>
        <w:pStyle w:val="FigureNote"/>
      </w:pPr>
      <w:r w:rsidRPr="00D17E58">
        <w:t>PP1</w:t>
      </w:r>
      <w:r w:rsidRPr="00D17E58">
        <w:tab/>
        <w:t>In gene</w:t>
      </w:r>
      <w:r>
        <w:t>ral, would you say your health now</w:t>
      </w:r>
      <w:r w:rsidRPr="00D17E58">
        <w:t xml:space="preserve"> is…poor, fair, good, very good or excellent?</w:t>
      </w:r>
      <w:r>
        <w:t xml:space="preserve"> </w:t>
      </w:r>
    </w:p>
    <w:p w14:paraId="7850F613" w14:textId="0CF30DEC" w:rsidR="00D16DA3" w:rsidRPr="00887D32" w:rsidRDefault="00D16DA3" w:rsidP="00011EAE">
      <w:pPr>
        <w:pStyle w:val="FigureNote"/>
        <w:rPr>
          <w:szCs w:val="16"/>
        </w:rPr>
      </w:pPr>
      <w:r>
        <w:t>Note:</w:t>
      </w:r>
      <w:r>
        <w:tab/>
      </w:r>
      <w:r w:rsidR="00E10103" w:rsidRPr="00E10103">
        <w:t>Don’t know and Refused responses excluded from base. Asterisks indicate statistically significant difference (single asterisk (*) indicates a lower proportion; double asterisk (**) indicates a higher proportion) (p-value &lt;=0.05).</w:t>
      </w:r>
    </w:p>
    <w:p w14:paraId="1925F683" w14:textId="77777777" w:rsidR="004046A8" w:rsidRDefault="004046A8" w:rsidP="00FA7A15">
      <w:pPr>
        <w:pStyle w:val="Heading2"/>
      </w:pPr>
      <w:bookmarkStart w:id="85" w:name="_Toc523486355"/>
      <w:bookmarkStart w:id="86" w:name="_Toc528056029"/>
      <w:r>
        <w:t>Persistent pain</w:t>
      </w:r>
      <w:bookmarkEnd w:id="85"/>
      <w:bookmarkEnd w:id="86"/>
    </w:p>
    <w:p w14:paraId="09A796F6" w14:textId="6339B1AB" w:rsidR="001D0683" w:rsidRDefault="00255195" w:rsidP="004046A8">
      <w:pPr>
        <w:pStyle w:val="Body"/>
      </w:pPr>
      <w:r>
        <w:t xml:space="preserve">All </w:t>
      </w:r>
      <w:r w:rsidR="00960E84">
        <w:t>workers</w:t>
      </w:r>
      <w:r>
        <w:t xml:space="preserve"> were asked</w:t>
      </w:r>
      <w:r w:rsidR="00960E84">
        <w:t xml:space="preserve"> </w:t>
      </w:r>
      <w:r w:rsidR="00FE001D">
        <w:t xml:space="preserve">about </w:t>
      </w:r>
      <w:r w:rsidR="00960E84">
        <w:t xml:space="preserve">physical pain </w:t>
      </w:r>
      <w:r w:rsidR="00FE001D">
        <w:t>they might be experiencing</w:t>
      </w:r>
      <w:r>
        <w:t xml:space="preserve">. </w:t>
      </w:r>
      <w:r w:rsidR="001D0683">
        <w:t>Almost half (4</w:t>
      </w:r>
      <w:r w:rsidR="00FE001D">
        <w:t>7.8</w:t>
      </w:r>
      <w:r w:rsidR="001D0683">
        <w:t>%) reported tha</w:t>
      </w:r>
      <w:r w:rsidR="00CC7D73">
        <w:t>t they had experienced pain</w:t>
      </w:r>
      <w:r w:rsidR="00FE001D">
        <w:t xml:space="preserve"> in the last week, while the remaining 52.2% reported experiencing no physical pain</w:t>
      </w:r>
      <w:r w:rsidR="00CC7D73">
        <w:t>. Tho</w:t>
      </w:r>
      <w:r w:rsidR="001D0683">
        <w:t>se</w:t>
      </w:r>
      <w:r w:rsidR="00CC7D73">
        <w:t xml:space="preserve"> reporting to have experienced pain in the last week were </w:t>
      </w:r>
      <w:r w:rsidR="001D0683">
        <w:t xml:space="preserve">asked </w:t>
      </w:r>
      <w:r w:rsidR="00E96777">
        <w:t>t</w:t>
      </w:r>
      <w:r w:rsidR="00CC7D73">
        <w:t>o rate t</w:t>
      </w:r>
      <w:r w:rsidR="00E96777">
        <w:t>he severity of the pain</w:t>
      </w:r>
      <w:r w:rsidR="00CC7D73">
        <w:t xml:space="preserve"> </w:t>
      </w:r>
      <w:r w:rsidR="00E96777">
        <w:t xml:space="preserve">and </w:t>
      </w:r>
      <w:r w:rsidR="001D0683">
        <w:t>how long they</w:t>
      </w:r>
      <w:r w:rsidR="00CC7D73">
        <w:t xml:space="preserve"> have</w:t>
      </w:r>
      <w:r w:rsidR="001D0683">
        <w:t xml:space="preserve"> had their current pain problem.</w:t>
      </w:r>
    </w:p>
    <w:p w14:paraId="4EDADFDC" w14:textId="3C169584" w:rsidR="00FE001D" w:rsidRDefault="00FE001D" w:rsidP="004046A8">
      <w:pPr>
        <w:pStyle w:val="Body"/>
      </w:pPr>
      <w:r>
        <w:t>As shown in Figure 1</w:t>
      </w:r>
      <w:r w:rsidR="005320D2">
        <w:t>7</w:t>
      </w:r>
      <w:r w:rsidR="0031421F">
        <w:t xml:space="preserve"> (overleaf)</w:t>
      </w:r>
      <w:r>
        <w:t xml:space="preserve">, most of those who reported experiencing pain during the past week, had been suffering from this pain for a period of three months or more. </w:t>
      </w:r>
    </w:p>
    <w:p w14:paraId="35D5B364" w14:textId="77777777" w:rsidR="007F14A7" w:rsidRDefault="007F14A7">
      <w:pPr>
        <w:rPr>
          <w:rFonts w:eastAsia="Times New Roman" w:cs="Arial"/>
          <w:b/>
          <w:bCs/>
          <w:color w:val="1F688D"/>
          <w:szCs w:val="18"/>
        </w:rPr>
      </w:pPr>
      <w:r>
        <w:br w:type="page"/>
      </w:r>
    </w:p>
    <w:p w14:paraId="5A8AB57D" w14:textId="44A295AB" w:rsidR="00617B79" w:rsidRDefault="00617B79" w:rsidP="00D0461D">
      <w:pPr>
        <w:pStyle w:val="Caption"/>
      </w:pPr>
      <w:bookmarkStart w:id="87" w:name="_Toc528056584"/>
      <w:r>
        <w:lastRenderedPageBreak/>
        <w:t xml:space="preserve">Figure </w:t>
      </w:r>
      <w:r w:rsidR="006A2841">
        <w:rPr>
          <w:noProof/>
        </w:rPr>
        <w:fldChar w:fldCharType="begin"/>
      </w:r>
      <w:r w:rsidR="006A2841">
        <w:rPr>
          <w:noProof/>
        </w:rPr>
        <w:instrText xml:space="preserve"> SEQ Figure \* ARABIC </w:instrText>
      </w:r>
      <w:r w:rsidR="006A2841">
        <w:rPr>
          <w:noProof/>
        </w:rPr>
        <w:fldChar w:fldCharType="separate"/>
      </w:r>
      <w:r w:rsidR="00B9340A">
        <w:rPr>
          <w:noProof/>
        </w:rPr>
        <w:t>17</w:t>
      </w:r>
      <w:r w:rsidR="006A2841">
        <w:rPr>
          <w:noProof/>
        </w:rPr>
        <w:fldChar w:fldCharType="end"/>
      </w:r>
      <w:r>
        <w:tab/>
      </w:r>
      <w:r w:rsidR="00F11B10">
        <w:t xml:space="preserve">Length of </w:t>
      </w:r>
      <w:r w:rsidR="00FE001D">
        <w:t xml:space="preserve">current pain problem </w:t>
      </w:r>
      <w:r w:rsidR="00F11B10">
        <w:t>– 2018 (%)</w:t>
      </w:r>
      <w:bookmarkEnd w:id="87"/>
      <w:r w:rsidR="00F11B10">
        <w:t xml:space="preserve"> </w:t>
      </w:r>
    </w:p>
    <w:p w14:paraId="0BB83A7D" w14:textId="44D9A3C5" w:rsidR="00F11B10" w:rsidRDefault="00FE001D" w:rsidP="00F11B10">
      <w:pPr>
        <w:pStyle w:val="Body"/>
      </w:pPr>
      <w:r>
        <w:rPr>
          <w:noProof/>
          <w:lang w:eastAsia="en-AU"/>
        </w:rPr>
        <w:drawing>
          <wp:inline distT="0" distB="0" distL="0" distR="0" wp14:anchorId="6C6CA264" wp14:editId="15526F60">
            <wp:extent cx="5760000" cy="2160000"/>
            <wp:effectExtent l="0" t="0" r="12700" b="12065"/>
            <wp:docPr id="30" name="Chart 30" descr="This chart presntes the percentage of respondents reporting a pain problem by length of time experiencing the problem. The findings are discussed in the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A4E5524" w14:textId="71684944" w:rsidR="00F11B10" w:rsidRPr="00810D9B" w:rsidRDefault="00F11B10" w:rsidP="00011EAE">
      <w:pPr>
        <w:pStyle w:val="FigureNote"/>
      </w:pPr>
      <w:r w:rsidRPr="00810D9B">
        <w:t xml:space="preserve">Base: </w:t>
      </w:r>
      <w:r w:rsidRPr="00810D9B">
        <w:tab/>
        <w:t xml:space="preserve">All respondents </w:t>
      </w:r>
      <w:r w:rsidR="006B40BC">
        <w:rPr>
          <w:rFonts w:cs="Arial"/>
        </w:rPr>
        <w:t>(n=</w:t>
      </w:r>
      <w:r w:rsidRPr="00810D9B">
        <w:rPr>
          <w:rFonts w:cs="Arial"/>
        </w:rPr>
        <w:t>4,517)</w:t>
      </w:r>
    </w:p>
    <w:p w14:paraId="5A253D96" w14:textId="4C9E7324" w:rsidR="00F11B10" w:rsidRPr="00810D9B" w:rsidRDefault="00F11B10" w:rsidP="00011EAE">
      <w:pPr>
        <w:pStyle w:val="FigureNote"/>
        <w:rPr>
          <w:rFonts w:cs="Arial"/>
          <w:b/>
        </w:rPr>
      </w:pPr>
      <w:r w:rsidRPr="00810D9B">
        <w:t>PP3</w:t>
      </w:r>
      <w:r w:rsidRPr="00810D9B">
        <w:tab/>
      </w:r>
      <w:r w:rsidRPr="00810D9B">
        <w:rPr>
          <w:rFonts w:cs="Arial"/>
        </w:rPr>
        <w:t>Have you experienced any physical pain in the last week?</w:t>
      </w:r>
    </w:p>
    <w:p w14:paraId="33984B40" w14:textId="77777777" w:rsidR="003E25AE" w:rsidRDefault="00F11B10" w:rsidP="00011EAE">
      <w:pPr>
        <w:pStyle w:val="FigureNote"/>
        <w:rPr>
          <w:rFonts w:cs="Arial"/>
        </w:rPr>
      </w:pPr>
      <w:r w:rsidRPr="00810D9B">
        <w:t>PP5</w:t>
      </w:r>
      <w:r w:rsidRPr="00810D9B">
        <w:tab/>
      </w:r>
      <w:r w:rsidRPr="00810D9B">
        <w:rPr>
          <w:rFonts w:cs="Arial"/>
        </w:rPr>
        <w:t xml:space="preserve">How long have you had your current pain problem? </w:t>
      </w:r>
    </w:p>
    <w:p w14:paraId="61B898D4" w14:textId="4A6BA829" w:rsidR="00F11B10" w:rsidRDefault="003E25AE" w:rsidP="00011EAE">
      <w:pPr>
        <w:pStyle w:val="FigureNote"/>
        <w:rPr>
          <w:rFonts w:cs="Arial"/>
        </w:rPr>
      </w:pPr>
      <w:r>
        <w:t>Note:</w:t>
      </w:r>
      <w:r>
        <w:tab/>
      </w:r>
      <w:r w:rsidR="00F11B10" w:rsidRPr="00810D9B">
        <w:rPr>
          <w:rFonts w:cs="Arial"/>
        </w:rPr>
        <w:t>Don’t know</w:t>
      </w:r>
      <w:r>
        <w:rPr>
          <w:rFonts w:cs="Arial"/>
        </w:rPr>
        <w:t xml:space="preserve"> and Refused responses excluded from base</w:t>
      </w:r>
      <w:r w:rsidR="00F11B10" w:rsidRPr="00810D9B">
        <w:rPr>
          <w:rFonts w:cs="Arial"/>
        </w:rPr>
        <w:t xml:space="preserve">. </w:t>
      </w:r>
    </w:p>
    <w:p w14:paraId="6318BD0E" w14:textId="4719BC25" w:rsidR="006B40BC" w:rsidRDefault="006B40BC" w:rsidP="00810D9B">
      <w:pPr>
        <w:pStyle w:val="Body"/>
        <w:spacing w:before="60" w:after="60"/>
        <w:ind w:left="720" w:hanging="720"/>
        <w:rPr>
          <w:rFonts w:cs="Arial"/>
          <w:sz w:val="16"/>
          <w:szCs w:val="16"/>
        </w:rPr>
      </w:pPr>
    </w:p>
    <w:p w14:paraId="4153AD29" w14:textId="540C4AA9" w:rsidR="006B40BC" w:rsidRDefault="003D6582" w:rsidP="006B40BC">
      <w:pPr>
        <w:pStyle w:val="Body"/>
      </w:pPr>
      <w:r>
        <w:t>Figure 1</w:t>
      </w:r>
      <w:r w:rsidR="005320D2">
        <w:t>8</w:t>
      </w:r>
      <w:r w:rsidR="0031421F">
        <w:t xml:space="preserve"> (overleaf)</w:t>
      </w:r>
      <w:r>
        <w:t xml:space="preserve"> shows the proportion of all workers who reported experiencing pain during the past week, which they had been suffering from for a period of three months or more, by sub-group. While there </w:t>
      </w:r>
      <w:r w:rsidR="00BD34CB">
        <w:t>we</w:t>
      </w:r>
      <w:r>
        <w:t>re no statistically significant differences between jurisdictions, it appears that a higher proportion of workers from Tasmania and Comcare have experienced persistent pain</w:t>
      </w:r>
      <w:r w:rsidR="00BD34CB">
        <w:t xml:space="preserve"> than those from other jurisdictions</w:t>
      </w:r>
      <w:r>
        <w:t>.</w:t>
      </w:r>
    </w:p>
    <w:p w14:paraId="2FAC5978" w14:textId="02560D71" w:rsidR="003D6582" w:rsidRDefault="003D6582" w:rsidP="006B40BC">
      <w:pPr>
        <w:pStyle w:val="Body"/>
      </w:pPr>
      <w:r>
        <w:t>Persistent pain is closely linked to the nature of injury/illness. Those who experienced musculoskeletal disorders were significantly more likely to have experienced persistent pain (42.1%); while those who experienced other trauma (27.7%) or mental illness (17.1%) were significantly less likely.</w:t>
      </w:r>
    </w:p>
    <w:p w14:paraId="3A4E4952" w14:textId="7E0E1E77" w:rsidR="003D6582" w:rsidRDefault="003D6582" w:rsidP="006B40BC">
      <w:pPr>
        <w:pStyle w:val="Body"/>
      </w:pPr>
      <w:r>
        <w:t xml:space="preserve">There is also a strong correlation between persistent pain and current work status. </w:t>
      </w:r>
      <w:r w:rsidR="00C977F3">
        <w:t>A significantly higher proportion of those not currently working (57.7%) reported experiencing persistent pain, compared to those who had returned to work and were working at the time of survey (32.6%).</w:t>
      </w:r>
    </w:p>
    <w:p w14:paraId="4528209E" w14:textId="77777777" w:rsidR="006B40BC" w:rsidRDefault="006B40BC">
      <w:pPr>
        <w:rPr>
          <w:rFonts w:ascii="Arial Bold" w:eastAsia="Times New Roman" w:hAnsi="Arial Bold" w:cs="Times New Roman"/>
          <w:b/>
          <w:bCs/>
          <w:color w:val="1F688D"/>
          <w:szCs w:val="18"/>
        </w:rPr>
      </w:pPr>
      <w:r>
        <w:br w:type="page"/>
      </w:r>
    </w:p>
    <w:p w14:paraId="1CB42F02" w14:textId="035B7A14" w:rsidR="006B40BC" w:rsidRDefault="006B40BC" w:rsidP="00D0461D">
      <w:pPr>
        <w:pStyle w:val="Caption"/>
      </w:pPr>
      <w:bookmarkStart w:id="88" w:name="_Toc528056585"/>
      <w:r>
        <w:lastRenderedPageBreak/>
        <w:t xml:space="preserve">Figure </w:t>
      </w:r>
      <w:r w:rsidR="006F2BDD">
        <w:rPr>
          <w:noProof/>
        </w:rPr>
        <w:fldChar w:fldCharType="begin"/>
      </w:r>
      <w:r w:rsidR="006F2BDD">
        <w:rPr>
          <w:noProof/>
        </w:rPr>
        <w:instrText xml:space="preserve"> SEQ Figure \* ARABIC </w:instrText>
      </w:r>
      <w:r w:rsidR="006F2BDD">
        <w:rPr>
          <w:noProof/>
        </w:rPr>
        <w:fldChar w:fldCharType="separate"/>
      </w:r>
      <w:r w:rsidR="00B9340A">
        <w:rPr>
          <w:noProof/>
        </w:rPr>
        <w:t>18</w:t>
      </w:r>
      <w:r w:rsidR="006F2BDD">
        <w:rPr>
          <w:noProof/>
        </w:rPr>
        <w:fldChar w:fldCharType="end"/>
      </w:r>
      <w:r>
        <w:tab/>
      </w:r>
      <w:r w:rsidR="00CE6795">
        <w:t>C</w:t>
      </w:r>
      <w:r>
        <w:t>urrent pain problem</w:t>
      </w:r>
      <w:r w:rsidR="00CE6795">
        <w:t xml:space="preserve"> experienced for three months or more</w:t>
      </w:r>
      <w:r>
        <w:t>,</w:t>
      </w:r>
      <w:r w:rsidRPr="006B40BC">
        <w:t xml:space="preserve"> </w:t>
      </w:r>
      <w:r>
        <w:t xml:space="preserve">by jurisdiction, </w:t>
      </w:r>
      <w:r w:rsidR="0025300B">
        <w:t>injury/illness</w:t>
      </w:r>
      <w:r>
        <w:t xml:space="preserve"> type and return to work status – 2018 (%)</w:t>
      </w:r>
      <w:bookmarkEnd w:id="88"/>
    </w:p>
    <w:p w14:paraId="6260907C" w14:textId="47AA5943" w:rsidR="006B40BC" w:rsidRDefault="006B40BC" w:rsidP="006B40BC">
      <w:pPr>
        <w:pStyle w:val="Body"/>
      </w:pPr>
      <w:r>
        <w:rPr>
          <w:noProof/>
          <w:color w:val="FF0000"/>
          <w:lang w:eastAsia="en-AU"/>
        </w:rPr>
        <w:drawing>
          <wp:inline distT="0" distB="0" distL="0" distR="0" wp14:anchorId="1A1A049A" wp14:editId="14CE072E">
            <wp:extent cx="5759450" cy="3960000"/>
            <wp:effectExtent l="0" t="0" r="12700" b="2540"/>
            <wp:docPr id="31" name="Chart 31" descr="This chart presents the percentage of respondents expereincing a pain problem for more than three months, by jursidiction, injury/illness type and return to work status. The findings are discussed in the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A4EEA41" w14:textId="59F2100D" w:rsidR="00CE6795" w:rsidRPr="00D17E58" w:rsidRDefault="00CE6795" w:rsidP="001910F7">
      <w:pPr>
        <w:pStyle w:val="FigureNote"/>
      </w:pPr>
      <w:r w:rsidRPr="00810D9B">
        <w:t xml:space="preserve">Base: </w:t>
      </w:r>
      <w:r w:rsidRPr="00810D9B">
        <w:tab/>
        <w:t xml:space="preserve">All respondents </w:t>
      </w:r>
      <w:r>
        <w:t>(n=</w:t>
      </w:r>
      <w:r w:rsidRPr="00810D9B">
        <w:t>4,517)</w:t>
      </w:r>
      <w:r>
        <w:t>, ACT (n=14</w:t>
      </w:r>
      <w:r w:rsidR="001910F7">
        <w:t>7</w:t>
      </w:r>
      <w:r>
        <w:t>), Comcare (n=</w:t>
      </w:r>
      <w:r w:rsidR="001910F7">
        <w:t>7</w:t>
      </w:r>
      <w:r w:rsidR="00931616">
        <w:t>50</w:t>
      </w:r>
      <w:r>
        <w:t>), NSW (n=</w:t>
      </w:r>
      <w:r w:rsidR="00931616">
        <w:t>844</w:t>
      </w:r>
      <w:r>
        <w:t>), NT (n=</w:t>
      </w:r>
      <w:r w:rsidR="00931616">
        <w:t>146</w:t>
      </w:r>
      <w:r>
        <w:t>), QLD (n=7</w:t>
      </w:r>
      <w:r w:rsidR="00931616">
        <w:t>98</w:t>
      </w:r>
      <w:r>
        <w:t>), Seacare (n=</w:t>
      </w:r>
      <w:r w:rsidR="00931616">
        <w:t>57</w:t>
      </w:r>
      <w:r>
        <w:t>), TAS (n=</w:t>
      </w:r>
      <w:r w:rsidR="00931616">
        <w:t>475</w:t>
      </w:r>
      <w:r>
        <w:t>), WA (n=</w:t>
      </w:r>
      <w:r w:rsidR="00931616">
        <w:t>504</w:t>
      </w:r>
      <w:r>
        <w:t>), VIC (n=</w:t>
      </w:r>
      <w:r w:rsidR="00931616">
        <w:t>781</w:t>
      </w:r>
      <w:r>
        <w:t>). Fractures (n=6</w:t>
      </w:r>
      <w:r w:rsidR="00931616">
        <w:t>19</w:t>
      </w:r>
      <w:r>
        <w:t>), Musculoskeletal Disorders (n=2,</w:t>
      </w:r>
      <w:r w:rsidR="00931616">
        <w:t>618</w:t>
      </w:r>
      <w:r>
        <w:t>), Other Trauma (n=7</w:t>
      </w:r>
      <w:r w:rsidR="00931616">
        <w:t>74</w:t>
      </w:r>
      <w:r>
        <w:t>), Mental Illness (n=2</w:t>
      </w:r>
      <w:r w:rsidR="00931616">
        <w:t>80</w:t>
      </w:r>
      <w:r>
        <w:t>), Other Diseases (n=</w:t>
      </w:r>
      <w:r w:rsidR="00931616">
        <w:t>211</w:t>
      </w:r>
      <w:r>
        <w:t xml:space="preserve">), </w:t>
      </w:r>
      <w:r w:rsidR="00931616">
        <w:t>Currently working</w:t>
      </w:r>
      <w:r>
        <w:t xml:space="preserve"> (n=</w:t>
      </w:r>
      <w:r w:rsidR="00931616">
        <w:t>3,601</w:t>
      </w:r>
      <w:r>
        <w:t xml:space="preserve">), </w:t>
      </w:r>
      <w:r w:rsidR="00931616">
        <w:t>Not working (n=891</w:t>
      </w:r>
      <w:r>
        <w:t>).</w:t>
      </w:r>
    </w:p>
    <w:p w14:paraId="7AE7DB52" w14:textId="75B41A12" w:rsidR="00CE6795" w:rsidRPr="00810D9B" w:rsidRDefault="00CE6795" w:rsidP="001910F7">
      <w:pPr>
        <w:pStyle w:val="FigureNote"/>
        <w:rPr>
          <w:b/>
        </w:rPr>
      </w:pPr>
      <w:r w:rsidRPr="00810D9B">
        <w:t>PP3</w:t>
      </w:r>
      <w:r w:rsidRPr="00810D9B">
        <w:tab/>
        <w:t>Have you experienced any physical pain in the last week?</w:t>
      </w:r>
    </w:p>
    <w:p w14:paraId="2BD5CA88" w14:textId="684CBF1A" w:rsidR="00CE6795" w:rsidRDefault="00CE6795" w:rsidP="001910F7">
      <w:pPr>
        <w:pStyle w:val="FigureNote"/>
      </w:pPr>
      <w:r w:rsidRPr="00810D9B">
        <w:t>PP5</w:t>
      </w:r>
      <w:r w:rsidRPr="00810D9B">
        <w:tab/>
        <w:t xml:space="preserve">How long have you had your current pain problem? </w:t>
      </w:r>
    </w:p>
    <w:p w14:paraId="6D2F27DE" w14:textId="19591742" w:rsidR="00CE6795" w:rsidRPr="00931616" w:rsidRDefault="00CE6795" w:rsidP="00931616">
      <w:pPr>
        <w:pStyle w:val="FigureNote"/>
      </w:pPr>
      <w:r>
        <w:t>Note</w:t>
      </w:r>
      <w:r>
        <w:tab/>
        <w:t xml:space="preserve">Don’t know and Refused responses excluded from base. </w:t>
      </w:r>
      <w:r w:rsidRPr="00887D32">
        <w:t xml:space="preserve">Asterisks indicate statistically significant </w:t>
      </w:r>
      <w:r w:rsidRPr="00611565">
        <w:t>difference (single asterisk (*) indicates a lower proportion; double asterisk (**) indicates a higher p</w:t>
      </w:r>
      <w:r w:rsidRPr="00887D32">
        <w:t>roportion</w:t>
      </w:r>
      <w:r>
        <w:t>)</w:t>
      </w:r>
      <w:r w:rsidR="003E25AE">
        <w:t xml:space="preserve"> (p-value &lt;=0.05).</w:t>
      </w:r>
    </w:p>
    <w:p w14:paraId="4A6D2509" w14:textId="77777777" w:rsidR="004046A8" w:rsidRDefault="004046A8" w:rsidP="00FA7A15">
      <w:pPr>
        <w:pStyle w:val="Heading2"/>
      </w:pPr>
      <w:bookmarkStart w:id="89" w:name="_Toc523486356"/>
      <w:bookmarkStart w:id="90" w:name="_Toc528056030"/>
      <w:r>
        <w:t>Psychological distress</w:t>
      </w:r>
      <w:bookmarkEnd w:id="89"/>
      <w:bookmarkEnd w:id="90"/>
    </w:p>
    <w:p w14:paraId="281F6B3F" w14:textId="1E886017" w:rsidR="004046A8" w:rsidRDefault="004046A8" w:rsidP="004046A8">
      <w:pPr>
        <w:pStyle w:val="Body"/>
      </w:pPr>
      <w:r>
        <w:t>The Kessler 6</w:t>
      </w:r>
      <w:r w:rsidR="00736DEB" w:rsidRPr="00736DEB">
        <w:t xml:space="preserve"> Psychological Distress Scale</w:t>
      </w:r>
      <w:r>
        <w:t xml:space="preserve"> is a five-point response scale </w:t>
      </w:r>
      <w:r w:rsidR="00E07574">
        <w:t>for</w:t>
      </w:r>
      <w:r>
        <w:t xml:space="preserve"> self-reported frequency of psychological distress indicators. Cognitive testing confirmed the target population to be familiar and comfortable responding to the Kessler scale as it is a measure </w:t>
      </w:r>
      <w:r w:rsidR="00465F00">
        <w:t xml:space="preserve">they </w:t>
      </w:r>
      <w:r>
        <w:t xml:space="preserve">routinely </w:t>
      </w:r>
      <w:r w:rsidR="00736DEB">
        <w:t>encounter</w:t>
      </w:r>
      <w:r w:rsidR="00465F00">
        <w:t xml:space="preserve"> </w:t>
      </w:r>
      <w:r w:rsidR="00736DEB">
        <w:t xml:space="preserve">it </w:t>
      </w:r>
      <w:r w:rsidR="00465F00">
        <w:t xml:space="preserve">via </w:t>
      </w:r>
      <w:r>
        <w:t xml:space="preserve">healthcare professionals. </w:t>
      </w:r>
      <w:r w:rsidR="00E07574">
        <w:t>The Kessler 6 was included in the NRTWS for the first time in 2018.</w:t>
      </w:r>
    </w:p>
    <w:p w14:paraId="28B45A2A" w14:textId="0B2FCD2F" w:rsidR="00E07574" w:rsidRDefault="004046A8" w:rsidP="004046A8">
      <w:pPr>
        <w:pStyle w:val="Body"/>
      </w:pPr>
      <w:r>
        <w:t xml:space="preserve">Standard Australian </w:t>
      </w:r>
      <w:r w:rsidR="00E922E2">
        <w:t xml:space="preserve">dichotomous </w:t>
      </w:r>
      <w:r>
        <w:t>scoring</w:t>
      </w:r>
      <w:r>
        <w:rPr>
          <w:rStyle w:val="FootnoteReference"/>
        </w:rPr>
        <w:footnoteReference w:id="4"/>
      </w:r>
      <w:r>
        <w:t xml:space="preserve"> of the Kessler 6 was calculated whereby a score of 6 to 18 </w:t>
      </w:r>
      <w:r w:rsidR="00736DEB">
        <w:t>wa</w:t>
      </w:r>
      <w:r>
        <w:t xml:space="preserve">s classified as </w:t>
      </w:r>
      <w:r w:rsidR="00736DEB">
        <w:t>‘</w:t>
      </w:r>
      <w:r>
        <w:t>no probable serious mental illness</w:t>
      </w:r>
      <w:r w:rsidR="00736DEB">
        <w:t>’</w:t>
      </w:r>
      <w:r>
        <w:t xml:space="preserve"> and a score of 19 to 30 </w:t>
      </w:r>
      <w:r w:rsidR="00736DEB">
        <w:t>wa</w:t>
      </w:r>
      <w:r>
        <w:t>s classified as indi</w:t>
      </w:r>
      <w:r w:rsidR="00E07574">
        <w:t xml:space="preserve">cating a respondent has </w:t>
      </w:r>
      <w:r w:rsidR="00736DEB">
        <w:t>‘</w:t>
      </w:r>
      <w:r w:rsidR="00E07574">
        <w:t>probable</w:t>
      </w:r>
      <w:r>
        <w:t xml:space="preserve"> serious mental </w:t>
      </w:r>
      <w:r w:rsidRPr="00CB1C1A">
        <w:t>illness</w:t>
      </w:r>
      <w:r w:rsidR="00736DEB">
        <w:t>’</w:t>
      </w:r>
      <w:r w:rsidRPr="00CB1C1A">
        <w:t>.</w:t>
      </w:r>
    </w:p>
    <w:p w14:paraId="01B0FD7A" w14:textId="76991766" w:rsidR="00736DEB" w:rsidRDefault="00736DEB" w:rsidP="004046A8">
      <w:pPr>
        <w:pStyle w:val="Body"/>
      </w:pPr>
      <w:r>
        <w:t xml:space="preserve">A significantly higher proportion of workers from Victoria (15.6%) had a Kessler 6 score indicating probable serious mental illness. </w:t>
      </w:r>
      <w:r w:rsidR="00F27BDF">
        <w:t>W</w:t>
      </w:r>
      <w:r>
        <w:t>orkers from Queensland and Tasmania also had a relatively high proportion of workers with ‘probable serious mental illness’ (11.5% and 11.8% respectively), although these results were not significantly higher than other jurisdictions.</w:t>
      </w:r>
    </w:p>
    <w:p w14:paraId="42FEAA03" w14:textId="647FA634" w:rsidR="00736DEB" w:rsidRDefault="00736DEB" w:rsidP="004046A8">
      <w:pPr>
        <w:pStyle w:val="Body"/>
      </w:pPr>
      <w:r>
        <w:t>Those whose workplace injury/illness was classified as mental illness, were significantly more likely to</w:t>
      </w:r>
      <w:r w:rsidR="005225D8">
        <w:t xml:space="preserve"> report a Kessler 6 score of 19-</w:t>
      </w:r>
      <w:r>
        <w:t xml:space="preserve">30, indicating probable serious mental </w:t>
      </w:r>
      <w:r w:rsidRPr="00CB1C1A">
        <w:t>illness</w:t>
      </w:r>
      <w:r>
        <w:t xml:space="preserve">. No other significant differences were reported by </w:t>
      </w:r>
      <w:r w:rsidR="0025300B">
        <w:t>injury/illness</w:t>
      </w:r>
      <w:r>
        <w:t xml:space="preserve"> type.</w:t>
      </w:r>
    </w:p>
    <w:p w14:paraId="34E812D3" w14:textId="2FDB9C80" w:rsidR="00CA241F" w:rsidRDefault="00736DEB" w:rsidP="005225D8">
      <w:pPr>
        <w:pStyle w:val="Body"/>
        <w:rPr>
          <w:rFonts w:ascii="Arial Bold" w:hAnsi="Arial Bold"/>
          <w:b/>
          <w:bCs/>
          <w:color w:val="1F688D"/>
          <w:szCs w:val="18"/>
        </w:rPr>
      </w:pPr>
      <w:r>
        <w:lastRenderedPageBreak/>
        <w:t xml:space="preserve">The majority </w:t>
      </w:r>
      <w:r w:rsidR="005225D8">
        <w:t xml:space="preserve">(93.7%) </w:t>
      </w:r>
      <w:r>
        <w:t xml:space="preserve">of those currently working </w:t>
      </w:r>
      <w:r w:rsidR="005225D8">
        <w:t xml:space="preserve">reported a </w:t>
      </w:r>
      <w:r>
        <w:t xml:space="preserve">Kessler 6 </w:t>
      </w:r>
      <w:r w:rsidR="005225D8">
        <w:t xml:space="preserve">score of 6-18, </w:t>
      </w:r>
      <w:r>
        <w:t>indicating no probable serious mental illness.</w:t>
      </w:r>
      <w:r w:rsidR="005225D8">
        <w:t xml:space="preserve"> Conversely, the cohort of workers who were not working at the time of survey reported the highest proportion </w:t>
      </w:r>
      <w:r w:rsidR="00BA4270" w:rsidRPr="00BA4270">
        <w:t>(34.9%)</w:t>
      </w:r>
      <w:r w:rsidR="00BA4270">
        <w:t xml:space="preserve"> </w:t>
      </w:r>
      <w:r w:rsidR="005225D8">
        <w:t>of Kessler 6 scores in the range 19-30</w:t>
      </w:r>
      <w:r w:rsidR="005225D8" w:rsidRPr="00BA4270">
        <w:t>,</w:t>
      </w:r>
      <w:r w:rsidR="005225D8">
        <w:t xml:space="preserve"> indicating </w:t>
      </w:r>
      <w:r>
        <w:t>probable serious mental illness</w:t>
      </w:r>
      <w:r w:rsidR="005225D8">
        <w:t xml:space="preserve">. This </w:t>
      </w:r>
      <w:r w:rsidR="008F0571">
        <w:t>supports</w:t>
      </w:r>
      <w:r w:rsidR="005225D8">
        <w:t xml:space="preserve"> the importance of returning workers to the workplace</w:t>
      </w:r>
      <w:r w:rsidR="00F27BDF">
        <w:t xml:space="preserve"> as soon as safely possible</w:t>
      </w:r>
      <w:r w:rsidR="005225D8">
        <w:t>, suggesting there are psychological benefits in returning to work and possible psychological harms related to prolonged absence from the workplace.</w:t>
      </w:r>
    </w:p>
    <w:p w14:paraId="52BBB1BB" w14:textId="2FA6D8E3" w:rsidR="00CA241F" w:rsidRDefault="00CA241F" w:rsidP="00D0461D">
      <w:pPr>
        <w:pStyle w:val="Caption"/>
      </w:pPr>
      <w:bookmarkStart w:id="91" w:name="_Toc528056586"/>
      <w:r>
        <w:t xml:space="preserve">Figure </w:t>
      </w:r>
      <w:r w:rsidR="006F2BDD">
        <w:rPr>
          <w:noProof/>
        </w:rPr>
        <w:fldChar w:fldCharType="begin"/>
      </w:r>
      <w:r w:rsidR="006F2BDD">
        <w:rPr>
          <w:noProof/>
        </w:rPr>
        <w:instrText xml:space="preserve"> SEQ Figure \* ARABIC </w:instrText>
      </w:r>
      <w:r w:rsidR="006F2BDD">
        <w:rPr>
          <w:noProof/>
        </w:rPr>
        <w:fldChar w:fldCharType="separate"/>
      </w:r>
      <w:r w:rsidR="00B9340A">
        <w:rPr>
          <w:noProof/>
        </w:rPr>
        <w:t>19</w:t>
      </w:r>
      <w:r w:rsidR="006F2BDD">
        <w:rPr>
          <w:noProof/>
        </w:rPr>
        <w:fldChar w:fldCharType="end"/>
      </w:r>
      <w:r w:rsidR="007C22F6">
        <w:tab/>
      </w:r>
      <w:r w:rsidR="007C22F6" w:rsidRPr="007C22F6">
        <w:t xml:space="preserve">Kessler </w:t>
      </w:r>
      <w:r w:rsidR="007C22F6">
        <w:t xml:space="preserve">6 </w:t>
      </w:r>
      <w:r w:rsidR="007C22F6" w:rsidRPr="007C22F6">
        <w:t>Psychological Distress Scale</w:t>
      </w:r>
      <w:r w:rsidR="007C22F6">
        <w:t xml:space="preserve">, by jurisdiction, </w:t>
      </w:r>
      <w:r w:rsidR="0025300B">
        <w:t>injury/illness</w:t>
      </w:r>
      <w:r w:rsidR="007C22F6">
        <w:t xml:space="preserve"> type and current work status – 2018 (%)</w:t>
      </w:r>
      <w:bookmarkEnd w:id="91"/>
    </w:p>
    <w:p w14:paraId="3402D878" w14:textId="09DDF60D" w:rsidR="00CA241F" w:rsidRDefault="00E10103" w:rsidP="00CA241F">
      <w:pPr>
        <w:pStyle w:val="Body"/>
      </w:pPr>
      <w:r>
        <w:rPr>
          <w:noProof/>
          <w:color w:val="FF0000"/>
          <w:lang w:eastAsia="en-AU"/>
        </w:rPr>
        <w:drawing>
          <wp:inline distT="0" distB="0" distL="0" distR="0" wp14:anchorId="1853B78E" wp14:editId="15BB1DBD">
            <wp:extent cx="5759450" cy="4499610"/>
            <wp:effectExtent l="0" t="0" r="12700" b="15240"/>
            <wp:docPr id="217" name="Chart 217" descr="This chart presents reponses to the Kessler 6 Psychological Distress Scale, by jurisdiction, injury/illness type and current work status. Categories are 'no probably serious mental illness (6 to 18)' and 'probable serious mental illness (19 to 30)'. The findings are discussed in the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8BABAC8" w14:textId="37B87368" w:rsidR="007C22F6" w:rsidRPr="00E10103" w:rsidRDefault="007C22F6" w:rsidP="00E10103">
      <w:pPr>
        <w:pStyle w:val="FigureNote"/>
      </w:pPr>
      <w:r w:rsidRPr="00E10103">
        <w:t xml:space="preserve">Base: </w:t>
      </w:r>
      <w:r w:rsidRPr="00E10103">
        <w:tab/>
        <w:t>All respondents (n=4,397), ACT (n=145), Comcare (n=734), NSW (n=823), NT (n=144), QLD (n=775), Seacare (n=57), TAS (n=466), WA (n=484), VIC (n=769). Fractures (n=602), Musculoskeletal Disorders (n=2,558), Other Trauma (n=758), Mental Illness (n=273), Other Diseases (n=206), Currently working (n=3,538), Not working (n=847).</w:t>
      </w:r>
    </w:p>
    <w:p w14:paraId="32159ECF" w14:textId="1D45A009" w:rsidR="007C22F6" w:rsidRPr="00E10103" w:rsidRDefault="00736DEB" w:rsidP="00E10103">
      <w:pPr>
        <w:pStyle w:val="FigureNote"/>
      </w:pPr>
      <w:r w:rsidRPr="00E10103">
        <w:t>KES1-6</w:t>
      </w:r>
      <w:r w:rsidR="007C22F6" w:rsidRPr="00E10103">
        <w:tab/>
      </w:r>
      <w:r w:rsidRPr="00E10103">
        <w:t>In the last 4 weeks, about how often did you feel (nervous / hopeless / restless or fidgety / so depressed that nothing could cheer you up / everything was an effort / worthless)</w:t>
      </w:r>
      <w:r w:rsidR="007C22F6" w:rsidRPr="00E10103">
        <w:t xml:space="preserve">? </w:t>
      </w:r>
    </w:p>
    <w:p w14:paraId="027A32E9" w14:textId="08237616" w:rsidR="007C22F6" w:rsidRPr="00E10103" w:rsidRDefault="007C22F6" w:rsidP="00E10103">
      <w:pPr>
        <w:pStyle w:val="FigureNote"/>
      </w:pPr>
      <w:r w:rsidRPr="00E10103">
        <w:t>Note</w:t>
      </w:r>
      <w:r w:rsidRPr="00E10103">
        <w:tab/>
        <w:t>Don’t know and Refused responses excluded from base. Asterisks indicate statistically significant difference (single asterisk (*) indicates a lower proportion; double asterisk (**) indicates a higher proportion)</w:t>
      </w:r>
      <w:r w:rsidR="003E25AE" w:rsidRPr="00E10103">
        <w:t xml:space="preserve"> (p-value &lt;=0.05).</w:t>
      </w:r>
    </w:p>
    <w:p w14:paraId="6AF233D1" w14:textId="47D7C7B0" w:rsidR="00E10103" w:rsidRDefault="00E10103">
      <w:pPr>
        <w:rPr>
          <w:rFonts w:eastAsia="Times New Roman" w:cs="Times New Roman"/>
          <w:szCs w:val="20"/>
        </w:rPr>
      </w:pPr>
      <w:r>
        <w:br w:type="page"/>
      </w:r>
    </w:p>
    <w:p w14:paraId="627F37CF" w14:textId="77777777" w:rsidR="004046A8" w:rsidRDefault="004046A8" w:rsidP="00FA7A15">
      <w:pPr>
        <w:pStyle w:val="Heading2"/>
      </w:pPr>
      <w:bookmarkStart w:id="92" w:name="_Toc526426445"/>
      <w:bookmarkStart w:id="93" w:name="_Toc523486357"/>
      <w:bookmarkStart w:id="94" w:name="_Toc528056031"/>
      <w:bookmarkEnd w:id="92"/>
      <w:r>
        <w:lastRenderedPageBreak/>
        <w:t>Comorbid conditions</w:t>
      </w:r>
      <w:bookmarkEnd w:id="93"/>
      <w:bookmarkEnd w:id="94"/>
    </w:p>
    <w:p w14:paraId="458CF550" w14:textId="6C60CC08" w:rsidR="004046A8" w:rsidRDefault="004046A8" w:rsidP="004046A8">
      <w:pPr>
        <w:pStyle w:val="Body"/>
      </w:pPr>
      <w:bookmarkStart w:id="95" w:name="_Toc523486358"/>
      <w:r w:rsidRPr="00F8212B">
        <w:t>Respondents were read a list of 10 conditions from the Charlson Comorbidity Index</w:t>
      </w:r>
      <w:r>
        <w:rPr>
          <w:rStyle w:val="FootnoteReference"/>
          <w:sz w:val="18"/>
          <w:szCs w:val="18"/>
        </w:rPr>
        <w:footnoteReference w:id="5"/>
      </w:r>
      <w:r>
        <w:rPr>
          <w:sz w:val="18"/>
          <w:szCs w:val="18"/>
        </w:rPr>
        <w:t xml:space="preserve"> </w:t>
      </w:r>
      <w:r w:rsidRPr="00F8212B">
        <w:t>and asked to indicate</w:t>
      </w:r>
      <w:r w:rsidR="001478F3">
        <w:t xml:space="preserve"> whether </w:t>
      </w:r>
      <w:r w:rsidRPr="00F8212B">
        <w:t>they ha</w:t>
      </w:r>
      <w:r w:rsidR="001478F3">
        <w:t>d</w:t>
      </w:r>
      <w:r w:rsidRPr="00F8212B">
        <w:t xml:space="preserve"> been diagnosed with any </w:t>
      </w:r>
      <w:r w:rsidR="001478F3">
        <w:t>conditions i</w:t>
      </w:r>
      <w:r w:rsidRPr="00F8212B">
        <w:t>n addition to their work-related injury or illness. Respondents were also asked if they had been diagnosed with any other conditions not listed.</w:t>
      </w:r>
    </w:p>
    <w:p w14:paraId="58804F7B" w14:textId="22F244AE" w:rsidR="00752D9B" w:rsidRPr="00E10103" w:rsidRDefault="00752D9B" w:rsidP="00E10103">
      <w:pPr>
        <w:pStyle w:val="Body"/>
      </w:pPr>
      <w:r w:rsidRPr="00E10103">
        <w:t xml:space="preserve">As shown in </w:t>
      </w:r>
      <w:r w:rsidR="005320D2" w:rsidRPr="00E10103">
        <w:t>Figure 20</w:t>
      </w:r>
      <w:r w:rsidR="00D52223" w:rsidRPr="00E10103">
        <w:t xml:space="preserve">, around two-thirds (66.2%) of workers </w:t>
      </w:r>
      <w:r w:rsidR="00A86E73" w:rsidRPr="00E10103">
        <w:t xml:space="preserve">reported they </w:t>
      </w:r>
      <w:r w:rsidR="00D52223" w:rsidRPr="00E10103">
        <w:t xml:space="preserve">have not been diagnosed with conditions in addition to their workplace injury or illness. </w:t>
      </w:r>
      <w:r w:rsidR="00A86E73" w:rsidRPr="00E10103">
        <w:t xml:space="preserve">Of those who have been diagnosed with other conditions, most have been diagnosed with one (18.1%) or two (11.0%) additional conditions. Very </w:t>
      </w:r>
      <w:r w:rsidR="00D52223" w:rsidRPr="00E10103">
        <w:t xml:space="preserve">few (4.7%) </w:t>
      </w:r>
      <w:r w:rsidR="00A86E73" w:rsidRPr="00E10103">
        <w:t xml:space="preserve">reported they </w:t>
      </w:r>
      <w:r w:rsidR="00D52223" w:rsidRPr="00E10103">
        <w:t>have been diagnosed with three or more conditions.</w:t>
      </w:r>
    </w:p>
    <w:p w14:paraId="7F07FD15" w14:textId="6C9B2689" w:rsidR="00752D9B" w:rsidRPr="00752D9B" w:rsidRDefault="00752D9B" w:rsidP="00D0461D">
      <w:pPr>
        <w:pStyle w:val="Caption"/>
      </w:pPr>
      <w:bookmarkStart w:id="96" w:name="_Toc528056587"/>
      <w:r>
        <w:t xml:space="preserve">Figure </w:t>
      </w:r>
      <w:r w:rsidR="006F2BDD">
        <w:rPr>
          <w:noProof/>
        </w:rPr>
        <w:fldChar w:fldCharType="begin"/>
      </w:r>
      <w:r w:rsidR="006F2BDD">
        <w:rPr>
          <w:noProof/>
        </w:rPr>
        <w:instrText xml:space="preserve"> SEQ Figure \* ARABIC </w:instrText>
      </w:r>
      <w:r w:rsidR="006F2BDD">
        <w:rPr>
          <w:noProof/>
        </w:rPr>
        <w:fldChar w:fldCharType="separate"/>
      </w:r>
      <w:r w:rsidR="00B9340A">
        <w:rPr>
          <w:noProof/>
        </w:rPr>
        <w:t>20</w:t>
      </w:r>
      <w:r w:rsidR="006F2BDD">
        <w:rPr>
          <w:noProof/>
        </w:rPr>
        <w:fldChar w:fldCharType="end"/>
      </w:r>
      <w:r w:rsidR="00D52223">
        <w:tab/>
        <w:t xml:space="preserve">Number of additional conditions diagnosed with, by jurisdiction, </w:t>
      </w:r>
      <w:r w:rsidR="0025300B">
        <w:t>injury/illness</w:t>
      </w:r>
      <w:r w:rsidR="00D52223">
        <w:t xml:space="preserve"> type and work status – 2018 (%)</w:t>
      </w:r>
      <w:bookmarkEnd w:id="96"/>
    </w:p>
    <w:p w14:paraId="5726276A" w14:textId="7E6FCBE7" w:rsidR="00CB3531" w:rsidRDefault="00752D9B">
      <w:pPr>
        <w:rPr>
          <w:rFonts w:eastAsia="Times New Roman" w:cs="Times New Roman"/>
          <w:szCs w:val="20"/>
        </w:rPr>
      </w:pPr>
      <w:r>
        <w:rPr>
          <w:noProof/>
          <w:color w:val="FF0000"/>
          <w:lang w:eastAsia="en-AU"/>
        </w:rPr>
        <w:drawing>
          <wp:inline distT="0" distB="0" distL="0" distR="0" wp14:anchorId="115C7D69" wp14:editId="70CF652D">
            <wp:extent cx="5759450" cy="4499610"/>
            <wp:effectExtent l="0" t="0" r="12700" b="15240"/>
            <wp:docPr id="193" name="Chart 193" descr="This chart presents the percentage of respondents diagnoised with additional conditions, by jursidiction, injury/illness type and work status. Categories are zero conditions, one condition, two conditions and 3 or more conditions. Findings are discussed in the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A41A735" w14:textId="0CFCAF4E" w:rsidR="00002CBC" w:rsidRPr="00D17E58" w:rsidRDefault="00002CBC" w:rsidP="00002CBC">
      <w:pPr>
        <w:pStyle w:val="FigureNote"/>
      </w:pPr>
      <w:r w:rsidRPr="00810D9B">
        <w:t xml:space="preserve">Base: </w:t>
      </w:r>
      <w:r w:rsidRPr="00810D9B">
        <w:tab/>
        <w:t xml:space="preserve">All respondents </w:t>
      </w:r>
      <w:r>
        <w:t>(n=</w:t>
      </w:r>
      <w:r w:rsidRPr="00810D9B">
        <w:t>4,</w:t>
      </w:r>
      <w:r>
        <w:t>602</w:t>
      </w:r>
      <w:r w:rsidRPr="00810D9B">
        <w:t>)</w:t>
      </w:r>
      <w:r>
        <w:t>, ACT (n=150), Comcare (n=770), NSW (n=865), NT (n=150), QLD (n=809), Seacare (n=58), TAS (n=482), WA (n=513), VIC (n=805). Fractures (n=628), Musculoskeletal Disorders (n=2,678), Other Trauma (n=792), Mental Illness (n=286), Other Diseases (n=218), Currently working (n=3,689), Not working (n=901).</w:t>
      </w:r>
    </w:p>
    <w:p w14:paraId="63B8630F" w14:textId="77777777" w:rsidR="00002CBC" w:rsidRDefault="00002CBC" w:rsidP="00002CBC">
      <w:pPr>
        <w:pStyle w:val="FigureNote"/>
      </w:pPr>
      <w:r>
        <w:t>KES1-6</w:t>
      </w:r>
      <w:r w:rsidRPr="00810D9B">
        <w:tab/>
      </w:r>
      <w:r w:rsidRPr="00736DEB">
        <w:t>In the last 4 weeks, about how often did you feel</w:t>
      </w:r>
      <w:r>
        <w:t xml:space="preserve"> (nervous / hopeless / restless or fidgety / </w:t>
      </w:r>
      <w:r w:rsidRPr="00736DEB">
        <w:t>so depressed that nothing could cheer you up</w:t>
      </w:r>
      <w:r>
        <w:t xml:space="preserve"> / </w:t>
      </w:r>
      <w:r w:rsidRPr="00736DEB">
        <w:t>everything was an effort</w:t>
      </w:r>
      <w:r>
        <w:t xml:space="preserve"> / worthless)</w:t>
      </w:r>
      <w:r w:rsidRPr="00810D9B">
        <w:t xml:space="preserve">? </w:t>
      </w:r>
    </w:p>
    <w:p w14:paraId="33BD293E" w14:textId="186161AC" w:rsidR="00002CBC" w:rsidRPr="00931616" w:rsidRDefault="00002CBC" w:rsidP="00002CBC">
      <w:pPr>
        <w:pStyle w:val="FigureNote"/>
      </w:pPr>
      <w:r>
        <w:t>Note</w:t>
      </w:r>
      <w:r>
        <w:tab/>
        <w:t>Don’t know and Refused responses included in base (</w:t>
      </w:r>
      <w:r w:rsidR="001B6266">
        <w:t>counted in ‘</w:t>
      </w:r>
      <w:r>
        <w:t>zero conditions</w:t>
      </w:r>
      <w:r w:rsidR="001B6266">
        <w:t xml:space="preserve">’ proportion). </w:t>
      </w:r>
      <w:r w:rsidRPr="00887D32">
        <w:t xml:space="preserve">Asterisks indicate statistically significant </w:t>
      </w:r>
      <w:r w:rsidRPr="00611565">
        <w:t>difference</w:t>
      </w:r>
      <w:r w:rsidR="006C4EDE">
        <w:t xml:space="preserve"> </w:t>
      </w:r>
      <w:r w:rsidRPr="00611565">
        <w:t>(single asterisk (*) indicates a lower proportion; double asterisk (**) indicates a higher p</w:t>
      </w:r>
      <w:r w:rsidRPr="00887D32">
        <w:t>roportion</w:t>
      </w:r>
      <w:r>
        <w:t>)</w:t>
      </w:r>
      <w:r w:rsidR="003E25AE">
        <w:t xml:space="preserve"> (p-value &lt;=0.05).</w:t>
      </w:r>
    </w:p>
    <w:p w14:paraId="21EE4CA3" w14:textId="73E92A26" w:rsidR="00002CBC" w:rsidRDefault="00002CBC">
      <w:pPr>
        <w:rPr>
          <w:rFonts w:eastAsia="Times New Roman" w:cs="Times New Roman"/>
          <w:szCs w:val="20"/>
        </w:rPr>
      </w:pPr>
    </w:p>
    <w:p w14:paraId="0D585C73" w14:textId="43419476" w:rsidR="00A86E73" w:rsidRPr="00A86E73" w:rsidRDefault="00A86E73" w:rsidP="00A86E73">
      <w:pPr>
        <w:pStyle w:val="Body"/>
      </w:pPr>
      <w:r w:rsidRPr="00A86E73">
        <w:lastRenderedPageBreak/>
        <w:t>No significant differences were evident between jurisdictions on the comorbidity index. Indicatively, it appeared that workers from Seacare and the Northern Territory were least likely to have been diagnosed with additional conditions.</w:t>
      </w:r>
    </w:p>
    <w:p w14:paraId="4CDA524A" w14:textId="404D54BC" w:rsidR="00A86E73" w:rsidRPr="00A86E73" w:rsidRDefault="00A86E73" w:rsidP="00A86E73">
      <w:pPr>
        <w:pStyle w:val="Body"/>
      </w:pPr>
      <w:r w:rsidRPr="00A86E73">
        <w:t>The sub-group with the highest proportion who had been diagnosed with additional conditions was those whose work-related injury or illness was classified as a mental illness. Around half of this cohort reported they had been diagnosed with other conditions – 26.1% with one condition, 16.1% with two conditions and 8.2% with three or more conditions.</w:t>
      </w:r>
    </w:p>
    <w:p w14:paraId="5302ECE3" w14:textId="45E9571F" w:rsidR="00A86E73" w:rsidRDefault="00A86E73" w:rsidP="002675D4">
      <w:pPr>
        <w:pStyle w:val="Body"/>
      </w:pPr>
      <w:r w:rsidRPr="00A86E73">
        <w:t xml:space="preserve">Significant differences were also reported by those currently working and those not working. </w:t>
      </w:r>
      <w:r w:rsidR="00C2215D">
        <w:t>A</w:t>
      </w:r>
      <w:r w:rsidR="008F0571">
        <w:t> </w:t>
      </w:r>
      <w:r w:rsidR="00C2215D">
        <w:t xml:space="preserve">significantly lower proportion of those not working had not been diagnosed with any additional conditions (55.4% compared to 68.3% of those currently working). </w:t>
      </w:r>
      <w:r w:rsidR="002675D4">
        <w:t>A corresponding higher proportion of those not working reported they had been diagnosed with two additional conditions (15.2%) and with three or more conditions (8.8%).</w:t>
      </w:r>
    </w:p>
    <w:p w14:paraId="4BABD43B" w14:textId="322D665A" w:rsidR="004046A8" w:rsidRDefault="004046A8" w:rsidP="00742EE9">
      <w:pPr>
        <w:pStyle w:val="Heading2"/>
        <w:spacing w:after="120"/>
      </w:pPr>
      <w:bookmarkStart w:id="97" w:name="_Toc528056032"/>
      <w:r>
        <w:t>Financial distress</w:t>
      </w:r>
      <w:bookmarkEnd w:id="95"/>
      <w:bookmarkEnd w:id="97"/>
    </w:p>
    <w:p w14:paraId="0BB32690" w14:textId="10C76A14" w:rsidR="008C169A" w:rsidRDefault="004046A8" w:rsidP="004046A8">
      <w:pPr>
        <w:pStyle w:val="Body"/>
      </w:pPr>
      <w:r>
        <w:t xml:space="preserve">All respondents were asked to rate their level of financial </w:t>
      </w:r>
      <w:r w:rsidR="008C169A">
        <w:t>dis</w:t>
      </w:r>
      <w:r>
        <w:t xml:space="preserve">tress at the time of the survey on a scale of 1 ‘not at all stressed’ to 10 ‘as stressed as can be’. </w:t>
      </w:r>
      <w:r w:rsidR="007F63F4">
        <w:t>The vast majority of r</w:t>
      </w:r>
      <w:r w:rsidR="008C169A">
        <w:t>espondents were willing to answer this question</w:t>
      </w:r>
      <w:r w:rsidR="007F63F4">
        <w:t xml:space="preserve">; </w:t>
      </w:r>
      <w:r w:rsidR="00002CBC">
        <w:t>only 2.7%</w:t>
      </w:r>
      <w:r w:rsidR="008C169A">
        <w:t xml:space="preserve"> of respondents </w:t>
      </w:r>
      <w:r w:rsidR="00002CBC">
        <w:t>did not provide a response to this question</w:t>
      </w:r>
      <w:r w:rsidR="008C169A">
        <w:t>.</w:t>
      </w:r>
    </w:p>
    <w:p w14:paraId="59CA4C37" w14:textId="2F64E955" w:rsidR="007F63F4" w:rsidRDefault="008C169A" w:rsidP="004046A8">
      <w:pPr>
        <w:pStyle w:val="Body"/>
      </w:pPr>
      <w:r>
        <w:t>For the purpose of this report, a rating of 7 or above is considered to indicate above average financial distress</w:t>
      </w:r>
      <w:r w:rsidR="00CF166F">
        <w:rPr>
          <w:rStyle w:val="FootnoteReference"/>
        </w:rPr>
        <w:footnoteReference w:id="6"/>
      </w:r>
      <w:r>
        <w:t>. Overall</w:t>
      </w:r>
      <w:r w:rsidR="00002CBC">
        <w:t xml:space="preserve">, </w:t>
      </w:r>
      <w:r>
        <w:t>28.6% workers surveyed reported experiencing above average levels of financial distress</w:t>
      </w:r>
      <w:r w:rsidR="00002CBC">
        <w:t>, as shown in Figure 2</w:t>
      </w:r>
      <w:r w:rsidR="005320D2">
        <w:t>1</w:t>
      </w:r>
      <w:r>
        <w:t>.</w:t>
      </w:r>
    </w:p>
    <w:p w14:paraId="6B9CD606" w14:textId="7C85B52E" w:rsidR="007F63F4" w:rsidRDefault="007F63F4" w:rsidP="00D0461D">
      <w:pPr>
        <w:pStyle w:val="Caption"/>
      </w:pPr>
      <w:bookmarkStart w:id="98" w:name="_Toc528056588"/>
      <w:r>
        <w:t xml:space="preserve">Figure </w:t>
      </w:r>
      <w:r w:rsidR="006F2BDD">
        <w:rPr>
          <w:noProof/>
        </w:rPr>
        <w:fldChar w:fldCharType="begin"/>
      </w:r>
      <w:r w:rsidR="006F2BDD">
        <w:rPr>
          <w:noProof/>
        </w:rPr>
        <w:instrText xml:space="preserve"> SEQ Figure \* ARABIC </w:instrText>
      </w:r>
      <w:r w:rsidR="006F2BDD">
        <w:rPr>
          <w:noProof/>
        </w:rPr>
        <w:fldChar w:fldCharType="separate"/>
      </w:r>
      <w:r w:rsidR="00B9340A">
        <w:rPr>
          <w:noProof/>
        </w:rPr>
        <w:t>21</w:t>
      </w:r>
      <w:r w:rsidR="006F2BDD">
        <w:rPr>
          <w:noProof/>
        </w:rPr>
        <w:fldChar w:fldCharType="end"/>
      </w:r>
      <w:r>
        <w:tab/>
        <w:t>Financial distress – 2018 (%)</w:t>
      </w:r>
      <w:bookmarkEnd w:id="98"/>
    </w:p>
    <w:p w14:paraId="70EF9B09" w14:textId="5B7174DC" w:rsidR="007F63F4" w:rsidRDefault="007F63F4" w:rsidP="004046A8">
      <w:pPr>
        <w:pStyle w:val="Body"/>
      </w:pPr>
      <w:r>
        <w:rPr>
          <w:noProof/>
          <w:lang w:eastAsia="en-AU"/>
        </w:rPr>
        <w:drawing>
          <wp:inline distT="0" distB="0" distL="0" distR="0" wp14:anchorId="4685826E" wp14:editId="15E092D3">
            <wp:extent cx="5759450" cy="2159635"/>
            <wp:effectExtent l="0" t="0" r="12700" b="12065"/>
            <wp:docPr id="194" name="Chart 194" descr="This chart presents the percentage of respondents reporting low or above average financial destress. The chart also shows the number of respondents who reported not knowing or refusing to answer the question. The findings are discussed in the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24ED902" w14:textId="0936D366" w:rsidR="001B6266" w:rsidRPr="00D17E58" w:rsidRDefault="001B6266" w:rsidP="001B6266">
      <w:pPr>
        <w:pStyle w:val="FigureNote"/>
      </w:pPr>
      <w:r w:rsidRPr="00810D9B">
        <w:t xml:space="preserve">Base: </w:t>
      </w:r>
      <w:r w:rsidRPr="00810D9B">
        <w:tab/>
        <w:t xml:space="preserve">All respondents </w:t>
      </w:r>
      <w:r>
        <w:t>(n=</w:t>
      </w:r>
      <w:r w:rsidRPr="00810D9B">
        <w:t>4,</w:t>
      </w:r>
      <w:r>
        <w:t>602</w:t>
      </w:r>
      <w:r w:rsidRPr="00810D9B">
        <w:t>)</w:t>
      </w:r>
      <w:r>
        <w:t>.</w:t>
      </w:r>
    </w:p>
    <w:p w14:paraId="55E825D3" w14:textId="71A38454" w:rsidR="001B6266" w:rsidRDefault="001B6266" w:rsidP="001B6266">
      <w:pPr>
        <w:pStyle w:val="FigureNote"/>
      </w:pPr>
      <w:r>
        <w:t>SR1</w:t>
      </w:r>
      <w:r w:rsidRPr="00810D9B">
        <w:tab/>
      </w:r>
      <w:r w:rsidRPr="001B6266">
        <w:t>What do you feel is the level of your financial stress today, on a scale of 1 to 10 where 1 is not at all stressed and 10 is as stressed as can be</w:t>
      </w:r>
      <w:r w:rsidRPr="00810D9B">
        <w:t xml:space="preserve">? </w:t>
      </w:r>
    </w:p>
    <w:p w14:paraId="0CEE0219" w14:textId="436F31AD" w:rsidR="00002CBC" w:rsidRDefault="001B6266" w:rsidP="001B6266">
      <w:pPr>
        <w:pStyle w:val="FigureNote"/>
      </w:pPr>
      <w:r>
        <w:t>Note</w:t>
      </w:r>
      <w:r>
        <w:tab/>
        <w:t>Don’t know and Refused responses included in base.</w:t>
      </w:r>
    </w:p>
    <w:p w14:paraId="1BD1987C" w14:textId="52D39055" w:rsidR="001B6266" w:rsidRDefault="001B6266" w:rsidP="001B6266">
      <w:pPr>
        <w:pStyle w:val="FigureNote"/>
      </w:pPr>
    </w:p>
    <w:p w14:paraId="715091A0" w14:textId="7A36EA27" w:rsidR="00D0511A" w:rsidRDefault="001B6266" w:rsidP="001B6266">
      <w:pPr>
        <w:pStyle w:val="Body"/>
      </w:pPr>
      <w:r>
        <w:t xml:space="preserve">No statistically significant differences were reported between jurisdictions in relation to the </w:t>
      </w:r>
      <w:r w:rsidR="00D0511A">
        <w:t>proportion of workers who have above average levels</w:t>
      </w:r>
      <w:r>
        <w:t xml:space="preserve"> of financial stress. In</w:t>
      </w:r>
      <w:r w:rsidR="00D0511A">
        <w:t xml:space="preserve">dicatively, workers </w:t>
      </w:r>
      <w:r w:rsidR="006C4EDE">
        <w:t xml:space="preserve">from </w:t>
      </w:r>
      <w:r w:rsidR="00D0511A">
        <w:t>Queensland (31.8%), Northern Territory (30.3%) and the ACT (29.8%) appear more likely to have above average levels of financial stress.</w:t>
      </w:r>
    </w:p>
    <w:p w14:paraId="23C32F2D" w14:textId="27C1C2C5" w:rsidR="00D0511A" w:rsidRDefault="00D0511A" w:rsidP="001B6266">
      <w:pPr>
        <w:pStyle w:val="Body"/>
      </w:pPr>
      <w:r>
        <w:lastRenderedPageBreak/>
        <w:t>Similarly, there was no statistically</w:t>
      </w:r>
      <w:r w:rsidRPr="00D0511A">
        <w:t xml:space="preserve"> significant variation </w:t>
      </w:r>
      <w:r>
        <w:t xml:space="preserve">in financial stress </w:t>
      </w:r>
      <w:r w:rsidRPr="00D0511A">
        <w:t xml:space="preserve">between </w:t>
      </w:r>
      <w:r>
        <w:t>workers with different injury</w:t>
      </w:r>
      <w:r w:rsidR="00F27BDF">
        <w:t>/illness</w:t>
      </w:r>
      <w:r>
        <w:t xml:space="preserve"> types. That said, it appears that those whose </w:t>
      </w:r>
      <w:r w:rsidR="0025300B">
        <w:t>injury/illness</w:t>
      </w:r>
      <w:r>
        <w:t xml:space="preserve"> was not physical were more likely to have above average levels of financial stress – those who experienced other trauma (30.8%) and those with mental illness (30.7%) reported the highest levels of above average financial stress.</w:t>
      </w:r>
    </w:p>
    <w:p w14:paraId="5C820C76" w14:textId="61BB7484" w:rsidR="001B6266" w:rsidRPr="00883B78" w:rsidRDefault="00883B78" w:rsidP="00883B78">
      <w:pPr>
        <w:pStyle w:val="Body"/>
      </w:pPr>
      <w:r>
        <w:t>Understandably</w:t>
      </w:r>
      <w:r w:rsidR="00D0511A">
        <w:t xml:space="preserve">, a significant difference in financial stress levels was evident between those currently working and those not working at the time of survey. More than half </w:t>
      </w:r>
      <w:r w:rsidR="00BA4270">
        <w:t>(</w:t>
      </w:r>
      <w:r w:rsidR="00D0511A">
        <w:t>55.0%</w:t>
      </w:r>
      <w:r w:rsidR="00BA4270">
        <w:t>)</w:t>
      </w:r>
      <w:r w:rsidR="00D0511A">
        <w:t xml:space="preserve"> of those not working reported financial stress of 7 or higher, compared to only 23.2% of tho</w:t>
      </w:r>
      <w:r>
        <w:t>se currently working.</w:t>
      </w:r>
    </w:p>
    <w:p w14:paraId="0093917D" w14:textId="4F4E75F2" w:rsidR="001B6266" w:rsidRDefault="001B6266" w:rsidP="00D0461D">
      <w:pPr>
        <w:pStyle w:val="Caption"/>
      </w:pPr>
      <w:bookmarkStart w:id="99" w:name="_Toc528056589"/>
      <w:r w:rsidRPr="00D0461D">
        <w:t xml:space="preserve">Figure </w:t>
      </w:r>
      <w:r w:rsidR="006F2BDD">
        <w:rPr>
          <w:noProof/>
        </w:rPr>
        <w:fldChar w:fldCharType="begin"/>
      </w:r>
      <w:r w:rsidR="006F2BDD">
        <w:rPr>
          <w:noProof/>
        </w:rPr>
        <w:instrText xml:space="preserve"> SEQ Figure \* ARABIC </w:instrText>
      </w:r>
      <w:r w:rsidR="006F2BDD">
        <w:rPr>
          <w:noProof/>
        </w:rPr>
        <w:fldChar w:fldCharType="separate"/>
      </w:r>
      <w:r w:rsidR="00B9340A">
        <w:rPr>
          <w:noProof/>
        </w:rPr>
        <w:t>22</w:t>
      </w:r>
      <w:r w:rsidR="006F2BDD">
        <w:rPr>
          <w:noProof/>
        </w:rPr>
        <w:fldChar w:fldCharType="end"/>
      </w:r>
      <w:r w:rsidRPr="00D0461D">
        <w:tab/>
        <w:t xml:space="preserve">Above average financial stress, by jurisdiction, </w:t>
      </w:r>
      <w:r w:rsidR="0025300B">
        <w:t>injury/illness</w:t>
      </w:r>
      <w:r w:rsidRPr="00D0461D">
        <w:t xml:space="preserve"> type and work status – 2018 (%)</w:t>
      </w:r>
      <w:bookmarkEnd w:id="99"/>
    </w:p>
    <w:p w14:paraId="64A0FBA8" w14:textId="1F3E745D" w:rsidR="001B6266" w:rsidRPr="001B6266" w:rsidRDefault="001B6266" w:rsidP="001B6266">
      <w:pPr>
        <w:pStyle w:val="Body"/>
      </w:pPr>
      <w:r>
        <w:rPr>
          <w:noProof/>
          <w:color w:val="FF0000"/>
          <w:lang w:eastAsia="en-AU"/>
        </w:rPr>
        <w:drawing>
          <wp:inline distT="0" distB="0" distL="0" distR="0" wp14:anchorId="3A02E36F" wp14:editId="7D3DA7B2">
            <wp:extent cx="5759450" cy="3959860"/>
            <wp:effectExtent l="0" t="0" r="12700" b="2540"/>
            <wp:docPr id="195" name="Chart 195" descr="This chart presnts the percentage of respondents reporting above average financial destress, by jurisdiction, injury/illness type and work status. The findings are discussed in the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739103B" w14:textId="77777777" w:rsidR="00D0511A" w:rsidRPr="00D17E58" w:rsidRDefault="00D0511A" w:rsidP="00D0511A">
      <w:pPr>
        <w:pStyle w:val="FigureNote"/>
      </w:pPr>
      <w:r w:rsidRPr="00810D9B">
        <w:t xml:space="preserve">Base: </w:t>
      </w:r>
      <w:r w:rsidRPr="00810D9B">
        <w:tab/>
        <w:t xml:space="preserve">All respondents </w:t>
      </w:r>
      <w:r>
        <w:t>(n=</w:t>
      </w:r>
      <w:r w:rsidRPr="00810D9B">
        <w:t>4,</w:t>
      </w:r>
      <w:r>
        <w:t>602</w:t>
      </w:r>
      <w:r w:rsidRPr="00810D9B">
        <w:t>)</w:t>
      </w:r>
      <w:r>
        <w:t>, ACT (n=150), Comcare (n=770), NSW (n=865), NT (n=150), QLD (n=809), Seacare (n=58), TAS (n=482), WA (n=513), VIC (n=805). Fractures (n=628), Musculoskeletal Disorders (n=2,678), Other Trauma (n=792), Mental Illness (n=286), Other Diseases (n=218), Currently working (n=3,689), Not working (n=901).</w:t>
      </w:r>
    </w:p>
    <w:p w14:paraId="19D67B5F" w14:textId="287D462E" w:rsidR="00D870E7" w:rsidRDefault="001B6266" w:rsidP="00D0511A">
      <w:pPr>
        <w:pStyle w:val="FigureNote"/>
      </w:pPr>
      <w:r w:rsidRPr="009A7AC8">
        <w:t>SR1</w:t>
      </w:r>
      <w:r w:rsidRPr="009A7AC8">
        <w:tab/>
        <w:t>What do you feel is the level of your financial stress today, on a scale of 1 to 10 where 1 is not at all stressed and 10 is as stressed as can be?</w:t>
      </w:r>
    </w:p>
    <w:p w14:paraId="295A4F65" w14:textId="63735ABD" w:rsidR="00D0511A" w:rsidRPr="00D0511A" w:rsidRDefault="00D0511A" w:rsidP="00D0511A">
      <w:pPr>
        <w:pStyle w:val="FigureNote"/>
      </w:pPr>
      <w:r>
        <w:t>Note:</w:t>
      </w:r>
      <w:r>
        <w:tab/>
        <w:t xml:space="preserve">Don’t know and Refused responses included in base. </w:t>
      </w:r>
      <w:r w:rsidRPr="00887D32">
        <w:t xml:space="preserve">Asterisks indicate statistically significant </w:t>
      </w:r>
      <w:r w:rsidRPr="00611565">
        <w:t>difference</w:t>
      </w:r>
      <w:r w:rsidR="006C4EDE">
        <w:t xml:space="preserve"> </w:t>
      </w:r>
      <w:r w:rsidRPr="00611565">
        <w:t>(single asterisk (*) indicates a lower proportion; double asterisk (**) indicates a higher p</w:t>
      </w:r>
      <w:r w:rsidRPr="00887D32">
        <w:t>roportion</w:t>
      </w:r>
      <w:r>
        <w:t>)</w:t>
      </w:r>
      <w:r w:rsidR="003E25AE">
        <w:t xml:space="preserve"> (p-value &lt;=0.05).</w:t>
      </w:r>
    </w:p>
    <w:p w14:paraId="6802585D" w14:textId="4A677A8B" w:rsidR="00CD39CA" w:rsidRDefault="00CD39CA" w:rsidP="00CD39CA">
      <w:pPr>
        <w:pStyle w:val="Heading1"/>
      </w:pPr>
      <w:bookmarkStart w:id="100" w:name="_Toc528056033"/>
      <w:r>
        <w:lastRenderedPageBreak/>
        <w:t>Workplace Domain Measures</w:t>
      </w:r>
      <w:bookmarkEnd w:id="100"/>
    </w:p>
    <w:p w14:paraId="5F7D3762" w14:textId="59A336EF" w:rsidR="00E330C7" w:rsidRDefault="00E330C7" w:rsidP="004046A8">
      <w:pPr>
        <w:pStyle w:val="Body"/>
      </w:pPr>
      <w:r w:rsidRPr="00E330C7">
        <w:t xml:space="preserve">The workplace domain considers the working environment, work relationships, work design and its ergonomic impacts, support systems </w:t>
      </w:r>
      <w:r w:rsidR="008053EA">
        <w:t>(</w:t>
      </w:r>
      <w:r w:rsidRPr="00E330C7">
        <w:t>such as employee assistance plans</w:t>
      </w:r>
      <w:r w:rsidR="008053EA">
        <w:t>)</w:t>
      </w:r>
      <w:r w:rsidRPr="00E330C7">
        <w:t xml:space="preserve"> and how a workplace accommodates workers returning to work</w:t>
      </w:r>
      <w:r w:rsidR="004046A8" w:rsidRPr="00E330C7">
        <w:t>.</w:t>
      </w:r>
      <w:r>
        <w:t xml:space="preserve"> Historically, the </w:t>
      </w:r>
      <w:r w:rsidR="009F6114">
        <w:t>NRTWS</w:t>
      </w:r>
      <w:r>
        <w:t xml:space="preserve"> has focused primarily on measures that would fall within the workplace domain. The 2018 NRTWS included many of these longstanding items, along with some new measures.</w:t>
      </w:r>
    </w:p>
    <w:p w14:paraId="40F1EE97" w14:textId="70F70795" w:rsidR="004046A8" w:rsidRDefault="00E330C7" w:rsidP="004046A8">
      <w:pPr>
        <w:pStyle w:val="Body"/>
      </w:pPr>
      <w:r>
        <w:t>This section reports findings related to return to work planning and dedicated RTW coordinators, the reactions of employers and colleagues to workers</w:t>
      </w:r>
      <w:r w:rsidR="00F27BDF">
        <w:t xml:space="preserve"> with work-related injury or illness</w:t>
      </w:r>
      <w:r>
        <w:t xml:space="preserve">, perceptions of the support offered by employers to </w:t>
      </w:r>
      <w:r w:rsidR="00F27BDF">
        <w:t xml:space="preserve">these </w:t>
      </w:r>
      <w:r>
        <w:t>workers</w:t>
      </w:r>
      <w:r w:rsidR="00F27BDF">
        <w:t>,</w:t>
      </w:r>
      <w:r>
        <w:t xml:space="preserve"> and interactions between </w:t>
      </w:r>
      <w:r w:rsidR="00F27BDF">
        <w:t xml:space="preserve">these </w:t>
      </w:r>
      <w:r>
        <w:t>workers and their employers.</w:t>
      </w:r>
    </w:p>
    <w:p w14:paraId="5862A0F2" w14:textId="07E65EB5" w:rsidR="00534357" w:rsidRDefault="00534357" w:rsidP="00534357">
      <w:pPr>
        <w:pStyle w:val="Heading2"/>
      </w:pPr>
      <w:bookmarkStart w:id="101" w:name="_Toc528056034"/>
      <w:r>
        <w:t>Return to work planning</w:t>
      </w:r>
      <w:bookmarkEnd w:id="101"/>
    </w:p>
    <w:p w14:paraId="118B3F58" w14:textId="6154C78D" w:rsidR="00D0461D" w:rsidRDefault="00D0461D" w:rsidP="00D0461D">
      <w:pPr>
        <w:pStyle w:val="Body"/>
      </w:pPr>
      <w:r>
        <w:t>All respondents were asked if they have or have had a plan in place to get back to work. Previously this question has been asked as ‘J3aa’ in the Return to Work Survey.</w:t>
      </w:r>
      <w:r w:rsidR="00AE47B3">
        <w:t xml:space="preserve"> </w:t>
      </w:r>
      <w:r w:rsidR="003F7DEB">
        <w:t xml:space="preserve">Approximately </w:t>
      </w:r>
      <w:r w:rsidR="00AE47B3">
        <w:t>two-thirds (65.3%) of 2018 survey respondents reported having a return to work plan, almost identical to the 2016 result (see Figure 2</w:t>
      </w:r>
      <w:r w:rsidR="005320D2">
        <w:t>3</w:t>
      </w:r>
      <w:r w:rsidR="00AE47B3">
        <w:t>).</w:t>
      </w:r>
    </w:p>
    <w:p w14:paraId="22463973" w14:textId="1F1B1123" w:rsidR="00D0461D" w:rsidRDefault="00D0461D" w:rsidP="00D0461D">
      <w:pPr>
        <w:pStyle w:val="Caption"/>
      </w:pPr>
      <w:bookmarkStart w:id="102" w:name="_Toc528056590"/>
      <w:r>
        <w:t xml:space="preserve">Figure </w:t>
      </w:r>
      <w:r w:rsidR="006F2BDD">
        <w:rPr>
          <w:noProof/>
        </w:rPr>
        <w:fldChar w:fldCharType="begin"/>
      </w:r>
      <w:r w:rsidR="006F2BDD">
        <w:rPr>
          <w:noProof/>
        </w:rPr>
        <w:instrText xml:space="preserve"> SEQ Figure \* ARABIC </w:instrText>
      </w:r>
      <w:r w:rsidR="006F2BDD">
        <w:rPr>
          <w:noProof/>
        </w:rPr>
        <w:fldChar w:fldCharType="separate"/>
      </w:r>
      <w:r w:rsidR="00B9340A">
        <w:rPr>
          <w:noProof/>
        </w:rPr>
        <w:t>23</w:t>
      </w:r>
      <w:r w:rsidR="006F2BDD">
        <w:rPr>
          <w:noProof/>
        </w:rPr>
        <w:fldChar w:fldCharType="end"/>
      </w:r>
      <w:r w:rsidR="00AE47B3">
        <w:tab/>
        <w:t>Proportion of workers who had a return to work plan, time series (%)</w:t>
      </w:r>
      <w:bookmarkEnd w:id="102"/>
    </w:p>
    <w:p w14:paraId="2EFC36AB" w14:textId="48E0C295" w:rsidR="00D0461D" w:rsidRDefault="00D0461D" w:rsidP="00D0461D">
      <w:pPr>
        <w:pStyle w:val="Body"/>
      </w:pPr>
      <w:r>
        <w:rPr>
          <w:noProof/>
          <w:lang w:eastAsia="en-AU"/>
        </w:rPr>
        <w:drawing>
          <wp:inline distT="0" distB="0" distL="0" distR="0" wp14:anchorId="0EFAB612" wp14:editId="0F564156">
            <wp:extent cx="5759450" cy="2159635"/>
            <wp:effectExtent l="0" t="0" r="12700" b="12065"/>
            <wp:docPr id="27" name="Chart 27" descr="This chart presents a time series of the proportion of workers who had a return to work plan. The categories are 'yes' and 'no'. The findings are discussed in the text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7ACABFF" w14:textId="4918190F" w:rsidR="00AE47B3" w:rsidRPr="00D17E58" w:rsidRDefault="00AE47B3" w:rsidP="00AE47B3">
      <w:pPr>
        <w:pStyle w:val="FigureNote"/>
      </w:pPr>
      <w:r w:rsidRPr="00810D9B">
        <w:t xml:space="preserve">Base: </w:t>
      </w:r>
      <w:r w:rsidRPr="00810D9B">
        <w:tab/>
        <w:t>All respondents</w:t>
      </w:r>
      <w:r>
        <w:t>. 2013 (n=3,549</w:t>
      </w:r>
      <w:r w:rsidRPr="00810D9B">
        <w:t>)</w:t>
      </w:r>
      <w:r>
        <w:t>, 2014 (n=3,073), 2016 (n=3,241), 2018 (n=4,455).</w:t>
      </w:r>
    </w:p>
    <w:p w14:paraId="564F2609" w14:textId="454FE9ED" w:rsidR="00AE47B3" w:rsidRDefault="00AE47B3" w:rsidP="00AE47B3">
      <w:pPr>
        <w:pStyle w:val="FigureNote"/>
      </w:pPr>
      <w:r>
        <w:t>EMP</w:t>
      </w:r>
      <w:r w:rsidRPr="009A7AC8">
        <w:t>1</w:t>
      </w:r>
      <w:r w:rsidRPr="009A7AC8">
        <w:tab/>
      </w:r>
      <w:r w:rsidRPr="00AE47B3">
        <w:t>Did you have a plan in place to get back to work</w:t>
      </w:r>
      <w:r w:rsidRPr="009A7AC8">
        <w:t>?</w:t>
      </w:r>
    </w:p>
    <w:p w14:paraId="3572FD4A" w14:textId="7D528721" w:rsidR="00AE47B3" w:rsidRDefault="00AE47B3" w:rsidP="00AE47B3">
      <w:pPr>
        <w:pStyle w:val="FigureNote"/>
      </w:pPr>
      <w:r>
        <w:t>Note:</w:t>
      </w:r>
      <w:r>
        <w:tab/>
        <w:t xml:space="preserve">Don’t know and Refused responses excluded from base. </w:t>
      </w:r>
      <w:r w:rsidRPr="00887D32">
        <w:t xml:space="preserve">Asterisks indicate statistically significant </w:t>
      </w:r>
      <w:r w:rsidRPr="00611565">
        <w:t>difference</w:t>
      </w:r>
      <w:r w:rsidR="006C4EDE">
        <w:t xml:space="preserve"> </w:t>
      </w:r>
      <w:r w:rsidRPr="00611565">
        <w:t>(single asterisk (*) indicates a lower proportion; double asterisk (**) indicates a higher p</w:t>
      </w:r>
      <w:r w:rsidRPr="00887D32">
        <w:t>roportion</w:t>
      </w:r>
      <w:r>
        <w:t>)</w:t>
      </w:r>
      <w:r w:rsidR="003E25AE">
        <w:t xml:space="preserve"> (p-value &lt;=0.05).</w:t>
      </w:r>
    </w:p>
    <w:p w14:paraId="3E4D37B3" w14:textId="77777777" w:rsidR="00AE47B3" w:rsidRPr="00D0511A" w:rsidRDefault="00AE47B3" w:rsidP="00AE47B3">
      <w:pPr>
        <w:pStyle w:val="FigureNote"/>
      </w:pPr>
    </w:p>
    <w:p w14:paraId="435658FE" w14:textId="4E01D8FE" w:rsidR="00534357" w:rsidRDefault="005320D2" w:rsidP="00ED67B8">
      <w:pPr>
        <w:pStyle w:val="Body"/>
        <w:rPr>
          <w:rFonts w:eastAsiaTheme="minorHAnsi" w:cs="Arial"/>
        </w:rPr>
      </w:pPr>
      <w:r>
        <w:rPr>
          <w:rFonts w:cs="Arial"/>
        </w:rPr>
        <w:t xml:space="preserve">As shown in Figure 24 (overleaf) </w:t>
      </w:r>
      <w:r w:rsidR="00534357">
        <w:rPr>
          <w:rFonts w:cs="Arial"/>
        </w:rPr>
        <w:t>workers</w:t>
      </w:r>
      <w:r w:rsidR="00534357" w:rsidRPr="00493EE2">
        <w:rPr>
          <w:rFonts w:cs="Arial"/>
        </w:rPr>
        <w:t xml:space="preserve"> </w:t>
      </w:r>
      <w:r w:rsidR="00534357">
        <w:rPr>
          <w:rFonts w:cs="Arial"/>
        </w:rPr>
        <w:t>from Comcare (7</w:t>
      </w:r>
      <w:r w:rsidR="00457639">
        <w:rPr>
          <w:rFonts w:cs="Arial"/>
        </w:rPr>
        <w:t>3</w:t>
      </w:r>
      <w:r w:rsidR="00534357">
        <w:rPr>
          <w:rFonts w:cs="Arial"/>
        </w:rPr>
        <w:t>.</w:t>
      </w:r>
      <w:r w:rsidR="00457639">
        <w:rPr>
          <w:rFonts w:cs="Arial"/>
        </w:rPr>
        <w:t>6</w:t>
      </w:r>
      <w:r w:rsidR="00534357">
        <w:rPr>
          <w:rFonts w:cs="Arial"/>
        </w:rPr>
        <w:t>%) and Victoria (</w:t>
      </w:r>
      <w:r w:rsidR="00457639">
        <w:rPr>
          <w:rFonts w:cs="Arial"/>
        </w:rPr>
        <w:t>70.8</w:t>
      </w:r>
      <w:r w:rsidR="00534357">
        <w:rPr>
          <w:rFonts w:cs="Arial"/>
        </w:rPr>
        <w:t xml:space="preserve">%) were significantly more likely to have a </w:t>
      </w:r>
      <w:r w:rsidR="00534357" w:rsidRPr="00CA005A">
        <w:t>plan in place to get back to work</w:t>
      </w:r>
      <w:r w:rsidR="00BE2AF5">
        <w:t xml:space="preserve">, while those </w:t>
      </w:r>
      <w:r w:rsidR="00534357" w:rsidRPr="00CA005A">
        <w:t>from Queensland (5</w:t>
      </w:r>
      <w:r w:rsidR="00457639">
        <w:t>6.0</w:t>
      </w:r>
      <w:r w:rsidR="00534357" w:rsidRPr="00CA005A">
        <w:t>%) were significantly less likely to have a plan.</w:t>
      </w:r>
      <w:r w:rsidR="00ED67B8">
        <w:t xml:space="preserve"> No statistically significant differences were observed between small, medium and large businesses (defined by total remuneration) however large businesses (those with total remuneration of $20 million or more) appeared most likely to have return to work plans for workers</w:t>
      </w:r>
      <w:r w:rsidR="00B369C9">
        <w:rPr>
          <w:rFonts w:eastAsiaTheme="minorHAnsi" w:cs="Arial"/>
        </w:rPr>
        <w:t>.</w:t>
      </w:r>
    </w:p>
    <w:p w14:paraId="654CE0A2" w14:textId="77777777" w:rsidR="00457639" w:rsidRDefault="00457639">
      <w:pPr>
        <w:rPr>
          <w:rFonts w:eastAsia="Times New Roman" w:cs="Arial"/>
          <w:b/>
          <w:bCs/>
          <w:color w:val="1F688D"/>
          <w:szCs w:val="18"/>
        </w:rPr>
      </w:pPr>
      <w:r>
        <w:br w:type="page"/>
      </w:r>
    </w:p>
    <w:p w14:paraId="18476EFC" w14:textId="09ED3303" w:rsidR="00D0461D" w:rsidRDefault="00D0461D" w:rsidP="00D0461D">
      <w:pPr>
        <w:pStyle w:val="Caption"/>
      </w:pPr>
      <w:bookmarkStart w:id="103" w:name="_Toc528056591"/>
      <w:r>
        <w:lastRenderedPageBreak/>
        <w:t xml:space="preserve">Figure </w:t>
      </w:r>
      <w:r w:rsidR="006F2BDD">
        <w:rPr>
          <w:noProof/>
        </w:rPr>
        <w:fldChar w:fldCharType="begin"/>
      </w:r>
      <w:r w:rsidR="006F2BDD">
        <w:rPr>
          <w:noProof/>
        </w:rPr>
        <w:instrText xml:space="preserve"> SEQ Figure \* ARABIC </w:instrText>
      </w:r>
      <w:r w:rsidR="006F2BDD">
        <w:rPr>
          <w:noProof/>
        </w:rPr>
        <w:fldChar w:fldCharType="separate"/>
      </w:r>
      <w:r w:rsidR="00B9340A">
        <w:rPr>
          <w:noProof/>
        </w:rPr>
        <w:t>24</w:t>
      </w:r>
      <w:r w:rsidR="006F2BDD">
        <w:rPr>
          <w:noProof/>
        </w:rPr>
        <w:fldChar w:fldCharType="end"/>
      </w:r>
      <w:r>
        <w:tab/>
        <w:t>Proportion of workers who had a return to work plan, by jurisdiction</w:t>
      </w:r>
      <w:r w:rsidR="00457639">
        <w:t xml:space="preserve"> and employer size – 2018 (% yes)</w:t>
      </w:r>
      <w:bookmarkEnd w:id="103"/>
      <w:r>
        <w:t xml:space="preserve"> </w:t>
      </w:r>
    </w:p>
    <w:p w14:paraId="48BB1FC3" w14:textId="39886662" w:rsidR="00D0461D" w:rsidRDefault="00D0461D" w:rsidP="00D0461D">
      <w:pPr>
        <w:pStyle w:val="Body"/>
      </w:pPr>
      <w:r>
        <w:rPr>
          <w:noProof/>
          <w:color w:val="FF0000"/>
          <w:lang w:eastAsia="en-AU"/>
        </w:rPr>
        <w:drawing>
          <wp:inline distT="0" distB="0" distL="0" distR="0" wp14:anchorId="176BA299" wp14:editId="7F38EC85">
            <wp:extent cx="5759450" cy="3240000"/>
            <wp:effectExtent l="0" t="0" r="12700" b="17780"/>
            <wp:docPr id="19" name="Chart 19" descr="This chart presents the proportion of workers who had a return to work plan, by jurisdiction and employer size. The findings are discussed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1C9B386" w14:textId="24B84FA3" w:rsidR="00B960EA" w:rsidRPr="00D17E58" w:rsidRDefault="00B960EA" w:rsidP="00B960EA">
      <w:pPr>
        <w:pStyle w:val="FigureNote"/>
      </w:pPr>
      <w:r w:rsidRPr="00810D9B">
        <w:t xml:space="preserve">Base: </w:t>
      </w:r>
      <w:r w:rsidRPr="00810D9B">
        <w:tab/>
        <w:t>All respondents</w:t>
      </w:r>
      <w:r w:rsidR="00ED67B8">
        <w:t>, 2018</w:t>
      </w:r>
      <w:r>
        <w:t xml:space="preserve"> (n=4,455).</w:t>
      </w:r>
      <w:r w:rsidR="00ED67B8">
        <w:t xml:space="preserve"> </w:t>
      </w:r>
      <w:r w:rsidR="00ED67B8">
        <w:rPr>
          <w:rFonts w:cs="Arial"/>
          <w:szCs w:val="16"/>
        </w:rPr>
        <w:t>ACT (n=145), Comcare (n=749), NSW (n=831), NT (n=145), QLD (n=783), Seacare (n=54), TAS (n=470), WA (n=493), VIC (n=785), Small (Less than $1m) (n=865), Medium (Between $1m and less than $20m) (n=1,242), Large ($20m or more) (n=1,245)</w:t>
      </w:r>
      <w:r w:rsidR="002C170E">
        <w:rPr>
          <w:rFonts w:cs="Arial"/>
          <w:szCs w:val="16"/>
        </w:rPr>
        <w:t>.</w:t>
      </w:r>
    </w:p>
    <w:p w14:paraId="31F8C5B7" w14:textId="77777777" w:rsidR="00B960EA" w:rsidRDefault="00B960EA" w:rsidP="00B960EA">
      <w:pPr>
        <w:pStyle w:val="FigureNote"/>
      </w:pPr>
      <w:r>
        <w:t>EMP</w:t>
      </w:r>
      <w:r w:rsidRPr="009A7AC8">
        <w:t>1</w:t>
      </w:r>
      <w:r w:rsidRPr="009A7AC8">
        <w:tab/>
      </w:r>
      <w:r w:rsidRPr="00AE47B3">
        <w:t>Did you have a plan in place to get back to work</w:t>
      </w:r>
      <w:r w:rsidRPr="009A7AC8">
        <w:t>?</w:t>
      </w:r>
    </w:p>
    <w:p w14:paraId="40CC89A7" w14:textId="62170522" w:rsidR="00B960EA" w:rsidRPr="00D0461D" w:rsidRDefault="00B960EA" w:rsidP="00457639">
      <w:pPr>
        <w:pStyle w:val="FigureNote"/>
      </w:pPr>
      <w:r>
        <w:t>Note:</w:t>
      </w:r>
      <w:r>
        <w:tab/>
        <w:t xml:space="preserve">Don’t know and Refused responses excluded from base. </w:t>
      </w:r>
      <w:r w:rsidRPr="00887D32">
        <w:t xml:space="preserve">Asterisks indicate statistically significant </w:t>
      </w:r>
      <w:r w:rsidRPr="00611565">
        <w:t>difference (single asterisk (*) indicates a lower proportion; double asterisk (**) indicates a higher p</w:t>
      </w:r>
      <w:r w:rsidRPr="00887D32">
        <w:t>roportion</w:t>
      </w:r>
      <w:r>
        <w:t>)</w:t>
      </w:r>
      <w:r w:rsidR="003E25AE">
        <w:t xml:space="preserve"> (p-value &lt;=0.05).</w:t>
      </w:r>
    </w:p>
    <w:p w14:paraId="3279FFC8" w14:textId="6C137BC9" w:rsidR="00534357" w:rsidRDefault="00534357" w:rsidP="00534357">
      <w:pPr>
        <w:pStyle w:val="Heading2"/>
      </w:pPr>
      <w:bookmarkStart w:id="104" w:name="_Toc528056035"/>
      <w:r>
        <w:t>Workplace reaction</w:t>
      </w:r>
      <w:bookmarkEnd w:id="104"/>
    </w:p>
    <w:p w14:paraId="48B420B8" w14:textId="3A2A62E3" w:rsidR="00695058" w:rsidRDefault="005C63FC" w:rsidP="00BC118B">
      <w:pPr>
        <w:pStyle w:val="Body"/>
      </w:pPr>
      <w:r w:rsidRPr="008717CE">
        <w:t xml:space="preserve">The workplace reactions question </w:t>
      </w:r>
      <w:r w:rsidR="008717CE" w:rsidRPr="008717CE">
        <w:t xml:space="preserve">asks workers about their perceptions of </w:t>
      </w:r>
      <w:r w:rsidR="008F0571">
        <w:t xml:space="preserve">their </w:t>
      </w:r>
      <w:r w:rsidR="008717CE" w:rsidRPr="008717CE">
        <w:t>employers</w:t>
      </w:r>
      <w:r w:rsidR="008F0571">
        <w:t>’</w:t>
      </w:r>
      <w:r w:rsidR="008717CE" w:rsidRPr="008717CE">
        <w:t xml:space="preserve"> and colleagues</w:t>
      </w:r>
      <w:r w:rsidR="008F0571">
        <w:t>’</w:t>
      </w:r>
      <w:r w:rsidR="008717CE" w:rsidRPr="008717CE">
        <w:t xml:space="preserve"> attitudes and behaviour related to their injury/illness. This item </w:t>
      </w:r>
      <w:r w:rsidRPr="008717CE">
        <w:t>has</w:t>
      </w:r>
      <w:r w:rsidR="008717CE" w:rsidRPr="008717CE">
        <w:t xml:space="preserve"> been included in the NRTWS historically and was again asked in the 2018 survey, with the addition of one new category. </w:t>
      </w:r>
    </w:p>
    <w:p w14:paraId="54E95D1B" w14:textId="0221AC1E" w:rsidR="00534357" w:rsidRPr="008717CE" w:rsidRDefault="008717CE" w:rsidP="00BC118B">
      <w:pPr>
        <w:pStyle w:val="Body"/>
      </w:pPr>
      <w:r w:rsidRPr="008717CE">
        <w:t xml:space="preserve">Table </w:t>
      </w:r>
      <w:r w:rsidR="0031421F">
        <w:t>5</w:t>
      </w:r>
      <w:r w:rsidR="0031421F" w:rsidRPr="008717CE">
        <w:t xml:space="preserve"> </w:t>
      </w:r>
      <w:r w:rsidRPr="008717CE">
        <w:t>shows the time series result – no significant changes in the proportion of respondents who agreed with these statements</w:t>
      </w:r>
      <w:r w:rsidR="00AD3CC9">
        <w:t xml:space="preserve"> were reported </w:t>
      </w:r>
      <w:r w:rsidRPr="008717CE">
        <w:t xml:space="preserve">in 2016. </w:t>
      </w:r>
      <w:r>
        <w:t xml:space="preserve">As with previous years, the category with the highest level of agreement was that workers’ ‘thought you would be treated differently by people at work’. This highlights an ongoing need for employers of workers to cultivate a workplace culture in which </w:t>
      </w:r>
      <w:r w:rsidR="00695058">
        <w:t>employees</w:t>
      </w:r>
      <w:r>
        <w:t xml:space="preserve"> </w:t>
      </w:r>
      <w:r w:rsidR="00695058">
        <w:t>are supportive of their colleagues.</w:t>
      </w:r>
    </w:p>
    <w:p w14:paraId="1C5D9DEE" w14:textId="63BBB2CA" w:rsidR="00CA1C8C" w:rsidRDefault="00CA1C8C" w:rsidP="00CA1C8C">
      <w:pPr>
        <w:pStyle w:val="Caption"/>
      </w:pPr>
      <w:bookmarkStart w:id="105" w:name="_Toc528056604"/>
      <w:r>
        <w:t xml:space="preserve">Table </w:t>
      </w:r>
      <w:r w:rsidR="006F2BDD">
        <w:rPr>
          <w:noProof/>
        </w:rPr>
        <w:fldChar w:fldCharType="begin"/>
      </w:r>
      <w:r w:rsidR="006F2BDD">
        <w:rPr>
          <w:noProof/>
        </w:rPr>
        <w:instrText xml:space="preserve"> SEQ Table \* ARABIC </w:instrText>
      </w:r>
      <w:r w:rsidR="006F2BDD">
        <w:rPr>
          <w:noProof/>
        </w:rPr>
        <w:fldChar w:fldCharType="separate"/>
      </w:r>
      <w:r w:rsidR="00B9340A">
        <w:rPr>
          <w:noProof/>
        </w:rPr>
        <w:t>5</w:t>
      </w:r>
      <w:r w:rsidR="006F2BDD">
        <w:rPr>
          <w:noProof/>
        </w:rPr>
        <w:fldChar w:fldCharType="end"/>
      </w:r>
      <w:r>
        <w:tab/>
        <w:t>Workplace reaction</w:t>
      </w:r>
      <w:r w:rsidR="001E46DD">
        <w:t xml:space="preserve"> attributes</w:t>
      </w:r>
      <w:r>
        <w:t xml:space="preserve"> – time series (% Strongly Agree / Agree)</w:t>
      </w:r>
      <w:bookmarkEnd w:id="105"/>
    </w:p>
    <w:tbl>
      <w:tblPr>
        <w:tblW w:w="9072" w:type="dxa"/>
        <w:tblLayout w:type="fixed"/>
        <w:tblLook w:val="04A0" w:firstRow="1" w:lastRow="0" w:firstColumn="1" w:lastColumn="0" w:noHBand="0" w:noVBand="1"/>
        <w:tblDescription w:val="This table presents a time series of workplace reaction attributes for repondents reporting they strongly agree or agree with each on the four statements."/>
      </w:tblPr>
      <w:tblGrid>
        <w:gridCol w:w="5216"/>
        <w:gridCol w:w="964"/>
        <w:gridCol w:w="964"/>
        <w:gridCol w:w="964"/>
        <w:gridCol w:w="964"/>
      </w:tblGrid>
      <w:tr w:rsidR="001B644C" w:rsidRPr="001B644C" w14:paraId="1E2BA670" w14:textId="77777777" w:rsidTr="001B644C">
        <w:trPr>
          <w:trHeight w:val="80"/>
          <w:tblHeader/>
        </w:trPr>
        <w:tc>
          <w:tcPr>
            <w:tcW w:w="5216" w:type="dxa"/>
            <w:tcBorders>
              <w:top w:val="nil"/>
              <w:left w:val="nil"/>
              <w:bottom w:val="nil"/>
              <w:right w:val="nil"/>
            </w:tcBorders>
            <w:shd w:val="clear" w:color="000000" w:fill="1F698E"/>
            <w:vAlign w:val="center"/>
            <w:hideMark/>
          </w:tcPr>
          <w:p w14:paraId="7568AA88" w14:textId="77777777" w:rsidR="00CA1C8C" w:rsidRPr="001B644C" w:rsidRDefault="00CA1C8C" w:rsidP="001E46DD">
            <w:pPr>
              <w:spacing w:before="40" w:after="40"/>
              <w:jc w:val="right"/>
              <w:rPr>
                <w:rFonts w:eastAsia="Times New Roman" w:cs="Arial"/>
                <w:bCs/>
                <w:color w:val="FFFFFF"/>
                <w:sz w:val="18"/>
                <w:szCs w:val="18"/>
                <w:lang w:eastAsia="en-AU"/>
              </w:rPr>
            </w:pPr>
            <w:r w:rsidRPr="001B644C">
              <w:rPr>
                <w:rFonts w:eastAsia="Times New Roman" w:cs="Arial"/>
                <w:bCs/>
                <w:color w:val="FFFFFF"/>
                <w:sz w:val="18"/>
                <w:szCs w:val="18"/>
                <w:lang w:eastAsia="en-AU"/>
              </w:rPr>
              <w:t> </w:t>
            </w:r>
          </w:p>
        </w:tc>
        <w:tc>
          <w:tcPr>
            <w:tcW w:w="964" w:type="dxa"/>
            <w:tcBorders>
              <w:top w:val="nil"/>
              <w:left w:val="nil"/>
              <w:bottom w:val="nil"/>
              <w:right w:val="nil"/>
            </w:tcBorders>
            <w:shd w:val="clear" w:color="000000" w:fill="1F698E"/>
            <w:vAlign w:val="center"/>
            <w:hideMark/>
          </w:tcPr>
          <w:p w14:paraId="4B631718" w14:textId="77777777" w:rsidR="00CA1C8C" w:rsidRPr="001B644C" w:rsidRDefault="00CA1C8C" w:rsidP="001E46DD">
            <w:pPr>
              <w:spacing w:before="40" w:after="40"/>
              <w:jc w:val="center"/>
              <w:rPr>
                <w:rFonts w:eastAsia="Times New Roman" w:cs="Arial"/>
                <w:bCs/>
                <w:color w:val="FFFFFF"/>
                <w:sz w:val="18"/>
                <w:szCs w:val="18"/>
                <w:lang w:eastAsia="en-AU"/>
              </w:rPr>
            </w:pPr>
            <w:r w:rsidRPr="001B644C">
              <w:rPr>
                <w:rFonts w:eastAsia="Times New Roman" w:cs="Arial"/>
                <w:bCs/>
                <w:color w:val="FFFFFF"/>
                <w:sz w:val="18"/>
                <w:szCs w:val="18"/>
                <w:lang w:eastAsia="en-AU"/>
              </w:rPr>
              <w:t>2013</w:t>
            </w:r>
          </w:p>
        </w:tc>
        <w:tc>
          <w:tcPr>
            <w:tcW w:w="964" w:type="dxa"/>
            <w:tcBorders>
              <w:top w:val="nil"/>
              <w:left w:val="nil"/>
              <w:bottom w:val="nil"/>
              <w:right w:val="nil"/>
            </w:tcBorders>
            <w:shd w:val="clear" w:color="000000" w:fill="1F698E"/>
            <w:vAlign w:val="center"/>
            <w:hideMark/>
          </w:tcPr>
          <w:p w14:paraId="3379DEF1" w14:textId="77777777" w:rsidR="00CA1C8C" w:rsidRPr="001B644C" w:rsidRDefault="00CA1C8C" w:rsidP="001E46DD">
            <w:pPr>
              <w:spacing w:before="40" w:after="40"/>
              <w:jc w:val="center"/>
              <w:rPr>
                <w:rFonts w:eastAsia="Times New Roman" w:cs="Arial"/>
                <w:bCs/>
                <w:color w:val="FFFFFF"/>
                <w:sz w:val="18"/>
                <w:szCs w:val="18"/>
                <w:lang w:eastAsia="en-AU"/>
              </w:rPr>
            </w:pPr>
            <w:r w:rsidRPr="001B644C">
              <w:rPr>
                <w:rFonts w:eastAsia="Times New Roman" w:cs="Arial"/>
                <w:bCs/>
                <w:color w:val="FFFFFF"/>
                <w:sz w:val="18"/>
                <w:szCs w:val="18"/>
                <w:lang w:eastAsia="en-AU"/>
              </w:rPr>
              <w:t>2014</w:t>
            </w:r>
          </w:p>
        </w:tc>
        <w:tc>
          <w:tcPr>
            <w:tcW w:w="964" w:type="dxa"/>
            <w:tcBorders>
              <w:top w:val="nil"/>
              <w:left w:val="nil"/>
              <w:bottom w:val="nil"/>
              <w:right w:val="nil"/>
            </w:tcBorders>
            <w:shd w:val="clear" w:color="000000" w:fill="1F698E"/>
            <w:vAlign w:val="center"/>
            <w:hideMark/>
          </w:tcPr>
          <w:p w14:paraId="656A9A9E" w14:textId="77777777" w:rsidR="00CA1C8C" w:rsidRPr="001B644C" w:rsidRDefault="00CA1C8C" w:rsidP="001E46DD">
            <w:pPr>
              <w:spacing w:before="40" w:after="40"/>
              <w:jc w:val="center"/>
              <w:rPr>
                <w:rFonts w:eastAsia="Times New Roman" w:cs="Arial"/>
                <w:bCs/>
                <w:color w:val="FFFFFF"/>
                <w:sz w:val="18"/>
                <w:szCs w:val="18"/>
                <w:lang w:eastAsia="en-AU"/>
              </w:rPr>
            </w:pPr>
            <w:r w:rsidRPr="001B644C">
              <w:rPr>
                <w:rFonts w:eastAsia="Times New Roman" w:cs="Arial"/>
                <w:bCs/>
                <w:color w:val="FFFFFF"/>
                <w:sz w:val="18"/>
                <w:szCs w:val="18"/>
                <w:lang w:eastAsia="en-AU"/>
              </w:rPr>
              <w:t>2016</w:t>
            </w:r>
          </w:p>
        </w:tc>
        <w:tc>
          <w:tcPr>
            <w:tcW w:w="964" w:type="dxa"/>
            <w:tcBorders>
              <w:top w:val="nil"/>
              <w:left w:val="nil"/>
              <w:bottom w:val="nil"/>
              <w:right w:val="nil"/>
            </w:tcBorders>
            <w:shd w:val="clear" w:color="000000" w:fill="1F698E"/>
            <w:vAlign w:val="center"/>
            <w:hideMark/>
          </w:tcPr>
          <w:p w14:paraId="45BA7BC9" w14:textId="77777777" w:rsidR="00CA1C8C" w:rsidRPr="001B644C" w:rsidRDefault="00CA1C8C" w:rsidP="001E46DD">
            <w:pPr>
              <w:spacing w:before="40" w:after="40"/>
              <w:jc w:val="center"/>
              <w:rPr>
                <w:rFonts w:eastAsia="Times New Roman" w:cs="Arial"/>
                <w:bCs/>
                <w:color w:val="FFFFFF"/>
                <w:sz w:val="18"/>
                <w:szCs w:val="18"/>
                <w:lang w:eastAsia="en-AU"/>
              </w:rPr>
            </w:pPr>
            <w:r w:rsidRPr="001B644C">
              <w:rPr>
                <w:rFonts w:eastAsia="Times New Roman" w:cs="Arial"/>
                <w:bCs/>
                <w:color w:val="FFFFFF"/>
                <w:sz w:val="18"/>
                <w:szCs w:val="18"/>
                <w:lang w:eastAsia="en-AU"/>
              </w:rPr>
              <w:t>2018</w:t>
            </w:r>
          </w:p>
        </w:tc>
      </w:tr>
      <w:tr w:rsidR="001B644C" w:rsidRPr="001B644C" w14:paraId="298E5CF5" w14:textId="77777777" w:rsidTr="001B644C">
        <w:trPr>
          <w:trHeight w:val="80"/>
        </w:trPr>
        <w:tc>
          <w:tcPr>
            <w:tcW w:w="5216" w:type="dxa"/>
            <w:tcBorders>
              <w:top w:val="nil"/>
              <w:left w:val="nil"/>
              <w:bottom w:val="nil"/>
              <w:right w:val="nil"/>
            </w:tcBorders>
            <w:shd w:val="clear" w:color="000000" w:fill="C7E4F3"/>
            <w:vAlign w:val="center"/>
          </w:tcPr>
          <w:p w14:paraId="64280110" w14:textId="61C262E1" w:rsidR="001B644C" w:rsidRPr="001B644C" w:rsidRDefault="001B644C" w:rsidP="001B644C">
            <w:pPr>
              <w:spacing w:before="40" w:after="40"/>
              <w:rPr>
                <w:rFonts w:eastAsia="Times New Roman" w:cs="Arial"/>
                <w:color w:val="000000"/>
                <w:sz w:val="18"/>
                <w:szCs w:val="18"/>
                <w:lang w:eastAsia="en-AU"/>
              </w:rPr>
            </w:pPr>
            <w:r w:rsidRPr="001B644C">
              <w:rPr>
                <w:rFonts w:eastAsia="Times New Roman" w:cs="Arial"/>
                <w:color w:val="000000"/>
                <w:sz w:val="18"/>
                <w:szCs w:val="18"/>
                <w:lang w:eastAsia="en-AU"/>
              </w:rPr>
              <w:t>Thought you would be treated differently by people at work</w:t>
            </w:r>
          </w:p>
        </w:tc>
        <w:tc>
          <w:tcPr>
            <w:tcW w:w="964" w:type="dxa"/>
            <w:tcBorders>
              <w:top w:val="nil"/>
              <w:left w:val="nil"/>
              <w:bottom w:val="nil"/>
              <w:right w:val="nil"/>
            </w:tcBorders>
            <w:shd w:val="clear" w:color="000000" w:fill="C7E4F3"/>
            <w:vAlign w:val="center"/>
          </w:tcPr>
          <w:p w14:paraId="6DBDA770" w14:textId="79584127" w:rsidR="001B644C" w:rsidRPr="001B644C" w:rsidRDefault="001B644C" w:rsidP="001B644C">
            <w:pPr>
              <w:spacing w:before="40" w:after="40"/>
              <w:ind w:right="227"/>
              <w:jc w:val="right"/>
              <w:rPr>
                <w:rFonts w:eastAsia="Times New Roman" w:cs="Arial"/>
                <w:color w:val="000000"/>
                <w:sz w:val="18"/>
                <w:szCs w:val="18"/>
                <w:lang w:eastAsia="en-AU"/>
              </w:rPr>
            </w:pPr>
            <w:r w:rsidRPr="001B644C">
              <w:rPr>
                <w:rFonts w:eastAsia="Times New Roman" w:cs="Arial"/>
                <w:sz w:val="18"/>
                <w:szCs w:val="18"/>
                <w:lang w:eastAsia="en-AU"/>
              </w:rPr>
              <w:t>37.9</w:t>
            </w:r>
          </w:p>
        </w:tc>
        <w:tc>
          <w:tcPr>
            <w:tcW w:w="964" w:type="dxa"/>
            <w:tcBorders>
              <w:top w:val="nil"/>
              <w:left w:val="nil"/>
              <w:bottom w:val="nil"/>
              <w:right w:val="nil"/>
            </w:tcBorders>
            <w:shd w:val="clear" w:color="000000" w:fill="C7E4F3"/>
            <w:vAlign w:val="center"/>
          </w:tcPr>
          <w:p w14:paraId="1FCD71B8" w14:textId="0363BDEE" w:rsidR="001B644C" w:rsidRPr="001B644C" w:rsidRDefault="001B644C" w:rsidP="001B644C">
            <w:pPr>
              <w:spacing w:before="40" w:after="40"/>
              <w:ind w:right="227"/>
              <w:jc w:val="right"/>
              <w:rPr>
                <w:rFonts w:eastAsia="Times New Roman" w:cs="Arial"/>
                <w:color w:val="000000"/>
                <w:sz w:val="18"/>
                <w:szCs w:val="18"/>
                <w:lang w:eastAsia="en-AU"/>
              </w:rPr>
            </w:pPr>
            <w:r w:rsidRPr="001B644C">
              <w:rPr>
                <w:rFonts w:eastAsia="Times New Roman" w:cs="Arial"/>
                <w:sz w:val="18"/>
                <w:szCs w:val="18"/>
                <w:lang w:eastAsia="en-AU"/>
              </w:rPr>
              <w:t>33.2</w:t>
            </w:r>
            <w:r>
              <w:rPr>
                <w:rFonts w:eastAsia="Times New Roman" w:cs="Arial"/>
                <w:sz w:val="18"/>
                <w:szCs w:val="18"/>
                <w:lang w:eastAsia="en-AU"/>
              </w:rPr>
              <w:t>*</w:t>
            </w:r>
          </w:p>
        </w:tc>
        <w:tc>
          <w:tcPr>
            <w:tcW w:w="964" w:type="dxa"/>
            <w:tcBorders>
              <w:top w:val="nil"/>
              <w:left w:val="nil"/>
              <w:bottom w:val="nil"/>
              <w:right w:val="nil"/>
            </w:tcBorders>
            <w:shd w:val="clear" w:color="000000" w:fill="C7E4F3"/>
            <w:vAlign w:val="center"/>
          </w:tcPr>
          <w:p w14:paraId="27906767" w14:textId="2ADE28BD" w:rsidR="001B644C" w:rsidRPr="001B644C" w:rsidRDefault="001B644C" w:rsidP="001B644C">
            <w:pPr>
              <w:spacing w:before="40" w:after="40"/>
              <w:ind w:right="227"/>
              <w:jc w:val="right"/>
              <w:rPr>
                <w:rFonts w:eastAsia="Times New Roman" w:cs="Arial"/>
                <w:color w:val="000000"/>
                <w:sz w:val="18"/>
                <w:szCs w:val="18"/>
                <w:lang w:eastAsia="en-AU"/>
              </w:rPr>
            </w:pPr>
            <w:r w:rsidRPr="001B644C">
              <w:rPr>
                <w:rFonts w:eastAsia="Times New Roman" w:cs="Arial"/>
                <w:sz w:val="18"/>
                <w:szCs w:val="18"/>
                <w:lang w:eastAsia="en-AU"/>
              </w:rPr>
              <w:t>32.4</w:t>
            </w:r>
          </w:p>
        </w:tc>
        <w:tc>
          <w:tcPr>
            <w:tcW w:w="964" w:type="dxa"/>
            <w:tcBorders>
              <w:top w:val="nil"/>
              <w:left w:val="nil"/>
              <w:bottom w:val="nil"/>
              <w:right w:val="nil"/>
            </w:tcBorders>
            <w:shd w:val="clear" w:color="000000" w:fill="C7E4F3"/>
            <w:vAlign w:val="center"/>
          </w:tcPr>
          <w:p w14:paraId="69DB9FCD" w14:textId="27CDAFA1" w:rsidR="001B644C" w:rsidRPr="001B644C" w:rsidRDefault="001B644C" w:rsidP="001B644C">
            <w:pPr>
              <w:spacing w:before="40" w:after="40"/>
              <w:ind w:right="227"/>
              <w:jc w:val="right"/>
              <w:rPr>
                <w:rFonts w:eastAsia="Times New Roman" w:cs="Arial"/>
                <w:color w:val="000000"/>
                <w:sz w:val="18"/>
                <w:szCs w:val="18"/>
                <w:lang w:eastAsia="en-AU"/>
              </w:rPr>
            </w:pPr>
            <w:r w:rsidRPr="001B644C">
              <w:rPr>
                <w:rFonts w:eastAsia="Times New Roman" w:cs="Arial"/>
                <w:sz w:val="18"/>
                <w:szCs w:val="18"/>
                <w:lang w:eastAsia="en-AU"/>
              </w:rPr>
              <w:t>32.2</w:t>
            </w:r>
          </w:p>
        </w:tc>
      </w:tr>
      <w:tr w:rsidR="001B644C" w:rsidRPr="001B644C" w14:paraId="7CDEECCF" w14:textId="77777777" w:rsidTr="001B644C">
        <w:trPr>
          <w:trHeight w:val="80"/>
        </w:trPr>
        <w:tc>
          <w:tcPr>
            <w:tcW w:w="5216" w:type="dxa"/>
            <w:tcBorders>
              <w:top w:val="nil"/>
              <w:left w:val="nil"/>
              <w:bottom w:val="nil"/>
              <w:right w:val="nil"/>
            </w:tcBorders>
            <w:shd w:val="clear" w:color="auto" w:fill="auto"/>
            <w:vAlign w:val="center"/>
          </w:tcPr>
          <w:p w14:paraId="5590E28B" w14:textId="7A6C9D47" w:rsidR="001B644C" w:rsidRPr="001B644C" w:rsidRDefault="001B644C" w:rsidP="001B644C">
            <w:pPr>
              <w:spacing w:before="40" w:after="40"/>
              <w:rPr>
                <w:rFonts w:eastAsia="Times New Roman" w:cs="Arial"/>
                <w:color w:val="000000"/>
                <w:sz w:val="18"/>
                <w:szCs w:val="18"/>
                <w:lang w:eastAsia="en-AU"/>
              </w:rPr>
            </w:pPr>
            <w:r>
              <w:rPr>
                <w:rFonts w:eastAsia="Times New Roman" w:cs="Arial"/>
                <w:color w:val="000000"/>
                <w:sz w:val="18"/>
                <w:szCs w:val="18"/>
                <w:lang w:eastAsia="en-AU"/>
              </w:rPr>
              <w:t>S</w:t>
            </w:r>
            <w:r w:rsidRPr="001B644C">
              <w:rPr>
                <w:rFonts w:eastAsia="Times New Roman" w:cs="Arial"/>
                <w:color w:val="000000"/>
                <w:sz w:val="18"/>
                <w:szCs w:val="18"/>
                <w:lang w:eastAsia="en-AU"/>
              </w:rPr>
              <w:t>upervisor thought you were exa</w:t>
            </w:r>
            <w:r w:rsidR="00316A21">
              <w:rPr>
                <w:rFonts w:eastAsia="Times New Roman" w:cs="Arial"/>
                <w:color w:val="000000"/>
                <w:sz w:val="18"/>
                <w:szCs w:val="18"/>
                <w:lang w:eastAsia="en-AU"/>
              </w:rPr>
              <w:t>ggerating or faking your injury/</w:t>
            </w:r>
            <w:r w:rsidRPr="001B644C">
              <w:rPr>
                <w:rFonts w:eastAsia="Times New Roman" w:cs="Arial"/>
                <w:color w:val="000000"/>
                <w:sz w:val="18"/>
                <w:szCs w:val="18"/>
                <w:lang w:eastAsia="en-AU"/>
              </w:rPr>
              <w:t xml:space="preserve">illness </w:t>
            </w:r>
          </w:p>
        </w:tc>
        <w:tc>
          <w:tcPr>
            <w:tcW w:w="964" w:type="dxa"/>
            <w:tcBorders>
              <w:top w:val="nil"/>
              <w:left w:val="nil"/>
              <w:bottom w:val="nil"/>
              <w:right w:val="nil"/>
            </w:tcBorders>
            <w:shd w:val="clear" w:color="auto" w:fill="auto"/>
            <w:vAlign w:val="center"/>
          </w:tcPr>
          <w:p w14:paraId="324FC989" w14:textId="2038E27C" w:rsidR="001B644C" w:rsidRPr="001B644C" w:rsidRDefault="001B644C" w:rsidP="001B644C">
            <w:pPr>
              <w:spacing w:before="40" w:after="40"/>
              <w:ind w:right="227"/>
              <w:jc w:val="right"/>
              <w:rPr>
                <w:rFonts w:eastAsia="Times New Roman" w:cs="Arial"/>
                <w:color w:val="000000"/>
                <w:sz w:val="18"/>
                <w:szCs w:val="18"/>
                <w:lang w:eastAsia="en-AU"/>
              </w:rPr>
            </w:pPr>
            <w:r w:rsidRPr="001B644C">
              <w:rPr>
                <w:rFonts w:eastAsia="Times New Roman" w:cs="Arial"/>
                <w:sz w:val="18"/>
                <w:szCs w:val="18"/>
                <w:lang w:eastAsia="en-AU"/>
              </w:rPr>
              <w:t>25.2</w:t>
            </w:r>
          </w:p>
        </w:tc>
        <w:tc>
          <w:tcPr>
            <w:tcW w:w="964" w:type="dxa"/>
            <w:tcBorders>
              <w:top w:val="nil"/>
              <w:left w:val="nil"/>
              <w:bottom w:val="nil"/>
              <w:right w:val="nil"/>
            </w:tcBorders>
            <w:shd w:val="clear" w:color="auto" w:fill="auto"/>
            <w:vAlign w:val="center"/>
          </w:tcPr>
          <w:p w14:paraId="39F35AD8" w14:textId="415564EC" w:rsidR="001B644C" w:rsidRPr="001B644C" w:rsidRDefault="001B644C" w:rsidP="001B644C">
            <w:pPr>
              <w:spacing w:before="40" w:after="40"/>
              <w:ind w:right="227"/>
              <w:jc w:val="right"/>
              <w:rPr>
                <w:rFonts w:eastAsia="Times New Roman" w:cs="Arial"/>
                <w:color w:val="000000"/>
                <w:sz w:val="18"/>
                <w:szCs w:val="18"/>
                <w:lang w:eastAsia="en-AU"/>
              </w:rPr>
            </w:pPr>
            <w:r w:rsidRPr="001B644C">
              <w:rPr>
                <w:rFonts w:eastAsia="Times New Roman" w:cs="Arial"/>
                <w:sz w:val="18"/>
                <w:szCs w:val="18"/>
                <w:lang w:eastAsia="en-AU"/>
              </w:rPr>
              <w:t>23.0</w:t>
            </w:r>
          </w:p>
        </w:tc>
        <w:tc>
          <w:tcPr>
            <w:tcW w:w="964" w:type="dxa"/>
            <w:tcBorders>
              <w:top w:val="nil"/>
              <w:left w:val="nil"/>
              <w:bottom w:val="nil"/>
              <w:right w:val="nil"/>
            </w:tcBorders>
            <w:shd w:val="clear" w:color="auto" w:fill="auto"/>
            <w:vAlign w:val="center"/>
          </w:tcPr>
          <w:p w14:paraId="47F0F4A6" w14:textId="040D7C38" w:rsidR="001B644C" w:rsidRPr="001B644C" w:rsidRDefault="001B644C" w:rsidP="001B644C">
            <w:pPr>
              <w:spacing w:before="40" w:after="40"/>
              <w:ind w:right="227"/>
              <w:jc w:val="right"/>
              <w:rPr>
                <w:rFonts w:eastAsia="Times New Roman" w:cs="Arial"/>
                <w:color w:val="000000"/>
                <w:sz w:val="18"/>
                <w:szCs w:val="18"/>
                <w:lang w:eastAsia="en-AU"/>
              </w:rPr>
            </w:pPr>
            <w:r w:rsidRPr="001B644C">
              <w:rPr>
                <w:rFonts w:eastAsia="Times New Roman" w:cs="Arial"/>
                <w:sz w:val="18"/>
                <w:szCs w:val="18"/>
                <w:lang w:eastAsia="en-AU"/>
              </w:rPr>
              <w:t>21.9</w:t>
            </w:r>
          </w:p>
        </w:tc>
        <w:tc>
          <w:tcPr>
            <w:tcW w:w="964" w:type="dxa"/>
            <w:tcBorders>
              <w:top w:val="nil"/>
              <w:left w:val="nil"/>
              <w:bottom w:val="nil"/>
              <w:right w:val="nil"/>
            </w:tcBorders>
            <w:shd w:val="clear" w:color="auto" w:fill="auto"/>
            <w:vAlign w:val="center"/>
          </w:tcPr>
          <w:p w14:paraId="01E65887" w14:textId="14631297" w:rsidR="001B644C" w:rsidRPr="001B644C" w:rsidRDefault="001B644C" w:rsidP="001B644C">
            <w:pPr>
              <w:spacing w:before="40" w:after="40"/>
              <w:ind w:right="227"/>
              <w:jc w:val="right"/>
              <w:rPr>
                <w:rFonts w:eastAsia="Times New Roman" w:cs="Arial"/>
                <w:color w:val="000000"/>
                <w:sz w:val="18"/>
                <w:szCs w:val="18"/>
                <w:lang w:eastAsia="en-AU"/>
              </w:rPr>
            </w:pPr>
            <w:r w:rsidRPr="001B644C">
              <w:rPr>
                <w:rFonts w:eastAsia="Times New Roman" w:cs="Arial"/>
                <w:sz w:val="18"/>
                <w:szCs w:val="18"/>
                <w:lang w:eastAsia="en-AU"/>
              </w:rPr>
              <w:t>22.0</w:t>
            </w:r>
          </w:p>
        </w:tc>
      </w:tr>
      <w:tr w:rsidR="001B644C" w:rsidRPr="001B644C" w14:paraId="144EC5DD" w14:textId="77777777" w:rsidTr="001B644C">
        <w:trPr>
          <w:trHeight w:val="80"/>
        </w:trPr>
        <w:tc>
          <w:tcPr>
            <w:tcW w:w="5216" w:type="dxa"/>
            <w:tcBorders>
              <w:top w:val="nil"/>
              <w:left w:val="nil"/>
              <w:right w:val="nil"/>
            </w:tcBorders>
            <w:shd w:val="clear" w:color="000000" w:fill="C7E4F3"/>
            <w:vAlign w:val="center"/>
          </w:tcPr>
          <w:p w14:paraId="0F2FC321" w14:textId="37CCDEB5" w:rsidR="001B644C" w:rsidRPr="001B644C" w:rsidRDefault="001B644C" w:rsidP="001B644C">
            <w:pPr>
              <w:spacing w:before="40" w:after="40"/>
              <w:rPr>
                <w:rFonts w:eastAsia="Times New Roman" w:cs="Arial"/>
                <w:color w:val="000000"/>
                <w:sz w:val="18"/>
                <w:szCs w:val="18"/>
                <w:lang w:eastAsia="en-AU"/>
              </w:rPr>
            </w:pPr>
            <w:r w:rsidRPr="001B644C">
              <w:rPr>
                <w:rFonts w:eastAsia="Times New Roman" w:cs="Arial"/>
                <w:color w:val="000000"/>
                <w:sz w:val="18"/>
                <w:szCs w:val="18"/>
                <w:lang w:eastAsia="en-AU"/>
              </w:rPr>
              <w:t>Concerned you would be fired if you submitted a claim</w:t>
            </w:r>
          </w:p>
        </w:tc>
        <w:tc>
          <w:tcPr>
            <w:tcW w:w="964" w:type="dxa"/>
            <w:tcBorders>
              <w:top w:val="nil"/>
              <w:left w:val="nil"/>
              <w:right w:val="nil"/>
            </w:tcBorders>
            <w:shd w:val="clear" w:color="000000" w:fill="C7E4F3"/>
            <w:vAlign w:val="center"/>
          </w:tcPr>
          <w:p w14:paraId="365D9232" w14:textId="498893E7" w:rsidR="001B644C" w:rsidRPr="001B644C" w:rsidRDefault="001B644C" w:rsidP="001B644C">
            <w:pPr>
              <w:spacing w:before="40" w:after="40"/>
              <w:ind w:right="227"/>
              <w:jc w:val="right"/>
              <w:rPr>
                <w:rFonts w:eastAsia="Times New Roman" w:cs="Arial"/>
                <w:color w:val="000000"/>
                <w:sz w:val="18"/>
                <w:szCs w:val="18"/>
                <w:lang w:eastAsia="en-AU"/>
              </w:rPr>
            </w:pPr>
            <w:r w:rsidRPr="001B644C">
              <w:rPr>
                <w:rFonts w:eastAsia="Times New Roman" w:cs="Arial"/>
                <w:sz w:val="18"/>
                <w:szCs w:val="18"/>
                <w:lang w:eastAsia="en-AU"/>
              </w:rPr>
              <w:t>19.5</w:t>
            </w:r>
          </w:p>
        </w:tc>
        <w:tc>
          <w:tcPr>
            <w:tcW w:w="964" w:type="dxa"/>
            <w:tcBorders>
              <w:top w:val="nil"/>
              <w:left w:val="nil"/>
              <w:right w:val="nil"/>
            </w:tcBorders>
            <w:shd w:val="clear" w:color="000000" w:fill="C7E4F3"/>
            <w:vAlign w:val="center"/>
          </w:tcPr>
          <w:p w14:paraId="3EBE4D66" w14:textId="179EF011" w:rsidR="001B644C" w:rsidRPr="001B644C" w:rsidRDefault="001B644C" w:rsidP="001B644C">
            <w:pPr>
              <w:spacing w:before="40" w:after="40"/>
              <w:ind w:right="227"/>
              <w:jc w:val="right"/>
              <w:rPr>
                <w:rFonts w:eastAsia="Times New Roman" w:cs="Arial"/>
                <w:color w:val="000000"/>
                <w:sz w:val="18"/>
                <w:szCs w:val="18"/>
                <w:lang w:eastAsia="en-AU"/>
              </w:rPr>
            </w:pPr>
            <w:r w:rsidRPr="001B644C">
              <w:rPr>
                <w:rFonts w:eastAsia="Times New Roman" w:cs="Arial"/>
                <w:sz w:val="18"/>
                <w:szCs w:val="18"/>
                <w:lang w:eastAsia="en-AU"/>
              </w:rPr>
              <w:t>17.8</w:t>
            </w:r>
          </w:p>
        </w:tc>
        <w:tc>
          <w:tcPr>
            <w:tcW w:w="964" w:type="dxa"/>
            <w:tcBorders>
              <w:top w:val="nil"/>
              <w:left w:val="nil"/>
              <w:right w:val="nil"/>
            </w:tcBorders>
            <w:shd w:val="clear" w:color="000000" w:fill="C7E4F3"/>
            <w:vAlign w:val="center"/>
          </w:tcPr>
          <w:p w14:paraId="25AC159A" w14:textId="5A51D23E" w:rsidR="001B644C" w:rsidRPr="001B644C" w:rsidRDefault="001B644C" w:rsidP="001B644C">
            <w:pPr>
              <w:spacing w:before="40" w:after="40"/>
              <w:ind w:right="227"/>
              <w:jc w:val="right"/>
              <w:rPr>
                <w:rFonts w:eastAsia="Times New Roman" w:cs="Arial"/>
                <w:color w:val="000000"/>
                <w:sz w:val="18"/>
                <w:szCs w:val="18"/>
                <w:lang w:eastAsia="en-AU"/>
              </w:rPr>
            </w:pPr>
            <w:r>
              <w:rPr>
                <w:rFonts w:eastAsia="Times New Roman" w:cs="Arial"/>
                <w:sz w:val="18"/>
                <w:szCs w:val="18"/>
                <w:lang w:eastAsia="en-AU"/>
              </w:rPr>
              <w:t>18.7</w:t>
            </w:r>
          </w:p>
        </w:tc>
        <w:tc>
          <w:tcPr>
            <w:tcW w:w="964" w:type="dxa"/>
            <w:tcBorders>
              <w:top w:val="nil"/>
              <w:left w:val="nil"/>
              <w:right w:val="nil"/>
            </w:tcBorders>
            <w:shd w:val="clear" w:color="000000" w:fill="C7E4F3"/>
            <w:vAlign w:val="center"/>
          </w:tcPr>
          <w:p w14:paraId="55C57CBA" w14:textId="2A4E39F0" w:rsidR="001B644C" w:rsidRPr="001B644C" w:rsidRDefault="001B644C" w:rsidP="001B644C">
            <w:pPr>
              <w:spacing w:before="40" w:after="40"/>
              <w:ind w:right="227"/>
              <w:jc w:val="right"/>
              <w:rPr>
                <w:rFonts w:eastAsia="Times New Roman" w:cs="Arial"/>
                <w:color w:val="000000"/>
                <w:sz w:val="18"/>
                <w:szCs w:val="18"/>
                <w:lang w:eastAsia="en-AU"/>
              </w:rPr>
            </w:pPr>
            <w:r w:rsidRPr="001B644C">
              <w:rPr>
                <w:rFonts w:eastAsia="Times New Roman" w:cs="Arial"/>
                <w:sz w:val="18"/>
                <w:szCs w:val="18"/>
                <w:lang w:eastAsia="en-AU"/>
              </w:rPr>
              <w:t>21.5</w:t>
            </w:r>
          </w:p>
        </w:tc>
      </w:tr>
      <w:tr w:rsidR="001B644C" w:rsidRPr="001B644C" w14:paraId="45F6004C" w14:textId="77777777" w:rsidTr="001B644C">
        <w:trPr>
          <w:trHeight w:val="80"/>
        </w:trPr>
        <w:tc>
          <w:tcPr>
            <w:tcW w:w="5216" w:type="dxa"/>
            <w:tcBorders>
              <w:top w:val="nil"/>
              <w:left w:val="nil"/>
              <w:bottom w:val="single" w:sz="4" w:space="0" w:color="1F698E" w:themeColor="accent1"/>
              <w:right w:val="nil"/>
            </w:tcBorders>
            <w:shd w:val="clear" w:color="auto" w:fill="auto"/>
            <w:vAlign w:val="center"/>
          </w:tcPr>
          <w:p w14:paraId="2D095E0B" w14:textId="1611843B" w:rsidR="001B644C" w:rsidRPr="001B644C" w:rsidRDefault="001B644C" w:rsidP="001B644C">
            <w:pPr>
              <w:spacing w:before="40" w:after="40"/>
              <w:rPr>
                <w:rFonts w:eastAsia="Times New Roman" w:cs="Arial"/>
                <w:color w:val="000000"/>
                <w:sz w:val="18"/>
                <w:szCs w:val="18"/>
                <w:lang w:eastAsia="en-AU"/>
              </w:rPr>
            </w:pPr>
            <w:r w:rsidRPr="001B644C">
              <w:rPr>
                <w:rFonts w:eastAsia="Times New Roman" w:cs="Arial"/>
                <w:color w:val="000000"/>
                <w:sz w:val="18"/>
                <w:szCs w:val="18"/>
                <w:lang w:eastAsia="en-AU"/>
              </w:rPr>
              <w:t>Your employer discouraged you from putting in a claim</w:t>
            </w:r>
          </w:p>
        </w:tc>
        <w:tc>
          <w:tcPr>
            <w:tcW w:w="964" w:type="dxa"/>
            <w:tcBorders>
              <w:top w:val="nil"/>
              <w:left w:val="nil"/>
              <w:bottom w:val="single" w:sz="4" w:space="0" w:color="1F698E" w:themeColor="accent1"/>
              <w:right w:val="nil"/>
            </w:tcBorders>
            <w:shd w:val="clear" w:color="auto" w:fill="auto"/>
            <w:vAlign w:val="center"/>
          </w:tcPr>
          <w:p w14:paraId="5B698CA8" w14:textId="390A8F52" w:rsidR="001B644C" w:rsidRPr="001B644C" w:rsidRDefault="001B644C" w:rsidP="001B644C">
            <w:pPr>
              <w:spacing w:before="40" w:after="40"/>
              <w:ind w:right="227"/>
              <w:jc w:val="right"/>
              <w:rPr>
                <w:rFonts w:eastAsia="Times New Roman" w:cs="Arial"/>
                <w:sz w:val="18"/>
                <w:szCs w:val="18"/>
                <w:lang w:eastAsia="en-AU"/>
              </w:rPr>
            </w:pPr>
            <w:r w:rsidRPr="001B644C">
              <w:rPr>
                <w:rFonts w:eastAsia="Times New Roman" w:cs="Arial"/>
                <w:sz w:val="18"/>
                <w:szCs w:val="18"/>
                <w:lang w:eastAsia="en-AU"/>
              </w:rPr>
              <w:t>-</w:t>
            </w:r>
          </w:p>
        </w:tc>
        <w:tc>
          <w:tcPr>
            <w:tcW w:w="964" w:type="dxa"/>
            <w:tcBorders>
              <w:top w:val="nil"/>
              <w:left w:val="nil"/>
              <w:bottom w:val="single" w:sz="4" w:space="0" w:color="1F698E" w:themeColor="accent1"/>
              <w:right w:val="nil"/>
            </w:tcBorders>
            <w:shd w:val="clear" w:color="auto" w:fill="auto"/>
            <w:vAlign w:val="center"/>
          </w:tcPr>
          <w:p w14:paraId="7B45FFDD" w14:textId="652905FE" w:rsidR="001B644C" w:rsidRPr="001B644C" w:rsidRDefault="001B644C" w:rsidP="001B644C">
            <w:pPr>
              <w:spacing w:before="40" w:after="40"/>
              <w:ind w:right="227"/>
              <w:jc w:val="right"/>
              <w:rPr>
                <w:rFonts w:eastAsia="Times New Roman" w:cs="Arial"/>
                <w:sz w:val="18"/>
                <w:szCs w:val="18"/>
                <w:lang w:eastAsia="en-AU"/>
              </w:rPr>
            </w:pPr>
            <w:r w:rsidRPr="001B644C">
              <w:rPr>
                <w:rFonts w:eastAsia="Times New Roman" w:cs="Arial"/>
                <w:sz w:val="18"/>
                <w:szCs w:val="18"/>
                <w:lang w:eastAsia="en-AU"/>
              </w:rPr>
              <w:t>-</w:t>
            </w:r>
          </w:p>
        </w:tc>
        <w:tc>
          <w:tcPr>
            <w:tcW w:w="964" w:type="dxa"/>
            <w:tcBorders>
              <w:top w:val="nil"/>
              <w:left w:val="nil"/>
              <w:bottom w:val="single" w:sz="4" w:space="0" w:color="1F698E" w:themeColor="accent1"/>
              <w:right w:val="nil"/>
            </w:tcBorders>
            <w:shd w:val="clear" w:color="auto" w:fill="auto"/>
            <w:vAlign w:val="center"/>
          </w:tcPr>
          <w:p w14:paraId="4775C4A2" w14:textId="71D7CCDE" w:rsidR="001B644C" w:rsidRPr="001B644C" w:rsidRDefault="001B644C" w:rsidP="001B644C">
            <w:pPr>
              <w:spacing w:before="40" w:after="40"/>
              <w:ind w:left="-227" w:right="170"/>
              <w:jc w:val="right"/>
              <w:rPr>
                <w:rFonts w:eastAsia="Times New Roman" w:cs="Arial"/>
                <w:sz w:val="18"/>
                <w:szCs w:val="18"/>
                <w:lang w:eastAsia="en-AU"/>
              </w:rPr>
            </w:pPr>
            <w:r w:rsidRPr="001B644C">
              <w:rPr>
                <w:rFonts w:eastAsia="Times New Roman" w:cs="Arial"/>
                <w:sz w:val="18"/>
                <w:szCs w:val="18"/>
                <w:lang w:eastAsia="en-AU"/>
              </w:rPr>
              <w:t>-</w:t>
            </w:r>
          </w:p>
        </w:tc>
        <w:tc>
          <w:tcPr>
            <w:tcW w:w="964" w:type="dxa"/>
            <w:tcBorders>
              <w:top w:val="nil"/>
              <w:left w:val="nil"/>
              <w:bottom w:val="single" w:sz="4" w:space="0" w:color="1F698E" w:themeColor="accent1"/>
              <w:right w:val="nil"/>
            </w:tcBorders>
            <w:shd w:val="clear" w:color="auto" w:fill="auto"/>
            <w:vAlign w:val="center"/>
          </w:tcPr>
          <w:p w14:paraId="0C0564BB" w14:textId="0CE0E871" w:rsidR="001B644C" w:rsidRPr="001B644C" w:rsidRDefault="001B644C" w:rsidP="001B644C">
            <w:pPr>
              <w:spacing w:before="40" w:after="40"/>
              <w:ind w:right="227"/>
              <w:jc w:val="right"/>
              <w:rPr>
                <w:rFonts w:eastAsia="Times New Roman" w:cs="Arial"/>
                <w:sz w:val="18"/>
                <w:szCs w:val="18"/>
                <w:lang w:eastAsia="en-AU"/>
              </w:rPr>
            </w:pPr>
            <w:r>
              <w:rPr>
                <w:rFonts w:eastAsia="Times New Roman" w:cs="Arial"/>
                <w:sz w:val="18"/>
                <w:szCs w:val="18"/>
                <w:lang w:eastAsia="en-AU"/>
              </w:rPr>
              <w:t>15.6</w:t>
            </w:r>
          </w:p>
        </w:tc>
      </w:tr>
    </w:tbl>
    <w:p w14:paraId="21DF1D74" w14:textId="73105F84" w:rsidR="001B644C" w:rsidRPr="00D17E58" w:rsidRDefault="001B644C" w:rsidP="001B644C">
      <w:pPr>
        <w:pStyle w:val="FigureNote"/>
        <w:spacing w:before="120"/>
      </w:pPr>
      <w:r w:rsidRPr="001B644C">
        <w:t xml:space="preserve">Base: </w:t>
      </w:r>
      <w:r w:rsidRPr="001B644C">
        <w:tab/>
        <w:t>All respondents. 2013 (n=</w:t>
      </w:r>
      <w:r>
        <w:t>4</w:t>
      </w:r>
      <w:r w:rsidRPr="001B644C">
        <w:t>,49</w:t>
      </w:r>
      <w:r>
        <w:t>2 to n=4,596</w:t>
      </w:r>
      <w:r w:rsidRPr="001B644C">
        <w:t>), 2014 (n=</w:t>
      </w:r>
      <w:r>
        <w:t>4,326 to n=4,407</w:t>
      </w:r>
      <w:r w:rsidRPr="001B644C">
        <w:t>), 2016 (n=</w:t>
      </w:r>
      <w:r>
        <w:t>4,377 to n=4,439</w:t>
      </w:r>
      <w:r w:rsidRPr="001B644C">
        <w:t>), 2018 (</w:t>
      </w:r>
      <w:r>
        <w:t>n=4,418 to n=4,490).</w:t>
      </w:r>
    </w:p>
    <w:p w14:paraId="0779AA62" w14:textId="47B86AAF" w:rsidR="001B644C" w:rsidRDefault="001B644C" w:rsidP="001B644C">
      <w:pPr>
        <w:pStyle w:val="FigureNote"/>
      </w:pPr>
      <w:r>
        <w:t>EMP1</w:t>
      </w:r>
      <w:r w:rsidRPr="009A7AC8">
        <w:t>1</w:t>
      </w:r>
      <w:r w:rsidRPr="009A7AC8">
        <w:tab/>
      </w:r>
      <w:r w:rsidR="004F42BC" w:rsidRPr="004F42BC">
        <w:t xml:space="preserve">Thinking back to when you were considering putting in a workers’ compensation claim, do you agree or disagree </w:t>
      </w:r>
      <w:r w:rsidRPr="001B644C">
        <w:t>that</w:t>
      </w:r>
      <w:r>
        <w:t>…</w:t>
      </w:r>
      <w:r w:rsidRPr="009A7AC8">
        <w:t>?</w:t>
      </w:r>
    </w:p>
    <w:p w14:paraId="5773A99B" w14:textId="58883DA0" w:rsidR="000D3DD5" w:rsidRDefault="001B644C" w:rsidP="000D3DD5">
      <w:pPr>
        <w:pStyle w:val="FigureNote"/>
      </w:pPr>
      <w:r>
        <w:t>Note:</w:t>
      </w:r>
      <w:r>
        <w:tab/>
        <w:t xml:space="preserve">Don’t know and Refused responses excluded from base. </w:t>
      </w:r>
      <w:r w:rsidRPr="00887D32">
        <w:t xml:space="preserve">Asterisks indicate statistically significant </w:t>
      </w:r>
      <w:r w:rsidRPr="00611565">
        <w:t>difference</w:t>
      </w:r>
      <w:r w:rsidR="006C4EDE">
        <w:t xml:space="preserve"> </w:t>
      </w:r>
      <w:r w:rsidRPr="00611565">
        <w:t>(single asterisk (*) indicates a lower proportion; double asterisk (**) indicates a higher p</w:t>
      </w:r>
      <w:r w:rsidRPr="00887D32">
        <w:t>roportion</w:t>
      </w:r>
      <w:r>
        <w:t>)</w:t>
      </w:r>
      <w:r w:rsidR="003E25AE">
        <w:t xml:space="preserve"> (p-value &lt;=0.05).</w:t>
      </w:r>
    </w:p>
    <w:p w14:paraId="1F44F3D2" w14:textId="60D4AF6C" w:rsidR="001B644C" w:rsidRDefault="008717CE" w:rsidP="00BC118B">
      <w:pPr>
        <w:pStyle w:val="Body"/>
      </w:pPr>
      <w:r w:rsidRPr="008717CE">
        <w:lastRenderedPageBreak/>
        <w:t xml:space="preserve">Table </w:t>
      </w:r>
      <w:r w:rsidR="006C4EDE">
        <w:t xml:space="preserve">6 </w:t>
      </w:r>
      <w:r w:rsidRPr="008717CE">
        <w:t>compares the results of the workplace reactions questions between jurisdictions</w:t>
      </w:r>
      <w:r w:rsidR="005B7B50">
        <w:t xml:space="preserve"> and shows </w:t>
      </w:r>
      <w:r w:rsidR="005B7B50" w:rsidRPr="008717CE">
        <w:t>similar</w:t>
      </w:r>
      <w:r w:rsidRPr="008717CE">
        <w:t xml:space="preserve"> </w:t>
      </w:r>
      <w:r w:rsidR="005B7B50">
        <w:t>ratings were reported</w:t>
      </w:r>
      <w:r w:rsidRPr="008717CE">
        <w:t xml:space="preserve"> across all jurisdictions. No statistically significant differences were reported by jurisdiction.</w:t>
      </w:r>
    </w:p>
    <w:p w14:paraId="30968D90" w14:textId="7F01D003" w:rsidR="001B644C" w:rsidRDefault="006B0471" w:rsidP="00BC118B">
      <w:pPr>
        <w:pStyle w:val="Body"/>
      </w:pPr>
      <w:r>
        <w:t>Many significant differences were evident based on the nature of injury/illness sustained. Those who experienced a musculoskeletal disorder or mental illness were significantly more likely to agree with the workplace reaction questions. Most notably, 72.4% of those who experienced mental illness felt that they would be treated differently by people at work, and 46.4% felt that their s</w:t>
      </w:r>
      <w:r w:rsidRPr="006B0471">
        <w:t xml:space="preserve">upervisor thought </w:t>
      </w:r>
      <w:r w:rsidR="00011EE8">
        <w:t>they</w:t>
      </w:r>
      <w:r w:rsidRPr="006B0471">
        <w:t xml:space="preserve"> were exaggerating or faking </w:t>
      </w:r>
      <w:r w:rsidR="00011EE8">
        <w:t>thei</w:t>
      </w:r>
      <w:r w:rsidR="0025300B">
        <w:t>r injury/</w:t>
      </w:r>
      <w:r w:rsidRPr="006B0471">
        <w:t>illness</w:t>
      </w:r>
      <w:r w:rsidR="00011EE8">
        <w:t>. Conversely, those who experienced fractures or other trauma were significantly less likely to agree with most or all the workplace reaction questions.</w:t>
      </w:r>
    </w:p>
    <w:p w14:paraId="306E717F" w14:textId="5A5AA8BD" w:rsidR="00011EE8" w:rsidRDefault="00011EE8" w:rsidP="00BC118B">
      <w:pPr>
        <w:pStyle w:val="Body"/>
      </w:pPr>
      <w:r>
        <w:t>Workplace reaction results were consistent between workers of different sized employers, with one exception. Those from small and medium sized organisations were significantly more likely to agree that their employer discouraged them from putting in a claim.</w:t>
      </w:r>
    </w:p>
    <w:p w14:paraId="127E319C" w14:textId="02D2EEE8" w:rsidR="001B644C" w:rsidRDefault="001B644C" w:rsidP="001B644C">
      <w:pPr>
        <w:pStyle w:val="Caption"/>
      </w:pPr>
      <w:bookmarkStart w:id="106" w:name="_Toc528056605"/>
      <w:r>
        <w:t xml:space="preserve">Table </w:t>
      </w:r>
      <w:r w:rsidR="006F2BDD">
        <w:rPr>
          <w:noProof/>
        </w:rPr>
        <w:fldChar w:fldCharType="begin"/>
      </w:r>
      <w:r w:rsidR="006F2BDD">
        <w:rPr>
          <w:noProof/>
        </w:rPr>
        <w:instrText xml:space="preserve"> SEQ Table \* ARABIC </w:instrText>
      </w:r>
      <w:r w:rsidR="006F2BDD">
        <w:rPr>
          <w:noProof/>
        </w:rPr>
        <w:fldChar w:fldCharType="separate"/>
      </w:r>
      <w:r w:rsidR="00B9340A">
        <w:rPr>
          <w:noProof/>
        </w:rPr>
        <w:t>6</w:t>
      </w:r>
      <w:r w:rsidR="006F2BDD">
        <w:rPr>
          <w:noProof/>
        </w:rPr>
        <w:fldChar w:fldCharType="end"/>
      </w:r>
      <w:r>
        <w:tab/>
        <w:t>Workplace reaction</w:t>
      </w:r>
      <w:r w:rsidR="001E46DD">
        <w:t xml:space="preserve"> attributes</w:t>
      </w:r>
      <w:r>
        <w:t xml:space="preserve">, by jurisdiction, </w:t>
      </w:r>
      <w:r w:rsidR="0025300B">
        <w:t>injury/illness</w:t>
      </w:r>
      <w:r>
        <w:t xml:space="preserve"> type and employer size – 2018 (% Strongly Agree / Agree)</w:t>
      </w:r>
      <w:bookmarkEnd w:id="106"/>
    </w:p>
    <w:tbl>
      <w:tblPr>
        <w:tblW w:w="9072" w:type="dxa"/>
        <w:tblLayout w:type="fixed"/>
        <w:tblLook w:val="04A0" w:firstRow="1" w:lastRow="0" w:firstColumn="1" w:lastColumn="0" w:noHBand="0" w:noVBand="1"/>
        <w:tblDescription w:val="This table presents the proportion of repondents who reported strongly agreeing or agreeing with each of the four workplace reaction attribute statements by jursidiction, injury/illness types and employer size. The findings are reported in the text above."/>
      </w:tblPr>
      <w:tblGrid>
        <w:gridCol w:w="2948"/>
        <w:gridCol w:w="1531"/>
        <w:gridCol w:w="1531"/>
        <w:gridCol w:w="1531"/>
        <w:gridCol w:w="1531"/>
      </w:tblGrid>
      <w:tr w:rsidR="001B644C" w:rsidRPr="008B2C65" w14:paraId="0A18BEFC" w14:textId="77777777" w:rsidTr="001B644C">
        <w:trPr>
          <w:trHeight w:val="80"/>
          <w:tblHeader/>
        </w:trPr>
        <w:tc>
          <w:tcPr>
            <w:tcW w:w="2948" w:type="dxa"/>
            <w:tcBorders>
              <w:top w:val="nil"/>
              <w:left w:val="nil"/>
              <w:bottom w:val="nil"/>
              <w:right w:val="nil"/>
            </w:tcBorders>
            <w:shd w:val="clear" w:color="000000" w:fill="1F698E"/>
            <w:vAlign w:val="center"/>
            <w:hideMark/>
          </w:tcPr>
          <w:p w14:paraId="29FEB944" w14:textId="77777777" w:rsidR="001B644C" w:rsidRPr="008B2C65" w:rsidRDefault="001B644C" w:rsidP="001E46DD">
            <w:pPr>
              <w:spacing w:before="40" w:after="40"/>
              <w:jc w:val="right"/>
              <w:rPr>
                <w:rFonts w:eastAsia="Times New Roman" w:cs="Arial"/>
                <w:b/>
                <w:bCs/>
                <w:color w:val="FFFFFF"/>
                <w:sz w:val="18"/>
                <w:szCs w:val="18"/>
                <w:lang w:eastAsia="en-AU"/>
              </w:rPr>
            </w:pPr>
            <w:r w:rsidRPr="008B2C65">
              <w:rPr>
                <w:rFonts w:eastAsia="Times New Roman" w:cs="Arial"/>
                <w:b/>
                <w:bCs/>
                <w:color w:val="FFFFFF"/>
                <w:sz w:val="18"/>
                <w:szCs w:val="18"/>
                <w:lang w:eastAsia="en-AU"/>
              </w:rPr>
              <w:t> </w:t>
            </w:r>
          </w:p>
        </w:tc>
        <w:tc>
          <w:tcPr>
            <w:tcW w:w="1531" w:type="dxa"/>
            <w:tcBorders>
              <w:top w:val="nil"/>
              <w:left w:val="nil"/>
              <w:bottom w:val="nil"/>
              <w:right w:val="nil"/>
            </w:tcBorders>
            <w:shd w:val="clear" w:color="000000" w:fill="1F698E"/>
            <w:vAlign w:val="center"/>
            <w:hideMark/>
          </w:tcPr>
          <w:p w14:paraId="2C163D4C" w14:textId="0CBF8041" w:rsidR="001B644C" w:rsidRPr="008B2C65" w:rsidRDefault="001B644C" w:rsidP="001E46DD">
            <w:pPr>
              <w:spacing w:before="40" w:after="40"/>
              <w:jc w:val="center"/>
              <w:rPr>
                <w:rFonts w:eastAsia="Times New Roman" w:cs="Arial"/>
                <w:b/>
                <w:bCs/>
                <w:color w:val="FFFFFF"/>
                <w:sz w:val="18"/>
                <w:szCs w:val="18"/>
                <w:lang w:eastAsia="en-AU"/>
              </w:rPr>
            </w:pPr>
            <w:r w:rsidRPr="001B644C">
              <w:rPr>
                <w:rFonts w:eastAsia="Times New Roman" w:cs="Arial"/>
                <w:b/>
                <w:bCs/>
                <w:color w:val="FFFFFF"/>
                <w:sz w:val="18"/>
                <w:szCs w:val="18"/>
                <w:lang w:eastAsia="en-AU"/>
              </w:rPr>
              <w:t>Thought you would be treated differently by people at work</w:t>
            </w:r>
          </w:p>
        </w:tc>
        <w:tc>
          <w:tcPr>
            <w:tcW w:w="1531" w:type="dxa"/>
            <w:tcBorders>
              <w:top w:val="nil"/>
              <w:left w:val="nil"/>
              <w:bottom w:val="nil"/>
              <w:right w:val="nil"/>
            </w:tcBorders>
            <w:shd w:val="clear" w:color="000000" w:fill="1F698E"/>
            <w:vAlign w:val="center"/>
            <w:hideMark/>
          </w:tcPr>
          <w:p w14:paraId="6C3A4D0C" w14:textId="25EC426A" w:rsidR="001B644C" w:rsidRPr="008B2C65" w:rsidRDefault="001B644C" w:rsidP="001E46DD">
            <w:pPr>
              <w:spacing w:before="40" w:after="40"/>
              <w:jc w:val="center"/>
              <w:rPr>
                <w:rFonts w:eastAsia="Times New Roman" w:cs="Arial"/>
                <w:b/>
                <w:bCs/>
                <w:color w:val="FFFFFF"/>
                <w:sz w:val="18"/>
                <w:szCs w:val="18"/>
                <w:lang w:eastAsia="en-AU"/>
              </w:rPr>
            </w:pPr>
            <w:r>
              <w:rPr>
                <w:rFonts w:eastAsia="Times New Roman" w:cs="Arial"/>
                <w:b/>
                <w:bCs/>
                <w:color w:val="FFFFFF"/>
                <w:sz w:val="18"/>
                <w:szCs w:val="18"/>
                <w:lang w:eastAsia="en-AU"/>
              </w:rPr>
              <w:t>S</w:t>
            </w:r>
            <w:r w:rsidRPr="001B644C">
              <w:rPr>
                <w:rFonts w:eastAsia="Times New Roman" w:cs="Arial"/>
                <w:b/>
                <w:bCs/>
                <w:color w:val="FFFFFF"/>
                <w:sz w:val="18"/>
                <w:szCs w:val="18"/>
                <w:lang w:eastAsia="en-AU"/>
              </w:rPr>
              <w:t>upervisor thought you were exagg</w:t>
            </w:r>
            <w:r w:rsidR="00316A21">
              <w:rPr>
                <w:rFonts w:eastAsia="Times New Roman" w:cs="Arial"/>
                <w:b/>
                <w:bCs/>
                <w:color w:val="FFFFFF"/>
                <w:sz w:val="18"/>
                <w:szCs w:val="18"/>
                <w:lang w:eastAsia="en-AU"/>
              </w:rPr>
              <w:t>erating or faking your injury/</w:t>
            </w:r>
            <w:r w:rsidRPr="001B644C">
              <w:rPr>
                <w:rFonts w:eastAsia="Times New Roman" w:cs="Arial"/>
                <w:b/>
                <w:bCs/>
                <w:color w:val="FFFFFF"/>
                <w:sz w:val="18"/>
                <w:szCs w:val="18"/>
                <w:lang w:eastAsia="en-AU"/>
              </w:rPr>
              <w:t>illness</w:t>
            </w:r>
          </w:p>
        </w:tc>
        <w:tc>
          <w:tcPr>
            <w:tcW w:w="1531" w:type="dxa"/>
            <w:tcBorders>
              <w:top w:val="nil"/>
              <w:left w:val="nil"/>
              <w:bottom w:val="nil"/>
              <w:right w:val="nil"/>
            </w:tcBorders>
            <w:shd w:val="clear" w:color="000000" w:fill="1F698E"/>
            <w:vAlign w:val="center"/>
            <w:hideMark/>
          </w:tcPr>
          <w:p w14:paraId="13AAA74B" w14:textId="17E16C0E" w:rsidR="001B644C" w:rsidRPr="008B2C65" w:rsidRDefault="001B644C" w:rsidP="001E46DD">
            <w:pPr>
              <w:spacing w:before="40" w:after="40"/>
              <w:jc w:val="center"/>
              <w:rPr>
                <w:rFonts w:eastAsia="Times New Roman" w:cs="Arial"/>
                <w:b/>
                <w:bCs/>
                <w:color w:val="FFFFFF"/>
                <w:sz w:val="18"/>
                <w:szCs w:val="18"/>
                <w:lang w:eastAsia="en-AU"/>
              </w:rPr>
            </w:pPr>
            <w:r w:rsidRPr="001B644C">
              <w:rPr>
                <w:rFonts w:eastAsia="Times New Roman" w:cs="Arial"/>
                <w:b/>
                <w:bCs/>
                <w:color w:val="FFFFFF"/>
                <w:sz w:val="18"/>
                <w:szCs w:val="18"/>
                <w:lang w:eastAsia="en-AU"/>
              </w:rPr>
              <w:t>Concerned you would be fired if you submitted a claim</w:t>
            </w:r>
          </w:p>
        </w:tc>
        <w:tc>
          <w:tcPr>
            <w:tcW w:w="1531" w:type="dxa"/>
            <w:tcBorders>
              <w:top w:val="nil"/>
              <w:left w:val="nil"/>
              <w:bottom w:val="nil"/>
              <w:right w:val="nil"/>
            </w:tcBorders>
            <w:shd w:val="clear" w:color="000000" w:fill="1F698E"/>
            <w:vAlign w:val="center"/>
            <w:hideMark/>
          </w:tcPr>
          <w:p w14:paraId="14E0AB4F" w14:textId="7606BBF3" w:rsidR="001B644C" w:rsidRPr="008B2C65" w:rsidRDefault="001B644C" w:rsidP="001E46DD">
            <w:pPr>
              <w:spacing w:before="40" w:after="40"/>
              <w:jc w:val="center"/>
              <w:rPr>
                <w:rFonts w:eastAsia="Times New Roman" w:cs="Arial"/>
                <w:b/>
                <w:bCs/>
                <w:color w:val="FFFFFF"/>
                <w:sz w:val="18"/>
                <w:szCs w:val="18"/>
                <w:lang w:eastAsia="en-AU"/>
              </w:rPr>
            </w:pPr>
            <w:r>
              <w:rPr>
                <w:rFonts w:eastAsia="Times New Roman" w:cs="Arial"/>
                <w:b/>
                <w:bCs/>
                <w:color w:val="FFFFFF"/>
                <w:sz w:val="18"/>
                <w:szCs w:val="18"/>
                <w:lang w:eastAsia="en-AU"/>
              </w:rPr>
              <w:t>E</w:t>
            </w:r>
            <w:r w:rsidRPr="001B644C">
              <w:rPr>
                <w:rFonts w:eastAsia="Times New Roman" w:cs="Arial"/>
                <w:b/>
                <w:bCs/>
                <w:color w:val="FFFFFF"/>
                <w:sz w:val="18"/>
                <w:szCs w:val="18"/>
                <w:lang w:eastAsia="en-AU"/>
              </w:rPr>
              <w:t>mployer discouraged you from putting in a claim</w:t>
            </w:r>
          </w:p>
        </w:tc>
      </w:tr>
      <w:tr w:rsidR="001B644C" w:rsidRPr="008B2C65" w14:paraId="32693E6E" w14:textId="77777777" w:rsidTr="001B644C">
        <w:trPr>
          <w:trHeight w:val="80"/>
        </w:trPr>
        <w:tc>
          <w:tcPr>
            <w:tcW w:w="2948" w:type="dxa"/>
            <w:tcBorders>
              <w:top w:val="nil"/>
              <w:left w:val="nil"/>
              <w:bottom w:val="nil"/>
              <w:right w:val="nil"/>
            </w:tcBorders>
            <w:shd w:val="clear" w:color="auto" w:fill="58AEDA"/>
            <w:vAlign w:val="center"/>
            <w:hideMark/>
          </w:tcPr>
          <w:p w14:paraId="5ADE8AED" w14:textId="77777777" w:rsidR="001B644C" w:rsidRPr="008B2C65" w:rsidRDefault="001B644C" w:rsidP="001E46DD">
            <w:pPr>
              <w:spacing w:before="40" w:after="40"/>
              <w:rPr>
                <w:rFonts w:eastAsia="Times New Roman" w:cs="Arial"/>
                <w:b/>
                <w:bCs/>
                <w:color w:val="000000"/>
                <w:sz w:val="18"/>
                <w:szCs w:val="18"/>
                <w:lang w:eastAsia="en-AU"/>
              </w:rPr>
            </w:pPr>
            <w:r w:rsidRPr="008B2C65">
              <w:rPr>
                <w:rFonts w:eastAsia="Times New Roman" w:cs="Arial"/>
                <w:b/>
                <w:bCs/>
                <w:color w:val="000000"/>
                <w:sz w:val="18"/>
                <w:szCs w:val="18"/>
                <w:lang w:eastAsia="en-AU"/>
              </w:rPr>
              <w:t>Jurisdiction</w:t>
            </w:r>
          </w:p>
        </w:tc>
        <w:tc>
          <w:tcPr>
            <w:tcW w:w="1531" w:type="dxa"/>
            <w:tcBorders>
              <w:top w:val="nil"/>
              <w:left w:val="nil"/>
              <w:bottom w:val="nil"/>
              <w:right w:val="nil"/>
            </w:tcBorders>
            <w:shd w:val="clear" w:color="auto" w:fill="58AEDA"/>
            <w:vAlign w:val="center"/>
            <w:hideMark/>
          </w:tcPr>
          <w:p w14:paraId="26849538" w14:textId="77777777" w:rsidR="001B644C" w:rsidRPr="00467D4A" w:rsidRDefault="001B644C" w:rsidP="001E46DD">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531" w:type="dxa"/>
            <w:tcBorders>
              <w:top w:val="nil"/>
              <w:left w:val="nil"/>
              <w:bottom w:val="nil"/>
              <w:right w:val="nil"/>
            </w:tcBorders>
            <w:shd w:val="clear" w:color="auto" w:fill="58AEDA"/>
            <w:vAlign w:val="center"/>
            <w:hideMark/>
          </w:tcPr>
          <w:p w14:paraId="475D4721" w14:textId="77777777" w:rsidR="001B644C" w:rsidRPr="00467D4A" w:rsidRDefault="001B644C" w:rsidP="001E46DD">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531" w:type="dxa"/>
            <w:tcBorders>
              <w:top w:val="nil"/>
              <w:left w:val="nil"/>
              <w:bottom w:val="nil"/>
              <w:right w:val="nil"/>
            </w:tcBorders>
            <w:shd w:val="clear" w:color="auto" w:fill="58AEDA"/>
            <w:vAlign w:val="center"/>
            <w:hideMark/>
          </w:tcPr>
          <w:p w14:paraId="607EA942" w14:textId="77777777" w:rsidR="001B644C" w:rsidRPr="00467D4A" w:rsidRDefault="001B644C" w:rsidP="001E46DD">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531" w:type="dxa"/>
            <w:tcBorders>
              <w:top w:val="nil"/>
              <w:left w:val="nil"/>
              <w:bottom w:val="nil"/>
              <w:right w:val="nil"/>
            </w:tcBorders>
            <w:shd w:val="clear" w:color="auto" w:fill="58AEDA"/>
            <w:vAlign w:val="center"/>
            <w:hideMark/>
          </w:tcPr>
          <w:p w14:paraId="763034DF" w14:textId="77777777" w:rsidR="001B644C" w:rsidRPr="00467D4A" w:rsidRDefault="001B644C" w:rsidP="001E46DD">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r>
      <w:tr w:rsidR="002C170E" w:rsidRPr="008B2C65" w14:paraId="3A49ABEB" w14:textId="77777777" w:rsidTr="001E46DD">
        <w:trPr>
          <w:trHeight w:val="80"/>
        </w:trPr>
        <w:tc>
          <w:tcPr>
            <w:tcW w:w="2948" w:type="dxa"/>
            <w:tcBorders>
              <w:top w:val="nil"/>
              <w:left w:val="nil"/>
              <w:bottom w:val="nil"/>
              <w:right w:val="nil"/>
            </w:tcBorders>
            <w:shd w:val="clear" w:color="000000" w:fill="C7E4F3"/>
            <w:vAlign w:val="center"/>
          </w:tcPr>
          <w:p w14:paraId="0A8CDFB3" w14:textId="77777777" w:rsidR="002C170E" w:rsidRPr="008B2C65" w:rsidRDefault="002C170E" w:rsidP="00AA5106">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A</w:t>
            </w:r>
            <w:r>
              <w:rPr>
                <w:rFonts w:eastAsia="Times New Roman" w:cs="Arial"/>
                <w:color w:val="000000"/>
                <w:sz w:val="18"/>
                <w:szCs w:val="18"/>
                <w:lang w:eastAsia="en-AU"/>
              </w:rPr>
              <w:t xml:space="preserve">ustralian </w:t>
            </w:r>
            <w:r w:rsidRPr="008B2C65">
              <w:rPr>
                <w:rFonts w:eastAsia="Times New Roman" w:cs="Arial"/>
                <w:color w:val="000000"/>
                <w:sz w:val="18"/>
                <w:szCs w:val="18"/>
                <w:lang w:eastAsia="en-AU"/>
              </w:rPr>
              <w:t>C</w:t>
            </w:r>
            <w:r>
              <w:rPr>
                <w:rFonts w:eastAsia="Times New Roman" w:cs="Arial"/>
                <w:color w:val="000000"/>
                <w:sz w:val="18"/>
                <w:szCs w:val="18"/>
                <w:lang w:eastAsia="en-AU"/>
              </w:rPr>
              <w:t>apital Territory</w:t>
            </w:r>
          </w:p>
        </w:tc>
        <w:tc>
          <w:tcPr>
            <w:tcW w:w="1531" w:type="dxa"/>
            <w:tcBorders>
              <w:top w:val="nil"/>
              <w:left w:val="nil"/>
              <w:bottom w:val="nil"/>
              <w:right w:val="nil"/>
            </w:tcBorders>
            <w:shd w:val="clear" w:color="000000" w:fill="C7E4F3"/>
            <w:vAlign w:val="bottom"/>
          </w:tcPr>
          <w:p w14:paraId="596E926B" w14:textId="71B5EE94" w:rsidR="002C170E" w:rsidRPr="002C170E" w:rsidRDefault="002C170E" w:rsidP="002C170E">
            <w:pPr>
              <w:spacing w:before="40" w:after="40"/>
              <w:ind w:right="454"/>
              <w:jc w:val="right"/>
              <w:rPr>
                <w:rFonts w:eastAsia="Times New Roman" w:cs="Arial"/>
                <w:sz w:val="18"/>
                <w:szCs w:val="18"/>
                <w:lang w:eastAsia="en-AU"/>
              </w:rPr>
            </w:pPr>
            <w:r w:rsidRPr="002C170E">
              <w:rPr>
                <w:rFonts w:cs="Arial"/>
                <w:color w:val="000000"/>
                <w:sz w:val="18"/>
              </w:rPr>
              <w:t>45.6</w:t>
            </w:r>
          </w:p>
        </w:tc>
        <w:tc>
          <w:tcPr>
            <w:tcW w:w="1531" w:type="dxa"/>
            <w:tcBorders>
              <w:top w:val="nil"/>
              <w:left w:val="nil"/>
              <w:bottom w:val="nil"/>
              <w:right w:val="nil"/>
            </w:tcBorders>
            <w:shd w:val="clear" w:color="000000" w:fill="C7E4F3"/>
            <w:vAlign w:val="bottom"/>
          </w:tcPr>
          <w:p w14:paraId="01F3FC26" w14:textId="6B8E8CF6" w:rsidR="002C170E" w:rsidRPr="002C170E" w:rsidRDefault="002C170E" w:rsidP="002C170E">
            <w:pPr>
              <w:spacing w:before="40" w:after="40"/>
              <w:ind w:right="510"/>
              <w:jc w:val="right"/>
              <w:rPr>
                <w:rFonts w:cs="Arial"/>
                <w:color w:val="000000"/>
                <w:sz w:val="18"/>
              </w:rPr>
            </w:pPr>
            <w:r w:rsidRPr="002C170E">
              <w:rPr>
                <w:rFonts w:cs="Arial"/>
                <w:color w:val="000000"/>
                <w:sz w:val="18"/>
              </w:rPr>
              <w:t>30.9</w:t>
            </w:r>
          </w:p>
        </w:tc>
        <w:tc>
          <w:tcPr>
            <w:tcW w:w="1531" w:type="dxa"/>
            <w:tcBorders>
              <w:top w:val="nil"/>
              <w:left w:val="nil"/>
              <w:bottom w:val="nil"/>
              <w:right w:val="nil"/>
            </w:tcBorders>
            <w:shd w:val="clear" w:color="000000" w:fill="C7E4F3"/>
            <w:vAlign w:val="bottom"/>
          </w:tcPr>
          <w:p w14:paraId="081CF927" w14:textId="56C2BA78" w:rsidR="002C170E" w:rsidRPr="002C170E" w:rsidRDefault="002C170E" w:rsidP="002C170E">
            <w:pPr>
              <w:spacing w:before="40" w:after="40"/>
              <w:ind w:right="454"/>
              <w:jc w:val="right"/>
              <w:rPr>
                <w:rFonts w:cs="Arial"/>
                <w:color w:val="000000"/>
                <w:sz w:val="18"/>
              </w:rPr>
            </w:pPr>
            <w:r w:rsidRPr="002C170E">
              <w:rPr>
                <w:rFonts w:cs="Arial"/>
                <w:color w:val="000000"/>
                <w:sz w:val="18"/>
              </w:rPr>
              <w:t>27.2</w:t>
            </w:r>
          </w:p>
        </w:tc>
        <w:tc>
          <w:tcPr>
            <w:tcW w:w="1531" w:type="dxa"/>
            <w:tcBorders>
              <w:top w:val="nil"/>
              <w:left w:val="nil"/>
              <w:bottom w:val="nil"/>
              <w:right w:val="nil"/>
            </w:tcBorders>
            <w:shd w:val="clear" w:color="000000" w:fill="C7E4F3"/>
            <w:vAlign w:val="bottom"/>
          </w:tcPr>
          <w:p w14:paraId="5A8EFB40" w14:textId="0778663D" w:rsidR="002C170E" w:rsidRPr="002C170E" w:rsidRDefault="002C170E" w:rsidP="002C170E">
            <w:pPr>
              <w:spacing w:before="40" w:after="40"/>
              <w:ind w:right="454"/>
              <w:jc w:val="right"/>
              <w:rPr>
                <w:rFonts w:cs="Arial"/>
                <w:color w:val="000000"/>
                <w:sz w:val="18"/>
              </w:rPr>
            </w:pPr>
            <w:r w:rsidRPr="002C170E">
              <w:rPr>
                <w:rFonts w:cs="Arial"/>
                <w:color w:val="000000"/>
                <w:sz w:val="18"/>
              </w:rPr>
              <w:t>14.4</w:t>
            </w:r>
          </w:p>
        </w:tc>
      </w:tr>
      <w:tr w:rsidR="002C170E" w:rsidRPr="008B2C65" w14:paraId="5B4F01C9" w14:textId="77777777" w:rsidTr="001E46DD">
        <w:trPr>
          <w:trHeight w:val="80"/>
        </w:trPr>
        <w:tc>
          <w:tcPr>
            <w:tcW w:w="2948" w:type="dxa"/>
            <w:tcBorders>
              <w:top w:val="nil"/>
              <w:left w:val="nil"/>
              <w:bottom w:val="nil"/>
              <w:right w:val="nil"/>
            </w:tcBorders>
            <w:shd w:val="clear" w:color="auto" w:fill="auto"/>
            <w:vAlign w:val="center"/>
          </w:tcPr>
          <w:p w14:paraId="37553395" w14:textId="56D4192A" w:rsidR="002C170E" w:rsidRPr="008B2C65" w:rsidRDefault="002C170E" w:rsidP="00AA5106">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Com</w:t>
            </w:r>
            <w:r w:rsidRPr="008B2C65">
              <w:rPr>
                <w:rFonts w:eastAsia="Times New Roman" w:cs="Arial"/>
                <w:color w:val="000000"/>
                <w:sz w:val="18"/>
                <w:szCs w:val="18"/>
                <w:lang w:eastAsia="en-AU"/>
              </w:rPr>
              <w:t>care</w:t>
            </w:r>
          </w:p>
        </w:tc>
        <w:tc>
          <w:tcPr>
            <w:tcW w:w="1531" w:type="dxa"/>
            <w:tcBorders>
              <w:top w:val="nil"/>
              <w:left w:val="nil"/>
              <w:bottom w:val="nil"/>
              <w:right w:val="nil"/>
            </w:tcBorders>
            <w:shd w:val="clear" w:color="auto" w:fill="auto"/>
            <w:vAlign w:val="bottom"/>
          </w:tcPr>
          <w:p w14:paraId="5AA8B378" w14:textId="30F6E111" w:rsidR="002C170E" w:rsidRPr="002C170E" w:rsidRDefault="002C170E" w:rsidP="002C170E">
            <w:pPr>
              <w:spacing w:before="40" w:after="40"/>
              <w:ind w:right="454"/>
              <w:jc w:val="right"/>
              <w:rPr>
                <w:rFonts w:eastAsia="Times New Roman" w:cs="Arial"/>
                <w:sz w:val="18"/>
                <w:szCs w:val="18"/>
                <w:lang w:eastAsia="en-AU"/>
              </w:rPr>
            </w:pPr>
            <w:r w:rsidRPr="002C170E">
              <w:rPr>
                <w:rFonts w:cs="Arial"/>
                <w:color w:val="000000"/>
                <w:sz w:val="18"/>
              </w:rPr>
              <w:t>36.0</w:t>
            </w:r>
          </w:p>
        </w:tc>
        <w:tc>
          <w:tcPr>
            <w:tcW w:w="1531" w:type="dxa"/>
            <w:tcBorders>
              <w:top w:val="nil"/>
              <w:left w:val="nil"/>
              <w:bottom w:val="nil"/>
              <w:right w:val="nil"/>
            </w:tcBorders>
            <w:shd w:val="clear" w:color="auto" w:fill="auto"/>
            <w:vAlign w:val="bottom"/>
          </w:tcPr>
          <w:p w14:paraId="14F9E25B" w14:textId="0A2517C7" w:rsidR="002C170E" w:rsidRPr="002C170E" w:rsidRDefault="002C170E" w:rsidP="002C170E">
            <w:pPr>
              <w:spacing w:before="40" w:after="40"/>
              <w:ind w:right="510"/>
              <w:jc w:val="right"/>
              <w:rPr>
                <w:rFonts w:cs="Arial"/>
                <w:color w:val="000000"/>
                <w:sz w:val="18"/>
              </w:rPr>
            </w:pPr>
            <w:r w:rsidRPr="002C170E">
              <w:rPr>
                <w:rFonts w:cs="Arial"/>
                <w:color w:val="000000"/>
                <w:sz w:val="18"/>
              </w:rPr>
              <w:t>23.1</w:t>
            </w:r>
          </w:p>
        </w:tc>
        <w:tc>
          <w:tcPr>
            <w:tcW w:w="1531" w:type="dxa"/>
            <w:tcBorders>
              <w:top w:val="nil"/>
              <w:left w:val="nil"/>
              <w:bottom w:val="nil"/>
              <w:right w:val="nil"/>
            </w:tcBorders>
            <w:shd w:val="clear" w:color="auto" w:fill="auto"/>
            <w:vAlign w:val="bottom"/>
          </w:tcPr>
          <w:p w14:paraId="516D75C7" w14:textId="4C0DF586" w:rsidR="002C170E" w:rsidRPr="002C170E" w:rsidRDefault="002C170E" w:rsidP="002C170E">
            <w:pPr>
              <w:spacing w:before="40" w:after="40"/>
              <w:ind w:right="454"/>
              <w:jc w:val="right"/>
              <w:rPr>
                <w:rFonts w:cs="Arial"/>
                <w:color w:val="000000"/>
                <w:sz w:val="18"/>
              </w:rPr>
            </w:pPr>
            <w:r w:rsidRPr="002C170E">
              <w:rPr>
                <w:rFonts w:cs="Arial"/>
                <w:color w:val="000000"/>
                <w:sz w:val="18"/>
              </w:rPr>
              <w:t>15.9</w:t>
            </w:r>
          </w:p>
        </w:tc>
        <w:tc>
          <w:tcPr>
            <w:tcW w:w="1531" w:type="dxa"/>
            <w:tcBorders>
              <w:top w:val="nil"/>
              <w:left w:val="nil"/>
              <w:bottom w:val="nil"/>
              <w:right w:val="nil"/>
            </w:tcBorders>
            <w:shd w:val="clear" w:color="auto" w:fill="auto"/>
            <w:vAlign w:val="bottom"/>
          </w:tcPr>
          <w:p w14:paraId="6F4C4063" w14:textId="4E90F36A" w:rsidR="002C170E" w:rsidRPr="002C170E" w:rsidRDefault="002C170E" w:rsidP="002C170E">
            <w:pPr>
              <w:spacing w:before="40" w:after="40"/>
              <w:ind w:right="454"/>
              <w:jc w:val="right"/>
              <w:rPr>
                <w:rFonts w:cs="Arial"/>
                <w:color w:val="000000"/>
                <w:sz w:val="18"/>
              </w:rPr>
            </w:pPr>
            <w:r w:rsidRPr="002C170E">
              <w:rPr>
                <w:rFonts w:cs="Arial"/>
                <w:color w:val="000000"/>
                <w:sz w:val="18"/>
              </w:rPr>
              <w:t>17.7</w:t>
            </w:r>
          </w:p>
        </w:tc>
      </w:tr>
      <w:tr w:rsidR="002C170E" w:rsidRPr="008B2C65" w14:paraId="4278B998" w14:textId="77777777" w:rsidTr="001E46DD">
        <w:trPr>
          <w:trHeight w:val="80"/>
        </w:trPr>
        <w:tc>
          <w:tcPr>
            <w:tcW w:w="2948" w:type="dxa"/>
            <w:tcBorders>
              <w:top w:val="nil"/>
              <w:left w:val="nil"/>
              <w:bottom w:val="nil"/>
              <w:right w:val="nil"/>
            </w:tcBorders>
            <w:shd w:val="clear" w:color="000000" w:fill="C7E4F3"/>
            <w:vAlign w:val="center"/>
          </w:tcPr>
          <w:p w14:paraId="0104648C" w14:textId="77777777" w:rsidR="002C170E" w:rsidRPr="008B2C65" w:rsidRDefault="002C170E" w:rsidP="00AA5106">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N</w:t>
            </w:r>
            <w:r>
              <w:rPr>
                <w:rFonts w:eastAsia="Times New Roman" w:cs="Arial"/>
                <w:color w:val="000000"/>
                <w:sz w:val="18"/>
                <w:szCs w:val="18"/>
                <w:lang w:eastAsia="en-AU"/>
              </w:rPr>
              <w:t xml:space="preserve">ew </w:t>
            </w:r>
            <w:r w:rsidRPr="008B2C65">
              <w:rPr>
                <w:rFonts w:eastAsia="Times New Roman" w:cs="Arial"/>
                <w:color w:val="000000"/>
                <w:sz w:val="18"/>
                <w:szCs w:val="18"/>
                <w:lang w:eastAsia="en-AU"/>
              </w:rPr>
              <w:t>S</w:t>
            </w:r>
            <w:r>
              <w:rPr>
                <w:rFonts w:eastAsia="Times New Roman" w:cs="Arial"/>
                <w:color w:val="000000"/>
                <w:sz w:val="18"/>
                <w:szCs w:val="18"/>
                <w:lang w:eastAsia="en-AU"/>
              </w:rPr>
              <w:t xml:space="preserve">outh </w:t>
            </w:r>
            <w:r w:rsidRPr="008B2C65">
              <w:rPr>
                <w:rFonts w:eastAsia="Times New Roman" w:cs="Arial"/>
                <w:color w:val="000000"/>
                <w:sz w:val="18"/>
                <w:szCs w:val="18"/>
                <w:lang w:eastAsia="en-AU"/>
              </w:rPr>
              <w:t>W</w:t>
            </w:r>
            <w:r>
              <w:rPr>
                <w:rFonts w:eastAsia="Times New Roman" w:cs="Arial"/>
                <w:color w:val="000000"/>
                <w:sz w:val="18"/>
                <w:szCs w:val="18"/>
                <w:lang w:eastAsia="en-AU"/>
              </w:rPr>
              <w:t>ales</w:t>
            </w:r>
          </w:p>
        </w:tc>
        <w:tc>
          <w:tcPr>
            <w:tcW w:w="1531" w:type="dxa"/>
            <w:tcBorders>
              <w:top w:val="nil"/>
              <w:left w:val="nil"/>
              <w:bottom w:val="nil"/>
              <w:right w:val="nil"/>
            </w:tcBorders>
            <w:shd w:val="clear" w:color="000000" w:fill="C7E4F3"/>
            <w:vAlign w:val="bottom"/>
          </w:tcPr>
          <w:p w14:paraId="20921140" w14:textId="29D70C44" w:rsidR="002C170E" w:rsidRPr="002C170E" w:rsidRDefault="002C170E" w:rsidP="002C170E">
            <w:pPr>
              <w:spacing w:before="40" w:after="40"/>
              <w:ind w:right="454"/>
              <w:jc w:val="right"/>
              <w:rPr>
                <w:rFonts w:eastAsia="Times New Roman" w:cs="Arial"/>
                <w:sz w:val="18"/>
                <w:szCs w:val="18"/>
                <w:lang w:eastAsia="en-AU"/>
              </w:rPr>
            </w:pPr>
            <w:r w:rsidRPr="002C170E">
              <w:rPr>
                <w:rFonts w:cs="Arial"/>
                <w:color w:val="000000"/>
                <w:sz w:val="18"/>
              </w:rPr>
              <w:t>33.1</w:t>
            </w:r>
          </w:p>
        </w:tc>
        <w:tc>
          <w:tcPr>
            <w:tcW w:w="1531" w:type="dxa"/>
            <w:tcBorders>
              <w:top w:val="nil"/>
              <w:left w:val="nil"/>
              <w:bottom w:val="nil"/>
              <w:right w:val="nil"/>
            </w:tcBorders>
            <w:shd w:val="clear" w:color="000000" w:fill="C7E4F3"/>
            <w:vAlign w:val="bottom"/>
          </w:tcPr>
          <w:p w14:paraId="1EAC752F" w14:textId="39FE4F9D" w:rsidR="002C170E" w:rsidRPr="002C170E" w:rsidRDefault="002C170E" w:rsidP="002C170E">
            <w:pPr>
              <w:spacing w:before="40" w:after="40"/>
              <w:ind w:right="510"/>
              <w:jc w:val="right"/>
              <w:rPr>
                <w:rFonts w:cs="Arial"/>
                <w:color w:val="000000"/>
                <w:sz w:val="18"/>
              </w:rPr>
            </w:pPr>
            <w:r w:rsidRPr="002C170E">
              <w:rPr>
                <w:rFonts w:cs="Arial"/>
                <w:color w:val="000000"/>
                <w:sz w:val="18"/>
              </w:rPr>
              <w:t>21.3</w:t>
            </w:r>
          </w:p>
        </w:tc>
        <w:tc>
          <w:tcPr>
            <w:tcW w:w="1531" w:type="dxa"/>
            <w:tcBorders>
              <w:top w:val="nil"/>
              <w:left w:val="nil"/>
              <w:bottom w:val="nil"/>
              <w:right w:val="nil"/>
            </w:tcBorders>
            <w:shd w:val="clear" w:color="000000" w:fill="C7E4F3"/>
            <w:vAlign w:val="bottom"/>
          </w:tcPr>
          <w:p w14:paraId="59183C24" w14:textId="6C411BBD" w:rsidR="002C170E" w:rsidRPr="002C170E" w:rsidRDefault="002C170E" w:rsidP="002C170E">
            <w:pPr>
              <w:spacing w:before="40" w:after="40"/>
              <w:ind w:right="454"/>
              <w:jc w:val="right"/>
              <w:rPr>
                <w:rFonts w:cs="Arial"/>
                <w:color w:val="000000"/>
                <w:sz w:val="18"/>
              </w:rPr>
            </w:pPr>
            <w:r w:rsidRPr="002C170E">
              <w:rPr>
                <w:rFonts w:cs="Arial"/>
                <w:color w:val="000000"/>
                <w:sz w:val="18"/>
              </w:rPr>
              <w:t>21.5</w:t>
            </w:r>
          </w:p>
        </w:tc>
        <w:tc>
          <w:tcPr>
            <w:tcW w:w="1531" w:type="dxa"/>
            <w:tcBorders>
              <w:top w:val="nil"/>
              <w:left w:val="nil"/>
              <w:bottom w:val="nil"/>
              <w:right w:val="nil"/>
            </w:tcBorders>
            <w:shd w:val="clear" w:color="000000" w:fill="C7E4F3"/>
            <w:vAlign w:val="bottom"/>
          </w:tcPr>
          <w:p w14:paraId="11C80BC8" w14:textId="18D21C78" w:rsidR="002C170E" w:rsidRPr="002C170E" w:rsidRDefault="002C170E" w:rsidP="002C170E">
            <w:pPr>
              <w:spacing w:before="40" w:after="40"/>
              <w:ind w:right="454"/>
              <w:jc w:val="right"/>
              <w:rPr>
                <w:rFonts w:cs="Arial"/>
                <w:color w:val="000000"/>
                <w:sz w:val="18"/>
              </w:rPr>
            </w:pPr>
            <w:r w:rsidRPr="002C170E">
              <w:rPr>
                <w:rFonts w:cs="Arial"/>
                <w:color w:val="000000"/>
                <w:sz w:val="18"/>
              </w:rPr>
              <w:t>14.6</w:t>
            </w:r>
          </w:p>
        </w:tc>
      </w:tr>
      <w:tr w:rsidR="002C170E" w:rsidRPr="008B2C65" w14:paraId="7FF63C5F" w14:textId="77777777" w:rsidTr="001E46DD">
        <w:trPr>
          <w:trHeight w:val="80"/>
        </w:trPr>
        <w:tc>
          <w:tcPr>
            <w:tcW w:w="2948" w:type="dxa"/>
            <w:tcBorders>
              <w:top w:val="nil"/>
              <w:left w:val="nil"/>
              <w:bottom w:val="nil"/>
              <w:right w:val="nil"/>
            </w:tcBorders>
            <w:shd w:val="clear" w:color="auto" w:fill="auto"/>
            <w:vAlign w:val="center"/>
          </w:tcPr>
          <w:p w14:paraId="2C74D011" w14:textId="77777777" w:rsidR="002C170E" w:rsidRPr="008B2C65" w:rsidRDefault="002C170E" w:rsidP="00AA5106">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Northern Territory</w:t>
            </w:r>
          </w:p>
        </w:tc>
        <w:tc>
          <w:tcPr>
            <w:tcW w:w="1531" w:type="dxa"/>
            <w:tcBorders>
              <w:top w:val="nil"/>
              <w:left w:val="nil"/>
              <w:bottom w:val="nil"/>
              <w:right w:val="nil"/>
            </w:tcBorders>
            <w:shd w:val="clear" w:color="auto" w:fill="auto"/>
            <w:vAlign w:val="bottom"/>
          </w:tcPr>
          <w:p w14:paraId="185ED978" w14:textId="4F9AF658" w:rsidR="002C170E" w:rsidRPr="002C170E" w:rsidRDefault="002C170E" w:rsidP="002C170E">
            <w:pPr>
              <w:spacing w:before="40" w:after="40"/>
              <w:ind w:right="454"/>
              <w:jc w:val="right"/>
              <w:rPr>
                <w:rFonts w:eastAsia="Times New Roman" w:cs="Arial"/>
                <w:sz w:val="18"/>
                <w:szCs w:val="18"/>
                <w:lang w:eastAsia="en-AU"/>
              </w:rPr>
            </w:pPr>
            <w:r w:rsidRPr="002C170E">
              <w:rPr>
                <w:rFonts w:cs="Arial"/>
                <w:color w:val="000000"/>
                <w:sz w:val="18"/>
              </w:rPr>
              <w:t>33.1</w:t>
            </w:r>
          </w:p>
        </w:tc>
        <w:tc>
          <w:tcPr>
            <w:tcW w:w="1531" w:type="dxa"/>
            <w:tcBorders>
              <w:top w:val="nil"/>
              <w:left w:val="nil"/>
              <w:bottom w:val="nil"/>
              <w:right w:val="nil"/>
            </w:tcBorders>
            <w:shd w:val="clear" w:color="auto" w:fill="auto"/>
            <w:vAlign w:val="bottom"/>
          </w:tcPr>
          <w:p w14:paraId="09C99A67" w14:textId="06E96424" w:rsidR="002C170E" w:rsidRPr="002C170E" w:rsidRDefault="002C170E" w:rsidP="002C170E">
            <w:pPr>
              <w:spacing w:before="40" w:after="40"/>
              <w:ind w:right="510"/>
              <w:jc w:val="right"/>
              <w:rPr>
                <w:rFonts w:cs="Arial"/>
                <w:color w:val="000000"/>
                <w:sz w:val="18"/>
              </w:rPr>
            </w:pPr>
            <w:r w:rsidRPr="002C170E">
              <w:rPr>
                <w:rFonts w:cs="Arial"/>
                <w:color w:val="000000"/>
                <w:sz w:val="18"/>
              </w:rPr>
              <w:t>24.6</w:t>
            </w:r>
          </w:p>
        </w:tc>
        <w:tc>
          <w:tcPr>
            <w:tcW w:w="1531" w:type="dxa"/>
            <w:tcBorders>
              <w:top w:val="nil"/>
              <w:left w:val="nil"/>
              <w:bottom w:val="nil"/>
              <w:right w:val="nil"/>
            </w:tcBorders>
            <w:shd w:val="clear" w:color="auto" w:fill="auto"/>
            <w:vAlign w:val="bottom"/>
          </w:tcPr>
          <w:p w14:paraId="163511AD" w14:textId="42B36835" w:rsidR="002C170E" w:rsidRPr="002C170E" w:rsidRDefault="002C170E" w:rsidP="002C170E">
            <w:pPr>
              <w:spacing w:before="40" w:after="40"/>
              <w:ind w:right="454"/>
              <w:jc w:val="right"/>
              <w:rPr>
                <w:rFonts w:cs="Arial"/>
                <w:color w:val="000000"/>
                <w:sz w:val="18"/>
              </w:rPr>
            </w:pPr>
            <w:r w:rsidRPr="002C170E">
              <w:rPr>
                <w:rFonts w:cs="Arial"/>
                <w:color w:val="000000"/>
                <w:sz w:val="18"/>
              </w:rPr>
              <w:t>19.7</w:t>
            </w:r>
          </w:p>
        </w:tc>
        <w:tc>
          <w:tcPr>
            <w:tcW w:w="1531" w:type="dxa"/>
            <w:tcBorders>
              <w:top w:val="nil"/>
              <w:left w:val="nil"/>
              <w:bottom w:val="nil"/>
              <w:right w:val="nil"/>
            </w:tcBorders>
            <w:shd w:val="clear" w:color="auto" w:fill="auto"/>
            <w:vAlign w:val="bottom"/>
          </w:tcPr>
          <w:p w14:paraId="0CF3CC6D" w14:textId="77B19CC1" w:rsidR="002C170E" w:rsidRPr="002C170E" w:rsidRDefault="002C170E" w:rsidP="002C170E">
            <w:pPr>
              <w:spacing w:before="40" w:after="40"/>
              <w:ind w:right="454"/>
              <w:jc w:val="right"/>
              <w:rPr>
                <w:rFonts w:cs="Arial"/>
                <w:color w:val="000000"/>
                <w:sz w:val="18"/>
              </w:rPr>
            </w:pPr>
            <w:r w:rsidRPr="002C170E">
              <w:rPr>
                <w:rFonts w:cs="Arial"/>
                <w:color w:val="000000"/>
                <w:sz w:val="18"/>
              </w:rPr>
              <w:t>21.4</w:t>
            </w:r>
          </w:p>
        </w:tc>
      </w:tr>
      <w:tr w:rsidR="002C170E" w:rsidRPr="008B2C65" w14:paraId="1CB15E82" w14:textId="77777777" w:rsidTr="001E46DD">
        <w:trPr>
          <w:trHeight w:val="80"/>
        </w:trPr>
        <w:tc>
          <w:tcPr>
            <w:tcW w:w="2948" w:type="dxa"/>
            <w:tcBorders>
              <w:top w:val="nil"/>
              <w:left w:val="nil"/>
              <w:bottom w:val="nil"/>
              <w:right w:val="nil"/>
            </w:tcBorders>
            <w:shd w:val="clear" w:color="000000" w:fill="C7E4F3"/>
            <w:vAlign w:val="center"/>
          </w:tcPr>
          <w:p w14:paraId="2477135B" w14:textId="77777777" w:rsidR="002C170E" w:rsidRPr="008B2C65" w:rsidRDefault="002C170E" w:rsidP="00AA5106">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Queensland</w:t>
            </w:r>
          </w:p>
        </w:tc>
        <w:tc>
          <w:tcPr>
            <w:tcW w:w="1531" w:type="dxa"/>
            <w:tcBorders>
              <w:top w:val="nil"/>
              <w:left w:val="nil"/>
              <w:bottom w:val="nil"/>
              <w:right w:val="nil"/>
            </w:tcBorders>
            <w:shd w:val="clear" w:color="000000" w:fill="C7E4F3"/>
            <w:vAlign w:val="bottom"/>
          </w:tcPr>
          <w:p w14:paraId="072E53DE" w14:textId="73D7A0B4" w:rsidR="002C170E" w:rsidRPr="002C170E" w:rsidRDefault="002C170E" w:rsidP="002C170E">
            <w:pPr>
              <w:spacing w:before="40" w:after="40"/>
              <w:ind w:right="454"/>
              <w:jc w:val="right"/>
              <w:rPr>
                <w:rFonts w:eastAsia="Times New Roman" w:cs="Arial"/>
                <w:sz w:val="18"/>
                <w:szCs w:val="18"/>
                <w:lang w:eastAsia="en-AU"/>
              </w:rPr>
            </w:pPr>
            <w:r w:rsidRPr="002C170E">
              <w:rPr>
                <w:rFonts w:cs="Arial"/>
                <w:color w:val="000000"/>
                <w:sz w:val="18"/>
              </w:rPr>
              <w:t>30.2</w:t>
            </w:r>
          </w:p>
        </w:tc>
        <w:tc>
          <w:tcPr>
            <w:tcW w:w="1531" w:type="dxa"/>
            <w:tcBorders>
              <w:top w:val="nil"/>
              <w:left w:val="nil"/>
              <w:bottom w:val="nil"/>
              <w:right w:val="nil"/>
            </w:tcBorders>
            <w:shd w:val="clear" w:color="000000" w:fill="C7E4F3"/>
            <w:vAlign w:val="bottom"/>
          </w:tcPr>
          <w:p w14:paraId="17541BE8" w14:textId="323D1EB0" w:rsidR="002C170E" w:rsidRPr="002C170E" w:rsidRDefault="002C170E" w:rsidP="002C170E">
            <w:pPr>
              <w:spacing w:before="40" w:after="40"/>
              <w:ind w:right="510"/>
              <w:jc w:val="right"/>
              <w:rPr>
                <w:rFonts w:cs="Arial"/>
                <w:color w:val="000000"/>
                <w:sz w:val="18"/>
              </w:rPr>
            </w:pPr>
            <w:r w:rsidRPr="002C170E">
              <w:rPr>
                <w:rFonts w:cs="Arial"/>
                <w:color w:val="000000"/>
                <w:sz w:val="18"/>
              </w:rPr>
              <w:t>21.1</w:t>
            </w:r>
          </w:p>
        </w:tc>
        <w:tc>
          <w:tcPr>
            <w:tcW w:w="1531" w:type="dxa"/>
            <w:tcBorders>
              <w:top w:val="nil"/>
              <w:left w:val="nil"/>
              <w:bottom w:val="nil"/>
              <w:right w:val="nil"/>
            </w:tcBorders>
            <w:shd w:val="clear" w:color="000000" w:fill="C7E4F3"/>
            <w:vAlign w:val="bottom"/>
          </w:tcPr>
          <w:p w14:paraId="10BF45DC" w14:textId="6DCF252B" w:rsidR="002C170E" w:rsidRPr="002C170E" w:rsidRDefault="002C170E" w:rsidP="002C170E">
            <w:pPr>
              <w:spacing w:before="40" w:after="40"/>
              <w:ind w:right="454"/>
              <w:jc w:val="right"/>
              <w:rPr>
                <w:rFonts w:cs="Arial"/>
                <w:color w:val="000000"/>
                <w:sz w:val="18"/>
              </w:rPr>
            </w:pPr>
            <w:r w:rsidRPr="002C170E">
              <w:rPr>
                <w:rFonts w:cs="Arial"/>
                <w:color w:val="000000"/>
                <w:sz w:val="18"/>
              </w:rPr>
              <w:t>17.3</w:t>
            </w:r>
          </w:p>
        </w:tc>
        <w:tc>
          <w:tcPr>
            <w:tcW w:w="1531" w:type="dxa"/>
            <w:tcBorders>
              <w:top w:val="nil"/>
              <w:left w:val="nil"/>
              <w:bottom w:val="nil"/>
              <w:right w:val="nil"/>
            </w:tcBorders>
            <w:shd w:val="clear" w:color="000000" w:fill="C7E4F3"/>
            <w:vAlign w:val="bottom"/>
          </w:tcPr>
          <w:p w14:paraId="14E7D3B4" w14:textId="3ED1DDA7" w:rsidR="002C170E" w:rsidRPr="002C170E" w:rsidRDefault="002C170E" w:rsidP="002C170E">
            <w:pPr>
              <w:spacing w:before="40" w:after="40"/>
              <w:ind w:right="454"/>
              <w:jc w:val="right"/>
              <w:rPr>
                <w:rFonts w:cs="Arial"/>
                <w:color w:val="000000"/>
                <w:sz w:val="18"/>
              </w:rPr>
            </w:pPr>
            <w:r w:rsidRPr="002C170E">
              <w:rPr>
                <w:rFonts w:cs="Arial"/>
                <w:color w:val="000000"/>
                <w:sz w:val="18"/>
              </w:rPr>
              <w:t>15.9</w:t>
            </w:r>
          </w:p>
        </w:tc>
      </w:tr>
      <w:tr w:rsidR="002C170E" w:rsidRPr="008B2C65" w14:paraId="4D212EDC" w14:textId="77777777" w:rsidTr="001E46DD">
        <w:trPr>
          <w:trHeight w:val="80"/>
        </w:trPr>
        <w:tc>
          <w:tcPr>
            <w:tcW w:w="2948" w:type="dxa"/>
            <w:tcBorders>
              <w:top w:val="nil"/>
              <w:left w:val="nil"/>
              <w:bottom w:val="nil"/>
              <w:right w:val="nil"/>
            </w:tcBorders>
            <w:shd w:val="clear" w:color="auto" w:fill="auto"/>
            <w:vAlign w:val="center"/>
          </w:tcPr>
          <w:p w14:paraId="5B836AF4" w14:textId="5B94B6C1" w:rsidR="002C170E" w:rsidRPr="008B2C65" w:rsidRDefault="002C170E" w:rsidP="00AA5106">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Seacare</w:t>
            </w:r>
          </w:p>
        </w:tc>
        <w:tc>
          <w:tcPr>
            <w:tcW w:w="1531" w:type="dxa"/>
            <w:tcBorders>
              <w:top w:val="nil"/>
              <w:left w:val="nil"/>
              <w:bottom w:val="nil"/>
              <w:right w:val="nil"/>
            </w:tcBorders>
            <w:shd w:val="clear" w:color="auto" w:fill="auto"/>
            <w:vAlign w:val="bottom"/>
          </w:tcPr>
          <w:p w14:paraId="5BAB08A7" w14:textId="14313367" w:rsidR="002C170E" w:rsidRPr="002C170E" w:rsidRDefault="002C170E" w:rsidP="002C170E">
            <w:pPr>
              <w:spacing w:before="40" w:after="40"/>
              <w:ind w:right="454"/>
              <w:jc w:val="right"/>
              <w:rPr>
                <w:rFonts w:eastAsia="Times New Roman" w:cs="Arial"/>
                <w:sz w:val="18"/>
                <w:szCs w:val="18"/>
                <w:lang w:eastAsia="en-AU"/>
              </w:rPr>
            </w:pPr>
            <w:r w:rsidRPr="002C170E">
              <w:rPr>
                <w:rFonts w:cs="Arial"/>
                <w:color w:val="000000"/>
                <w:sz w:val="18"/>
              </w:rPr>
              <w:t>28.9</w:t>
            </w:r>
          </w:p>
        </w:tc>
        <w:tc>
          <w:tcPr>
            <w:tcW w:w="1531" w:type="dxa"/>
            <w:tcBorders>
              <w:top w:val="nil"/>
              <w:left w:val="nil"/>
              <w:bottom w:val="nil"/>
              <w:right w:val="nil"/>
            </w:tcBorders>
            <w:shd w:val="clear" w:color="auto" w:fill="auto"/>
            <w:vAlign w:val="bottom"/>
          </w:tcPr>
          <w:p w14:paraId="4B77CBBB" w14:textId="3E8DA0D4" w:rsidR="002C170E" w:rsidRPr="002C170E" w:rsidRDefault="002C170E" w:rsidP="002C170E">
            <w:pPr>
              <w:spacing w:before="40" w:after="40"/>
              <w:ind w:right="510"/>
              <w:jc w:val="right"/>
              <w:rPr>
                <w:rFonts w:cs="Arial"/>
                <w:color w:val="000000"/>
                <w:sz w:val="18"/>
              </w:rPr>
            </w:pPr>
            <w:r w:rsidRPr="002C170E">
              <w:rPr>
                <w:rFonts w:cs="Arial"/>
                <w:color w:val="000000"/>
                <w:sz w:val="18"/>
              </w:rPr>
              <w:t>19.9</w:t>
            </w:r>
          </w:p>
        </w:tc>
        <w:tc>
          <w:tcPr>
            <w:tcW w:w="1531" w:type="dxa"/>
            <w:tcBorders>
              <w:top w:val="nil"/>
              <w:left w:val="nil"/>
              <w:bottom w:val="nil"/>
              <w:right w:val="nil"/>
            </w:tcBorders>
            <w:shd w:val="clear" w:color="auto" w:fill="auto"/>
            <w:vAlign w:val="bottom"/>
          </w:tcPr>
          <w:p w14:paraId="4DCF8F56" w14:textId="5A5FB783" w:rsidR="002C170E" w:rsidRPr="002C170E" w:rsidRDefault="002C170E" w:rsidP="002C170E">
            <w:pPr>
              <w:spacing w:before="40" w:after="40"/>
              <w:ind w:right="454"/>
              <w:jc w:val="right"/>
              <w:rPr>
                <w:rFonts w:cs="Arial"/>
                <w:color w:val="000000"/>
                <w:sz w:val="18"/>
              </w:rPr>
            </w:pPr>
            <w:r w:rsidRPr="002C170E">
              <w:rPr>
                <w:rFonts w:cs="Arial"/>
                <w:color w:val="000000"/>
                <w:sz w:val="18"/>
              </w:rPr>
              <w:t>20.4</w:t>
            </w:r>
          </w:p>
        </w:tc>
        <w:tc>
          <w:tcPr>
            <w:tcW w:w="1531" w:type="dxa"/>
            <w:tcBorders>
              <w:top w:val="nil"/>
              <w:left w:val="nil"/>
              <w:bottom w:val="nil"/>
              <w:right w:val="nil"/>
            </w:tcBorders>
            <w:shd w:val="clear" w:color="auto" w:fill="auto"/>
            <w:vAlign w:val="bottom"/>
          </w:tcPr>
          <w:p w14:paraId="2EBABE3E" w14:textId="250FF5E8" w:rsidR="002C170E" w:rsidRPr="002C170E" w:rsidRDefault="002C170E" w:rsidP="002C170E">
            <w:pPr>
              <w:spacing w:before="40" w:after="40"/>
              <w:ind w:right="454"/>
              <w:jc w:val="right"/>
              <w:rPr>
                <w:rFonts w:cs="Arial"/>
                <w:color w:val="000000"/>
                <w:sz w:val="18"/>
              </w:rPr>
            </w:pPr>
            <w:r w:rsidRPr="002C170E">
              <w:rPr>
                <w:rFonts w:cs="Arial"/>
                <w:color w:val="000000"/>
                <w:sz w:val="18"/>
              </w:rPr>
              <w:t>10.9</w:t>
            </w:r>
          </w:p>
        </w:tc>
      </w:tr>
      <w:tr w:rsidR="002C170E" w:rsidRPr="008B2C65" w14:paraId="3A2FDE4E" w14:textId="77777777" w:rsidTr="001E46DD">
        <w:trPr>
          <w:trHeight w:val="80"/>
        </w:trPr>
        <w:tc>
          <w:tcPr>
            <w:tcW w:w="2948" w:type="dxa"/>
            <w:tcBorders>
              <w:top w:val="nil"/>
              <w:left w:val="nil"/>
              <w:bottom w:val="nil"/>
              <w:right w:val="nil"/>
            </w:tcBorders>
            <w:shd w:val="clear" w:color="auto" w:fill="C7E4F3" w:themeFill="accent1" w:themeFillTint="33"/>
            <w:vAlign w:val="center"/>
          </w:tcPr>
          <w:p w14:paraId="14E7E16D" w14:textId="77777777" w:rsidR="002C170E" w:rsidRPr="008B2C65" w:rsidRDefault="002C170E" w:rsidP="00AA5106">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Tasmania</w:t>
            </w:r>
          </w:p>
        </w:tc>
        <w:tc>
          <w:tcPr>
            <w:tcW w:w="1531" w:type="dxa"/>
            <w:tcBorders>
              <w:top w:val="nil"/>
              <w:left w:val="nil"/>
              <w:bottom w:val="nil"/>
              <w:right w:val="nil"/>
            </w:tcBorders>
            <w:shd w:val="clear" w:color="auto" w:fill="C7E4F3" w:themeFill="accent1" w:themeFillTint="33"/>
            <w:vAlign w:val="bottom"/>
          </w:tcPr>
          <w:p w14:paraId="1EBFCB2C" w14:textId="70598C89" w:rsidR="002C170E" w:rsidRPr="002C170E" w:rsidRDefault="002C170E" w:rsidP="002C170E">
            <w:pPr>
              <w:spacing w:before="40" w:after="40"/>
              <w:ind w:right="454"/>
              <w:jc w:val="right"/>
              <w:rPr>
                <w:rFonts w:eastAsia="Times New Roman" w:cs="Arial"/>
                <w:sz w:val="18"/>
                <w:szCs w:val="18"/>
                <w:lang w:eastAsia="en-AU"/>
              </w:rPr>
            </w:pPr>
            <w:r w:rsidRPr="002C170E">
              <w:rPr>
                <w:rFonts w:cs="Arial"/>
                <w:color w:val="000000"/>
                <w:sz w:val="18"/>
              </w:rPr>
              <w:t>38.1</w:t>
            </w:r>
          </w:p>
        </w:tc>
        <w:tc>
          <w:tcPr>
            <w:tcW w:w="1531" w:type="dxa"/>
            <w:tcBorders>
              <w:top w:val="nil"/>
              <w:left w:val="nil"/>
              <w:bottom w:val="nil"/>
              <w:right w:val="nil"/>
            </w:tcBorders>
            <w:shd w:val="clear" w:color="auto" w:fill="C7E4F3" w:themeFill="accent1" w:themeFillTint="33"/>
            <w:vAlign w:val="bottom"/>
          </w:tcPr>
          <w:p w14:paraId="3EE20FC8" w14:textId="36715A02" w:rsidR="002C170E" w:rsidRPr="002C170E" w:rsidRDefault="002C170E" w:rsidP="002C170E">
            <w:pPr>
              <w:spacing w:before="40" w:after="40"/>
              <w:ind w:right="510"/>
              <w:jc w:val="right"/>
              <w:rPr>
                <w:rFonts w:cs="Arial"/>
                <w:color w:val="000000"/>
                <w:sz w:val="18"/>
              </w:rPr>
            </w:pPr>
            <w:r w:rsidRPr="002C170E">
              <w:rPr>
                <w:rFonts w:cs="Arial"/>
                <w:color w:val="000000"/>
                <w:sz w:val="18"/>
              </w:rPr>
              <w:t>24.8</w:t>
            </w:r>
          </w:p>
        </w:tc>
        <w:tc>
          <w:tcPr>
            <w:tcW w:w="1531" w:type="dxa"/>
            <w:tcBorders>
              <w:top w:val="nil"/>
              <w:left w:val="nil"/>
              <w:bottom w:val="nil"/>
              <w:right w:val="nil"/>
            </w:tcBorders>
            <w:shd w:val="clear" w:color="auto" w:fill="C7E4F3" w:themeFill="accent1" w:themeFillTint="33"/>
            <w:vAlign w:val="bottom"/>
          </w:tcPr>
          <w:p w14:paraId="0184395C" w14:textId="3596CA7B" w:rsidR="002C170E" w:rsidRPr="002C170E" w:rsidRDefault="002C170E" w:rsidP="002C170E">
            <w:pPr>
              <w:spacing w:before="40" w:after="40"/>
              <w:ind w:right="454"/>
              <w:jc w:val="right"/>
              <w:rPr>
                <w:rFonts w:cs="Arial"/>
                <w:color w:val="000000"/>
                <w:sz w:val="18"/>
              </w:rPr>
            </w:pPr>
            <w:r w:rsidRPr="002C170E">
              <w:rPr>
                <w:rFonts w:cs="Arial"/>
                <w:color w:val="000000"/>
                <w:sz w:val="18"/>
              </w:rPr>
              <w:t>21.1</w:t>
            </w:r>
          </w:p>
        </w:tc>
        <w:tc>
          <w:tcPr>
            <w:tcW w:w="1531" w:type="dxa"/>
            <w:tcBorders>
              <w:top w:val="nil"/>
              <w:left w:val="nil"/>
              <w:bottom w:val="nil"/>
              <w:right w:val="nil"/>
            </w:tcBorders>
            <w:shd w:val="clear" w:color="auto" w:fill="C7E4F3" w:themeFill="accent1" w:themeFillTint="33"/>
            <w:vAlign w:val="bottom"/>
          </w:tcPr>
          <w:p w14:paraId="48993FC2" w14:textId="74E29CA8" w:rsidR="002C170E" w:rsidRPr="002C170E" w:rsidRDefault="002C170E" w:rsidP="002C170E">
            <w:pPr>
              <w:spacing w:before="40" w:after="40"/>
              <w:ind w:right="454"/>
              <w:jc w:val="right"/>
              <w:rPr>
                <w:rFonts w:cs="Arial"/>
                <w:color w:val="000000"/>
                <w:sz w:val="18"/>
              </w:rPr>
            </w:pPr>
            <w:r w:rsidRPr="002C170E">
              <w:rPr>
                <w:rFonts w:cs="Arial"/>
                <w:color w:val="000000"/>
                <w:sz w:val="18"/>
              </w:rPr>
              <w:t>17.3</w:t>
            </w:r>
          </w:p>
        </w:tc>
      </w:tr>
      <w:tr w:rsidR="002C170E" w:rsidRPr="008B2C65" w14:paraId="615932BB" w14:textId="77777777" w:rsidTr="001E46DD">
        <w:trPr>
          <w:trHeight w:val="80"/>
        </w:trPr>
        <w:tc>
          <w:tcPr>
            <w:tcW w:w="2948" w:type="dxa"/>
            <w:tcBorders>
              <w:top w:val="nil"/>
              <w:left w:val="nil"/>
              <w:bottom w:val="nil"/>
              <w:right w:val="nil"/>
            </w:tcBorders>
            <w:shd w:val="clear" w:color="auto" w:fill="auto"/>
            <w:vAlign w:val="center"/>
          </w:tcPr>
          <w:p w14:paraId="597019B2" w14:textId="77777777" w:rsidR="002C170E" w:rsidRPr="008B2C65" w:rsidRDefault="002C170E" w:rsidP="00AA5106">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W</w:t>
            </w:r>
            <w:r>
              <w:rPr>
                <w:rFonts w:eastAsia="Times New Roman" w:cs="Arial"/>
                <w:color w:val="000000"/>
                <w:sz w:val="18"/>
                <w:szCs w:val="18"/>
                <w:lang w:eastAsia="en-AU"/>
              </w:rPr>
              <w:t xml:space="preserve">estern </w:t>
            </w:r>
            <w:r w:rsidRPr="008B2C65">
              <w:rPr>
                <w:rFonts w:eastAsia="Times New Roman" w:cs="Arial"/>
                <w:color w:val="000000"/>
                <w:sz w:val="18"/>
                <w:szCs w:val="18"/>
                <w:lang w:eastAsia="en-AU"/>
              </w:rPr>
              <w:t>A</w:t>
            </w:r>
            <w:r>
              <w:rPr>
                <w:rFonts w:eastAsia="Times New Roman" w:cs="Arial"/>
                <w:color w:val="000000"/>
                <w:sz w:val="18"/>
                <w:szCs w:val="18"/>
                <w:lang w:eastAsia="en-AU"/>
              </w:rPr>
              <w:t>ustralia</w:t>
            </w:r>
          </w:p>
        </w:tc>
        <w:tc>
          <w:tcPr>
            <w:tcW w:w="1531" w:type="dxa"/>
            <w:tcBorders>
              <w:top w:val="nil"/>
              <w:left w:val="nil"/>
              <w:bottom w:val="nil"/>
              <w:right w:val="nil"/>
            </w:tcBorders>
            <w:shd w:val="clear" w:color="auto" w:fill="auto"/>
            <w:vAlign w:val="bottom"/>
          </w:tcPr>
          <w:p w14:paraId="3C96A6D1" w14:textId="34A0E047" w:rsidR="002C170E" w:rsidRPr="002C170E" w:rsidRDefault="002C170E" w:rsidP="002C170E">
            <w:pPr>
              <w:spacing w:before="40" w:after="40"/>
              <w:ind w:right="454"/>
              <w:jc w:val="right"/>
              <w:rPr>
                <w:rFonts w:eastAsia="Times New Roman" w:cs="Arial"/>
                <w:sz w:val="18"/>
                <w:szCs w:val="18"/>
                <w:lang w:eastAsia="en-AU"/>
              </w:rPr>
            </w:pPr>
            <w:r w:rsidRPr="002C170E">
              <w:rPr>
                <w:rFonts w:cs="Arial"/>
                <w:color w:val="000000"/>
                <w:sz w:val="18"/>
              </w:rPr>
              <w:t>29.7</w:t>
            </w:r>
          </w:p>
        </w:tc>
        <w:tc>
          <w:tcPr>
            <w:tcW w:w="1531" w:type="dxa"/>
            <w:tcBorders>
              <w:top w:val="nil"/>
              <w:left w:val="nil"/>
              <w:bottom w:val="nil"/>
              <w:right w:val="nil"/>
            </w:tcBorders>
            <w:shd w:val="clear" w:color="auto" w:fill="auto"/>
            <w:vAlign w:val="bottom"/>
          </w:tcPr>
          <w:p w14:paraId="7A8A8201" w14:textId="1AC8D864" w:rsidR="002C170E" w:rsidRPr="002C170E" w:rsidRDefault="002C170E" w:rsidP="002C170E">
            <w:pPr>
              <w:spacing w:before="40" w:after="40"/>
              <w:ind w:right="510"/>
              <w:jc w:val="right"/>
              <w:rPr>
                <w:rFonts w:cs="Arial"/>
                <w:color w:val="000000"/>
                <w:sz w:val="18"/>
              </w:rPr>
            </w:pPr>
            <w:r w:rsidRPr="002C170E">
              <w:rPr>
                <w:rFonts w:cs="Arial"/>
                <w:color w:val="000000"/>
                <w:sz w:val="18"/>
              </w:rPr>
              <w:t>19.7</w:t>
            </w:r>
          </w:p>
        </w:tc>
        <w:tc>
          <w:tcPr>
            <w:tcW w:w="1531" w:type="dxa"/>
            <w:tcBorders>
              <w:top w:val="nil"/>
              <w:left w:val="nil"/>
              <w:bottom w:val="nil"/>
              <w:right w:val="nil"/>
            </w:tcBorders>
            <w:shd w:val="clear" w:color="auto" w:fill="auto"/>
            <w:vAlign w:val="bottom"/>
          </w:tcPr>
          <w:p w14:paraId="2EAA57A7" w14:textId="26222A94" w:rsidR="002C170E" w:rsidRPr="002C170E" w:rsidRDefault="002C170E" w:rsidP="002C170E">
            <w:pPr>
              <w:spacing w:before="40" w:after="40"/>
              <w:ind w:right="454"/>
              <w:jc w:val="right"/>
              <w:rPr>
                <w:rFonts w:cs="Arial"/>
                <w:color w:val="000000"/>
                <w:sz w:val="18"/>
              </w:rPr>
            </w:pPr>
            <w:r w:rsidRPr="002C170E">
              <w:rPr>
                <w:rFonts w:cs="Arial"/>
                <w:color w:val="000000"/>
                <w:sz w:val="18"/>
              </w:rPr>
              <w:t>24.2</w:t>
            </w:r>
          </w:p>
        </w:tc>
        <w:tc>
          <w:tcPr>
            <w:tcW w:w="1531" w:type="dxa"/>
            <w:tcBorders>
              <w:top w:val="nil"/>
              <w:left w:val="nil"/>
              <w:bottom w:val="nil"/>
              <w:right w:val="nil"/>
            </w:tcBorders>
            <w:shd w:val="clear" w:color="auto" w:fill="auto"/>
            <w:vAlign w:val="bottom"/>
          </w:tcPr>
          <w:p w14:paraId="57F15BBC" w14:textId="07C836BA" w:rsidR="002C170E" w:rsidRPr="002C170E" w:rsidRDefault="002C170E" w:rsidP="002C170E">
            <w:pPr>
              <w:spacing w:before="40" w:after="40"/>
              <w:ind w:right="454"/>
              <w:jc w:val="right"/>
              <w:rPr>
                <w:rFonts w:cs="Arial"/>
                <w:color w:val="000000"/>
                <w:sz w:val="18"/>
              </w:rPr>
            </w:pPr>
            <w:r w:rsidRPr="002C170E">
              <w:rPr>
                <w:rFonts w:cs="Arial"/>
                <w:color w:val="000000"/>
                <w:sz w:val="18"/>
              </w:rPr>
              <w:t>15.2</w:t>
            </w:r>
          </w:p>
        </w:tc>
      </w:tr>
      <w:tr w:rsidR="002C170E" w:rsidRPr="008B2C65" w14:paraId="56EBC56A" w14:textId="77777777" w:rsidTr="001E46DD">
        <w:trPr>
          <w:trHeight w:val="80"/>
        </w:trPr>
        <w:tc>
          <w:tcPr>
            <w:tcW w:w="2948" w:type="dxa"/>
            <w:tcBorders>
              <w:top w:val="nil"/>
              <w:left w:val="nil"/>
              <w:bottom w:val="nil"/>
              <w:right w:val="nil"/>
            </w:tcBorders>
            <w:shd w:val="clear" w:color="auto" w:fill="C7E4F3" w:themeFill="accent1" w:themeFillTint="33"/>
            <w:vAlign w:val="center"/>
          </w:tcPr>
          <w:p w14:paraId="35FC1E4E" w14:textId="77777777" w:rsidR="002C170E" w:rsidRPr="008B2C65" w:rsidRDefault="002C170E" w:rsidP="00AA5106">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Victoria</w:t>
            </w:r>
          </w:p>
        </w:tc>
        <w:tc>
          <w:tcPr>
            <w:tcW w:w="1531" w:type="dxa"/>
            <w:tcBorders>
              <w:top w:val="nil"/>
              <w:left w:val="nil"/>
              <w:bottom w:val="nil"/>
              <w:right w:val="nil"/>
            </w:tcBorders>
            <w:shd w:val="clear" w:color="auto" w:fill="C7E4F3" w:themeFill="accent1" w:themeFillTint="33"/>
            <w:vAlign w:val="bottom"/>
          </w:tcPr>
          <w:p w14:paraId="24235F2B" w14:textId="26E83193" w:rsidR="002C170E" w:rsidRPr="002C170E" w:rsidRDefault="002C170E" w:rsidP="002C170E">
            <w:pPr>
              <w:spacing w:before="40" w:after="40"/>
              <w:ind w:right="454"/>
              <w:jc w:val="right"/>
              <w:rPr>
                <w:rFonts w:eastAsia="Times New Roman" w:cs="Arial"/>
                <w:sz w:val="18"/>
                <w:szCs w:val="18"/>
                <w:lang w:eastAsia="en-AU"/>
              </w:rPr>
            </w:pPr>
            <w:r w:rsidRPr="002C170E">
              <w:rPr>
                <w:rFonts w:cs="Arial"/>
                <w:color w:val="000000"/>
                <w:sz w:val="18"/>
              </w:rPr>
              <w:t>33.0</w:t>
            </w:r>
          </w:p>
        </w:tc>
        <w:tc>
          <w:tcPr>
            <w:tcW w:w="1531" w:type="dxa"/>
            <w:tcBorders>
              <w:top w:val="nil"/>
              <w:left w:val="nil"/>
              <w:bottom w:val="nil"/>
              <w:right w:val="nil"/>
            </w:tcBorders>
            <w:shd w:val="clear" w:color="auto" w:fill="C7E4F3" w:themeFill="accent1" w:themeFillTint="33"/>
            <w:vAlign w:val="bottom"/>
          </w:tcPr>
          <w:p w14:paraId="7C06BD60" w14:textId="34C28A20" w:rsidR="002C170E" w:rsidRPr="002C170E" w:rsidRDefault="002C170E" w:rsidP="002C170E">
            <w:pPr>
              <w:spacing w:before="40" w:after="40"/>
              <w:ind w:right="510"/>
              <w:jc w:val="right"/>
              <w:rPr>
                <w:rFonts w:cs="Arial"/>
                <w:color w:val="000000"/>
                <w:sz w:val="18"/>
              </w:rPr>
            </w:pPr>
            <w:r w:rsidRPr="002C170E">
              <w:rPr>
                <w:rFonts w:cs="Arial"/>
                <w:color w:val="000000"/>
                <w:sz w:val="18"/>
              </w:rPr>
              <w:t>24.7</w:t>
            </w:r>
          </w:p>
        </w:tc>
        <w:tc>
          <w:tcPr>
            <w:tcW w:w="1531" w:type="dxa"/>
            <w:tcBorders>
              <w:top w:val="nil"/>
              <w:left w:val="nil"/>
              <w:bottom w:val="nil"/>
              <w:right w:val="nil"/>
            </w:tcBorders>
            <w:shd w:val="clear" w:color="auto" w:fill="C7E4F3" w:themeFill="accent1" w:themeFillTint="33"/>
            <w:vAlign w:val="bottom"/>
          </w:tcPr>
          <w:p w14:paraId="299BF407" w14:textId="2639D088" w:rsidR="002C170E" w:rsidRPr="002C170E" w:rsidRDefault="002C170E" w:rsidP="002C170E">
            <w:pPr>
              <w:spacing w:before="40" w:after="40"/>
              <w:ind w:right="454"/>
              <w:jc w:val="right"/>
              <w:rPr>
                <w:rFonts w:cs="Arial"/>
                <w:color w:val="000000"/>
                <w:sz w:val="18"/>
              </w:rPr>
            </w:pPr>
            <w:r w:rsidRPr="002C170E">
              <w:rPr>
                <w:rFonts w:cs="Arial"/>
                <w:color w:val="000000"/>
                <w:sz w:val="18"/>
              </w:rPr>
              <w:t>26.3</w:t>
            </w:r>
          </w:p>
        </w:tc>
        <w:tc>
          <w:tcPr>
            <w:tcW w:w="1531" w:type="dxa"/>
            <w:tcBorders>
              <w:top w:val="nil"/>
              <w:left w:val="nil"/>
              <w:bottom w:val="nil"/>
              <w:right w:val="nil"/>
            </w:tcBorders>
            <w:shd w:val="clear" w:color="auto" w:fill="C7E4F3" w:themeFill="accent1" w:themeFillTint="33"/>
            <w:vAlign w:val="bottom"/>
          </w:tcPr>
          <w:p w14:paraId="5EED7699" w14:textId="1301C242" w:rsidR="002C170E" w:rsidRPr="002C170E" w:rsidRDefault="002C170E" w:rsidP="002C170E">
            <w:pPr>
              <w:spacing w:before="40" w:after="40"/>
              <w:ind w:right="454"/>
              <w:jc w:val="right"/>
              <w:rPr>
                <w:rFonts w:cs="Arial"/>
                <w:color w:val="000000"/>
                <w:sz w:val="18"/>
              </w:rPr>
            </w:pPr>
            <w:r w:rsidRPr="002C170E">
              <w:rPr>
                <w:rFonts w:cs="Arial"/>
                <w:color w:val="000000"/>
                <w:sz w:val="18"/>
              </w:rPr>
              <w:t>17.1</w:t>
            </w:r>
          </w:p>
        </w:tc>
      </w:tr>
      <w:tr w:rsidR="001B644C" w:rsidRPr="008B2C65" w14:paraId="6BF671D1" w14:textId="77777777" w:rsidTr="001B644C">
        <w:trPr>
          <w:trHeight w:val="80"/>
        </w:trPr>
        <w:tc>
          <w:tcPr>
            <w:tcW w:w="2948" w:type="dxa"/>
            <w:tcBorders>
              <w:top w:val="nil"/>
              <w:left w:val="nil"/>
              <w:bottom w:val="nil"/>
              <w:right w:val="nil"/>
            </w:tcBorders>
            <w:shd w:val="clear" w:color="auto" w:fill="58AEDA"/>
            <w:vAlign w:val="center"/>
            <w:hideMark/>
          </w:tcPr>
          <w:p w14:paraId="2E015AAF" w14:textId="5C222D78" w:rsidR="001B644C" w:rsidRPr="008B2C65" w:rsidRDefault="0025300B" w:rsidP="001E46DD">
            <w:pPr>
              <w:spacing w:before="40" w:after="40"/>
              <w:rPr>
                <w:rFonts w:eastAsia="Times New Roman" w:cs="Arial"/>
                <w:b/>
                <w:bCs/>
                <w:color w:val="000000"/>
                <w:sz w:val="18"/>
                <w:szCs w:val="18"/>
                <w:lang w:eastAsia="en-AU"/>
              </w:rPr>
            </w:pPr>
            <w:r>
              <w:rPr>
                <w:rFonts w:eastAsia="Times New Roman" w:cs="Arial"/>
                <w:b/>
                <w:bCs/>
                <w:color w:val="000000"/>
                <w:sz w:val="18"/>
                <w:szCs w:val="18"/>
                <w:lang w:eastAsia="en-AU"/>
              </w:rPr>
              <w:t>Injury/illness</w:t>
            </w:r>
            <w:r w:rsidR="001B644C" w:rsidRPr="008B2C65">
              <w:rPr>
                <w:rFonts w:eastAsia="Times New Roman" w:cs="Arial"/>
                <w:b/>
                <w:bCs/>
                <w:color w:val="000000"/>
                <w:sz w:val="18"/>
                <w:szCs w:val="18"/>
                <w:lang w:eastAsia="en-AU"/>
              </w:rPr>
              <w:t xml:space="preserve"> type </w:t>
            </w:r>
          </w:p>
        </w:tc>
        <w:tc>
          <w:tcPr>
            <w:tcW w:w="1531" w:type="dxa"/>
            <w:tcBorders>
              <w:top w:val="nil"/>
              <w:left w:val="nil"/>
              <w:bottom w:val="nil"/>
              <w:right w:val="nil"/>
            </w:tcBorders>
            <w:shd w:val="clear" w:color="auto" w:fill="58AEDA"/>
            <w:vAlign w:val="center"/>
            <w:hideMark/>
          </w:tcPr>
          <w:p w14:paraId="0500C9FD" w14:textId="77777777" w:rsidR="001B644C" w:rsidRPr="00467D4A" w:rsidRDefault="001B644C" w:rsidP="001E46DD">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531" w:type="dxa"/>
            <w:tcBorders>
              <w:top w:val="nil"/>
              <w:left w:val="nil"/>
              <w:bottom w:val="nil"/>
              <w:right w:val="nil"/>
            </w:tcBorders>
            <w:shd w:val="clear" w:color="auto" w:fill="58AEDA"/>
            <w:vAlign w:val="center"/>
            <w:hideMark/>
          </w:tcPr>
          <w:p w14:paraId="0A519D4B" w14:textId="77777777" w:rsidR="001B644C" w:rsidRPr="00467D4A" w:rsidRDefault="001B644C" w:rsidP="001E46DD">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531" w:type="dxa"/>
            <w:tcBorders>
              <w:top w:val="nil"/>
              <w:left w:val="nil"/>
              <w:bottom w:val="nil"/>
              <w:right w:val="nil"/>
            </w:tcBorders>
            <w:shd w:val="clear" w:color="auto" w:fill="58AEDA"/>
            <w:vAlign w:val="center"/>
            <w:hideMark/>
          </w:tcPr>
          <w:p w14:paraId="780C0A6E" w14:textId="77777777" w:rsidR="001B644C" w:rsidRPr="00467D4A" w:rsidRDefault="001B644C" w:rsidP="001E46DD">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531" w:type="dxa"/>
            <w:tcBorders>
              <w:top w:val="nil"/>
              <w:left w:val="nil"/>
              <w:bottom w:val="nil"/>
              <w:right w:val="nil"/>
            </w:tcBorders>
            <w:shd w:val="clear" w:color="auto" w:fill="58AEDA"/>
            <w:vAlign w:val="center"/>
            <w:hideMark/>
          </w:tcPr>
          <w:p w14:paraId="00F9030B" w14:textId="77777777" w:rsidR="001B644C" w:rsidRPr="00467D4A" w:rsidRDefault="001B644C" w:rsidP="001E46DD">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r>
      <w:tr w:rsidR="002C170E" w:rsidRPr="008B2C65" w14:paraId="715A65AA" w14:textId="77777777" w:rsidTr="001E46DD">
        <w:trPr>
          <w:trHeight w:val="80"/>
        </w:trPr>
        <w:tc>
          <w:tcPr>
            <w:tcW w:w="2948" w:type="dxa"/>
            <w:tcBorders>
              <w:top w:val="nil"/>
              <w:left w:val="nil"/>
              <w:bottom w:val="nil"/>
              <w:right w:val="nil"/>
            </w:tcBorders>
            <w:shd w:val="clear" w:color="000000" w:fill="C7E4F3"/>
            <w:vAlign w:val="center"/>
            <w:hideMark/>
          </w:tcPr>
          <w:p w14:paraId="6879614D" w14:textId="77777777" w:rsidR="002C170E" w:rsidRPr="008B2C65" w:rsidRDefault="002C170E" w:rsidP="00AA5106">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Fractures</w:t>
            </w:r>
          </w:p>
        </w:tc>
        <w:tc>
          <w:tcPr>
            <w:tcW w:w="1531" w:type="dxa"/>
            <w:tcBorders>
              <w:top w:val="nil"/>
              <w:left w:val="nil"/>
              <w:bottom w:val="nil"/>
              <w:right w:val="nil"/>
            </w:tcBorders>
            <w:shd w:val="clear" w:color="000000" w:fill="C7E4F3"/>
            <w:vAlign w:val="bottom"/>
          </w:tcPr>
          <w:p w14:paraId="1396AE74" w14:textId="08F853ED" w:rsidR="002C170E" w:rsidRPr="002C170E" w:rsidRDefault="002C170E" w:rsidP="002C170E">
            <w:pPr>
              <w:spacing w:before="40" w:after="40"/>
              <w:ind w:right="454"/>
              <w:jc w:val="right"/>
              <w:rPr>
                <w:rFonts w:cs="Arial"/>
                <w:color w:val="000000"/>
                <w:sz w:val="18"/>
              </w:rPr>
            </w:pPr>
            <w:r w:rsidRPr="002C170E">
              <w:rPr>
                <w:rFonts w:cs="Arial"/>
                <w:color w:val="000000"/>
                <w:sz w:val="18"/>
              </w:rPr>
              <w:t>21.9</w:t>
            </w:r>
            <w:r w:rsidR="0068697C">
              <w:rPr>
                <w:rFonts w:cs="Arial"/>
                <w:color w:val="000000"/>
                <w:sz w:val="18"/>
              </w:rPr>
              <w:t>*</w:t>
            </w:r>
          </w:p>
        </w:tc>
        <w:tc>
          <w:tcPr>
            <w:tcW w:w="1531" w:type="dxa"/>
            <w:tcBorders>
              <w:top w:val="nil"/>
              <w:left w:val="nil"/>
              <w:bottom w:val="nil"/>
              <w:right w:val="nil"/>
            </w:tcBorders>
            <w:shd w:val="clear" w:color="000000" w:fill="C7E4F3"/>
            <w:vAlign w:val="bottom"/>
          </w:tcPr>
          <w:p w14:paraId="16AF45B3" w14:textId="39B87188" w:rsidR="002C170E" w:rsidRPr="002C170E" w:rsidRDefault="002C170E" w:rsidP="002C170E">
            <w:pPr>
              <w:spacing w:before="40" w:after="40"/>
              <w:ind w:right="454"/>
              <w:jc w:val="right"/>
              <w:rPr>
                <w:rFonts w:cs="Arial"/>
                <w:color w:val="000000"/>
                <w:sz w:val="18"/>
              </w:rPr>
            </w:pPr>
            <w:r w:rsidRPr="002C170E">
              <w:rPr>
                <w:rFonts w:cs="Arial"/>
                <w:color w:val="000000"/>
                <w:sz w:val="18"/>
              </w:rPr>
              <w:t>11.1</w:t>
            </w:r>
            <w:r w:rsidR="0068697C">
              <w:rPr>
                <w:rFonts w:cs="Arial"/>
                <w:color w:val="000000"/>
                <w:sz w:val="18"/>
              </w:rPr>
              <w:t>*</w:t>
            </w:r>
          </w:p>
        </w:tc>
        <w:tc>
          <w:tcPr>
            <w:tcW w:w="1531" w:type="dxa"/>
            <w:tcBorders>
              <w:top w:val="nil"/>
              <w:left w:val="nil"/>
              <w:bottom w:val="nil"/>
              <w:right w:val="nil"/>
            </w:tcBorders>
            <w:shd w:val="clear" w:color="000000" w:fill="C7E4F3"/>
            <w:vAlign w:val="bottom"/>
          </w:tcPr>
          <w:p w14:paraId="5D11A849" w14:textId="73E83E5A" w:rsidR="002C170E" w:rsidRPr="002C170E" w:rsidRDefault="002C170E" w:rsidP="002C170E">
            <w:pPr>
              <w:spacing w:before="40" w:after="40"/>
              <w:ind w:right="454"/>
              <w:jc w:val="right"/>
              <w:rPr>
                <w:rFonts w:cs="Arial"/>
                <w:color w:val="000000"/>
                <w:sz w:val="18"/>
              </w:rPr>
            </w:pPr>
            <w:r w:rsidRPr="002C170E">
              <w:rPr>
                <w:rFonts w:cs="Arial"/>
                <w:color w:val="000000"/>
                <w:sz w:val="18"/>
              </w:rPr>
              <w:t>14.4</w:t>
            </w:r>
            <w:r w:rsidR="0068697C">
              <w:rPr>
                <w:rFonts w:cs="Arial"/>
                <w:color w:val="000000"/>
                <w:sz w:val="18"/>
              </w:rPr>
              <w:t>*</w:t>
            </w:r>
          </w:p>
        </w:tc>
        <w:tc>
          <w:tcPr>
            <w:tcW w:w="1531" w:type="dxa"/>
            <w:tcBorders>
              <w:top w:val="nil"/>
              <w:left w:val="nil"/>
              <w:bottom w:val="nil"/>
              <w:right w:val="nil"/>
            </w:tcBorders>
            <w:shd w:val="clear" w:color="000000" w:fill="C7E4F3"/>
            <w:vAlign w:val="bottom"/>
          </w:tcPr>
          <w:p w14:paraId="0971E492" w14:textId="2FACFBA2" w:rsidR="002C170E" w:rsidRPr="002C170E" w:rsidRDefault="002C170E" w:rsidP="002C170E">
            <w:pPr>
              <w:spacing w:before="40" w:after="40"/>
              <w:ind w:right="454"/>
              <w:jc w:val="right"/>
              <w:rPr>
                <w:rFonts w:cs="Arial"/>
                <w:color w:val="000000"/>
                <w:sz w:val="18"/>
              </w:rPr>
            </w:pPr>
            <w:r w:rsidRPr="002C170E">
              <w:rPr>
                <w:rFonts w:cs="Arial"/>
                <w:color w:val="000000"/>
                <w:sz w:val="18"/>
              </w:rPr>
              <w:t>8.3</w:t>
            </w:r>
            <w:r w:rsidR="0068697C">
              <w:rPr>
                <w:rFonts w:cs="Arial"/>
                <w:color w:val="000000"/>
                <w:sz w:val="18"/>
              </w:rPr>
              <w:t>*</w:t>
            </w:r>
          </w:p>
        </w:tc>
      </w:tr>
      <w:tr w:rsidR="002C170E" w:rsidRPr="008B2C65" w14:paraId="6A11F744" w14:textId="77777777" w:rsidTr="001E46DD">
        <w:trPr>
          <w:trHeight w:val="80"/>
        </w:trPr>
        <w:tc>
          <w:tcPr>
            <w:tcW w:w="2948" w:type="dxa"/>
            <w:tcBorders>
              <w:top w:val="nil"/>
              <w:left w:val="nil"/>
              <w:bottom w:val="nil"/>
              <w:right w:val="nil"/>
            </w:tcBorders>
            <w:shd w:val="clear" w:color="auto" w:fill="auto"/>
            <w:vAlign w:val="center"/>
            <w:hideMark/>
          </w:tcPr>
          <w:p w14:paraId="33FB268A" w14:textId="77777777" w:rsidR="002C170E" w:rsidRPr="008B2C65" w:rsidRDefault="002C170E" w:rsidP="00AA5106">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Musculoskeletal disorders</w:t>
            </w:r>
          </w:p>
        </w:tc>
        <w:tc>
          <w:tcPr>
            <w:tcW w:w="1531" w:type="dxa"/>
            <w:tcBorders>
              <w:top w:val="nil"/>
              <w:left w:val="nil"/>
              <w:bottom w:val="nil"/>
              <w:right w:val="nil"/>
            </w:tcBorders>
            <w:shd w:val="clear" w:color="auto" w:fill="auto"/>
            <w:vAlign w:val="bottom"/>
          </w:tcPr>
          <w:p w14:paraId="450258AB" w14:textId="5104DCCB" w:rsidR="002C170E" w:rsidRPr="002C170E" w:rsidRDefault="002C170E" w:rsidP="002C170E">
            <w:pPr>
              <w:spacing w:before="40" w:after="40"/>
              <w:ind w:right="454"/>
              <w:jc w:val="right"/>
              <w:rPr>
                <w:rFonts w:cs="Arial"/>
                <w:color w:val="000000"/>
                <w:sz w:val="18"/>
              </w:rPr>
            </w:pPr>
            <w:r w:rsidRPr="002C170E">
              <w:rPr>
                <w:rFonts w:cs="Arial"/>
                <w:color w:val="000000"/>
                <w:sz w:val="18"/>
              </w:rPr>
              <w:t>34.1</w:t>
            </w:r>
          </w:p>
        </w:tc>
        <w:tc>
          <w:tcPr>
            <w:tcW w:w="1531" w:type="dxa"/>
            <w:tcBorders>
              <w:top w:val="nil"/>
              <w:left w:val="nil"/>
              <w:bottom w:val="nil"/>
              <w:right w:val="nil"/>
            </w:tcBorders>
            <w:shd w:val="clear" w:color="auto" w:fill="auto"/>
            <w:vAlign w:val="bottom"/>
          </w:tcPr>
          <w:p w14:paraId="06107E7A" w14:textId="20B84DFE" w:rsidR="002C170E" w:rsidRPr="002C170E" w:rsidRDefault="002C170E" w:rsidP="002C170E">
            <w:pPr>
              <w:spacing w:before="40" w:after="40"/>
              <w:ind w:right="454"/>
              <w:jc w:val="right"/>
              <w:rPr>
                <w:rFonts w:cs="Arial"/>
                <w:color w:val="000000"/>
                <w:sz w:val="18"/>
              </w:rPr>
            </w:pPr>
            <w:r w:rsidRPr="002C170E">
              <w:rPr>
                <w:rFonts w:cs="Arial"/>
                <w:color w:val="000000"/>
                <w:sz w:val="18"/>
              </w:rPr>
              <w:t>23.9</w:t>
            </w:r>
            <w:r w:rsidR="0068697C">
              <w:rPr>
                <w:rFonts w:cs="Arial"/>
                <w:color w:val="000000"/>
                <w:sz w:val="18"/>
              </w:rPr>
              <w:t>**</w:t>
            </w:r>
          </w:p>
        </w:tc>
        <w:tc>
          <w:tcPr>
            <w:tcW w:w="1531" w:type="dxa"/>
            <w:tcBorders>
              <w:top w:val="nil"/>
              <w:left w:val="nil"/>
              <w:bottom w:val="nil"/>
              <w:right w:val="nil"/>
            </w:tcBorders>
            <w:shd w:val="clear" w:color="auto" w:fill="auto"/>
            <w:vAlign w:val="bottom"/>
          </w:tcPr>
          <w:p w14:paraId="41D0C671" w14:textId="3F49E7AC" w:rsidR="002C170E" w:rsidRPr="002C170E" w:rsidRDefault="002C170E" w:rsidP="002C170E">
            <w:pPr>
              <w:spacing w:before="40" w:after="40"/>
              <w:ind w:right="454"/>
              <w:jc w:val="right"/>
              <w:rPr>
                <w:rFonts w:cs="Arial"/>
                <w:color w:val="000000"/>
                <w:sz w:val="18"/>
              </w:rPr>
            </w:pPr>
            <w:r w:rsidRPr="002C170E">
              <w:rPr>
                <w:rFonts w:cs="Arial"/>
                <w:color w:val="000000"/>
                <w:sz w:val="18"/>
              </w:rPr>
              <w:t>24.0</w:t>
            </w:r>
            <w:r w:rsidR="0068697C">
              <w:rPr>
                <w:rFonts w:cs="Arial"/>
                <w:color w:val="000000"/>
                <w:sz w:val="18"/>
              </w:rPr>
              <w:t>**</w:t>
            </w:r>
          </w:p>
        </w:tc>
        <w:tc>
          <w:tcPr>
            <w:tcW w:w="1531" w:type="dxa"/>
            <w:tcBorders>
              <w:top w:val="nil"/>
              <w:left w:val="nil"/>
              <w:bottom w:val="nil"/>
              <w:right w:val="nil"/>
            </w:tcBorders>
            <w:shd w:val="clear" w:color="auto" w:fill="auto"/>
            <w:vAlign w:val="bottom"/>
          </w:tcPr>
          <w:p w14:paraId="0159B8C4" w14:textId="4F83A907" w:rsidR="002C170E" w:rsidRPr="002C170E" w:rsidRDefault="002C170E" w:rsidP="002C170E">
            <w:pPr>
              <w:spacing w:before="40" w:after="40"/>
              <w:ind w:right="454"/>
              <w:jc w:val="right"/>
              <w:rPr>
                <w:rFonts w:cs="Arial"/>
                <w:color w:val="000000"/>
                <w:sz w:val="18"/>
              </w:rPr>
            </w:pPr>
            <w:r w:rsidRPr="002C170E">
              <w:rPr>
                <w:rFonts w:cs="Arial"/>
                <w:color w:val="000000"/>
                <w:sz w:val="18"/>
              </w:rPr>
              <w:t>17.5</w:t>
            </w:r>
            <w:r w:rsidR="0068697C">
              <w:rPr>
                <w:rFonts w:cs="Arial"/>
                <w:color w:val="000000"/>
                <w:sz w:val="18"/>
              </w:rPr>
              <w:t>**</w:t>
            </w:r>
          </w:p>
        </w:tc>
      </w:tr>
      <w:tr w:rsidR="002C170E" w:rsidRPr="008B2C65" w14:paraId="666524A4" w14:textId="77777777" w:rsidTr="001E46DD">
        <w:trPr>
          <w:trHeight w:val="80"/>
        </w:trPr>
        <w:tc>
          <w:tcPr>
            <w:tcW w:w="2948" w:type="dxa"/>
            <w:tcBorders>
              <w:top w:val="nil"/>
              <w:left w:val="nil"/>
              <w:bottom w:val="nil"/>
              <w:right w:val="nil"/>
            </w:tcBorders>
            <w:shd w:val="clear" w:color="000000" w:fill="C7E4F3"/>
            <w:vAlign w:val="center"/>
            <w:hideMark/>
          </w:tcPr>
          <w:p w14:paraId="4E47D128" w14:textId="77777777" w:rsidR="002C170E" w:rsidRPr="008B2C65" w:rsidRDefault="002C170E" w:rsidP="00AA5106">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Other trauma</w:t>
            </w:r>
          </w:p>
        </w:tc>
        <w:tc>
          <w:tcPr>
            <w:tcW w:w="1531" w:type="dxa"/>
            <w:tcBorders>
              <w:top w:val="nil"/>
              <w:left w:val="nil"/>
              <w:bottom w:val="nil"/>
              <w:right w:val="nil"/>
            </w:tcBorders>
            <w:shd w:val="clear" w:color="000000" w:fill="C7E4F3"/>
            <w:vAlign w:val="bottom"/>
          </w:tcPr>
          <w:p w14:paraId="342FCE96" w14:textId="1A3E2FEC" w:rsidR="002C170E" w:rsidRPr="002C170E" w:rsidRDefault="002C170E" w:rsidP="002C170E">
            <w:pPr>
              <w:spacing w:before="40" w:after="40"/>
              <w:ind w:right="454"/>
              <w:jc w:val="right"/>
              <w:rPr>
                <w:rFonts w:cs="Arial"/>
                <w:color w:val="000000"/>
                <w:sz w:val="18"/>
              </w:rPr>
            </w:pPr>
            <w:r w:rsidRPr="002C170E">
              <w:rPr>
                <w:rFonts w:cs="Arial"/>
                <w:color w:val="000000"/>
                <w:sz w:val="18"/>
              </w:rPr>
              <w:t>24.2</w:t>
            </w:r>
            <w:r w:rsidR="0068697C">
              <w:rPr>
                <w:rFonts w:cs="Arial"/>
                <w:color w:val="000000"/>
                <w:sz w:val="18"/>
              </w:rPr>
              <w:t>*</w:t>
            </w:r>
          </w:p>
        </w:tc>
        <w:tc>
          <w:tcPr>
            <w:tcW w:w="1531" w:type="dxa"/>
            <w:tcBorders>
              <w:top w:val="nil"/>
              <w:left w:val="nil"/>
              <w:bottom w:val="nil"/>
              <w:right w:val="nil"/>
            </w:tcBorders>
            <w:shd w:val="clear" w:color="000000" w:fill="C7E4F3"/>
            <w:vAlign w:val="bottom"/>
          </w:tcPr>
          <w:p w14:paraId="29152F47" w14:textId="5EC141CE" w:rsidR="002C170E" w:rsidRPr="002C170E" w:rsidRDefault="002C170E" w:rsidP="002C170E">
            <w:pPr>
              <w:spacing w:before="40" w:after="40"/>
              <w:ind w:right="454"/>
              <w:jc w:val="right"/>
              <w:rPr>
                <w:rFonts w:cs="Arial"/>
                <w:color w:val="000000"/>
                <w:sz w:val="18"/>
              </w:rPr>
            </w:pPr>
            <w:r w:rsidRPr="002C170E">
              <w:rPr>
                <w:rFonts w:cs="Arial"/>
                <w:color w:val="000000"/>
                <w:sz w:val="18"/>
              </w:rPr>
              <w:t>17.5</w:t>
            </w:r>
            <w:r w:rsidR="0068697C">
              <w:rPr>
                <w:rFonts w:cs="Arial"/>
                <w:color w:val="000000"/>
                <w:sz w:val="18"/>
              </w:rPr>
              <w:t>*</w:t>
            </w:r>
          </w:p>
        </w:tc>
        <w:tc>
          <w:tcPr>
            <w:tcW w:w="1531" w:type="dxa"/>
            <w:tcBorders>
              <w:top w:val="nil"/>
              <w:left w:val="nil"/>
              <w:bottom w:val="nil"/>
              <w:right w:val="nil"/>
            </w:tcBorders>
            <w:shd w:val="clear" w:color="000000" w:fill="C7E4F3"/>
            <w:vAlign w:val="bottom"/>
          </w:tcPr>
          <w:p w14:paraId="2CC38804" w14:textId="37066A35" w:rsidR="002C170E" w:rsidRPr="002C170E" w:rsidRDefault="002C170E" w:rsidP="002C170E">
            <w:pPr>
              <w:spacing w:before="40" w:after="40"/>
              <w:ind w:right="454"/>
              <w:jc w:val="right"/>
              <w:rPr>
                <w:rFonts w:cs="Arial"/>
                <w:color w:val="000000"/>
                <w:sz w:val="18"/>
              </w:rPr>
            </w:pPr>
            <w:r w:rsidRPr="002C170E">
              <w:rPr>
                <w:rFonts w:cs="Arial"/>
                <w:color w:val="000000"/>
                <w:sz w:val="18"/>
              </w:rPr>
              <w:t>16.4</w:t>
            </w:r>
            <w:r w:rsidR="0068697C">
              <w:rPr>
                <w:rFonts w:cs="Arial"/>
                <w:color w:val="000000"/>
                <w:sz w:val="18"/>
              </w:rPr>
              <w:t>*</w:t>
            </w:r>
          </w:p>
        </w:tc>
        <w:tc>
          <w:tcPr>
            <w:tcW w:w="1531" w:type="dxa"/>
            <w:tcBorders>
              <w:top w:val="nil"/>
              <w:left w:val="nil"/>
              <w:bottom w:val="nil"/>
              <w:right w:val="nil"/>
            </w:tcBorders>
            <w:shd w:val="clear" w:color="000000" w:fill="C7E4F3"/>
            <w:vAlign w:val="bottom"/>
          </w:tcPr>
          <w:p w14:paraId="6445D765" w14:textId="0C253C16" w:rsidR="002C170E" w:rsidRPr="002C170E" w:rsidRDefault="002C170E" w:rsidP="002C170E">
            <w:pPr>
              <w:spacing w:before="40" w:after="40"/>
              <w:ind w:right="454"/>
              <w:jc w:val="right"/>
              <w:rPr>
                <w:rFonts w:cs="Arial"/>
                <w:color w:val="000000"/>
                <w:sz w:val="18"/>
              </w:rPr>
            </w:pPr>
            <w:r w:rsidRPr="002C170E">
              <w:rPr>
                <w:rFonts w:cs="Arial"/>
                <w:color w:val="000000"/>
                <w:sz w:val="18"/>
              </w:rPr>
              <w:t>10.9</w:t>
            </w:r>
            <w:r w:rsidR="0068697C">
              <w:rPr>
                <w:rFonts w:cs="Arial"/>
                <w:color w:val="000000"/>
                <w:sz w:val="18"/>
              </w:rPr>
              <w:t>*</w:t>
            </w:r>
          </w:p>
        </w:tc>
      </w:tr>
      <w:tr w:rsidR="002C170E" w:rsidRPr="008B2C65" w14:paraId="79EE9972" w14:textId="77777777" w:rsidTr="001E46DD">
        <w:trPr>
          <w:trHeight w:val="80"/>
        </w:trPr>
        <w:tc>
          <w:tcPr>
            <w:tcW w:w="2948" w:type="dxa"/>
            <w:tcBorders>
              <w:top w:val="nil"/>
              <w:left w:val="nil"/>
              <w:bottom w:val="nil"/>
              <w:right w:val="nil"/>
            </w:tcBorders>
            <w:shd w:val="clear" w:color="auto" w:fill="auto"/>
            <w:vAlign w:val="center"/>
            <w:hideMark/>
          </w:tcPr>
          <w:p w14:paraId="513B9772" w14:textId="77777777" w:rsidR="002C170E" w:rsidRPr="008B2C65" w:rsidRDefault="002C170E" w:rsidP="00AA5106">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Mental illness</w:t>
            </w:r>
          </w:p>
        </w:tc>
        <w:tc>
          <w:tcPr>
            <w:tcW w:w="1531" w:type="dxa"/>
            <w:tcBorders>
              <w:top w:val="nil"/>
              <w:left w:val="nil"/>
              <w:bottom w:val="nil"/>
              <w:right w:val="nil"/>
            </w:tcBorders>
            <w:shd w:val="clear" w:color="auto" w:fill="auto"/>
            <w:vAlign w:val="bottom"/>
          </w:tcPr>
          <w:p w14:paraId="762DD185" w14:textId="406B55A2" w:rsidR="002C170E" w:rsidRPr="002C170E" w:rsidRDefault="002C170E" w:rsidP="002C170E">
            <w:pPr>
              <w:spacing w:before="40" w:after="40"/>
              <w:ind w:right="454"/>
              <w:jc w:val="right"/>
              <w:rPr>
                <w:rFonts w:cs="Arial"/>
                <w:color w:val="000000"/>
                <w:sz w:val="18"/>
              </w:rPr>
            </w:pPr>
            <w:r w:rsidRPr="002C170E">
              <w:rPr>
                <w:rFonts w:cs="Arial"/>
                <w:color w:val="000000"/>
                <w:sz w:val="18"/>
              </w:rPr>
              <w:t>72.4</w:t>
            </w:r>
            <w:r w:rsidR="0068697C">
              <w:rPr>
                <w:rFonts w:cs="Arial"/>
                <w:color w:val="000000"/>
                <w:sz w:val="18"/>
              </w:rPr>
              <w:t>**</w:t>
            </w:r>
          </w:p>
        </w:tc>
        <w:tc>
          <w:tcPr>
            <w:tcW w:w="1531" w:type="dxa"/>
            <w:tcBorders>
              <w:top w:val="nil"/>
              <w:left w:val="nil"/>
              <w:bottom w:val="nil"/>
              <w:right w:val="nil"/>
            </w:tcBorders>
            <w:shd w:val="clear" w:color="auto" w:fill="auto"/>
            <w:vAlign w:val="bottom"/>
          </w:tcPr>
          <w:p w14:paraId="56CBC4BD" w14:textId="35D56735" w:rsidR="002C170E" w:rsidRPr="002C170E" w:rsidRDefault="002C170E" w:rsidP="002C170E">
            <w:pPr>
              <w:spacing w:before="40" w:after="40"/>
              <w:ind w:right="454"/>
              <w:jc w:val="right"/>
              <w:rPr>
                <w:rFonts w:cs="Arial"/>
                <w:color w:val="000000"/>
                <w:sz w:val="18"/>
              </w:rPr>
            </w:pPr>
            <w:r w:rsidRPr="002C170E">
              <w:rPr>
                <w:rFonts w:cs="Arial"/>
                <w:color w:val="000000"/>
                <w:sz w:val="18"/>
              </w:rPr>
              <w:t>46.4</w:t>
            </w:r>
            <w:r w:rsidR="0068697C">
              <w:rPr>
                <w:rFonts w:cs="Arial"/>
                <w:color w:val="000000"/>
                <w:sz w:val="18"/>
              </w:rPr>
              <w:t>**</w:t>
            </w:r>
          </w:p>
        </w:tc>
        <w:tc>
          <w:tcPr>
            <w:tcW w:w="1531" w:type="dxa"/>
            <w:tcBorders>
              <w:top w:val="nil"/>
              <w:left w:val="nil"/>
              <w:bottom w:val="nil"/>
              <w:right w:val="nil"/>
            </w:tcBorders>
            <w:shd w:val="clear" w:color="auto" w:fill="auto"/>
            <w:vAlign w:val="bottom"/>
          </w:tcPr>
          <w:p w14:paraId="62477660" w14:textId="378FF843" w:rsidR="002C170E" w:rsidRPr="002C170E" w:rsidRDefault="002C170E" w:rsidP="002C170E">
            <w:pPr>
              <w:spacing w:before="40" w:after="40"/>
              <w:ind w:right="454"/>
              <w:jc w:val="right"/>
              <w:rPr>
                <w:rFonts w:cs="Arial"/>
                <w:color w:val="000000"/>
                <w:sz w:val="18"/>
              </w:rPr>
            </w:pPr>
            <w:r w:rsidRPr="002C170E">
              <w:rPr>
                <w:rFonts w:cs="Arial"/>
                <w:color w:val="000000"/>
                <w:sz w:val="18"/>
              </w:rPr>
              <w:t>38.8</w:t>
            </w:r>
            <w:r w:rsidR="0068697C">
              <w:rPr>
                <w:rFonts w:cs="Arial"/>
                <w:color w:val="000000"/>
                <w:sz w:val="18"/>
              </w:rPr>
              <w:t>**</w:t>
            </w:r>
          </w:p>
        </w:tc>
        <w:tc>
          <w:tcPr>
            <w:tcW w:w="1531" w:type="dxa"/>
            <w:tcBorders>
              <w:top w:val="nil"/>
              <w:left w:val="nil"/>
              <w:bottom w:val="nil"/>
              <w:right w:val="nil"/>
            </w:tcBorders>
            <w:shd w:val="clear" w:color="auto" w:fill="auto"/>
            <w:vAlign w:val="bottom"/>
          </w:tcPr>
          <w:p w14:paraId="6A953A68" w14:textId="4B8EF4AD" w:rsidR="002C170E" w:rsidRPr="002C170E" w:rsidRDefault="002C170E" w:rsidP="002C170E">
            <w:pPr>
              <w:spacing w:before="40" w:after="40"/>
              <w:ind w:right="454"/>
              <w:jc w:val="right"/>
              <w:rPr>
                <w:rFonts w:cs="Arial"/>
                <w:color w:val="000000"/>
                <w:sz w:val="18"/>
              </w:rPr>
            </w:pPr>
            <w:r w:rsidRPr="002C170E">
              <w:rPr>
                <w:rFonts w:cs="Arial"/>
                <w:color w:val="000000"/>
                <w:sz w:val="18"/>
              </w:rPr>
              <w:t>32.3</w:t>
            </w:r>
            <w:r w:rsidR="0068697C">
              <w:rPr>
                <w:rFonts w:cs="Arial"/>
                <w:color w:val="000000"/>
                <w:sz w:val="18"/>
              </w:rPr>
              <w:t>**</w:t>
            </w:r>
          </w:p>
        </w:tc>
      </w:tr>
      <w:tr w:rsidR="002C170E" w:rsidRPr="008B2C65" w14:paraId="2960458B" w14:textId="77777777" w:rsidTr="001E46DD">
        <w:trPr>
          <w:trHeight w:val="80"/>
        </w:trPr>
        <w:tc>
          <w:tcPr>
            <w:tcW w:w="2948" w:type="dxa"/>
            <w:tcBorders>
              <w:top w:val="nil"/>
              <w:left w:val="nil"/>
              <w:bottom w:val="nil"/>
              <w:right w:val="nil"/>
            </w:tcBorders>
            <w:shd w:val="clear" w:color="000000" w:fill="C7E4F3"/>
            <w:vAlign w:val="center"/>
            <w:hideMark/>
          </w:tcPr>
          <w:p w14:paraId="5181994F" w14:textId="77777777" w:rsidR="002C170E" w:rsidRPr="008B2C65" w:rsidRDefault="002C170E" w:rsidP="00AA5106">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Other diseases</w:t>
            </w:r>
          </w:p>
        </w:tc>
        <w:tc>
          <w:tcPr>
            <w:tcW w:w="1531" w:type="dxa"/>
            <w:tcBorders>
              <w:top w:val="nil"/>
              <w:left w:val="nil"/>
              <w:bottom w:val="nil"/>
              <w:right w:val="nil"/>
            </w:tcBorders>
            <w:shd w:val="clear" w:color="000000" w:fill="C7E4F3"/>
            <w:vAlign w:val="bottom"/>
          </w:tcPr>
          <w:p w14:paraId="73E33EF1" w14:textId="7AFD5E09" w:rsidR="002C170E" w:rsidRPr="002C170E" w:rsidRDefault="002C170E" w:rsidP="002C170E">
            <w:pPr>
              <w:spacing w:before="40" w:after="40"/>
              <w:ind w:right="454"/>
              <w:jc w:val="right"/>
              <w:rPr>
                <w:rFonts w:cs="Arial"/>
                <w:color w:val="000000"/>
                <w:sz w:val="18"/>
              </w:rPr>
            </w:pPr>
            <w:r w:rsidRPr="002C170E">
              <w:rPr>
                <w:rFonts w:cs="Arial"/>
                <w:color w:val="000000"/>
                <w:sz w:val="18"/>
              </w:rPr>
              <w:t>34.9</w:t>
            </w:r>
          </w:p>
        </w:tc>
        <w:tc>
          <w:tcPr>
            <w:tcW w:w="1531" w:type="dxa"/>
            <w:tcBorders>
              <w:top w:val="nil"/>
              <w:left w:val="nil"/>
              <w:bottom w:val="nil"/>
              <w:right w:val="nil"/>
            </w:tcBorders>
            <w:shd w:val="clear" w:color="000000" w:fill="C7E4F3"/>
            <w:vAlign w:val="bottom"/>
          </w:tcPr>
          <w:p w14:paraId="6FF29C2F" w14:textId="650D852A" w:rsidR="002C170E" w:rsidRPr="002C170E" w:rsidRDefault="002C170E" w:rsidP="002C170E">
            <w:pPr>
              <w:spacing w:before="40" w:after="40"/>
              <w:ind w:right="454"/>
              <w:jc w:val="right"/>
              <w:rPr>
                <w:rFonts w:cs="Arial"/>
                <w:color w:val="000000"/>
                <w:sz w:val="18"/>
              </w:rPr>
            </w:pPr>
            <w:r w:rsidRPr="002C170E">
              <w:rPr>
                <w:rFonts w:cs="Arial"/>
                <w:color w:val="000000"/>
                <w:sz w:val="18"/>
              </w:rPr>
              <w:t>24.2</w:t>
            </w:r>
          </w:p>
        </w:tc>
        <w:tc>
          <w:tcPr>
            <w:tcW w:w="1531" w:type="dxa"/>
            <w:tcBorders>
              <w:top w:val="nil"/>
              <w:left w:val="nil"/>
              <w:bottom w:val="nil"/>
              <w:right w:val="nil"/>
            </w:tcBorders>
            <w:shd w:val="clear" w:color="000000" w:fill="C7E4F3"/>
            <w:vAlign w:val="bottom"/>
          </w:tcPr>
          <w:p w14:paraId="495EA1FF" w14:textId="52BA8CE0" w:rsidR="002C170E" w:rsidRPr="002C170E" w:rsidRDefault="002C170E" w:rsidP="002C170E">
            <w:pPr>
              <w:spacing w:before="40" w:after="40"/>
              <w:ind w:right="454"/>
              <w:jc w:val="right"/>
              <w:rPr>
                <w:rFonts w:cs="Arial"/>
                <w:color w:val="000000"/>
                <w:sz w:val="18"/>
              </w:rPr>
            </w:pPr>
            <w:r w:rsidRPr="002C170E">
              <w:rPr>
                <w:rFonts w:cs="Arial"/>
                <w:color w:val="000000"/>
                <w:sz w:val="18"/>
              </w:rPr>
              <w:t>15.5</w:t>
            </w:r>
          </w:p>
        </w:tc>
        <w:tc>
          <w:tcPr>
            <w:tcW w:w="1531" w:type="dxa"/>
            <w:tcBorders>
              <w:top w:val="nil"/>
              <w:left w:val="nil"/>
              <w:bottom w:val="nil"/>
              <w:right w:val="nil"/>
            </w:tcBorders>
            <w:shd w:val="clear" w:color="000000" w:fill="C7E4F3"/>
            <w:vAlign w:val="bottom"/>
          </w:tcPr>
          <w:p w14:paraId="4E799545" w14:textId="59BB4770" w:rsidR="002C170E" w:rsidRPr="002C170E" w:rsidRDefault="002C170E" w:rsidP="002C170E">
            <w:pPr>
              <w:spacing w:before="40" w:after="40"/>
              <w:ind w:right="454"/>
              <w:jc w:val="right"/>
              <w:rPr>
                <w:rFonts w:cs="Arial"/>
                <w:color w:val="000000"/>
                <w:sz w:val="18"/>
              </w:rPr>
            </w:pPr>
            <w:r w:rsidRPr="002C170E">
              <w:rPr>
                <w:rFonts w:cs="Arial"/>
                <w:color w:val="000000"/>
                <w:sz w:val="18"/>
              </w:rPr>
              <w:t>19.9</w:t>
            </w:r>
          </w:p>
        </w:tc>
      </w:tr>
      <w:tr w:rsidR="001B644C" w:rsidRPr="008B2C65" w14:paraId="00361850" w14:textId="77777777" w:rsidTr="001B644C">
        <w:trPr>
          <w:trHeight w:val="80"/>
        </w:trPr>
        <w:tc>
          <w:tcPr>
            <w:tcW w:w="2948" w:type="dxa"/>
            <w:tcBorders>
              <w:top w:val="nil"/>
              <w:left w:val="nil"/>
              <w:bottom w:val="nil"/>
              <w:right w:val="nil"/>
            </w:tcBorders>
            <w:shd w:val="clear" w:color="auto" w:fill="58AFDA" w:themeFill="accent1" w:themeFillTint="99"/>
            <w:vAlign w:val="center"/>
          </w:tcPr>
          <w:p w14:paraId="6D58B84A" w14:textId="77777777" w:rsidR="001B644C" w:rsidRDefault="001B644C" w:rsidP="001E46DD">
            <w:pPr>
              <w:spacing w:before="40" w:after="40"/>
              <w:rPr>
                <w:rFonts w:eastAsia="Times New Roman" w:cs="Arial"/>
                <w:color w:val="000000"/>
                <w:sz w:val="18"/>
                <w:szCs w:val="18"/>
                <w:lang w:eastAsia="en-AU"/>
              </w:rPr>
            </w:pPr>
            <w:r>
              <w:rPr>
                <w:rFonts w:eastAsia="Times New Roman" w:cs="Arial"/>
                <w:b/>
                <w:bCs/>
                <w:color w:val="000000"/>
                <w:sz w:val="18"/>
                <w:szCs w:val="18"/>
                <w:lang w:eastAsia="en-AU"/>
              </w:rPr>
              <w:t>Employer size</w:t>
            </w:r>
            <w:r w:rsidRPr="008B2C65">
              <w:rPr>
                <w:rFonts w:eastAsia="Times New Roman" w:cs="Arial"/>
                <w:b/>
                <w:bCs/>
                <w:color w:val="000000"/>
                <w:sz w:val="18"/>
                <w:szCs w:val="18"/>
                <w:lang w:eastAsia="en-AU"/>
              </w:rPr>
              <w:t xml:space="preserve"> </w:t>
            </w:r>
          </w:p>
        </w:tc>
        <w:tc>
          <w:tcPr>
            <w:tcW w:w="1531" w:type="dxa"/>
            <w:tcBorders>
              <w:top w:val="nil"/>
              <w:left w:val="nil"/>
              <w:bottom w:val="nil"/>
              <w:right w:val="nil"/>
            </w:tcBorders>
            <w:shd w:val="clear" w:color="auto" w:fill="58AFDA" w:themeFill="accent1" w:themeFillTint="99"/>
            <w:vAlign w:val="center"/>
          </w:tcPr>
          <w:p w14:paraId="7FA2E411" w14:textId="77777777" w:rsidR="001B644C" w:rsidRPr="00467D4A" w:rsidRDefault="001B644C" w:rsidP="001E46DD">
            <w:pPr>
              <w:spacing w:before="40" w:after="40"/>
              <w:ind w:right="227"/>
              <w:jc w:val="right"/>
              <w:rPr>
                <w:rFonts w:eastAsia="Times New Roman" w:cs="Arial"/>
                <w:sz w:val="18"/>
                <w:szCs w:val="18"/>
                <w:lang w:eastAsia="en-AU"/>
              </w:rPr>
            </w:pPr>
          </w:p>
        </w:tc>
        <w:tc>
          <w:tcPr>
            <w:tcW w:w="1531" w:type="dxa"/>
            <w:tcBorders>
              <w:top w:val="nil"/>
              <w:left w:val="nil"/>
              <w:bottom w:val="nil"/>
              <w:right w:val="nil"/>
            </w:tcBorders>
            <w:shd w:val="clear" w:color="auto" w:fill="58AFDA" w:themeFill="accent1" w:themeFillTint="99"/>
            <w:vAlign w:val="center"/>
          </w:tcPr>
          <w:p w14:paraId="271463AD" w14:textId="77777777" w:rsidR="001B644C" w:rsidRPr="00467D4A" w:rsidRDefault="001B644C" w:rsidP="001E46DD">
            <w:pPr>
              <w:spacing w:before="40" w:after="40"/>
              <w:ind w:right="227"/>
              <w:jc w:val="right"/>
              <w:rPr>
                <w:rFonts w:eastAsia="Times New Roman" w:cs="Arial"/>
                <w:sz w:val="18"/>
                <w:szCs w:val="18"/>
                <w:lang w:eastAsia="en-AU"/>
              </w:rPr>
            </w:pPr>
          </w:p>
        </w:tc>
        <w:tc>
          <w:tcPr>
            <w:tcW w:w="1531" w:type="dxa"/>
            <w:tcBorders>
              <w:top w:val="nil"/>
              <w:left w:val="nil"/>
              <w:bottom w:val="nil"/>
              <w:right w:val="nil"/>
            </w:tcBorders>
            <w:shd w:val="clear" w:color="auto" w:fill="58AFDA" w:themeFill="accent1" w:themeFillTint="99"/>
            <w:vAlign w:val="center"/>
          </w:tcPr>
          <w:p w14:paraId="5440B54B" w14:textId="77777777" w:rsidR="001B644C" w:rsidRPr="00467D4A" w:rsidRDefault="001B644C" w:rsidP="001E46DD">
            <w:pPr>
              <w:spacing w:before="40" w:after="40"/>
              <w:ind w:right="227"/>
              <w:jc w:val="right"/>
              <w:rPr>
                <w:rFonts w:eastAsia="Times New Roman" w:cs="Arial"/>
                <w:sz w:val="18"/>
                <w:szCs w:val="18"/>
                <w:lang w:eastAsia="en-AU"/>
              </w:rPr>
            </w:pPr>
          </w:p>
        </w:tc>
        <w:tc>
          <w:tcPr>
            <w:tcW w:w="1531" w:type="dxa"/>
            <w:tcBorders>
              <w:top w:val="nil"/>
              <w:left w:val="nil"/>
              <w:bottom w:val="nil"/>
              <w:right w:val="nil"/>
            </w:tcBorders>
            <w:shd w:val="clear" w:color="auto" w:fill="58AFDA" w:themeFill="accent1" w:themeFillTint="99"/>
            <w:vAlign w:val="center"/>
          </w:tcPr>
          <w:p w14:paraId="5177E918" w14:textId="77777777" w:rsidR="001B644C" w:rsidRPr="00467D4A" w:rsidRDefault="001B644C" w:rsidP="001E46DD">
            <w:pPr>
              <w:spacing w:before="40" w:after="40"/>
              <w:ind w:right="227"/>
              <w:jc w:val="right"/>
              <w:rPr>
                <w:rFonts w:eastAsia="Times New Roman" w:cs="Arial"/>
                <w:sz w:val="18"/>
                <w:szCs w:val="18"/>
                <w:lang w:eastAsia="en-AU"/>
              </w:rPr>
            </w:pPr>
          </w:p>
        </w:tc>
      </w:tr>
      <w:tr w:rsidR="0068697C" w:rsidRPr="008B2C65" w14:paraId="1D962DB0" w14:textId="77777777" w:rsidTr="001E46DD">
        <w:trPr>
          <w:trHeight w:val="80"/>
        </w:trPr>
        <w:tc>
          <w:tcPr>
            <w:tcW w:w="2948" w:type="dxa"/>
            <w:tcBorders>
              <w:top w:val="nil"/>
              <w:left w:val="nil"/>
              <w:bottom w:val="nil"/>
              <w:right w:val="nil"/>
            </w:tcBorders>
            <w:shd w:val="clear" w:color="000000" w:fill="C7E4F3"/>
            <w:vAlign w:val="center"/>
          </w:tcPr>
          <w:p w14:paraId="364F5954" w14:textId="77777777" w:rsidR="0068697C" w:rsidRDefault="0068697C" w:rsidP="00AA5106">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Small</w:t>
            </w:r>
          </w:p>
        </w:tc>
        <w:tc>
          <w:tcPr>
            <w:tcW w:w="1531" w:type="dxa"/>
            <w:tcBorders>
              <w:top w:val="nil"/>
              <w:left w:val="nil"/>
              <w:bottom w:val="nil"/>
              <w:right w:val="nil"/>
            </w:tcBorders>
            <w:shd w:val="clear" w:color="000000" w:fill="C7E4F3"/>
            <w:vAlign w:val="bottom"/>
          </w:tcPr>
          <w:p w14:paraId="1D22C210" w14:textId="4D09B7BF" w:rsidR="0068697C" w:rsidRPr="0068697C" w:rsidRDefault="0068697C" w:rsidP="0068697C">
            <w:pPr>
              <w:spacing w:before="40" w:after="40"/>
              <w:ind w:right="454"/>
              <w:jc w:val="right"/>
              <w:rPr>
                <w:rFonts w:cs="Arial"/>
                <w:color w:val="000000"/>
                <w:sz w:val="18"/>
              </w:rPr>
            </w:pPr>
            <w:r w:rsidRPr="0068697C">
              <w:rPr>
                <w:rFonts w:cs="Arial"/>
                <w:color w:val="000000"/>
                <w:sz w:val="18"/>
              </w:rPr>
              <w:t>31.1</w:t>
            </w:r>
          </w:p>
        </w:tc>
        <w:tc>
          <w:tcPr>
            <w:tcW w:w="1531" w:type="dxa"/>
            <w:tcBorders>
              <w:top w:val="nil"/>
              <w:left w:val="nil"/>
              <w:bottom w:val="nil"/>
              <w:right w:val="nil"/>
            </w:tcBorders>
            <w:shd w:val="clear" w:color="000000" w:fill="C7E4F3"/>
            <w:vAlign w:val="bottom"/>
          </w:tcPr>
          <w:p w14:paraId="597B99CE" w14:textId="08DAF414" w:rsidR="0068697C" w:rsidRPr="0068697C" w:rsidRDefault="0068697C" w:rsidP="0068697C">
            <w:pPr>
              <w:spacing w:before="40" w:after="40"/>
              <w:ind w:right="454"/>
              <w:jc w:val="right"/>
              <w:rPr>
                <w:rFonts w:cs="Arial"/>
                <w:color w:val="000000"/>
                <w:sz w:val="18"/>
              </w:rPr>
            </w:pPr>
            <w:r w:rsidRPr="0068697C">
              <w:rPr>
                <w:rFonts w:cs="Arial"/>
                <w:color w:val="000000"/>
                <w:sz w:val="18"/>
              </w:rPr>
              <w:t>21.8</w:t>
            </w:r>
          </w:p>
        </w:tc>
        <w:tc>
          <w:tcPr>
            <w:tcW w:w="1531" w:type="dxa"/>
            <w:tcBorders>
              <w:top w:val="nil"/>
              <w:left w:val="nil"/>
              <w:bottom w:val="nil"/>
              <w:right w:val="nil"/>
            </w:tcBorders>
            <w:shd w:val="clear" w:color="000000" w:fill="C7E4F3"/>
            <w:vAlign w:val="bottom"/>
          </w:tcPr>
          <w:p w14:paraId="75C8644D" w14:textId="52D26700" w:rsidR="0068697C" w:rsidRPr="0068697C" w:rsidRDefault="0068697C" w:rsidP="0068697C">
            <w:pPr>
              <w:spacing w:before="40" w:after="40"/>
              <w:ind w:right="454"/>
              <w:jc w:val="right"/>
              <w:rPr>
                <w:rFonts w:cs="Arial"/>
                <w:color w:val="000000"/>
                <w:sz w:val="18"/>
              </w:rPr>
            </w:pPr>
            <w:r w:rsidRPr="0068697C">
              <w:rPr>
                <w:rFonts w:cs="Arial"/>
                <w:color w:val="000000"/>
                <w:sz w:val="18"/>
              </w:rPr>
              <w:t>23.8</w:t>
            </w:r>
          </w:p>
        </w:tc>
        <w:tc>
          <w:tcPr>
            <w:tcW w:w="1531" w:type="dxa"/>
            <w:tcBorders>
              <w:top w:val="nil"/>
              <w:left w:val="nil"/>
              <w:bottom w:val="nil"/>
              <w:right w:val="nil"/>
            </w:tcBorders>
            <w:shd w:val="clear" w:color="000000" w:fill="C7E4F3"/>
            <w:vAlign w:val="bottom"/>
          </w:tcPr>
          <w:p w14:paraId="23BCD077" w14:textId="42529361" w:rsidR="0068697C" w:rsidRPr="0068697C" w:rsidRDefault="0068697C" w:rsidP="0068697C">
            <w:pPr>
              <w:spacing w:before="40" w:after="40"/>
              <w:ind w:right="454"/>
              <w:jc w:val="right"/>
              <w:rPr>
                <w:rFonts w:cs="Arial"/>
                <w:color w:val="000000"/>
                <w:sz w:val="18"/>
              </w:rPr>
            </w:pPr>
            <w:r w:rsidRPr="0068697C">
              <w:rPr>
                <w:rFonts w:cs="Arial"/>
                <w:color w:val="000000"/>
                <w:sz w:val="18"/>
              </w:rPr>
              <w:t>17.7</w:t>
            </w:r>
            <w:r>
              <w:rPr>
                <w:rFonts w:cs="Arial"/>
                <w:color w:val="000000"/>
                <w:sz w:val="18"/>
              </w:rPr>
              <w:t>**</w:t>
            </w:r>
          </w:p>
        </w:tc>
      </w:tr>
      <w:tr w:rsidR="0068697C" w:rsidRPr="008B2C65" w14:paraId="3449AD2C" w14:textId="77777777" w:rsidTr="001E46DD">
        <w:trPr>
          <w:trHeight w:val="80"/>
        </w:trPr>
        <w:tc>
          <w:tcPr>
            <w:tcW w:w="2948" w:type="dxa"/>
            <w:tcBorders>
              <w:top w:val="nil"/>
              <w:left w:val="nil"/>
              <w:right w:val="nil"/>
            </w:tcBorders>
            <w:shd w:val="clear" w:color="auto" w:fill="auto"/>
            <w:vAlign w:val="center"/>
          </w:tcPr>
          <w:p w14:paraId="25638537" w14:textId="77777777" w:rsidR="0068697C" w:rsidRDefault="0068697C" w:rsidP="00AA5106">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Medium</w:t>
            </w:r>
          </w:p>
        </w:tc>
        <w:tc>
          <w:tcPr>
            <w:tcW w:w="1531" w:type="dxa"/>
            <w:tcBorders>
              <w:top w:val="nil"/>
              <w:left w:val="nil"/>
              <w:right w:val="nil"/>
            </w:tcBorders>
            <w:shd w:val="clear" w:color="auto" w:fill="auto"/>
            <w:vAlign w:val="bottom"/>
          </w:tcPr>
          <w:p w14:paraId="75FA655F" w14:textId="0E76B055" w:rsidR="0068697C" w:rsidRPr="0068697C" w:rsidRDefault="0068697C" w:rsidP="0068697C">
            <w:pPr>
              <w:spacing w:before="40" w:after="40"/>
              <w:ind w:right="454"/>
              <w:jc w:val="right"/>
              <w:rPr>
                <w:rFonts w:cs="Arial"/>
                <w:color w:val="000000"/>
                <w:sz w:val="18"/>
              </w:rPr>
            </w:pPr>
            <w:r w:rsidRPr="0068697C">
              <w:rPr>
                <w:rFonts w:cs="Arial"/>
                <w:color w:val="000000"/>
                <w:sz w:val="18"/>
              </w:rPr>
              <w:t>32.7</w:t>
            </w:r>
          </w:p>
        </w:tc>
        <w:tc>
          <w:tcPr>
            <w:tcW w:w="1531" w:type="dxa"/>
            <w:tcBorders>
              <w:top w:val="nil"/>
              <w:left w:val="nil"/>
              <w:right w:val="nil"/>
            </w:tcBorders>
            <w:shd w:val="clear" w:color="auto" w:fill="auto"/>
            <w:vAlign w:val="bottom"/>
          </w:tcPr>
          <w:p w14:paraId="220FD7E9" w14:textId="7A575975" w:rsidR="0068697C" w:rsidRPr="0068697C" w:rsidRDefault="0068697C" w:rsidP="0068697C">
            <w:pPr>
              <w:spacing w:before="40" w:after="40"/>
              <w:ind w:right="454"/>
              <w:jc w:val="right"/>
              <w:rPr>
                <w:rFonts w:cs="Arial"/>
                <w:color w:val="000000"/>
                <w:sz w:val="18"/>
              </w:rPr>
            </w:pPr>
            <w:r w:rsidRPr="0068697C">
              <w:rPr>
                <w:rFonts w:cs="Arial"/>
                <w:color w:val="000000"/>
                <w:sz w:val="18"/>
              </w:rPr>
              <w:t>26.4</w:t>
            </w:r>
          </w:p>
        </w:tc>
        <w:tc>
          <w:tcPr>
            <w:tcW w:w="1531" w:type="dxa"/>
            <w:tcBorders>
              <w:top w:val="nil"/>
              <w:left w:val="nil"/>
              <w:right w:val="nil"/>
            </w:tcBorders>
            <w:shd w:val="clear" w:color="auto" w:fill="auto"/>
            <w:vAlign w:val="bottom"/>
          </w:tcPr>
          <w:p w14:paraId="54DADCC9" w14:textId="040FE0A2" w:rsidR="0068697C" w:rsidRPr="0068697C" w:rsidRDefault="0068697C" w:rsidP="0068697C">
            <w:pPr>
              <w:spacing w:before="40" w:after="40"/>
              <w:ind w:right="454"/>
              <w:jc w:val="right"/>
              <w:rPr>
                <w:rFonts w:cs="Arial"/>
                <w:color w:val="000000"/>
                <w:sz w:val="18"/>
              </w:rPr>
            </w:pPr>
            <w:r w:rsidRPr="0068697C">
              <w:rPr>
                <w:rFonts w:cs="Arial"/>
                <w:color w:val="000000"/>
                <w:sz w:val="18"/>
              </w:rPr>
              <w:t>22.7</w:t>
            </w:r>
          </w:p>
        </w:tc>
        <w:tc>
          <w:tcPr>
            <w:tcW w:w="1531" w:type="dxa"/>
            <w:tcBorders>
              <w:top w:val="nil"/>
              <w:left w:val="nil"/>
              <w:right w:val="nil"/>
            </w:tcBorders>
            <w:shd w:val="clear" w:color="auto" w:fill="auto"/>
            <w:vAlign w:val="bottom"/>
          </w:tcPr>
          <w:p w14:paraId="6B54EE5F" w14:textId="5354AE33" w:rsidR="0068697C" w:rsidRPr="0068697C" w:rsidRDefault="0068697C" w:rsidP="0068697C">
            <w:pPr>
              <w:spacing w:before="40" w:after="40"/>
              <w:ind w:right="454"/>
              <w:jc w:val="right"/>
              <w:rPr>
                <w:rFonts w:cs="Arial"/>
                <w:color w:val="000000"/>
                <w:sz w:val="18"/>
              </w:rPr>
            </w:pPr>
            <w:r w:rsidRPr="0068697C">
              <w:rPr>
                <w:rFonts w:cs="Arial"/>
                <w:color w:val="000000"/>
                <w:sz w:val="18"/>
              </w:rPr>
              <w:t>20.3</w:t>
            </w:r>
            <w:r>
              <w:rPr>
                <w:rFonts w:cs="Arial"/>
                <w:color w:val="000000"/>
                <w:sz w:val="18"/>
              </w:rPr>
              <w:t>**</w:t>
            </w:r>
          </w:p>
        </w:tc>
      </w:tr>
      <w:tr w:rsidR="0068697C" w:rsidRPr="008B2C65" w14:paraId="09B3E399" w14:textId="77777777" w:rsidTr="001E46DD">
        <w:trPr>
          <w:trHeight w:val="80"/>
        </w:trPr>
        <w:tc>
          <w:tcPr>
            <w:tcW w:w="2948" w:type="dxa"/>
            <w:tcBorders>
              <w:top w:val="nil"/>
              <w:left w:val="nil"/>
              <w:bottom w:val="single" w:sz="4" w:space="0" w:color="1F698E" w:themeColor="accent1"/>
              <w:right w:val="nil"/>
            </w:tcBorders>
            <w:shd w:val="clear" w:color="000000" w:fill="C7E4F3"/>
            <w:vAlign w:val="center"/>
          </w:tcPr>
          <w:p w14:paraId="098531CD" w14:textId="77777777" w:rsidR="0068697C" w:rsidRDefault="0068697C" w:rsidP="00AA5106">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Large</w:t>
            </w:r>
          </w:p>
        </w:tc>
        <w:tc>
          <w:tcPr>
            <w:tcW w:w="1531" w:type="dxa"/>
            <w:tcBorders>
              <w:top w:val="nil"/>
              <w:left w:val="nil"/>
              <w:bottom w:val="single" w:sz="4" w:space="0" w:color="1F698E" w:themeColor="accent1"/>
              <w:right w:val="nil"/>
            </w:tcBorders>
            <w:shd w:val="clear" w:color="000000" w:fill="C7E4F3"/>
            <w:vAlign w:val="bottom"/>
          </w:tcPr>
          <w:p w14:paraId="55D43D85" w14:textId="7CC32276" w:rsidR="0068697C" w:rsidRPr="0068697C" w:rsidRDefault="0068697C" w:rsidP="0068697C">
            <w:pPr>
              <w:spacing w:before="40" w:after="40"/>
              <w:ind w:right="454"/>
              <w:jc w:val="right"/>
              <w:rPr>
                <w:rFonts w:cs="Arial"/>
                <w:color w:val="000000"/>
                <w:sz w:val="18"/>
              </w:rPr>
            </w:pPr>
            <w:r w:rsidRPr="0068697C">
              <w:rPr>
                <w:rFonts w:cs="Arial"/>
                <w:color w:val="000000"/>
                <w:sz w:val="18"/>
              </w:rPr>
              <w:t>30.5</w:t>
            </w:r>
          </w:p>
        </w:tc>
        <w:tc>
          <w:tcPr>
            <w:tcW w:w="1531" w:type="dxa"/>
            <w:tcBorders>
              <w:top w:val="nil"/>
              <w:left w:val="nil"/>
              <w:bottom w:val="single" w:sz="4" w:space="0" w:color="1F698E" w:themeColor="accent1"/>
              <w:right w:val="nil"/>
            </w:tcBorders>
            <w:shd w:val="clear" w:color="000000" w:fill="C7E4F3"/>
            <w:vAlign w:val="bottom"/>
          </w:tcPr>
          <w:p w14:paraId="4A48EC0F" w14:textId="650E03F9" w:rsidR="0068697C" w:rsidRPr="0068697C" w:rsidRDefault="0068697C" w:rsidP="0068697C">
            <w:pPr>
              <w:spacing w:before="40" w:after="40"/>
              <w:ind w:right="454"/>
              <w:jc w:val="right"/>
              <w:rPr>
                <w:rFonts w:cs="Arial"/>
                <w:color w:val="000000"/>
                <w:sz w:val="18"/>
              </w:rPr>
            </w:pPr>
            <w:r w:rsidRPr="0068697C">
              <w:rPr>
                <w:rFonts w:cs="Arial"/>
                <w:color w:val="000000"/>
                <w:sz w:val="18"/>
              </w:rPr>
              <w:t>20.0</w:t>
            </w:r>
          </w:p>
        </w:tc>
        <w:tc>
          <w:tcPr>
            <w:tcW w:w="1531" w:type="dxa"/>
            <w:tcBorders>
              <w:top w:val="nil"/>
              <w:left w:val="nil"/>
              <w:bottom w:val="single" w:sz="4" w:space="0" w:color="1F698E" w:themeColor="accent1"/>
              <w:right w:val="nil"/>
            </w:tcBorders>
            <w:shd w:val="clear" w:color="000000" w:fill="C7E4F3"/>
            <w:vAlign w:val="bottom"/>
          </w:tcPr>
          <w:p w14:paraId="6A94E5FF" w14:textId="65BB5214" w:rsidR="0068697C" w:rsidRPr="0068697C" w:rsidRDefault="0068697C" w:rsidP="0068697C">
            <w:pPr>
              <w:spacing w:before="40" w:after="40"/>
              <w:ind w:right="454"/>
              <w:jc w:val="right"/>
              <w:rPr>
                <w:rFonts w:cs="Arial"/>
                <w:color w:val="000000"/>
                <w:sz w:val="18"/>
              </w:rPr>
            </w:pPr>
            <w:r w:rsidRPr="0068697C">
              <w:rPr>
                <w:rFonts w:cs="Arial"/>
                <w:color w:val="000000"/>
                <w:sz w:val="18"/>
              </w:rPr>
              <w:t>21.2</w:t>
            </w:r>
          </w:p>
        </w:tc>
        <w:tc>
          <w:tcPr>
            <w:tcW w:w="1531" w:type="dxa"/>
            <w:tcBorders>
              <w:top w:val="nil"/>
              <w:left w:val="nil"/>
              <w:bottom w:val="single" w:sz="4" w:space="0" w:color="1F698E" w:themeColor="accent1"/>
              <w:right w:val="nil"/>
            </w:tcBorders>
            <w:shd w:val="clear" w:color="000000" w:fill="C7E4F3"/>
            <w:vAlign w:val="bottom"/>
          </w:tcPr>
          <w:p w14:paraId="6D484CB6" w14:textId="7A526A2C" w:rsidR="0068697C" w:rsidRPr="0068697C" w:rsidRDefault="0068697C" w:rsidP="0068697C">
            <w:pPr>
              <w:spacing w:before="40" w:after="40"/>
              <w:ind w:right="454"/>
              <w:jc w:val="right"/>
              <w:rPr>
                <w:rFonts w:cs="Arial"/>
                <w:color w:val="000000"/>
                <w:sz w:val="18"/>
              </w:rPr>
            </w:pPr>
            <w:r w:rsidRPr="0068697C">
              <w:rPr>
                <w:rFonts w:cs="Arial"/>
                <w:color w:val="000000"/>
                <w:sz w:val="18"/>
              </w:rPr>
              <w:t>11.7</w:t>
            </w:r>
            <w:r>
              <w:rPr>
                <w:rFonts w:cs="Arial"/>
                <w:color w:val="000000"/>
                <w:sz w:val="18"/>
              </w:rPr>
              <w:t>*</w:t>
            </w:r>
          </w:p>
        </w:tc>
      </w:tr>
    </w:tbl>
    <w:p w14:paraId="225C93FB" w14:textId="4826FC5B" w:rsidR="001B644C" w:rsidRPr="00D17E58" w:rsidRDefault="001B644C" w:rsidP="001B644C">
      <w:pPr>
        <w:pStyle w:val="FigureNote"/>
        <w:spacing w:before="120"/>
      </w:pPr>
      <w:r w:rsidRPr="001B644C">
        <w:t xml:space="preserve">Base: </w:t>
      </w:r>
      <w:r w:rsidRPr="001B644C">
        <w:tab/>
      </w:r>
      <w:r w:rsidR="002C170E" w:rsidRPr="00810D9B">
        <w:t>All respondents</w:t>
      </w:r>
      <w:r w:rsidR="002C170E">
        <w:t xml:space="preserve">, </w:t>
      </w:r>
      <w:r w:rsidR="002C170E">
        <w:rPr>
          <w:rFonts w:cs="Arial"/>
          <w:szCs w:val="16"/>
        </w:rPr>
        <w:t>ACT (n=1</w:t>
      </w:r>
      <w:r w:rsidR="0068697C">
        <w:rPr>
          <w:rFonts w:cs="Arial"/>
          <w:szCs w:val="16"/>
        </w:rPr>
        <w:t>44 to n=147</w:t>
      </w:r>
      <w:r w:rsidR="002C170E">
        <w:rPr>
          <w:rFonts w:cs="Arial"/>
          <w:szCs w:val="16"/>
        </w:rPr>
        <w:t>), Comcare (n=7</w:t>
      </w:r>
      <w:r w:rsidR="0068697C">
        <w:rPr>
          <w:rFonts w:cs="Arial"/>
          <w:szCs w:val="16"/>
        </w:rPr>
        <w:t>3</w:t>
      </w:r>
      <w:r w:rsidR="002C170E">
        <w:rPr>
          <w:rFonts w:cs="Arial"/>
          <w:szCs w:val="16"/>
        </w:rPr>
        <w:t>9</w:t>
      </w:r>
      <w:r w:rsidR="0068697C">
        <w:rPr>
          <w:rFonts w:cs="Arial"/>
          <w:szCs w:val="16"/>
        </w:rPr>
        <w:t xml:space="preserve"> to n=761</w:t>
      </w:r>
      <w:r w:rsidR="002C170E">
        <w:rPr>
          <w:rFonts w:cs="Arial"/>
          <w:szCs w:val="16"/>
        </w:rPr>
        <w:t>), NSW (n=8</w:t>
      </w:r>
      <w:r w:rsidR="0068697C">
        <w:rPr>
          <w:rFonts w:cs="Arial"/>
          <w:szCs w:val="16"/>
        </w:rPr>
        <w:t>27 to n=8</w:t>
      </w:r>
      <w:r w:rsidR="002C170E">
        <w:rPr>
          <w:rFonts w:cs="Arial"/>
          <w:szCs w:val="16"/>
        </w:rPr>
        <w:t>3</w:t>
      </w:r>
      <w:r w:rsidR="0068697C">
        <w:rPr>
          <w:rFonts w:cs="Arial"/>
          <w:szCs w:val="16"/>
        </w:rPr>
        <w:t>8</w:t>
      </w:r>
      <w:r w:rsidR="002C170E">
        <w:rPr>
          <w:rFonts w:cs="Arial"/>
          <w:szCs w:val="16"/>
        </w:rPr>
        <w:t>), NT (n=14</w:t>
      </w:r>
      <w:r w:rsidR="0068697C">
        <w:rPr>
          <w:rFonts w:cs="Arial"/>
          <w:szCs w:val="16"/>
        </w:rPr>
        <w:t>6 to n=147</w:t>
      </w:r>
      <w:r w:rsidR="002C170E">
        <w:rPr>
          <w:rFonts w:cs="Arial"/>
          <w:szCs w:val="16"/>
        </w:rPr>
        <w:t>), QLD (n=</w:t>
      </w:r>
      <w:r w:rsidR="0068697C">
        <w:rPr>
          <w:rFonts w:cs="Arial"/>
          <w:szCs w:val="16"/>
        </w:rPr>
        <w:t>772 to n=</w:t>
      </w:r>
      <w:r w:rsidR="002C170E">
        <w:rPr>
          <w:rFonts w:cs="Arial"/>
          <w:szCs w:val="16"/>
        </w:rPr>
        <w:t>78</w:t>
      </w:r>
      <w:r w:rsidR="0068697C">
        <w:rPr>
          <w:rFonts w:cs="Arial"/>
          <w:szCs w:val="16"/>
        </w:rPr>
        <w:t>5</w:t>
      </w:r>
      <w:r w:rsidR="002C170E">
        <w:rPr>
          <w:rFonts w:cs="Arial"/>
          <w:szCs w:val="16"/>
        </w:rPr>
        <w:t>), Seacare (n=5</w:t>
      </w:r>
      <w:r w:rsidR="0068697C">
        <w:rPr>
          <w:rFonts w:cs="Arial"/>
          <w:szCs w:val="16"/>
        </w:rPr>
        <w:t>7 to n=58</w:t>
      </w:r>
      <w:r w:rsidR="002C170E">
        <w:rPr>
          <w:rFonts w:cs="Arial"/>
          <w:szCs w:val="16"/>
        </w:rPr>
        <w:t>), TAS (n=</w:t>
      </w:r>
      <w:r w:rsidR="0068697C">
        <w:rPr>
          <w:rFonts w:cs="Arial"/>
          <w:szCs w:val="16"/>
        </w:rPr>
        <w:t>464 to n=471</w:t>
      </w:r>
      <w:r w:rsidR="002C170E">
        <w:rPr>
          <w:rFonts w:cs="Arial"/>
          <w:szCs w:val="16"/>
        </w:rPr>
        <w:t>), WA (n=</w:t>
      </w:r>
      <w:r w:rsidR="0068697C">
        <w:rPr>
          <w:rFonts w:cs="Arial"/>
          <w:szCs w:val="16"/>
        </w:rPr>
        <w:t>500 to n=503)</w:t>
      </w:r>
      <w:r w:rsidR="002C170E">
        <w:rPr>
          <w:rFonts w:cs="Arial"/>
          <w:szCs w:val="16"/>
        </w:rPr>
        <w:t>, VIC (n=</w:t>
      </w:r>
      <w:r w:rsidR="0068697C">
        <w:rPr>
          <w:rFonts w:cs="Arial"/>
          <w:szCs w:val="16"/>
        </w:rPr>
        <w:t>772 to n=782</w:t>
      </w:r>
      <w:r w:rsidR="002C170E">
        <w:rPr>
          <w:rFonts w:cs="Arial"/>
          <w:szCs w:val="16"/>
        </w:rPr>
        <w:t xml:space="preserve">), </w:t>
      </w:r>
      <w:r w:rsidR="003C0D36">
        <w:t xml:space="preserve">Fractures (n=599 to n=605), Musculoskeletal Disorders (n=2,583 to n=2,623), Other Trauma (n=760 to n=773), Mental Illness (n=264 to n=277), Other Diseases (n=207 to n=212), </w:t>
      </w:r>
      <w:r w:rsidR="002C170E">
        <w:rPr>
          <w:rFonts w:cs="Arial"/>
          <w:szCs w:val="16"/>
        </w:rPr>
        <w:t>Small (Less than $1m) (n=</w:t>
      </w:r>
      <w:r w:rsidR="0068697C">
        <w:rPr>
          <w:rFonts w:cs="Arial"/>
          <w:szCs w:val="16"/>
        </w:rPr>
        <w:t>847 to n=862</w:t>
      </w:r>
      <w:r w:rsidR="002C170E">
        <w:rPr>
          <w:rFonts w:cs="Arial"/>
          <w:szCs w:val="16"/>
        </w:rPr>
        <w:t>), Medium (Between $1m and less than $20m) (n=</w:t>
      </w:r>
      <w:r w:rsidR="0068697C">
        <w:rPr>
          <w:rFonts w:cs="Arial"/>
          <w:szCs w:val="16"/>
        </w:rPr>
        <w:t>1,232 to n=</w:t>
      </w:r>
      <w:r w:rsidR="002C170E">
        <w:rPr>
          <w:rFonts w:cs="Arial"/>
          <w:szCs w:val="16"/>
        </w:rPr>
        <w:t>1,242), Large ($20m or more) (n=1,2</w:t>
      </w:r>
      <w:r w:rsidR="0068697C">
        <w:rPr>
          <w:rFonts w:cs="Arial"/>
          <w:szCs w:val="16"/>
        </w:rPr>
        <w:t>3</w:t>
      </w:r>
      <w:r w:rsidR="002C170E">
        <w:rPr>
          <w:rFonts w:cs="Arial"/>
          <w:szCs w:val="16"/>
        </w:rPr>
        <w:t>5</w:t>
      </w:r>
      <w:r w:rsidR="0068697C">
        <w:rPr>
          <w:rFonts w:cs="Arial"/>
          <w:szCs w:val="16"/>
        </w:rPr>
        <w:t xml:space="preserve"> to n=1,261</w:t>
      </w:r>
      <w:r w:rsidR="002C170E">
        <w:rPr>
          <w:rFonts w:cs="Arial"/>
          <w:szCs w:val="16"/>
        </w:rPr>
        <w:t>).</w:t>
      </w:r>
    </w:p>
    <w:p w14:paraId="54A5D3FB" w14:textId="6B91B5B4" w:rsidR="001B644C" w:rsidRDefault="001B644C" w:rsidP="001B644C">
      <w:pPr>
        <w:pStyle w:val="FigureNote"/>
      </w:pPr>
      <w:r>
        <w:t>EMP1</w:t>
      </w:r>
      <w:r w:rsidRPr="009A7AC8">
        <w:t>1</w:t>
      </w:r>
      <w:r w:rsidRPr="009A7AC8">
        <w:tab/>
      </w:r>
      <w:r w:rsidR="004F42BC" w:rsidRPr="004F42BC">
        <w:t xml:space="preserve">Thinking back to when you were considering putting in a workers’ compensation claim, do you agree or disagree </w:t>
      </w:r>
      <w:r w:rsidRPr="001B644C">
        <w:t>that</w:t>
      </w:r>
      <w:r>
        <w:t>…</w:t>
      </w:r>
      <w:r w:rsidRPr="009A7AC8">
        <w:t>?</w:t>
      </w:r>
    </w:p>
    <w:p w14:paraId="2B1A4611" w14:textId="7DB114F0" w:rsidR="001B644C" w:rsidRDefault="001B644C" w:rsidP="002C170E">
      <w:pPr>
        <w:pStyle w:val="FigureNote"/>
      </w:pPr>
      <w:r>
        <w:t>Note:</w:t>
      </w:r>
      <w:r>
        <w:tab/>
        <w:t xml:space="preserve">Don’t know and Refused responses excluded from base. </w:t>
      </w:r>
      <w:r w:rsidRPr="00887D32">
        <w:t xml:space="preserve">Asterisks indicate statistically significant </w:t>
      </w:r>
      <w:r w:rsidRPr="00611565">
        <w:t>difference</w:t>
      </w:r>
      <w:r w:rsidR="006C4EDE">
        <w:t xml:space="preserve"> between</w:t>
      </w:r>
      <w:r w:rsidRPr="00611565">
        <w:t xml:space="preserve"> (single asterisk (*) indicates a lower proportion; double asterisk (**) indicates a higher p</w:t>
      </w:r>
      <w:r w:rsidRPr="00887D32">
        <w:t>roportion</w:t>
      </w:r>
      <w:r>
        <w:t>)</w:t>
      </w:r>
      <w:r w:rsidR="003E25AE">
        <w:t xml:space="preserve"> (p-value &lt;=0.05).</w:t>
      </w:r>
    </w:p>
    <w:p w14:paraId="22693EBE" w14:textId="77777777" w:rsidR="002C170E" w:rsidRDefault="002C170E" w:rsidP="002C170E">
      <w:pPr>
        <w:pStyle w:val="FigureNote"/>
      </w:pPr>
    </w:p>
    <w:p w14:paraId="063AB143" w14:textId="7B45D114" w:rsidR="00534357" w:rsidRDefault="00534357" w:rsidP="00534357">
      <w:pPr>
        <w:pStyle w:val="Heading2"/>
      </w:pPr>
      <w:bookmarkStart w:id="107" w:name="_Toc528056036"/>
      <w:r>
        <w:lastRenderedPageBreak/>
        <w:t>Employer support</w:t>
      </w:r>
      <w:bookmarkEnd w:id="107"/>
    </w:p>
    <w:p w14:paraId="11EA71C3" w14:textId="0396094A" w:rsidR="00AD3CC9" w:rsidRDefault="001E46DD" w:rsidP="00534357">
      <w:pPr>
        <w:pStyle w:val="Body"/>
      </w:pPr>
      <w:r>
        <w:t xml:space="preserve">The employer support question asked respondents to rate their agreement with a range of attributes which represent positive aspects of how </w:t>
      </w:r>
      <w:r w:rsidR="00831CF9">
        <w:t xml:space="preserve">the </w:t>
      </w:r>
      <w:r>
        <w:t>employer managed their claim and return to work journey. These questions have been included in the NRTWS historically, enabling time series analysis, as</w:t>
      </w:r>
      <w:r w:rsidR="00626857">
        <w:t> </w:t>
      </w:r>
      <w:r>
        <w:t>presented in Tab</w:t>
      </w:r>
      <w:r w:rsidR="00AD3CC9">
        <w:t xml:space="preserve">le </w:t>
      </w:r>
      <w:r w:rsidR="006C4EDE">
        <w:t>7</w:t>
      </w:r>
      <w:r>
        <w:t>.</w:t>
      </w:r>
      <w:r w:rsidR="00AD3CC9">
        <w:t xml:space="preserve"> </w:t>
      </w:r>
    </w:p>
    <w:p w14:paraId="0328A352" w14:textId="2DEF1BA6" w:rsidR="001E46DD" w:rsidRDefault="00AD3CC9" w:rsidP="00534357">
      <w:pPr>
        <w:pStyle w:val="Body"/>
      </w:pPr>
      <w:r>
        <w:t>Results for this survey item have been consistent across the past four waves of the survey. No</w:t>
      </w:r>
      <w:r w:rsidR="00626857">
        <w:t> </w:t>
      </w:r>
      <w:r>
        <w:t xml:space="preserve">statistically significant </w:t>
      </w:r>
      <w:r w:rsidRPr="008717CE">
        <w:t>changes in the proportion of respondents who agreed with these statements</w:t>
      </w:r>
      <w:r>
        <w:t xml:space="preserve"> were reported in 2018.</w:t>
      </w:r>
      <w:r w:rsidR="00500B9B">
        <w:t xml:space="preserve"> The attributes that workers, overall, were most positive about were related to the fairness of their treatment during and after the claims process.</w:t>
      </w:r>
    </w:p>
    <w:p w14:paraId="1B5FD022" w14:textId="1DC5B0E1" w:rsidR="001E46DD" w:rsidRDefault="001E46DD" w:rsidP="001E46DD">
      <w:pPr>
        <w:pStyle w:val="Caption"/>
      </w:pPr>
      <w:bookmarkStart w:id="108" w:name="_Toc528056606"/>
      <w:r>
        <w:t xml:space="preserve">Table </w:t>
      </w:r>
      <w:r w:rsidR="006F2BDD">
        <w:rPr>
          <w:noProof/>
        </w:rPr>
        <w:fldChar w:fldCharType="begin"/>
      </w:r>
      <w:r w:rsidR="006F2BDD">
        <w:rPr>
          <w:noProof/>
        </w:rPr>
        <w:instrText xml:space="preserve"> SEQ Table \* ARABIC </w:instrText>
      </w:r>
      <w:r w:rsidR="006F2BDD">
        <w:rPr>
          <w:noProof/>
        </w:rPr>
        <w:fldChar w:fldCharType="separate"/>
      </w:r>
      <w:r w:rsidR="00B9340A">
        <w:rPr>
          <w:noProof/>
        </w:rPr>
        <w:t>7</w:t>
      </w:r>
      <w:r w:rsidR="006F2BDD">
        <w:rPr>
          <w:noProof/>
        </w:rPr>
        <w:fldChar w:fldCharType="end"/>
      </w:r>
      <w:r>
        <w:tab/>
        <w:t>Employer support attributes – time series (% Strongly Agree / Agree)</w:t>
      </w:r>
      <w:bookmarkEnd w:id="108"/>
    </w:p>
    <w:tbl>
      <w:tblPr>
        <w:tblW w:w="9072" w:type="dxa"/>
        <w:tblLayout w:type="fixed"/>
        <w:tblLook w:val="04A0" w:firstRow="1" w:lastRow="0" w:firstColumn="1" w:lastColumn="0" w:noHBand="0" w:noVBand="1"/>
        <w:tblDescription w:val="This table presents a time series of workplace reaction attributes for repondents reporting they strongly agree or agree with each on the six employer support statements."/>
      </w:tblPr>
      <w:tblGrid>
        <w:gridCol w:w="5216"/>
        <w:gridCol w:w="964"/>
        <w:gridCol w:w="964"/>
        <w:gridCol w:w="964"/>
        <w:gridCol w:w="964"/>
      </w:tblGrid>
      <w:tr w:rsidR="001E46DD" w:rsidRPr="001B644C" w14:paraId="0283A4EA" w14:textId="77777777" w:rsidTr="001E46DD">
        <w:trPr>
          <w:trHeight w:val="80"/>
          <w:tblHeader/>
        </w:trPr>
        <w:tc>
          <w:tcPr>
            <w:tcW w:w="5216" w:type="dxa"/>
            <w:tcBorders>
              <w:top w:val="nil"/>
              <w:left w:val="nil"/>
              <w:bottom w:val="nil"/>
              <w:right w:val="nil"/>
            </w:tcBorders>
            <w:shd w:val="clear" w:color="000000" w:fill="1F698E"/>
            <w:vAlign w:val="center"/>
            <w:hideMark/>
          </w:tcPr>
          <w:p w14:paraId="14C03CC5" w14:textId="77777777" w:rsidR="001E46DD" w:rsidRPr="001B644C" w:rsidRDefault="001E46DD" w:rsidP="001E46DD">
            <w:pPr>
              <w:spacing w:before="40" w:after="40"/>
              <w:jc w:val="right"/>
              <w:rPr>
                <w:rFonts w:eastAsia="Times New Roman" w:cs="Arial"/>
                <w:bCs/>
                <w:color w:val="FFFFFF"/>
                <w:sz w:val="18"/>
                <w:szCs w:val="18"/>
                <w:lang w:eastAsia="en-AU"/>
              </w:rPr>
            </w:pPr>
            <w:r w:rsidRPr="001B644C">
              <w:rPr>
                <w:rFonts w:eastAsia="Times New Roman" w:cs="Arial"/>
                <w:bCs/>
                <w:color w:val="FFFFFF"/>
                <w:sz w:val="18"/>
                <w:szCs w:val="18"/>
                <w:lang w:eastAsia="en-AU"/>
              </w:rPr>
              <w:t> </w:t>
            </w:r>
          </w:p>
        </w:tc>
        <w:tc>
          <w:tcPr>
            <w:tcW w:w="964" w:type="dxa"/>
            <w:tcBorders>
              <w:top w:val="nil"/>
              <w:left w:val="nil"/>
              <w:bottom w:val="nil"/>
              <w:right w:val="nil"/>
            </w:tcBorders>
            <w:shd w:val="clear" w:color="000000" w:fill="1F698E"/>
            <w:vAlign w:val="center"/>
            <w:hideMark/>
          </w:tcPr>
          <w:p w14:paraId="2DE804AB" w14:textId="77777777" w:rsidR="001E46DD" w:rsidRPr="001B644C" w:rsidRDefault="001E46DD" w:rsidP="001E46DD">
            <w:pPr>
              <w:spacing w:before="40" w:after="40"/>
              <w:jc w:val="center"/>
              <w:rPr>
                <w:rFonts w:eastAsia="Times New Roman" w:cs="Arial"/>
                <w:bCs/>
                <w:color w:val="FFFFFF"/>
                <w:sz w:val="18"/>
                <w:szCs w:val="18"/>
                <w:lang w:eastAsia="en-AU"/>
              </w:rPr>
            </w:pPr>
            <w:r w:rsidRPr="001B644C">
              <w:rPr>
                <w:rFonts w:eastAsia="Times New Roman" w:cs="Arial"/>
                <w:bCs/>
                <w:color w:val="FFFFFF"/>
                <w:sz w:val="18"/>
                <w:szCs w:val="18"/>
                <w:lang w:eastAsia="en-AU"/>
              </w:rPr>
              <w:t>2013</w:t>
            </w:r>
          </w:p>
        </w:tc>
        <w:tc>
          <w:tcPr>
            <w:tcW w:w="964" w:type="dxa"/>
            <w:tcBorders>
              <w:top w:val="nil"/>
              <w:left w:val="nil"/>
              <w:bottom w:val="nil"/>
              <w:right w:val="nil"/>
            </w:tcBorders>
            <w:shd w:val="clear" w:color="000000" w:fill="1F698E"/>
            <w:vAlign w:val="center"/>
            <w:hideMark/>
          </w:tcPr>
          <w:p w14:paraId="3907E951" w14:textId="77777777" w:rsidR="001E46DD" w:rsidRPr="001B644C" w:rsidRDefault="001E46DD" w:rsidP="001E46DD">
            <w:pPr>
              <w:spacing w:before="40" w:after="40"/>
              <w:jc w:val="center"/>
              <w:rPr>
                <w:rFonts w:eastAsia="Times New Roman" w:cs="Arial"/>
                <w:bCs/>
                <w:color w:val="FFFFFF"/>
                <w:sz w:val="18"/>
                <w:szCs w:val="18"/>
                <w:lang w:eastAsia="en-AU"/>
              </w:rPr>
            </w:pPr>
            <w:r w:rsidRPr="001B644C">
              <w:rPr>
                <w:rFonts w:eastAsia="Times New Roman" w:cs="Arial"/>
                <w:bCs/>
                <w:color w:val="FFFFFF"/>
                <w:sz w:val="18"/>
                <w:szCs w:val="18"/>
                <w:lang w:eastAsia="en-AU"/>
              </w:rPr>
              <w:t>2014</w:t>
            </w:r>
          </w:p>
        </w:tc>
        <w:tc>
          <w:tcPr>
            <w:tcW w:w="964" w:type="dxa"/>
            <w:tcBorders>
              <w:top w:val="nil"/>
              <w:left w:val="nil"/>
              <w:bottom w:val="nil"/>
              <w:right w:val="nil"/>
            </w:tcBorders>
            <w:shd w:val="clear" w:color="000000" w:fill="1F698E"/>
            <w:vAlign w:val="center"/>
            <w:hideMark/>
          </w:tcPr>
          <w:p w14:paraId="7F8E900E" w14:textId="77777777" w:rsidR="001E46DD" w:rsidRPr="001B644C" w:rsidRDefault="001E46DD" w:rsidP="001E46DD">
            <w:pPr>
              <w:spacing w:before="40" w:after="40"/>
              <w:jc w:val="center"/>
              <w:rPr>
                <w:rFonts w:eastAsia="Times New Roman" w:cs="Arial"/>
                <w:bCs/>
                <w:color w:val="FFFFFF"/>
                <w:sz w:val="18"/>
                <w:szCs w:val="18"/>
                <w:lang w:eastAsia="en-AU"/>
              </w:rPr>
            </w:pPr>
            <w:r w:rsidRPr="001B644C">
              <w:rPr>
                <w:rFonts w:eastAsia="Times New Roman" w:cs="Arial"/>
                <w:bCs/>
                <w:color w:val="FFFFFF"/>
                <w:sz w:val="18"/>
                <w:szCs w:val="18"/>
                <w:lang w:eastAsia="en-AU"/>
              </w:rPr>
              <w:t>2016</w:t>
            </w:r>
          </w:p>
        </w:tc>
        <w:tc>
          <w:tcPr>
            <w:tcW w:w="964" w:type="dxa"/>
            <w:tcBorders>
              <w:top w:val="nil"/>
              <w:left w:val="nil"/>
              <w:bottom w:val="nil"/>
              <w:right w:val="nil"/>
            </w:tcBorders>
            <w:shd w:val="clear" w:color="000000" w:fill="1F698E"/>
            <w:vAlign w:val="center"/>
            <w:hideMark/>
          </w:tcPr>
          <w:p w14:paraId="1B395BCE" w14:textId="77777777" w:rsidR="001E46DD" w:rsidRPr="001B644C" w:rsidRDefault="001E46DD" w:rsidP="001E46DD">
            <w:pPr>
              <w:spacing w:before="40" w:after="40"/>
              <w:jc w:val="center"/>
              <w:rPr>
                <w:rFonts w:eastAsia="Times New Roman" w:cs="Arial"/>
                <w:bCs/>
                <w:color w:val="FFFFFF"/>
                <w:sz w:val="18"/>
                <w:szCs w:val="18"/>
                <w:lang w:eastAsia="en-AU"/>
              </w:rPr>
            </w:pPr>
            <w:r w:rsidRPr="001B644C">
              <w:rPr>
                <w:rFonts w:eastAsia="Times New Roman" w:cs="Arial"/>
                <w:bCs/>
                <w:color w:val="FFFFFF"/>
                <w:sz w:val="18"/>
                <w:szCs w:val="18"/>
                <w:lang w:eastAsia="en-AU"/>
              </w:rPr>
              <w:t>2018</w:t>
            </w:r>
          </w:p>
        </w:tc>
      </w:tr>
      <w:tr w:rsidR="001E46DD" w:rsidRPr="001B644C" w14:paraId="74B6FEB8" w14:textId="77777777" w:rsidTr="001E46DD">
        <w:trPr>
          <w:trHeight w:val="80"/>
        </w:trPr>
        <w:tc>
          <w:tcPr>
            <w:tcW w:w="5216" w:type="dxa"/>
            <w:tcBorders>
              <w:top w:val="nil"/>
              <w:left w:val="nil"/>
              <w:bottom w:val="nil"/>
              <w:right w:val="nil"/>
            </w:tcBorders>
            <w:shd w:val="clear" w:color="000000" w:fill="C7E4F3"/>
            <w:vAlign w:val="center"/>
          </w:tcPr>
          <w:p w14:paraId="0F5A4588" w14:textId="0E575175" w:rsidR="001E46DD" w:rsidRPr="001B644C" w:rsidRDefault="001E46DD" w:rsidP="001E46DD">
            <w:pPr>
              <w:spacing w:before="40" w:after="40"/>
              <w:rPr>
                <w:rFonts w:eastAsia="Times New Roman" w:cs="Arial"/>
                <w:color w:val="000000"/>
                <w:sz w:val="18"/>
                <w:szCs w:val="18"/>
                <w:lang w:eastAsia="en-AU"/>
              </w:rPr>
            </w:pPr>
            <w:r w:rsidRPr="006B7BAA">
              <w:rPr>
                <w:rFonts w:eastAsia="Times New Roman" w:cs="Arial"/>
                <w:color w:val="000000"/>
                <w:sz w:val="18"/>
                <w:szCs w:val="18"/>
                <w:lang w:eastAsia="en-AU"/>
              </w:rPr>
              <w:t>Your employer did what they could to support you</w:t>
            </w:r>
          </w:p>
        </w:tc>
        <w:tc>
          <w:tcPr>
            <w:tcW w:w="964" w:type="dxa"/>
            <w:tcBorders>
              <w:top w:val="nil"/>
              <w:left w:val="nil"/>
              <w:bottom w:val="nil"/>
              <w:right w:val="nil"/>
            </w:tcBorders>
            <w:shd w:val="clear" w:color="000000" w:fill="C7E4F3"/>
            <w:vAlign w:val="center"/>
          </w:tcPr>
          <w:p w14:paraId="152A1F72" w14:textId="46DCB1BF" w:rsidR="001E46DD" w:rsidRPr="001B644C" w:rsidRDefault="001E46DD" w:rsidP="001E46DD">
            <w:pPr>
              <w:spacing w:before="40" w:after="40"/>
              <w:ind w:right="227"/>
              <w:jc w:val="right"/>
              <w:rPr>
                <w:rFonts w:eastAsia="Times New Roman" w:cs="Arial"/>
                <w:color w:val="000000"/>
                <w:sz w:val="18"/>
                <w:szCs w:val="18"/>
                <w:lang w:eastAsia="en-AU"/>
              </w:rPr>
            </w:pPr>
            <w:r w:rsidRPr="00611565">
              <w:rPr>
                <w:rFonts w:eastAsia="Times New Roman" w:cs="Arial"/>
                <w:sz w:val="18"/>
                <w:szCs w:val="18"/>
                <w:lang w:eastAsia="en-AU"/>
              </w:rPr>
              <w:t>75.6</w:t>
            </w:r>
          </w:p>
        </w:tc>
        <w:tc>
          <w:tcPr>
            <w:tcW w:w="964" w:type="dxa"/>
            <w:tcBorders>
              <w:top w:val="nil"/>
              <w:left w:val="nil"/>
              <w:bottom w:val="nil"/>
              <w:right w:val="nil"/>
            </w:tcBorders>
            <w:shd w:val="clear" w:color="000000" w:fill="C7E4F3"/>
            <w:vAlign w:val="center"/>
          </w:tcPr>
          <w:p w14:paraId="0C0502E7" w14:textId="1B9BC7BA" w:rsidR="001E46DD" w:rsidRPr="001B644C" w:rsidRDefault="001E46DD" w:rsidP="001E46DD">
            <w:pPr>
              <w:spacing w:before="40" w:after="40"/>
              <w:ind w:right="227"/>
              <w:jc w:val="right"/>
              <w:rPr>
                <w:rFonts w:eastAsia="Times New Roman" w:cs="Arial"/>
                <w:color w:val="000000"/>
                <w:sz w:val="18"/>
                <w:szCs w:val="18"/>
                <w:lang w:eastAsia="en-AU"/>
              </w:rPr>
            </w:pPr>
            <w:r w:rsidRPr="00611565">
              <w:rPr>
                <w:rFonts w:eastAsia="Times New Roman" w:cs="Arial"/>
                <w:sz w:val="18"/>
                <w:szCs w:val="18"/>
                <w:lang w:eastAsia="en-AU"/>
              </w:rPr>
              <w:t>73.8</w:t>
            </w:r>
          </w:p>
        </w:tc>
        <w:tc>
          <w:tcPr>
            <w:tcW w:w="964" w:type="dxa"/>
            <w:tcBorders>
              <w:top w:val="nil"/>
              <w:left w:val="nil"/>
              <w:bottom w:val="nil"/>
              <w:right w:val="nil"/>
            </w:tcBorders>
            <w:shd w:val="clear" w:color="000000" w:fill="C7E4F3"/>
            <w:vAlign w:val="center"/>
          </w:tcPr>
          <w:p w14:paraId="374D0B05" w14:textId="4249EE28" w:rsidR="001E46DD" w:rsidRPr="001B644C" w:rsidRDefault="001E46DD" w:rsidP="001E46DD">
            <w:pPr>
              <w:spacing w:before="40" w:after="40"/>
              <w:ind w:right="227"/>
              <w:jc w:val="right"/>
              <w:rPr>
                <w:rFonts w:eastAsia="Times New Roman" w:cs="Arial"/>
                <w:color w:val="000000"/>
                <w:sz w:val="18"/>
                <w:szCs w:val="18"/>
                <w:lang w:eastAsia="en-AU"/>
              </w:rPr>
            </w:pPr>
            <w:r w:rsidRPr="00611565">
              <w:rPr>
                <w:rFonts w:eastAsia="Times New Roman" w:cs="Arial"/>
                <w:sz w:val="18"/>
                <w:szCs w:val="18"/>
                <w:lang w:eastAsia="en-AU"/>
              </w:rPr>
              <w:t>75.4</w:t>
            </w:r>
          </w:p>
        </w:tc>
        <w:tc>
          <w:tcPr>
            <w:tcW w:w="964" w:type="dxa"/>
            <w:tcBorders>
              <w:top w:val="nil"/>
              <w:left w:val="nil"/>
              <w:bottom w:val="nil"/>
              <w:right w:val="nil"/>
            </w:tcBorders>
            <w:shd w:val="clear" w:color="000000" w:fill="C7E4F3"/>
            <w:vAlign w:val="center"/>
          </w:tcPr>
          <w:p w14:paraId="21AC9403" w14:textId="2942483A" w:rsidR="001E46DD" w:rsidRPr="001B644C" w:rsidRDefault="001E46DD" w:rsidP="001E46DD">
            <w:pPr>
              <w:spacing w:before="40" w:after="40"/>
              <w:ind w:right="227"/>
              <w:jc w:val="right"/>
              <w:rPr>
                <w:rFonts w:eastAsia="Times New Roman" w:cs="Arial"/>
                <w:color w:val="000000"/>
                <w:sz w:val="18"/>
                <w:szCs w:val="18"/>
                <w:lang w:eastAsia="en-AU"/>
              </w:rPr>
            </w:pPr>
            <w:r w:rsidRPr="00611565">
              <w:rPr>
                <w:rFonts w:eastAsia="Times New Roman" w:cs="Arial"/>
                <w:sz w:val="18"/>
                <w:szCs w:val="18"/>
                <w:lang w:eastAsia="en-AU"/>
              </w:rPr>
              <w:t>74.4</w:t>
            </w:r>
          </w:p>
        </w:tc>
      </w:tr>
      <w:tr w:rsidR="001E46DD" w:rsidRPr="001B644C" w14:paraId="75098152" w14:textId="77777777" w:rsidTr="001E46DD">
        <w:trPr>
          <w:trHeight w:val="80"/>
        </w:trPr>
        <w:tc>
          <w:tcPr>
            <w:tcW w:w="5216" w:type="dxa"/>
            <w:tcBorders>
              <w:top w:val="nil"/>
              <w:left w:val="nil"/>
              <w:bottom w:val="nil"/>
              <w:right w:val="nil"/>
            </w:tcBorders>
            <w:shd w:val="clear" w:color="auto" w:fill="auto"/>
            <w:vAlign w:val="center"/>
          </w:tcPr>
          <w:p w14:paraId="2B56CB90" w14:textId="6ED9AEC9" w:rsidR="001E46DD" w:rsidRPr="001B644C" w:rsidRDefault="001E46DD" w:rsidP="001E46DD">
            <w:pPr>
              <w:spacing w:before="40" w:after="40"/>
              <w:rPr>
                <w:rFonts w:eastAsia="Times New Roman" w:cs="Arial"/>
                <w:color w:val="000000"/>
                <w:sz w:val="18"/>
                <w:szCs w:val="18"/>
                <w:lang w:eastAsia="en-AU"/>
              </w:rPr>
            </w:pPr>
            <w:r w:rsidRPr="006B7BAA">
              <w:rPr>
                <w:rFonts w:eastAsia="Times New Roman" w:cs="Arial"/>
                <w:color w:val="000000"/>
                <w:sz w:val="18"/>
                <w:szCs w:val="18"/>
                <w:lang w:eastAsia="en-AU"/>
              </w:rPr>
              <w:t>Your employer provided enough information on your rights and responsibilities</w:t>
            </w:r>
          </w:p>
        </w:tc>
        <w:tc>
          <w:tcPr>
            <w:tcW w:w="964" w:type="dxa"/>
            <w:tcBorders>
              <w:top w:val="nil"/>
              <w:left w:val="nil"/>
              <w:bottom w:val="nil"/>
              <w:right w:val="nil"/>
            </w:tcBorders>
            <w:shd w:val="clear" w:color="auto" w:fill="auto"/>
            <w:vAlign w:val="center"/>
          </w:tcPr>
          <w:p w14:paraId="3BCC0A63" w14:textId="30134D6E" w:rsidR="001E46DD" w:rsidRPr="001B644C" w:rsidRDefault="001E46DD" w:rsidP="001E46DD">
            <w:pPr>
              <w:spacing w:before="40" w:after="40"/>
              <w:ind w:right="227"/>
              <w:jc w:val="right"/>
              <w:rPr>
                <w:rFonts w:eastAsia="Times New Roman" w:cs="Arial"/>
                <w:color w:val="000000"/>
                <w:sz w:val="18"/>
                <w:szCs w:val="18"/>
                <w:lang w:eastAsia="en-AU"/>
              </w:rPr>
            </w:pPr>
            <w:r w:rsidRPr="00611565">
              <w:rPr>
                <w:rFonts w:eastAsia="Times New Roman" w:cs="Arial"/>
                <w:sz w:val="18"/>
                <w:szCs w:val="18"/>
                <w:lang w:eastAsia="en-AU"/>
              </w:rPr>
              <w:t>67.3</w:t>
            </w:r>
          </w:p>
        </w:tc>
        <w:tc>
          <w:tcPr>
            <w:tcW w:w="964" w:type="dxa"/>
            <w:tcBorders>
              <w:top w:val="nil"/>
              <w:left w:val="nil"/>
              <w:bottom w:val="nil"/>
              <w:right w:val="nil"/>
            </w:tcBorders>
            <w:shd w:val="clear" w:color="auto" w:fill="auto"/>
            <w:vAlign w:val="center"/>
          </w:tcPr>
          <w:p w14:paraId="1DB73ED9" w14:textId="6F8E4AE7" w:rsidR="001E46DD" w:rsidRPr="001B644C" w:rsidRDefault="001E46DD" w:rsidP="001E46DD">
            <w:pPr>
              <w:spacing w:before="40" w:after="40"/>
              <w:ind w:right="227"/>
              <w:jc w:val="right"/>
              <w:rPr>
                <w:rFonts w:eastAsia="Times New Roman" w:cs="Arial"/>
                <w:color w:val="000000"/>
                <w:sz w:val="18"/>
                <w:szCs w:val="18"/>
                <w:lang w:eastAsia="en-AU"/>
              </w:rPr>
            </w:pPr>
            <w:r w:rsidRPr="00611565">
              <w:rPr>
                <w:rFonts w:eastAsia="Times New Roman" w:cs="Arial"/>
                <w:sz w:val="18"/>
                <w:szCs w:val="18"/>
                <w:lang w:eastAsia="en-AU"/>
              </w:rPr>
              <w:t>69.1</w:t>
            </w:r>
          </w:p>
        </w:tc>
        <w:tc>
          <w:tcPr>
            <w:tcW w:w="964" w:type="dxa"/>
            <w:tcBorders>
              <w:top w:val="nil"/>
              <w:left w:val="nil"/>
              <w:bottom w:val="nil"/>
              <w:right w:val="nil"/>
            </w:tcBorders>
            <w:shd w:val="clear" w:color="auto" w:fill="auto"/>
            <w:vAlign w:val="center"/>
          </w:tcPr>
          <w:p w14:paraId="19F2DE3B" w14:textId="40DC66DF" w:rsidR="001E46DD" w:rsidRPr="001B644C" w:rsidRDefault="001E46DD" w:rsidP="001E46DD">
            <w:pPr>
              <w:spacing w:before="40" w:after="40"/>
              <w:ind w:right="227"/>
              <w:jc w:val="right"/>
              <w:rPr>
                <w:rFonts w:eastAsia="Times New Roman" w:cs="Arial"/>
                <w:color w:val="000000"/>
                <w:sz w:val="18"/>
                <w:szCs w:val="18"/>
                <w:lang w:eastAsia="en-AU"/>
              </w:rPr>
            </w:pPr>
            <w:r w:rsidRPr="00611565">
              <w:rPr>
                <w:rFonts w:eastAsia="Times New Roman" w:cs="Arial"/>
                <w:sz w:val="18"/>
                <w:szCs w:val="18"/>
                <w:lang w:eastAsia="en-AU"/>
              </w:rPr>
              <w:t>67.2</w:t>
            </w:r>
          </w:p>
        </w:tc>
        <w:tc>
          <w:tcPr>
            <w:tcW w:w="964" w:type="dxa"/>
            <w:tcBorders>
              <w:top w:val="nil"/>
              <w:left w:val="nil"/>
              <w:bottom w:val="nil"/>
              <w:right w:val="nil"/>
            </w:tcBorders>
            <w:shd w:val="clear" w:color="auto" w:fill="auto"/>
            <w:vAlign w:val="center"/>
          </w:tcPr>
          <w:p w14:paraId="15443748" w14:textId="626342AA" w:rsidR="001E46DD" w:rsidRPr="001B644C" w:rsidRDefault="001E46DD" w:rsidP="001E46DD">
            <w:pPr>
              <w:spacing w:before="40" w:after="40"/>
              <w:ind w:right="227"/>
              <w:jc w:val="right"/>
              <w:rPr>
                <w:rFonts w:eastAsia="Times New Roman" w:cs="Arial"/>
                <w:color w:val="000000"/>
                <w:sz w:val="18"/>
                <w:szCs w:val="18"/>
                <w:lang w:eastAsia="en-AU"/>
              </w:rPr>
            </w:pPr>
            <w:r w:rsidRPr="00611565">
              <w:rPr>
                <w:rFonts w:eastAsia="Times New Roman" w:cs="Arial"/>
                <w:sz w:val="18"/>
                <w:szCs w:val="18"/>
                <w:lang w:eastAsia="en-AU"/>
              </w:rPr>
              <w:t>68.4</w:t>
            </w:r>
          </w:p>
        </w:tc>
      </w:tr>
      <w:tr w:rsidR="001E46DD" w:rsidRPr="001B644C" w14:paraId="629630B8" w14:textId="77777777" w:rsidTr="001E46DD">
        <w:trPr>
          <w:trHeight w:val="80"/>
        </w:trPr>
        <w:tc>
          <w:tcPr>
            <w:tcW w:w="5216" w:type="dxa"/>
            <w:tcBorders>
              <w:top w:val="nil"/>
              <w:left w:val="nil"/>
              <w:right w:val="nil"/>
            </w:tcBorders>
            <w:shd w:val="clear" w:color="000000" w:fill="C7E4F3"/>
            <w:vAlign w:val="center"/>
          </w:tcPr>
          <w:p w14:paraId="08B32186" w14:textId="2BC87287" w:rsidR="001E46DD" w:rsidRPr="001B644C" w:rsidRDefault="001E46DD" w:rsidP="001E46DD">
            <w:pPr>
              <w:spacing w:before="40" w:after="40"/>
              <w:rPr>
                <w:rFonts w:eastAsia="Times New Roman" w:cs="Arial"/>
                <w:color w:val="000000"/>
                <w:sz w:val="18"/>
                <w:szCs w:val="18"/>
                <w:lang w:eastAsia="en-AU"/>
              </w:rPr>
            </w:pPr>
            <w:r w:rsidRPr="006B7BAA">
              <w:rPr>
                <w:rFonts w:eastAsia="Times New Roman" w:cs="Arial"/>
                <w:color w:val="000000"/>
                <w:sz w:val="18"/>
                <w:szCs w:val="18"/>
                <w:lang w:eastAsia="en-AU"/>
              </w:rPr>
              <w:t>Your employer made</w:t>
            </w:r>
            <w:r>
              <w:rPr>
                <w:rFonts w:eastAsia="Times New Roman" w:cs="Arial"/>
                <w:color w:val="000000"/>
                <w:sz w:val="18"/>
                <w:szCs w:val="18"/>
                <w:lang w:eastAsia="en-AU"/>
              </w:rPr>
              <w:t xml:space="preserve"> an</w:t>
            </w:r>
            <w:r w:rsidRPr="006B7BAA">
              <w:rPr>
                <w:rFonts w:eastAsia="Times New Roman" w:cs="Arial"/>
                <w:color w:val="000000"/>
                <w:sz w:val="18"/>
                <w:szCs w:val="18"/>
                <w:lang w:eastAsia="en-AU"/>
              </w:rPr>
              <w:t xml:space="preserve"> effort to find suitable employment for you</w:t>
            </w:r>
          </w:p>
        </w:tc>
        <w:tc>
          <w:tcPr>
            <w:tcW w:w="964" w:type="dxa"/>
            <w:tcBorders>
              <w:top w:val="nil"/>
              <w:left w:val="nil"/>
              <w:right w:val="nil"/>
            </w:tcBorders>
            <w:shd w:val="clear" w:color="000000" w:fill="C7E4F3"/>
            <w:vAlign w:val="center"/>
          </w:tcPr>
          <w:p w14:paraId="5B19D989" w14:textId="713833A7" w:rsidR="001E46DD" w:rsidRPr="001B644C" w:rsidRDefault="001E46DD" w:rsidP="001E46DD">
            <w:pPr>
              <w:spacing w:before="40" w:after="40"/>
              <w:ind w:right="227"/>
              <w:jc w:val="right"/>
              <w:rPr>
                <w:rFonts w:eastAsia="Times New Roman" w:cs="Arial"/>
                <w:color w:val="000000"/>
                <w:sz w:val="18"/>
                <w:szCs w:val="18"/>
                <w:lang w:eastAsia="en-AU"/>
              </w:rPr>
            </w:pPr>
            <w:r w:rsidRPr="00611565">
              <w:rPr>
                <w:rFonts w:eastAsia="Times New Roman" w:cs="Arial"/>
                <w:sz w:val="18"/>
                <w:szCs w:val="18"/>
                <w:lang w:eastAsia="en-AU"/>
              </w:rPr>
              <w:t>75.1</w:t>
            </w:r>
          </w:p>
        </w:tc>
        <w:tc>
          <w:tcPr>
            <w:tcW w:w="964" w:type="dxa"/>
            <w:tcBorders>
              <w:top w:val="nil"/>
              <w:left w:val="nil"/>
              <w:right w:val="nil"/>
            </w:tcBorders>
            <w:shd w:val="clear" w:color="000000" w:fill="C7E4F3"/>
            <w:vAlign w:val="center"/>
          </w:tcPr>
          <w:p w14:paraId="09BB3E08" w14:textId="14227E10" w:rsidR="001E46DD" w:rsidRPr="001B644C" w:rsidRDefault="001E46DD" w:rsidP="001E46DD">
            <w:pPr>
              <w:spacing w:before="40" w:after="40"/>
              <w:ind w:right="227"/>
              <w:jc w:val="right"/>
              <w:rPr>
                <w:rFonts w:eastAsia="Times New Roman" w:cs="Arial"/>
                <w:color w:val="000000"/>
                <w:sz w:val="18"/>
                <w:szCs w:val="18"/>
                <w:lang w:eastAsia="en-AU"/>
              </w:rPr>
            </w:pPr>
            <w:r w:rsidRPr="00611565">
              <w:rPr>
                <w:rFonts w:eastAsia="Times New Roman" w:cs="Arial"/>
                <w:sz w:val="18"/>
                <w:szCs w:val="18"/>
                <w:lang w:eastAsia="en-AU"/>
              </w:rPr>
              <w:t>71.2</w:t>
            </w:r>
          </w:p>
        </w:tc>
        <w:tc>
          <w:tcPr>
            <w:tcW w:w="964" w:type="dxa"/>
            <w:tcBorders>
              <w:top w:val="nil"/>
              <w:left w:val="nil"/>
              <w:right w:val="nil"/>
            </w:tcBorders>
            <w:shd w:val="clear" w:color="000000" w:fill="C7E4F3"/>
            <w:vAlign w:val="center"/>
          </w:tcPr>
          <w:p w14:paraId="6F47638A" w14:textId="0A4AF0FA" w:rsidR="001E46DD" w:rsidRPr="001B644C" w:rsidRDefault="001E46DD" w:rsidP="001E46DD">
            <w:pPr>
              <w:spacing w:before="40" w:after="40"/>
              <w:ind w:right="227"/>
              <w:jc w:val="right"/>
              <w:rPr>
                <w:rFonts w:eastAsia="Times New Roman" w:cs="Arial"/>
                <w:color w:val="000000"/>
                <w:sz w:val="18"/>
                <w:szCs w:val="18"/>
                <w:lang w:eastAsia="en-AU"/>
              </w:rPr>
            </w:pPr>
            <w:r w:rsidRPr="00611565">
              <w:rPr>
                <w:rFonts w:eastAsia="Times New Roman" w:cs="Arial"/>
                <w:sz w:val="18"/>
                <w:szCs w:val="18"/>
                <w:lang w:eastAsia="en-AU"/>
              </w:rPr>
              <w:t>72.2</w:t>
            </w:r>
          </w:p>
        </w:tc>
        <w:tc>
          <w:tcPr>
            <w:tcW w:w="964" w:type="dxa"/>
            <w:tcBorders>
              <w:top w:val="nil"/>
              <w:left w:val="nil"/>
              <w:right w:val="nil"/>
            </w:tcBorders>
            <w:shd w:val="clear" w:color="000000" w:fill="C7E4F3"/>
            <w:vAlign w:val="center"/>
          </w:tcPr>
          <w:p w14:paraId="20C28C89" w14:textId="780B4D08" w:rsidR="001E46DD" w:rsidRPr="001B644C" w:rsidRDefault="001E46DD" w:rsidP="001E46DD">
            <w:pPr>
              <w:spacing w:before="40" w:after="40"/>
              <w:ind w:right="227"/>
              <w:jc w:val="right"/>
              <w:rPr>
                <w:rFonts w:eastAsia="Times New Roman" w:cs="Arial"/>
                <w:color w:val="000000"/>
                <w:sz w:val="18"/>
                <w:szCs w:val="18"/>
                <w:lang w:eastAsia="en-AU"/>
              </w:rPr>
            </w:pPr>
            <w:r w:rsidRPr="00611565">
              <w:rPr>
                <w:rFonts w:eastAsia="Times New Roman" w:cs="Arial"/>
                <w:sz w:val="18"/>
                <w:szCs w:val="18"/>
                <w:lang w:eastAsia="en-AU"/>
              </w:rPr>
              <w:t>71.3</w:t>
            </w:r>
          </w:p>
        </w:tc>
      </w:tr>
      <w:tr w:rsidR="001E46DD" w:rsidRPr="001B644C" w14:paraId="04A1BB12" w14:textId="77777777" w:rsidTr="001E46DD">
        <w:trPr>
          <w:trHeight w:val="80"/>
        </w:trPr>
        <w:tc>
          <w:tcPr>
            <w:tcW w:w="5216" w:type="dxa"/>
            <w:tcBorders>
              <w:top w:val="nil"/>
              <w:left w:val="nil"/>
              <w:right w:val="nil"/>
            </w:tcBorders>
            <w:shd w:val="clear" w:color="auto" w:fill="auto"/>
            <w:vAlign w:val="center"/>
          </w:tcPr>
          <w:p w14:paraId="4D4F0888" w14:textId="64971E2C" w:rsidR="001E46DD" w:rsidRPr="001B644C" w:rsidRDefault="001E46DD" w:rsidP="001E46DD">
            <w:pPr>
              <w:spacing w:before="40" w:after="40"/>
              <w:rPr>
                <w:rFonts w:eastAsia="Times New Roman" w:cs="Arial"/>
                <w:color w:val="000000"/>
                <w:sz w:val="18"/>
                <w:szCs w:val="18"/>
                <w:lang w:eastAsia="en-AU"/>
              </w:rPr>
            </w:pPr>
            <w:r w:rsidRPr="006B7BAA">
              <w:rPr>
                <w:rFonts w:eastAsia="Times New Roman" w:cs="Arial"/>
                <w:color w:val="000000"/>
                <w:sz w:val="18"/>
                <w:szCs w:val="18"/>
                <w:lang w:eastAsia="en-AU"/>
              </w:rPr>
              <w:t>Your employer helped you with your recovery</w:t>
            </w:r>
          </w:p>
        </w:tc>
        <w:tc>
          <w:tcPr>
            <w:tcW w:w="964" w:type="dxa"/>
            <w:tcBorders>
              <w:top w:val="nil"/>
              <w:left w:val="nil"/>
              <w:right w:val="nil"/>
            </w:tcBorders>
            <w:shd w:val="clear" w:color="auto" w:fill="auto"/>
            <w:vAlign w:val="center"/>
          </w:tcPr>
          <w:p w14:paraId="6C0714DB" w14:textId="146D57FA" w:rsidR="001E46DD" w:rsidRPr="001B644C" w:rsidRDefault="001E46DD" w:rsidP="001E46DD">
            <w:pPr>
              <w:spacing w:before="40" w:after="40"/>
              <w:ind w:right="227"/>
              <w:jc w:val="right"/>
              <w:rPr>
                <w:rFonts w:eastAsia="Times New Roman" w:cs="Arial"/>
                <w:sz w:val="18"/>
                <w:szCs w:val="18"/>
                <w:lang w:eastAsia="en-AU"/>
              </w:rPr>
            </w:pPr>
            <w:r w:rsidRPr="00611565">
              <w:rPr>
                <w:rFonts w:eastAsia="Times New Roman" w:cs="Arial"/>
                <w:sz w:val="18"/>
                <w:szCs w:val="18"/>
                <w:lang w:eastAsia="en-AU"/>
              </w:rPr>
              <w:t>68.4</w:t>
            </w:r>
          </w:p>
        </w:tc>
        <w:tc>
          <w:tcPr>
            <w:tcW w:w="964" w:type="dxa"/>
            <w:tcBorders>
              <w:top w:val="nil"/>
              <w:left w:val="nil"/>
              <w:right w:val="nil"/>
            </w:tcBorders>
            <w:shd w:val="clear" w:color="auto" w:fill="auto"/>
            <w:vAlign w:val="center"/>
          </w:tcPr>
          <w:p w14:paraId="66B81263" w14:textId="41D4CB11" w:rsidR="001E46DD" w:rsidRPr="001B644C" w:rsidRDefault="001E46DD" w:rsidP="001E46DD">
            <w:pPr>
              <w:spacing w:before="40" w:after="40"/>
              <w:ind w:right="227"/>
              <w:jc w:val="right"/>
              <w:rPr>
                <w:rFonts w:eastAsia="Times New Roman" w:cs="Arial"/>
                <w:sz w:val="18"/>
                <w:szCs w:val="18"/>
                <w:lang w:eastAsia="en-AU"/>
              </w:rPr>
            </w:pPr>
            <w:r w:rsidRPr="00611565">
              <w:rPr>
                <w:rFonts w:eastAsia="Times New Roman" w:cs="Arial"/>
                <w:sz w:val="18"/>
                <w:szCs w:val="18"/>
                <w:lang w:eastAsia="en-AU"/>
              </w:rPr>
              <w:t>67.5</w:t>
            </w:r>
          </w:p>
        </w:tc>
        <w:tc>
          <w:tcPr>
            <w:tcW w:w="964" w:type="dxa"/>
            <w:tcBorders>
              <w:top w:val="nil"/>
              <w:left w:val="nil"/>
              <w:right w:val="nil"/>
            </w:tcBorders>
            <w:shd w:val="clear" w:color="auto" w:fill="auto"/>
            <w:vAlign w:val="center"/>
          </w:tcPr>
          <w:p w14:paraId="3EA6517B" w14:textId="1B7F1C53" w:rsidR="001E46DD" w:rsidRDefault="001E46DD" w:rsidP="001E46DD">
            <w:pPr>
              <w:spacing w:before="40" w:after="40"/>
              <w:ind w:right="227"/>
              <w:jc w:val="right"/>
              <w:rPr>
                <w:rFonts w:eastAsia="Times New Roman" w:cs="Arial"/>
                <w:sz w:val="18"/>
                <w:szCs w:val="18"/>
                <w:lang w:eastAsia="en-AU"/>
              </w:rPr>
            </w:pPr>
            <w:r w:rsidRPr="00611565">
              <w:rPr>
                <w:rFonts w:eastAsia="Times New Roman" w:cs="Arial"/>
                <w:sz w:val="18"/>
                <w:szCs w:val="18"/>
                <w:lang w:eastAsia="en-AU"/>
              </w:rPr>
              <w:t>65.2</w:t>
            </w:r>
          </w:p>
        </w:tc>
        <w:tc>
          <w:tcPr>
            <w:tcW w:w="964" w:type="dxa"/>
            <w:tcBorders>
              <w:top w:val="nil"/>
              <w:left w:val="nil"/>
              <w:right w:val="nil"/>
            </w:tcBorders>
            <w:shd w:val="clear" w:color="auto" w:fill="auto"/>
            <w:vAlign w:val="center"/>
          </w:tcPr>
          <w:p w14:paraId="0D90BCA5" w14:textId="766E6B20" w:rsidR="001E46DD" w:rsidRPr="001B644C" w:rsidRDefault="001E46DD" w:rsidP="001E46DD">
            <w:pPr>
              <w:spacing w:before="40" w:after="40"/>
              <w:ind w:right="227"/>
              <w:jc w:val="right"/>
              <w:rPr>
                <w:rFonts w:eastAsia="Times New Roman" w:cs="Arial"/>
                <w:sz w:val="18"/>
                <w:szCs w:val="18"/>
                <w:lang w:eastAsia="en-AU"/>
              </w:rPr>
            </w:pPr>
            <w:r w:rsidRPr="00611565">
              <w:rPr>
                <w:rFonts w:eastAsia="Times New Roman" w:cs="Arial"/>
                <w:sz w:val="18"/>
                <w:szCs w:val="18"/>
                <w:lang w:eastAsia="en-AU"/>
              </w:rPr>
              <w:t>65.2</w:t>
            </w:r>
          </w:p>
        </w:tc>
      </w:tr>
      <w:tr w:rsidR="001E46DD" w:rsidRPr="001B644C" w14:paraId="61AB4510" w14:textId="77777777" w:rsidTr="001E46DD">
        <w:trPr>
          <w:trHeight w:val="80"/>
        </w:trPr>
        <w:tc>
          <w:tcPr>
            <w:tcW w:w="5216" w:type="dxa"/>
            <w:tcBorders>
              <w:top w:val="nil"/>
              <w:left w:val="nil"/>
              <w:right w:val="nil"/>
            </w:tcBorders>
            <w:shd w:val="clear" w:color="000000" w:fill="C7E4F3"/>
            <w:vAlign w:val="center"/>
          </w:tcPr>
          <w:p w14:paraId="524F1DE9" w14:textId="051095B4" w:rsidR="001E46DD" w:rsidRPr="001B644C" w:rsidRDefault="001E46DD" w:rsidP="001E46DD">
            <w:pPr>
              <w:spacing w:before="40" w:after="40"/>
              <w:rPr>
                <w:rFonts w:eastAsia="Times New Roman" w:cs="Arial"/>
                <w:color w:val="000000"/>
                <w:sz w:val="18"/>
                <w:szCs w:val="18"/>
                <w:lang w:eastAsia="en-AU"/>
              </w:rPr>
            </w:pPr>
            <w:r w:rsidRPr="006B7BAA">
              <w:rPr>
                <w:rFonts w:eastAsia="Times New Roman" w:cs="Arial"/>
                <w:color w:val="000000"/>
                <w:sz w:val="18"/>
                <w:szCs w:val="18"/>
                <w:lang w:eastAsia="en-AU"/>
              </w:rPr>
              <w:t>Your employer treated you fairly during the claims process</w:t>
            </w:r>
          </w:p>
        </w:tc>
        <w:tc>
          <w:tcPr>
            <w:tcW w:w="964" w:type="dxa"/>
            <w:tcBorders>
              <w:top w:val="nil"/>
              <w:left w:val="nil"/>
              <w:right w:val="nil"/>
            </w:tcBorders>
            <w:shd w:val="clear" w:color="000000" w:fill="C7E4F3"/>
            <w:vAlign w:val="center"/>
          </w:tcPr>
          <w:p w14:paraId="403B5E91" w14:textId="684BBD3B" w:rsidR="001E46DD" w:rsidRPr="001B644C" w:rsidRDefault="001E46DD" w:rsidP="001E46DD">
            <w:pPr>
              <w:spacing w:before="40" w:after="40"/>
              <w:ind w:right="227"/>
              <w:jc w:val="right"/>
              <w:rPr>
                <w:rFonts w:eastAsia="Times New Roman" w:cs="Arial"/>
                <w:sz w:val="18"/>
                <w:szCs w:val="18"/>
                <w:lang w:eastAsia="en-AU"/>
              </w:rPr>
            </w:pPr>
            <w:r w:rsidRPr="006B7BAA">
              <w:rPr>
                <w:rFonts w:eastAsia="Times New Roman" w:cs="Arial"/>
                <w:color w:val="000000"/>
                <w:sz w:val="18"/>
                <w:szCs w:val="18"/>
                <w:lang w:eastAsia="en-AU"/>
              </w:rPr>
              <w:t>81.4</w:t>
            </w:r>
          </w:p>
        </w:tc>
        <w:tc>
          <w:tcPr>
            <w:tcW w:w="964" w:type="dxa"/>
            <w:tcBorders>
              <w:top w:val="nil"/>
              <w:left w:val="nil"/>
              <w:right w:val="nil"/>
            </w:tcBorders>
            <w:shd w:val="clear" w:color="000000" w:fill="C7E4F3"/>
            <w:vAlign w:val="center"/>
          </w:tcPr>
          <w:p w14:paraId="40A7C23C" w14:textId="3CA76C08" w:rsidR="001E46DD" w:rsidRPr="001B644C" w:rsidRDefault="001E46DD" w:rsidP="001E46DD">
            <w:pPr>
              <w:spacing w:before="40" w:after="40"/>
              <w:ind w:right="227"/>
              <w:jc w:val="right"/>
              <w:rPr>
                <w:rFonts w:eastAsia="Times New Roman" w:cs="Arial"/>
                <w:sz w:val="18"/>
                <w:szCs w:val="18"/>
                <w:lang w:eastAsia="en-AU"/>
              </w:rPr>
            </w:pPr>
            <w:r w:rsidRPr="006B7BAA">
              <w:rPr>
                <w:rFonts w:eastAsia="Times New Roman" w:cs="Arial"/>
                <w:color w:val="000000"/>
                <w:sz w:val="18"/>
                <w:szCs w:val="18"/>
                <w:lang w:eastAsia="en-AU"/>
              </w:rPr>
              <w:t>78.2</w:t>
            </w:r>
          </w:p>
        </w:tc>
        <w:tc>
          <w:tcPr>
            <w:tcW w:w="964" w:type="dxa"/>
            <w:tcBorders>
              <w:top w:val="nil"/>
              <w:left w:val="nil"/>
              <w:right w:val="nil"/>
            </w:tcBorders>
            <w:shd w:val="clear" w:color="000000" w:fill="C7E4F3"/>
            <w:vAlign w:val="center"/>
          </w:tcPr>
          <w:p w14:paraId="7ED33E4D" w14:textId="7DE84273" w:rsidR="001E46DD" w:rsidRDefault="001E46DD" w:rsidP="001E46DD">
            <w:pPr>
              <w:spacing w:before="40" w:after="40"/>
              <w:ind w:right="227"/>
              <w:jc w:val="right"/>
              <w:rPr>
                <w:rFonts w:eastAsia="Times New Roman" w:cs="Arial"/>
                <w:sz w:val="18"/>
                <w:szCs w:val="18"/>
                <w:lang w:eastAsia="en-AU"/>
              </w:rPr>
            </w:pPr>
            <w:r w:rsidRPr="006B7BAA">
              <w:rPr>
                <w:rFonts w:eastAsia="Times New Roman" w:cs="Arial"/>
                <w:color w:val="000000"/>
                <w:sz w:val="18"/>
                <w:szCs w:val="18"/>
                <w:lang w:eastAsia="en-AU"/>
              </w:rPr>
              <w:t>79.3</w:t>
            </w:r>
          </w:p>
        </w:tc>
        <w:tc>
          <w:tcPr>
            <w:tcW w:w="964" w:type="dxa"/>
            <w:tcBorders>
              <w:top w:val="nil"/>
              <w:left w:val="nil"/>
              <w:right w:val="nil"/>
            </w:tcBorders>
            <w:shd w:val="clear" w:color="000000" w:fill="C7E4F3"/>
            <w:vAlign w:val="center"/>
          </w:tcPr>
          <w:p w14:paraId="090A0D42" w14:textId="524A23EC" w:rsidR="001E46DD" w:rsidRPr="001B644C" w:rsidRDefault="001E46DD" w:rsidP="001E46DD">
            <w:pPr>
              <w:spacing w:before="40" w:after="40"/>
              <w:ind w:right="227"/>
              <w:jc w:val="right"/>
              <w:rPr>
                <w:rFonts w:eastAsia="Times New Roman" w:cs="Arial"/>
                <w:sz w:val="18"/>
                <w:szCs w:val="18"/>
                <w:lang w:eastAsia="en-AU"/>
              </w:rPr>
            </w:pPr>
            <w:r w:rsidRPr="006B7BAA">
              <w:rPr>
                <w:rFonts w:eastAsia="Times New Roman" w:cs="Arial"/>
                <w:color w:val="000000"/>
                <w:sz w:val="18"/>
                <w:szCs w:val="18"/>
                <w:lang w:eastAsia="en-AU"/>
              </w:rPr>
              <w:t>79.1</w:t>
            </w:r>
          </w:p>
        </w:tc>
      </w:tr>
      <w:tr w:rsidR="001E46DD" w:rsidRPr="001B644C" w14:paraId="7EA8B1E9" w14:textId="77777777" w:rsidTr="001E46DD">
        <w:trPr>
          <w:trHeight w:val="80"/>
        </w:trPr>
        <w:tc>
          <w:tcPr>
            <w:tcW w:w="5216" w:type="dxa"/>
            <w:tcBorders>
              <w:top w:val="nil"/>
              <w:left w:val="nil"/>
              <w:bottom w:val="single" w:sz="4" w:space="0" w:color="1F698E" w:themeColor="accent1"/>
              <w:right w:val="nil"/>
            </w:tcBorders>
            <w:shd w:val="clear" w:color="auto" w:fill="auto"/>
            <w:vAlign w:val="center"/>
          </w:tcPr>
          <w:p w14:paraId="36D7F197" w14:textId="0150EF2D" w:rsidR="001E46DD" w:rsidRPr="001B644C" w:rsidRDefault="001E46DD" w:rsidP="001E46DD">
            <w:pPr>
              <w:spacing w:before="40" w:after="40"/>
              <w:rPr>
                <w:rFonts w:eastAsia="Times New Roman" w:cs="Arial"/>
                <w:color w:val="000000"/>
                <w:sz w:val="18"/>
                <w:szCs w:val="18"/>
                <w:lang w:eastAsia="en-AU"/>
              </w:rPr>
            </w:pPr>
            <w:r w:rsidRPr="006B7BAA">
              <w:rPr>
                <w:rFonts w:eastAsia="Times New Roman" w:cs="Arial"/>
                <w:color w:val="000000"/>
                <w:sz w:val="18"/>
                <w:szCs w:val="18"/>
                <w:lang w:eastAsia="en-AU"/>
              </w:rPr>
              <w:t>Your employer treated you fairly after the claims process</w:t>
            </w:r>
          </w:p>
        </w:tc>
        <w:tc>
          <w:tcPr>
            <w:tcW w:w="964" w:type="dxa"/>
            <w:tcBorders>
              <w:top w:val="nil"/>
              <w:left w:val="nil"/>
              <w:bottom w:val="single" w:sz="4" w:space="0" w:color="1F698E" w:themeColor="accent1"/>
              <w:right w:val="nil"/>
            </w:tcBorders>
            <w:shd w:val="clear" w:color="auto" w:fill="auto"/>
            <w:vAlign w:val="center"/>
          </w:tcPr>
          <w:p w14:paraId="155BF32B" w14:textId="18F44E0B" w:rsidR="001E46DD" w:rsidRPr="001B644C" w:rsidRDefault="001E46DD" w:rsidP="001E46DD">
            <w:pPr>
              <w:spacing w:before="40" w:after="40"/>
              <w:ind w:right="227"/>
              <w:jc w:val="right"/>
              <w:rPr>
                <w:rFonts w:eastAsia="Times New Roman" w:cs="Arial"/>
                <w:sz w:val="18"/>
                <w:szCs w:val="18"/>
                <w:lang w:eastAsia="en-AU"/>
              </w:rPr>
            </w:pPr>
            <w:r w:rsidRPr="006B7BAA">
              <w:rPr>
                <w:rFonts w:eastAsia="Times New Roman" w:cs="Arial"/>
                <w:color w:val="000000"/>
                <w:sz w:val="18"/>
                <w:szCs w:val="18"/>
                <w:lang w:eastAsia="en-AU"/>
              </w:rPr>
              <w:t>82.6</w:t>
            </w:r>
          </w:p>
        </w:tc>
        <w:tc>
          <w:tcPr>
            <w:tcW w:w="964" w:type="dxa"/>
            <w:tcBorders>
              <w:top w:val="nil"/>
              <w:left w:val="nil"/>
              <w:bottom w:val="single" w:sz="4" w:space="0" w:color="1F698E" w:themeColor="accent1"/>
              <w:right w:val="nil"/>
            </w:tcBorders>
            <w:shd w:val="clear" w:color="auto" w:fill="auto"/>
            <w:vAlign w:val="center"/>
          </w:tcPr>
          <w:p w14:paraId="038C6CC6" w14:textId="6F62B46A" w:rsidR="001E46DD" w:rsidRPr="001B644C" w:rsidRDefault="001E46DD" w:rsidP="001E46DD">
            <w:pPr>
              <w:spacing w:before="40" w:after="40"/>
              <w:ind w:right="227"/>
              <w:jc w:val="right"/>
              <w:rPr>
                <w:rFonts w:eastAsia="Times New Roman" w:cs="Arial"/>
                <w:sz w:val="18"/>
                <w:szCs w:val="18"/>
                <w:lang w:eastAsia="en-AU"/>
              </w:rPr>
            </w:pPr>
            <w:r w:rsidRPr="006B7BAA">
              <w:rPr>
                <w:rFonts w:eastAsia="Times New Roman" w:cs="Arial"/>
                <w:color w:val="000000"/>
                <w:sz w:val="18"/>
                <w:szCs w:val="18"/>
                <w:lang w:eastAsia="en-AU"/>
              </w:rPr>
              <w:t>78.5</w:t>
            </w:r>
          </w:p>
        </w:tc>
        <w:tc>
          <w:tcPr>
            <w:tcW w:w="964" w:type="dxa"/>
            <w:tcBorders>
              <w:top w:val="nil"/>
              <w:left w:val="nil"/>
              <w:bottom w:val="single" w:sz="4" w:space="0" w:color="1F698E" w:themeColor="accent1"/>
              <w:right w:val="nil"/>
            </w:tcBorders>
            <w:shd w:val="clear" w:color="auto" w:fill="auto"/>
            <w:vAlign w:val="center"/>
          </w:tcPr>
          <w:p w14:paraId="3D35AB97" w14:textId="38B04998" w:rsidR="001E46DD" w:rsidRPr="001B644C" w:rsidRDefault="001E46DD" w:rsidP="001E46DD">
            <w:pPr>
              <w:spacing w:before="40" w:after="40"/>
              <w:ind w:left="-227" w:right="170"/>
              <w:jc w:val="right"/>
              <w:rPr>
                <w:rFonts w:eastAsia="Times New Roman" w:cs="Arial"/>
                <w:sz w:val="18"/>
                <w:szCs w:val="18"/>
                <w:lang w:eastAsia="en-AU"/>
              </w:rPr>
            </w:pPr>
            <w:r w:rsidRPr="006B7BAA">
              <w:rPr>
                <w:rFonts w:eastAsia="Times New Roman" w:cs="Arial"/>
                <w:color w:val="000000"/>
                <w:sz w:val="18"/>
                <w:szCs w:val="18"/>
                <w:lang w:eastAsia="en-AU"/>
              </w:rPr>
              <w:t>79.6</w:t>
            </w:r>
          </w:p>
        </w:tc>
        <w:tc>
          <w:tcPr>
            <w:tcW w:w="964" w:type="dxa"/>
            <w:tcBorders>
              <w:top w:val="nil"/>
              <w:left w:val="nil"/>
              <w:bottom w:val="single" w:sz="4" w:space="0" w:color="1F698E" w:themeColor="accent1"/>
              <w:right w:val="nil"/>
            </w:tcBorders>
            <w:shd w:val="clear" w:color="auto" w:fill="auto"/>
            <w:vAlign w:val="center"/>
          </w:tcPr>
          <w:p w14:paraId="4F049A85" w14:textId="5E0430D9" w:rsidR="001E46DD" w:rsidRPr="001B644C" w:rsidRDefault="001E46DD" w:rsidP="001E46DD">
            <w:pPr>
              <w:spacing w:before="40" w:after="40"/>
              <w:ind w:right="227"/>
              <w:jc w:val="right"/>
              <w:rPr>
                <w:rFonts w:eastAsia="Times New Roman" w:cs="Arial"/>
                <w:sz w:val="18"/>
                <w:szCs w:val="18"/>
                <w:lang w:eastAsia="en-AU"/>
              </w:rPr>
            </w:pPr>
            <w:r w:rsidRPr="006B7BAA">
              <w:rPr>
                <w:rFonts w:eastAsia="Times New Roman" w:cs="Arial"/>
                <w:color w:val="000000"/>
                <w:sz w:val="18"/>
                <w:szCs w:val="18"/>
                <w:lang w:eastAsia="en-AU"/>
              </w:rPr>
              <w:t>79.5</w:t>
            </w:r>
          </w:p>
        </w:tc>
      </w:tr>
    </w:tbl>
    <w:p w14:paraId="28BE306E" w14:textId="58C60382" w:rsidR="001E46DD" w:rsidRPr="00D17E58" w:rsidRDefault="001E46DD" w:rsidP="001E46DD">
      <w:pPr>
        <w:pStyle w:val="FigureNote"/>
        <w:spacing w:before="120"/>
      </w:pPr>
      <w:r w:rsidRPr="001B644C">
        <w:t xml:space="preserve">Base: </w:t>
      </w:r>
      <w:r w:rsidRPr="001B644C">
        <w:tab/>
        <w:t>All respondents. 2013 (n=</w:t>
      </w:r>
      <w:r>
        <w:t>4</w:t>
      </w:r>
      <w:r w:rsidR="00AD3CC9">
        <w:t>48 to n=522</w:t>
      </w:r>
      <w:r w:rsidRPr="001B644C">
        <w:t>), 2014 (n=</w:t>
      </w:r>
      <w:r>
        <w:t>4,</w:t>
      </w:r>
      <w:r w:rsidR="00AD3CC9">
        <w:t>043</w:t>
      </w:r>
      <w:r>
        <w:t xml:space="preserve"> to n=4,</w:t>
      </w:r>
      <w:r w:rsidR="00AD3CC9">
        <w:t>425</w:t>
      </w:r>
      <w:r w:rsidRPr="001B644C">
        <w:t>), 2016 (n=</w:t>
      </w:r>
      <w:r w:rsidR="00AD3CC9">
        <w:t>4,245</w:t>
      </w:r>
      <w:r>
        <w:t xml:space="preserve"> to n=4,</w:t>
      </w:r>
      <w:r w:rsidR="00AD3CC9">
        <w:t>486</w:t>
      </w:r>
      <w:r w:rsidRPr="001B644C">
        <w:t>), 2018 (</w:t>
      </w:r>
      <w:r>
        <w:t>n=4,</w:t>
      </w:r>
      <w:r w:rsidR="00AD3CC9">
        <w:t>283 to n=4,530</w:t>
      </w:r>
      <w:r>
        <w:t>).</w:t>
      </w:r>
    </w:p>
    <w:p w14:paraId="2354BE4F" w14:textId="4D70BFC3" w:rsidR="001E46DD" w:rsidRDefault="001E46DD" w:rsidP="001E46DD">
      <w:pPr>
        <w:pStyle w:val="FigureNote"/>
      </w:pPr>
      <w:r>
        <w:t>EMP</w:t>
      </w:r>
      <w:r w:rsidR="004F42BC">
        <w:t>7</w:t>
      </w:r>
      <w:r w:rsidRPr="009A7AC8">
        <w:tab/>
      </w:r>
      <w:r w:rsidR="00AD3CC9" w:rsidRPr="003A4EB6">
        <w:rPr>
          <w:szCs w:val="16"/>
        </w:rPr>
        <w:t>Thinking about the role of your employer following your work-related injury or illness, do you agree or disagree with the following statements</w:t>
      </w:r>
      <w:r w:rsidRPr="009A7AC8">
        <w:t>?</w:t>
      </w:r>
    </w:p>
    <w:p w14:paraId="03CE34CE" w14:textId="3C2228DE" w:rsidR="001E46DD" w:rsidRDefault="001E46DD" w:rsidP="00AD3CC9">
      <w:pPr>
        <w:pStyle w:val="FigureNote"/>
      </w:pPr>
      <w:r>
        <w:t>Note:</w:t>
      </w:r>
      <w:r>
        <w:tab/>
        <w:t xml:space="preserve">Don’t know and Refused responses excluded from base. </w:t>
      </w:r>
      <w:r w:rsidRPr="00887D32">
        <w:t xml:space="preserve">Asterisks indicate statistically significant </w:t>
      </w:r>
      <w:r w:rsidRPr="00611565">
        <w:t>difference (single asterisk (*) indicates a lower proportion; double asterisk (**) indicates a higher p</w:t>
      </w:r>
      <w:r w:rsidRPr="00887D32">
        <w:t>roportion</w:t>
      </w:r>
      <w:r>
        <w:t>)</w:t>
      </w:r>
      <w:r w:rsidR="003E25AE">
        <w:t xml:space="preserve"> (p-value &lt;=0.05).</w:t>
      </w:r>
    </w:p>
    <w:p w14:paraId="4ABBB9D1" w14:textId="77777777" w:rsidR="00AD3CC9" w:rsidRDefault="00AD3CC9" w:rsidP="00AD3CC9">
      <w:pPr>
        <w:pStyle w:val="FigureNote"/>
      </w:pPr>
    </w:p>
    <w:p w14:paraId="6805103A" w14:textId="01ABBAD3" w:rsidR="00CA005A" w:rsidRDefault="006C4EDE" w:rsidP="00534357">
      <w:pPr>
        <w:pStyle w:val="Body"/>
      </w:pPr>
      <w:r>
        <w:t>As presented in Table 8</w:t>
      </w:r>
      <w:r w:rsidR="00F61F8D">
        <w:t xml:space="preserve"> (overleaf), n</w:t>
      </w:r>
      <w:r w:rsidR="005B7B50">
        <w:t xml:space="preserve">o statistically significant variation was </w:t>
      </w:r>
      <w:r w:rsidR="00500B9B">
        <w:t>evident</w:t>
      </w:r>
      <w:r w:rsidR="005B7B50">
        <w:t xml:space="preserve"> between jurisdictions on the employer support attributes. </w:t>
      </w:r>
      <w:r w:rsidR="00F27BDF">
        <w:t>W</w:t>
      </w:r>
      <w:r w:rsidR="00500B9B">
        <w:t>orkers from Seacare appeared to be more positive about the support received from their employer, however the low sample size for Seacare means these results should be read with caution.</w:t>
      </w:r>
    </w:p>
    <w:p w14:paraId="66424220" w14:textId="6AAFCC7B" w:rsidR="00500B9B" w:rsidRDefault="00500B9B" w:rsidP="00534357">
      <w:pPr>
        <w:pStyle w:val="Body"/>
      </w:pPr>
      <w:r>
        <w:t>Significant differences were evident between workers with different types of injury/illness. Across all attributes, those with fractures were significantly more positive about the support received from their employer, while those with mental illness were significantly less positive. Less than half of the sample of workers with mental illn</w:t>
      </w:r>
      <w:r w:rsidR="00372A03">
        <w:t>ess agreed with each attribute. The lowest rating was for the attribute ‘your employer helped you with your recovery’ to which only 28.4% of the mental illness sub-group agreed.</w:t>
      </w:r>
    </w:p>
    <w:p w14:paraId="2066C2EC" w14:textId="4A3BB8FA" w:rsidR="00372A03" w:rsidRDefault="00372A03" w:rsidP="00534357">
      <w:pPr>
        <w:pStyle w:val="Body"/>
      </w:pPr>
      <w:r>
        <w:t>No significant differences were reported by size of employer organisation.</w:t>
      </w:r>
    </w:p>
    <w:p w14:paraId="1A877E66" w14:textId="77777777" w:rsidR="00372A03" w:rsidRDefault="00372A03">
      <w:pPr>
        <w:rPr>
          <w:rFonts w:eastAsia="Times New Roman" w:cs="Arial"/>
          <w:b/>
          <w:bCs/>
          <w:color w:val="1F688D"/>
          <w:szCs w:val="18"/>
        </w:rPr>
      </w:pPr>
      <w:r>
        <w:br w:type="page"/>
      </w:r>
    </w:p>
    <w:p w14:paraId="2B1174EC" w14:textId="56B6ADF8" w:rsidR="00AD3CC9" w:rsidRDefault="00AD3CC9" w:rsidP="00AD3CC9">
      <w:pPr>
        <w:pStyle w:val="Caption"/>
      </w:pPr>
      <w:bookmarkStart w:id="109" w:name="_Toc528056607"/>
      <w:r>
        <w:lastRenderedPageBreak/>
        <w:t xml:space="preserve">Table </w:t>
      </w:r>
      <w:r w:rsidR="006F2BDD">
        <w:rPr>
          <w:noProof/>
        </w:rPr>
        <w:fldChar w:fldCharType="begin"/>
      </w:r>
      <w:r w:rsidR="006F2BDD">
        <w:rPr>
          <w:noProof/>
        </w:rPr>
        <w:instrText xml:space="preserve"> SEQ Table \* ARABIC </w:instrText>
      </w:r>
      <w:r w:rsidR="006F2BDD">
        <w:rPr>
          <w:noProof/>
        </w:rPr>
        <w:fldChar w:fldCharType="separate"/>
      </w:r>
      <w:r w:rsidR="00B9340A">
        <w:rPr>
          <w:noProof/>
        </w:rPr>
        <w:t>8</w:t>
      </w:r>
      <w:r w:rsidR="006F2BDD">
        <w:rPr>
          <w:noProof/>
        </w:rPr>
        <w:fldChar w:fldCharType="end"/>
      </w:r>
      <w:r w:rsidR="00001A7D">
        <w:tab/>
        <w:t xml:space="preserve">Employer support attributes, by jurisdiction, </w:t>
      </w:r>
      <w:r w:rsidR="0025300B">
        <w:t>injury/illness</w:t>
      </w:r>
      <w:r w:rsidR="00001A7D">
        <w:t xml:space="preserve"> type and employer size – 2018 (% Strongly Agree / Agree)</w:t>
      </w:r>
      <w:bookmarkEnd w:id="109"/>
    </w:p>
    <w:p w14:paraId="5F9702DD" w14:textId="4CD6D0EE" w:rsidR="00001A7D" w:rsidRPr="00001A7D" w:rsidRDefault="00001A7D" w:rsidP="00001A7D">
      <w:pPr>
        <w:pStyle w:val="Body"/>
        <w:ind w:left="698" w:firstLine="720"/>
        <w:rPr>
          <w:i/>
        </w:rPr>
      </w:pPr>
      <w:r w:rsidRPr="00001A7D">
        <w:rPr>
          <w:i/>
        </w:rPr>
        <w:t>Your employer…</w:t>
      </w:r>
    </w:p>
    <w:tbl>
      <w:tblPr>
        <w:tblW w:w="9070" w:type="dxa"/>
        <w:tblLayout w:type="fixed"/>
        <w:tblLook w:val="04A0" w:firstRow="1" w:lastRow="0" w:firstColumn="1" w:lastColumn="0" w:noHBand="0" w:noVBand="1"/>
        <w:tblDescription w:val="This table presents the proportion of repondents who reported strongly agreeing or agreeing with each of the six employer support  statements by jursidiction, injury/illness types and employer size. The findings are reported in the text above."/>
      </w:tblPr>
      <w:tblGrid>
        <w:gridCol w:w="1814"/>
        <w:gridCol w:w="1020"/>
        <w:gridCol w:w="1587"/>
        <w:gridCol w:w="1361"/>
        <w:gridCol w:w="1020"/>
        <w:gridCol w:w="1134"/>
        <w:gridCol w:w="1134"/>
      </w:tblGrid>
      <w:tr w:rsidR="00AD3CC9" w:rsidRPr="008B2C65" w14:paraId="4400E3E3" w14:textId="77777777" w:rsidTr="00001A7D">
        <w:trPr>
          <w:trHeight w:val="80"/>
          <w:tblHeader/>
        </w:trPr>
        <w:tc>
          <w:tcPr>
            <w:tcW w:w="1814" w:type="dxa"/>
            <w:tcBorders>
              <w:top w:val="nil"/>
              <w:left w:val="nil"/>
              <w:bottom w:val="nil"/>
              <w:right w:val="nil"/>
            </w:tcBorders>
            <w:shd w:val="clear" w:color="000000" w:fill="1F698E"/>
            <w:vAlign w:val="center"/>
            <w:hideMark/>
          </w:tcPr>
          <w:p w14:paraId="1032F716" w14:textId="77777777" w:rsidR="00AD3CC9" w:rsidRPr="008B2C65" w:rsidRDefault="00AD3CC9" w:rsidP="00685143">
            <w:pPr>
              <w:spacing w:before="40" w:after="40"/>
              <w:jc w:val="right"/>
              <w:rPr>
                <w:rFonts w:eastAsia="Times New Roman" w:cs="Arial"/>
                <w:b/>
                <w:bCs/>
                <w:color w:val="FFFFFF"/>
                <w:sz w:val="18"/>
                <w:szCs w:val="18"/>
                <w:lang w:eastAsia="en-AU"/>
              </w:rPr>
            </w:pPr>
            <w:r w:rsidRPr="008B2C65">
              <w:rPr>
                <w:rFonts w:eastAsia="Times New Roman" w:cs="Arial"/>
                <w:b/>
                <w:bCs/>
                <w:color w:val="FFFFFF"/>
                <w:sz w:val="18"/>
                <w:szCs w:val="18"/>
                <w:lang w:eastAsia="en-AU"/>
              </w:rPr>
              <w:t> </w:t>
            </w:r>
          </w:p>
        </w:tc>
        <w:tc>
          <w:tcPr>
            <w:tcW w:w="1020" w:type="dxa"/>
            <w:tcBorders>
              <w:top w:val="nil"/>
              <w:left w:val="nil"/>
              <w:bottom w:val="nil"/>
              <w:right w:val="nil"/>
            </w:tcBorders>
            <w:shd w:val="clear" w:color="000000" w:fill="1F698E"/>
            <w:vAlign w:val="center"/>
            <w:hideMark/>
          </w:tcPr>
          <w:p w14:paraId="0E3DC5B6" w14:textId="16C6A402" w:rsidR="00AD3CC9" w:rsidRPr="008B2C65" w:rsidRDefault="00AD3CC9" w:rsidP="00685143">
            <w:pPr>
              <w:spacing w:before="40" w:after="40"/>
              <w:jc w:val="center"/>
              <w:rPr>
                <w:rFonts w:eastAsia="Times New Roman" w:cs="Arial"/>
                <w:b/>
                <w:bCs/>
                <w:color w:val="FFFFFF"/>
                <w:sz w:val="18"/>
                <w:szCs w:val="18"/>
                <w:lang w:eastAsia="en-AU"/>
              </w:rPr>
            </w:pPr>
            <w:r>
              <w:rPr>
                <w:rFonts w:eastAsia="Times New Roman" w:cs="Arial"/>
                <w:b/>
                <w:bCs/>
                <w:color w:val="FFFFFF"/>
                <w:sz w:val="18"/>
                <w:szCs w:val="18"/>
                <w:lang w:eastAsia="en-AU"/>
              </w:rPr>
              <w:t>D</w:t>
            </w:r>
            <w:r w:rsidRPr="00AD3CC9">
              <w:rPr>
                <w:rFonts w:eastAsia="Times New Roman" w:cs="Arial"/>
                <w:b/>
                <w:bCs/>
                <w:color w:val="FFFFFF"/>
                <w:sz w:val="18"/>
                <w:szCs w:val="18"/>
                <w:lang w:eastAsia="en-AU"/>
              </w:rPr>
              <w:t>id what they could to support you</w:t>
            </w:r>
          </w:p>
        </w:tc>
        <w:tc>
          <w:tcPr>
            <w:tcW w:w="1587" w:type="dxa"/>
            <w:tcBorders>
              <w:top w:val="nil"/>
              <w:left w:val="nil"/>
              <w:bottom w:val="nil"/>
              <w:right w:val="nil"/>
            </w:tcBorders>
            <w:shd w:val="clear" w:color="000000" w:fill="1F698E"/>
          </w:tcPr>
          <w:p w14:paraId="79820C98" w14:textId="148BA340" w:rsidR="00AD3CC9" w:rsidRDefault="00AD3CC9" w:rsidP="00685143">
            <w:pPr>
              <w:spacing w:before="40" w:after="40"/>
              <w:jc w:val="center"/>
              <w:rPr>
                <w:rFonts w:eastAsia="Times New Roman" w:cs="Arial"/>
                <w:b/>
                <w:bCs/>
                <w:color w:val="FFFFFF"/>
                <w:sz w:val="18"/>
                <w:szCs w:val="18"/>
                <w:lang w:eastAsia="en-AU"/>
              </w:rPr>
            </w:pPr>
            <w:r>
              <w:rPr>
                <w:rFonts w:eastAsia="Times New Roman" w:cs="Arial"/>
                <w:b/>
                <w:bCs/>
                <w:color w:val="FFFFFF"/>
                <w:sz w:val="18"/>
                <w:szCs w:val="18"/>
                <w:lang w:eastAsia="en-AU"/>
              </w:rPr>
              <w:t>Provided e</w:t>
            </w:r>
            <w:r w:rsidRPr="00AD3CC9">
              <w:rPr>
                <w:rFonts w:eastAsia="Times New Roman" w:cs="Arial"/>
                <w:b/>
                <w:bCs/>
                <w:color w:val="FFFFFF"/>
                <w:sz w:val="18"/>
                <w:szCs w:val="18"/>
                <w:lang w:eastAsia="en-AU"/>
              </w:rPr>
              <w:t>nough information on your rights and responsibilities</w:t>
            </w:r>
          </w:p>
        </w:tc>
        <w:tc>
          <w:tcPr>
            <w:tcW w:w="1361" w:type="dxa"/>
            <w:tcBorders>
              <w:top w:val="nil"/>
              <w:left w:val="nil"/>
              <w:bottom w:val="nil"/>
              <w:right w:val="nil"/>
            </w:tcBorders>
            <w:shd w:val="clear" w:color="000000" w:fill="1F698E"/>
            <w:vAlign w:val="center"/>
            <w:hideMark/>
          </w:tcPr>
          <w:p w14:paraId="72D68BDD" w14:textId="7A1734DB" w:rsidR="00AD3CC9" w:rsidRPr="008B2C65" w:rsidRDefault="00AD3CC9" w:rsidP="00685143">
            <w:pPr>
              <w:spacing w:before="40" w:after="40"/>
              <w:jc w:val="center"/>
              <w:rPr>
                <w:rFonts w:eastAsia="Times New Roman" w:cs="Arial"/>
                <w:b/>
                <w:bCs/>
                <w:color w:val="FFFFFF"/>
                <w:sz w:val="18"/>
                <w:szCs w:val="18"/>
                <w:lang w:eastAsia="en-AU"/>
              </w:rPr>
            </w:pPr>
            <w:r>
              <w:rPr>
                <w:rFonts w:eastAsia="Times New Roman" w:cs="Arial"/>
                <w:b/>
                <w:bCs/>
                <w:color w:val="FFFFFF"/>
                <w:sz w:val="18"/>
                <w:szCs w:val="18"/>
                <w:lang w:eastAsia="en-AU"/>
              </w:rPr>
              <w:t>M</w:t>
            </w:r>
            <w:r w:rsidRPr="00AD3CC9">
              <w:rPr>
                <w:rFonts w:eastAsia="Times New Roman" w:cs="Arial"/>
                <w:b/>
                <w:bCs/>
                <w:color w:val="FFFFFF"/>
                <w:sz w:val="18"/>
                <w:szCs w:val="18"/>
                <w:lang w:eastAsia="en-AU"/>
              </w:rPr>
              <w:t>ade an effort to find suitable employment for you</w:t>
            </w:r>
          </w:p>
        </w:tc>
        <w:tc>
          <w:tcPr>
            <w:tcW w:w="1020" w:type="dxa"/>
            <w:tcBorders>
              <w:top w:val="nil"/>
              <w:left w:val="nil"/>
              <w:bottom w:val="nil"/>
              <w:right w:val="nil"/>
            </w:tcBorders>
            <w:shd w:val="clear" w:color="000000" w:fill="1F698E"/>
          </w:tcPr>
          <w:p w14:paraId="7D98A9E3" w14:textId="4358BD56" w:rsidR="00AD3CC9" w:rsidRDefault="00AD3CC9" w:rsidP="00685143">
            <w:pPr>
              <w:spacing w:before="40" w:after="40"/>
              <w:jc w:val="center"/>
              <w:rPr>
                <w:rFonts w:eastAsia="Times New Roman" w:cs="Arial"/>
                <w:b/>
                <w:bCs/>
                <w:color w:val="FFFFFF"/>
                <w:sz w:val="18"/>
                <w:szCs w:val="18"/>
                <w:lang w:eastAsia="en-AU"/>
              </w:rPr>
            </w:pPr>
            <w:r>
              <w:rPr>
                <w:rFonts w:eastAsia="Times New Roman" w:cs="Arial"/>
                <w:b/>
                <w:bCs/>
                <w:color w:val="FFFFFF"/>
                <w:sz w:val="18"/>
                <w:szCs w:val="18"/>
                <w:lang w:eastAsia="en-AU"/>
              </w:rPr>
              <w:t>H</w:t>
            </w:r>
            <w:r w:rsidRPr="00AD3CC9">
              <w:rPr>
                <w:rFonts w:eastAsia="Times New Roman" w:cs="Arial"/>
                <w:b/>
                <w:bCs/>
                <w:color w:val="FFFFFF"/>
                <w:sz w:val="18"/>
                <w:szCs w:val="18"/>
                <w:lang w:eastAsia="en-AU"/>
              </w:rPr>
              <w:t>elped you with your recovery</w:t>
            </w:r>
          </w:p>
        </w:tc>
        <w:tc>
          <w:tcPr>
            <w:tcW w:w="1134" w:type="dxa"/>
            <w:tcBorders>
              <w:top w:val="nil"/>
              <w:left w:val="nil"/>
              <w:bottom w:val="nil"/>
              <w:right w:val="nil"/>
            </w:tcBorders>
            <w:shd w:val="clear" w:color="000000" w:fill="1F698E"/>
            <w:vAlign w:val="center"/>
            <w:hideMark/>
          </w:tcPr>
          <w:p w14:paraId="2BC098B2" w14:textId="6D7B5C4C" w:rsidR="00AD3CC9" w:rsidRPr="008B2C65" w:rsidRDefault="00001A7D" w:rsidP="00685143">
            <w:pPr>
              <w:spacing w:before="40" w:after="40"/>
              <w:jc w:val="center"/>
              <w:rPr>
                <w:rFonts w:eastAsia="Times New Roman" w:cs="Arial"/>
                <w:b/>
                <w:bCs/>
                <w:color w:val="FFFFFF"/>
                <w:sz w:val="18"/>
                <w:szCs w:val="18"/>
                <w:lang w:eastAsia="en-AU"/>
              </w:rPr>
            </w:pPr>
            <w:r>
              <w:rPr>
                <w:rFonts w:eastAsia="Times New Roman" w:cs="Arial"/>
                <w:b/>
                <w:bCs/>
                <w:color w:val="FFFFFF"/>
                <w:sz w:val="18"/>
                <w:szCs w:val="18"/>
                <w:lang w:eastAsia="en-AU"/>
              </w:rPr>
              <w:t>T</w:t>
            </w:r>
            <w:r w:rsidRPr="00001A7D">
              <w:rPr>
                <w:rFonts w:eastAsia="Times New Roman" w:cs="Arial"/>
                <w:b/>
                <w:bCs/>
                <w:color w:val="FFFFFF"/>
                <w:sz w:val="18"/>
                <w:szCs w:val="18"/>
                <w:lang w:eastAsia="en-AU"/>
              </w:rPr>
              <w:t>reated you fairly during the claims process</w:t>
            </w:r>
          </w:p>
        </w:tc>
        <w:tc>
          <w:tcPr>
            <w:tcW w:w="1134" w:type="dxa"/>
            <w:tcBorders>
              <w:top w:val="nil"/>
              <w:left w:val="nil"/>
              <w:bottom w:val="nil"/>
              <w:right w:val="nil"/>
            </w:tcBorders>
            <w:shd w:val="clear" w:color="000000" w:fill="1F698E"/>
            <w:vAlign w:val="center"/>
            <w:hideMark/>
          </w:tcPr>
          <w:p w14:paraId="16AE9E70" w14:textId="14D06684" w:rsidR="00AD3CC9" w:rsidRPr="008B2C65" w:rsidRDefault="00001A7D" w:rsidP="00685143">
            <w:pPr>
              <w:spacing w:before="40" w:after="40"/>
              <w:jc w:val="center"/>
              <w:rPr>
                <w:rFonts w:eastAsia="Times New Roman" w:cs="Arial"/>
                <w:b/>
                <w:bCs/>
                <w:color w:val="FFFFFF"/>
                <w:sz w:val="18"/>
                <w:szCs w:val="18"/>
                <w:lang w:eastAsia="en-AU"/>
              </w:rPr>
            </w:pPr>
            <w:r>
              <w:rPr>
                <w:rFonts w:eastAsia="Times New Roman" w:cs="Arial"/>
                <w:b/>
                <w:bCs/>
                <w:color w:val="FFFFFF"/>
                <w:sz w:val="18"/>
                <w:szCs w:val="18"/>
                <w:lang w:eastAsia="en-AU"/>
              </w:rPr>
              <w:t>T</w:t>
            </w:r>
            <w:r w:rsidRPr="00001A7D">
              <w:rPr>
                <w:rFonts w:eastAsia="Times New Roman" w:cs="Arial"/>
                <w:b/>
                <w:bCs/>
                <w:color w:val="FFFFFF"/>
                <w:sz w:val="18"/>
                <w:szCs w:val="18"/>
                <w:lang w:eastAsia="en-AU"/>
              </w:rPr>
              <w:t>reated you fairly after the claims process</w:t>
            </w:r>
          </w:p>
        </w:tc>
      </w:tr>
      <w:tr w:rsidR="00FD3931" w:rsidRPr="008B2C65" w14:paraId="2EF7F956" w14:textId="77777777" w:rsidTr="005050E6">
        <w:trPr>
          <w:trHeight w:val="80"/>
          <w:tblHeader/>
        </w:trPr>
        <w:tc>
          <w:tcPr>
            <w:tcW w:w="1814" w:type="dxa"/>
            <w:tcBorders>
              <w:top w:val="nil"/>
              <w:left w:val="nil"/>
              <w:bottom w:val="nil"/>
              <w:right w:val="nil"/>
            </w:tcBorders>
            <w:shd w:val="clear" w:color="auto" w:fill="auto"/>
            <w:vAlign w:val="center"/>
          </w:tcPr>
          <w:p w14:paraId="15119FA5" w14:textId="77777777" w:rsidR="00FD3931" w:rsidRPr="00303C62" w:rsidRDefault="00FD3931" w:rsidP="005050E6">
            <w:pPr>
              <w:spacing w:before="40" w:after="40"/>
              <w:rPr>
                <w:rFonts w:eastAsia="Times New Roman" w:cs="Arial"/>
                <w:b/>
                <w:bCs/>
                <w:sz w:val="18"/>
                <w:szCs w:val="18"/>
                <w:lang w:eastAsia="en-AU"/>
              </w:rPr>
            </w:pPr>
            <w:r w:rsidRPr="00303C62">
              <w:rPr>
                <w:rFonts w:eastAsia="Times New Roman" w:cs="Arial"/>
                <w:b/>
                <w:bCs/>
                <w:sz w:val="18"/>
                <w:szCs w:val="18"/>
                <w:lang w:eastAsia="en-AU"/>
              </w:rPr>
              <w:t>Total</w:t>
            </w:r>
          </w:p>
        </w:tc>
        <w:tc>
          <w:tcPr>
            <w:tcW w:w="1020" w:type="dxa"/>
            <w:tcBorders>
              <w:top w:val="nil"/>
              <w:left w:val="nil"/>
              <w:bottom w:val="nil"/>
              <w:right w:val="nil"/>
            </w:tcBorders>
            <w:shd w:val="clear" w:color="auto" w:fill="auto"/>
            <w:vAlign w:val="center"/>
          </w:tcPr>
          <w:p w14:paraId="602633A3" w14:textId="77777777" w:rsidR="00FD3931" w:rsidRPr="00303C62" w:rsidRDefault="00FD3931" w:rsidP="005050E6">
            <w:pPr>
              <w:spacing w:before="40" w:after="40"/>
              <w:ind w:right="227"/>
              <w:jc w:val="right"/>
              <w:rPr>
                <w:rFonts w:eastAsia="Times New Roman" w:cs="Arial"/>
                <w:b/>
                <w:bCs/>
                <w:sz w:val="18"/>
                <w:szCs w:val="18"/>
                <w:lang w:eastAsia="en-AU"/>
              </w:rPr>
            </w:pPr>
            <w:r>
              <w:rPr>
                <w:rFonts w:eastAsia="Times New Roman" w:cs="Arial"/>
                <w:b/>
                <w:bCs/>
                <w:sz w:val="18"/>
                <w:szCs w:val="18"/>
                <w:lang w:eastAsia="en-AU"/>
              </w:rPr>
              <w:t>74.4</w:t>
            </w:r>
          </w:p>
        </w:tc>
        <w:tc>
          <w:tcPr>
            <w:tcW w:w="1587" w:type="dxa"/>
            <w:tcBorders>
              <w:top w:val="nil"/>
              <w:left w:val="nil"/>
              <w:bottom w:val="nil"/>
              <w:right w:val="nil"/>
            </w:tcBorders>
            <w:shd w:val="clear" w:color="auto" w:fill="auto"/>
          </w:tcPr>
          <w:p w14:paraId="3497E4FC" w14:textId="77777777" w:rsidR="00FD3931" w:rsidRPr="00303C62" w:rsidRDefault="00FD3931" w:rsidP="005050E6">
            <w:pPr>
              <w:spacing w:before="40" w:after="40"/>
              <w:ind w:right="454"/>
              <w:jc w:val="right"/>
              <w:rPr>
                <w:rFonts w:eastAsia="Times New Roman" w:cs="Arial"/>
                <w:b/>
                <w:bCs/>
                <w:sz w:val="18"/>
                <w:szCs w:val="18"/>
                <w:lang w:eastAsia="en-AU"/>
              </w:rPr>
            </w:pPr>
            <w:r>
              <w:rPr>
                <w:rFonts w:eastAsia="Times New Roman" w:cs="Arial"/>
                <w:b/>
                <w:bCs/>
                <w:sz w:val="18"/>
                <w:szCs w:val="18"/>
                <w:lang w:eastAsia="en-AU"/>
              </w:rPr>
              <w:t>68.4</w:t>
            </w:r>
          </w:p>
        </w:tc>
        <w:tc>
          <w:tcPr>
            <w:tcW w:w="1361" w:type="dxa"/>
            <w:tcBorders>
              <w:top w:val="nil"/>
              <w:left w:val="nil"/>
              <w:bottom w:val="nil"/>
              <w:right w:val="nil"/>
            </w:tcBorders>
            <w:shd w:val="clear" w:color="auto" w:fill="auto"/>
            <w:vAlign w:val="center"/>
          </w:tcPr>
          <w:p w14:paraId="4238592F" w14:textId="77777777" w:rsidR="00FD3931" w:rsidRPr="00303C62" w:rsidRDefault="00FD3931" w:rsidP="005050E6">
            <w:pPr>
              <w:spacing w:before="40" w:after="40"/>
              <w:ind w:right="397"/>
              <w:jc w:val="right"/>
              <w:rPr>
                <w:rFonts w:eastAsia="Times New Roman" w:cs="Arial"/>
                <w:b/>
                <w:bCs/>
                <w:sz w:val="18"/>
                <w:szCs w:val="18"/>
                <w:lang w:eastAsia="en-AU"/>
              </w:rPr>
            </w:pPr>
            <w:r>
              <w:rPr>
                <w:rFonts w:eastAsia="Times New Roman" w:cs="Arial"/>
                <w:b/>
                <w:bCs/>
                <w:sz w:val="18"/>
                <w:szCs w:val="18"/>
                <w:lang w:eastAsia="en-AU"/>
              </w:rPr>
              <w:t>71.3</w:t>
            </w:r>
          </w:p>
        </w:tc>
        <w:tc>
          <w:tcPr>
            <w:tcW w:w="1020" w:type="dxa"/>
            <w:tcBorders>
              <w:top w:val="nil"/>
              <w:left w:val="nil"/>
              <w:bottom w:val="nil"/>
              <w:right w:val="nil"/>
            </w:tcBorders>
            <w:shd w:val="clear" w:color="auto" w:fill="auto"/>
          </w:tcPr>
          <w:p w14:paraId="06C23E6A" w14:textId="77777777" w:rsidR="00FD3931" w:rsidRPr="00303C62" w:rsidRDefault="00FD3931" w:rsidP="005050E6">
            <w:pPr>
              <w:spacing w:before="40" w:after="40"/>
              <w:ind w:right="227"/>
              <w:jc w:val="right"/>
              <w:rPr>
                <w:rFonts w:eastAsia="Times New Roman" w:cs="Arial"/>
                <w:b/>
                <w:bCs/>
                <w:sz w:val="18"/>
                <w:szCs w:val="18"/>
                <w:lang w:eastAsia="en-AU"/>
              </w:rPr>
            </w:pPr>
            <w:r>
              <w:rPr>
                <w:rFonts w:eastAsia="Times New Roman" w:cs="Arial"/>
                <w:b/>
                <w:bCs/>
                <w:sz w:val="18"/>
                <w:szCs w:val="18"/>
                <w:lang w:eastAsia="en-AU"/>
              </w:rPr>
              <w:t>65.1</w:t>
            </w:r>
          </w:p>
        </w:tc>
        <w:tc>
          <w:tcPr>
            <w:tcW w:w="1134" w:type="dxa"/>
            <w:tcBorders>
              <w:top w:val="nil"/>
              <w:left w:val="nil"/>
              <w:bottom w:val="nil"/>
              <w:right w:val="nil"/>
            </w:tcBorders>
            <w:shd w:val="clear" w:color="auto" w:fill="auto"/>
            <w:vAlign w:val="center"/>
          </w:tcPr>
          <w:p w14:paraId="64E10FEB" w14:textId="77777777" w:rsidR="00FD3931" w:rsidRPr="00303C62" w:rsidRDefault="00FD3931" w:rsidP="005050E6">
            <w:pPr>
              <w:spacing w:before="40" w:after="40"/>
              <w:ind w:right="227"/>
              <w:jc w:val="right"/>
              <w:rPr>
                <w:rFonts w:eastAsia="Times New Roman" w:cs="Arial"/>
                <w:b/>
                <w:bCs/>
                <w:sz w:val="18"/>
                <w:szCs w:val="18"/>
                <w:lang w:eastAsia="en-AU"/>
              </w:rPr>
            </w:pPr>
            <w:r>
              <w:rPr>
                <w:rFonts w:eastAsia="Times New Roman" w:cs="Arial"/>
                <w:b/>
                <w:bCs/>
                <w:sz w:val="18"/>
                <w:szCs w:val="18"/>
                <w:lang w:eastAsia="en-AU"/>
              </w:rPr>
              <w:t>79.1</w:t>
            </w:r>
          </w:p>
        </w:tc>
        <w:tc>
          <w:tcPr>
            <w:tcW w:w="1134" w:type="dxa"/>
            <w:tcBorders>
              <w:top w:val="nil"/>
              <w:left w:val="nil"/>
              <w:bottom w:val="nil"/>
              <w:right w:val="nil"/>
            </w:tcBorders>
            <w:shd w:val="clear" w:color="auto" w:fill="auto"/>
            <w:vAlign w:val="center"/>
          </w:tcPr>
          <w:p w14:paraId="292C990B" w14:textId="77777777" w:rsidR="00FD3931" w:rsidRPr="00303C62" w:rsidRDefault="00FD3931" w:rsidP="005050E6">
            <w:pPr>
              <w:spacing w:before="40" w:after="40"/>
              <w:ind w:right="227"/>
              <w:jc w:val="right"/>
              <w:rPr>
                <w:rFonts w:eastAsia="Times New Roman" w:cs="Arial"/>
                <w:b/>
                <w:bCs/>
                <w:sz w:val="18"/>
                <w:szCs w:val="18"/>
                <w:lang w:eastAsia="en-AU"/>
              </w:rPr>
            </w:pPr>
            <w:r>
              <w:rPr>
                <w:rFonts w:eastAsia="Times New Roman" w:cs="Arial"/>
                <w:b/>
                <w:bCs/>
                <w:sz w:val="18"/>
                <w:szCs w:val="18"/>
                <w:lang w:eastAsia="en-AU"/>
              </w:rPr>
              <w:t>79.5</w:t>
            </w:r>
          </w:p>
        </w:tc>
      </w:tr>
      <w:tr w:rsidR="00AD3CC9" w:rsidRPr="008B2C65" w14:paraId="0E5A81E7" w14:textId="77777777" w:rsidTr="00001A7D">
        <w:trPr>
          <w:trHeight w:val="80"/>
        </w:trPr>
        <w:tc>
          <w:tcPr>
            <w:tcW w:w="1814" w:type="dxa"/>
            <w:tcBorders>
              <w:top w:val="nil"/>
              <w:left w:val="nil"/>
              <w:bottom w:val="nil"/>
              <w:right w:val="nil"/>
            </w:tcBorders>
            <w:shd w:val="clear" w:color="auto" w:fill="58AEDA"/>
            <w:vAlign w:val="center"/>
            <w:hideMark/>
          </w:tcPr>
          <w:p w14:paraId="713353F4" w14:textId="77777777" w:rsidR="00AD3CC9" w:rsidRPr="008B2C65" w:rsidRDefault="00AD3CC9" w:rsidP="00685143">
            <w:pPr>
              <w:spacing w:before="40" w:after="40"/>
              <w:rPr>
                <w:rFonts w:eastAsia="Times New Roman" w:cs="Arial"/>
                <w:b/>
                <w:bCs/>
                <w:color w:val="000000"/>
                <w:sz w:val="18"/>
                <w:szCs w:val="18"/>
                <w:lang w:eastAsia="en-AU"/>
              </w:rPr>
            </w:pPr>
            <w:r w:rsidRPr="008B2C65">
              <w:rPr>
                <w:rFonts w:eastAsia="Times New Roman" w:cs="Arial"/>
                <w:b/>
                <w:bCs/>
                <w:color w:val="000000"/>
                <w:sz w:val="18"/>
                <w:szCs w:val="18"/>
                <w:lang w:eastAsia="en-AU"/>
              </w:rPr>
              <w:t>Jurisdiction</w:t>
            </w:r>
          </w:p>
        </w:tc>
        <w:tc>
          <w:tcPr>
            <w:tcW w:w="1020" w:type="dxa"/>
            <w:tcBorders>
              <w:top w:val="nil"/>
              <w:left w:val="nil"/>
              <w:bottom w:val="nil"/>
              <w:right w:val="nil"/>
            </w:tcBorders>
            <w:shd w:val="clear" w:color="auto" w:fill="58AEDA"/>
            <w:vAlign w:val="center"/>
            <w:hideMark/>
          </w:tcPr>
          <w:p w14:paraId="5928A556" w14:textId="77777777" w:rsidR="00AD3CC9" w:rsidRPr="00467D4A" w:rsidRDefault="00AD3CC9" w:rsidP="00685143">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587" w:type="dxa"/>
            <w:tcBorders>
              <w:top w:val="nil"/>
              <w:left w:val="nil"/>
              <w:bottom w:val="nil"/>
              <w:right w:val="nil"/>
            </w:tcBorders>
            <w:shd w:val="clear" w:color="auto" w:fill="58AEDA"/>
          </w:tcPr>
          <w:p w14:paraId="24D4559A" w14:textId="77777777" w:rsidR="00AD3CC9" w:rsidRPr="00467D4A" w:rsidRDefault="00AD3CC9" w:rsidP="00685143">
            <w:pPr>
              <w:spacing w:before="40" w:after="40"/>
              <w:ind w:right="227"/>
              <w:jc w:val="right"/>
              <w:rPr>
                <w:rFonts w:eastAsia="Times New Roman" w:cs="Arial"/>
                <w:sz w:val="18"/>
                <w:szCs w:val="18"/>
                <w:lang w:eastAsia="en-AU"/>
              </w:rPr>
            </w:pPr>
          </w:p>
        </w:tc>
        <w:tc>
          <w:tcPr>
            <w:tcW w:w="1361" w:type="dxa"/>
            <w:tcBorders>
              <w:top w:val="nil"/>
              <w:left w:val="nil"/>
              <w:bottom w:val="nil"/>
              <w:right w:val="nil"/>
            </w:tcBorders>
            <w:shd w:val="clear" w:color="auto" w:fill="58AEDA"/>
            <w:vAlign w:val="center"/>
            <w:hideMark/>
          </w:tcPr>
          <w:p w14:paraId="075BAB16" w14:textId="0D2A24D9" w:rsidR="00AD3CC9" w:rsidRPr="00467D4A" w:rsidRDefault="00AD3CC9" w:rsidP="00685143">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020" w:type="dxa"/>
            <w:tcBorders>
              <w:top w:val="nil"/>
              <w:left w:val="nil"/>
              <w:bottom w:val="nil"/>
              <w:right w:val="nil"/>
            </w:tcBorders>
            <w:shd w:val="clear" w:color="auto" w:fill="58AEDA"/>
          </w:tcPr>
          <w:p w14:paraId="5BBCF62A" w14:textId="77777777" w:rsidR="00AD3CC9" w:rsidRPr="00467D4A" w:rsidRDefault="00AD3CC9" w:rsidP="00685143">
            <w:pPr>
              <w:spacing w:before="40" w:after="40"/>
              <w:ind w:right="227"/>
              <w:jc w:val="right"/>
              <w:rPr>
                <w:rFonts w:eastAsia="Times New Roman" w:cs="Arial"/>
                <w:sz w:val="18"/>
                <w:szCs w:val="18"/>
                <w:lang w:eastAsia="en-AU"/>
              </w:rPr>
            </w:pPr>
          </w:p>
        </w:tc>
        <w:tc>
          <w:tcPr>
            <w:tcW w:w="1134" w:type="dxa"/>
            <w:tcBorders>
              <w:top w:val="nil"/>
              <w:left w:val="nil"/>
              <w:bottom w:val="nil"/>
              <w:right w:val="nil"/>
            </w:tcBorders>
            <w:shd w:val="clear" w:color="auto" w:fill="58AEDA"/>
            <w:vAlign w:val="center"/>
            <w:hideMark/>
          </w:tcPr>
          <w:p w14:paraId="62BF3279" w14:textId="64BA5788" w:rsidR="00AD3CC9" w:rsidRPr="00467D4A" w:rsidRDefault="00AD3CC9" w:rsidP="00685143">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134" w:type="dxa"/>
            <w:tcBorders>
              <w:top w:val="nil"/>
              <w:left w:val="nil"/>
              <w:bottom w:val="nil"/>
              <w:right w:val="nil"/>
            </w:tcBorders>
            <w:shd w:val="clear" w:color="auto" w:fill="58AEDA"/>
            <w:vAlign w:val="center"/>
            <w:hideMark/>
          </w:tcPr>
          <w:p w14:paraId="5C0030BC" w14:textId="77777777" w:rsidR="00AD3CC9" w:rsidRPr="00467D4A" w:rsidRDefault="00AD3CC9" w:rsidP="00685143">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r>
      <w:tr w:rsidR="004F42BC" w:rsidRPr="008B2C65" w14:paraId="528DD9FD" w14:textId="77777777" w:rsidTr="00685143">
        <w:trPr>
          <w:trHeight w:val="80"/>
        </w:trPr>
        <w:tc>
          <w:tcPr>
            <w:tcW w:w="1814" w:type="dxa"/>
            <w:tcBorders>
              <w:top w:val="nil"/>
              <w:left w:val="nil"/>
              <w:bottom w:val="nil"/>
              <w:right w:val="nil"/>
            </w:tcBorders>
            <w:shd w:val="clear" w:color="000000" w:fill="C7E4F3"/>
            <w:vAlign w:val="center"/>
          </w:tcPr>
          <w:p w14:paraId="41363A15" w14:textId="55444023" w:rsidR="004F42BC" w:rsidRPr="008B2C65" w:rsidRDefault="004F42BC" w:rsidP="004F42BC">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A</w:t>
            </w:r>
            <w:r>
              <w:rPr>
                <w:rFonts w:eastAsia="Times New Roman" w:cs="Arial"/>
                <w:color w:val="000000"/>
                <w:sz w:val="18"/>
                <w:szCs w:val="18"/>
                <w:lang w:eastAsia="en-AU"/>
              </w:rPr>
              <w:t>CT</w:t>
            </w:r>
          </w:p>
        </w:tc>
        <w:tc>
          <w:tcPr>
            <w:tcW w:w="1020" w:type="dxa"/>
            <w:tcBorders>
              <w:top w:val="nil"/>
              <w:left w:val="nil"/>
              <w:bottom w:val="nil"/>
              <w:right w:val="nil"/>
            </w:tcBorders>
            <w:shd w:val="clear" w:color="000000" w:fill="C7E4F3"/>
            <w:vAlign w:val="bottom"/>
          </w:tcPr>
          <w:p w14:paraId="585F1630" w14:textId="635F7228" w:rsidR="004F42BC" w:rsidRPr="004F42BC" w:rsidRDefault="004F42BC" w:rsidP="005B7B50">
            <w:pPr>
              <w:spacing w:before="40" w:after="40"/>
              <w:ind w:right="227"/>
              <w:jc w:val="right"/>
              <w:rPr>
                <w:rFonts w:eastAsia="Times New Roman" w:cs="Arial"/>
                <w:sz w:val="18"/>
                <w:szCs w:val="18"/>
                <w:lang w:eastAsia="en-AU"/>
              </w:rPr>
            </w:pPr>
            <w:r w:rsidRPr="004F42BC">
              <w:rPr>
                <w:rFonts w:cs="Arial"/>
                <w:color w:val="000000"/>
                <w:sz w:val="18"/>
                <w:szCs w:val="18"/>
              </w:rPr>
              <w:t>74.6</w:t>
            </w:r>
          </w:p>
        </w:tc>
        <w:tc>
          <w:tcPr>
            <w:tcW w:w="1587" w:type="dxa"/>
            <w:tcBorders>
              <w:top w:val="nil"/>
              <w:left w:val="nil"/>
              <w:bottom w:val="nil"/>
              <w:right w:val="nil"/>
            </w:tcBorders>
            <w:shd w:val="clear" w:color="000000" w:fill="C7E4F3"/>
            <w:vAlign w:val="bottom"/>
          </w:tcPr>
          <w:p w14:paraId="60E71457" w14:textId="488B4345" w:rsidR="004F42BC" w:rsidRPr="004F42BC" w:rsidRDefault="004F42BC" w:rsidP="005B7B50">
            <w:pPr>
              <w:spacing w:before="40" w:after="40"/>
              <w:ind w:right="454"/>
              <w:jc w:val="right"/>
              <w:rPr>
                <w:rFonts w:cs="Arial"/>
                <w:color w:val="000000"/>
                <w:sz w:val="18"/>
                <w:szCs w:val="18"/>
              </w:rPr>
            </w:pPr>
            <w:r w:rsidRPr="004F42BC">
              <w:rPr>
                <w:rFonts w:cs="Arial"/>
                <w:color w:val="000000"/>
                <w:sz w:val="18"/>
                <w:szCs w:val="18"/>
              </w:rPr>
              <w:t>64.3</w:t>
            </w:r>
          </w:p>
        </w:tc>
        <w:tc>
          <w:tcPr>
            <w:tcW w:w="1361" w:type="dxa"/>
            <w:tcBorders>
              <w:top w:val="nil"/>
              <w:left w:val="nil"/>
              <w:bottom w:val="nil"/>
              <w:right w:val="nil"/>
            </w:tcBorders>
            <w:shd w:val="clear" w:color="000000" w:fill="C7E4F3"/>
            <w:vAlign w:val="bottom"/>
          </w:tcPr>
          <w:p w14:paraId="52E3121E" w14:textId="2600A72A" w:rsidR="004F42BC" w:rsidRPr="004F42BC" w:rsidRDefault="004F42BC" w:rsidP="005B7B50">
            <w:pPr>
              <w:spacing w:before="40" w:after="40"/>
              <w:ind w:right="397"/>
              <w:jc w:val="right"/>
              <w:rPr>
                <w:rFonts w:cs="Arial"/>
                <w:color w:val="000000"/>
                <w:sz w:val="18"/>
                <w:szCs w:val="18"/>
              </w:rPr>
            </w:pPr>
            <w:r w:rsidRPr="004F42BC">
              <w:rPr>
                <w:rFonts w:cs="Arial"/>
                <w:color w:val="000000"/>
                <w:sz w:val="18"/>
                <w:szCs w:val="18"/>
              </w:rPr>
              <w:t>70.8</w:t>
            </w:r>
          </w:p>
        </w:tc>
        <w:tc>
          <w:tcPr>
            <w:tcW w:w="1020" w:type="dxa"/>
            <w:tcBorders>
              <w:top w:val="nil"/>
              <w:left w:val="nil"/>
              <w:bottom w:val="nil"/>
              <w:right w:val="nil"/>
            </w:tcBorders>
            <w:shd w:val="clear" w:color="000000" w:fill="C7E4F3"/>
            <w:vAlign w:val="bottom"/>
          </w:tcPr>
          <w:p w14:paraId="5C727CC3" w14:textId="2E661966" w:rsidR="004F42BC" w:rsidRPr="004F42BC" w:rsidRDefault="004F42BC" w:rsidP="005B7B50">
            <w:pPr>
              <w:spacing w:before="40" w:after="40"/>
              <w:ind w:right="227"/>
              <w:jc w:val="right"/>
              <w:rPr>
                <w:rFonts w:cs="Arial"/>
                <w:color w:val="000000"/>
                <w:sz w:val="18"/>
                <w:szCs w:val="18"/>
              </w:rPr>
            </w:pPr>
            <w:r w:rsidRPr="004F42BC">
              <w:rPr>
                <w:rFonts w:cs="Arial"/>
                <w:color w:val="000000"/>
                <w:sz w:val="18"/>
                <w:szCs w:val="18"/>
              </w:rPr>
              <w:t>65.9</w:t>
            </w:r>
          </w:p>
        </w:tc>
        <w:tc>
          <w:tcPr>
            <w:tcW w:w="1134" w:type="dxa"/>
            <w:tcBorders>
              <w:top w:val="nil"/>
              <w:left w:val="nil"/>
              <w:bottom w:val="nil"/>
              <w:right w:val="nil"/>
            </w:tcBorders>
            <w:shd w:val="clear" w:color="000000" w:fill="C7E4F3"/>
            <w:vAlign w:val="bottom"/>
          </w:tcPr>
          <w:p w14:paraId="6C3AEB34" w14:textId="174BB248" w:rsidR="004F42BC" w:rsidRPr="004F42BC" w:rsidRDefault="004F42BC" w:rsidP="005B7B50">
            <w:pPr>
              <w:spacing w:before="40" w:after="40"/>
              <w:ind w:right="227"/>
              <w:jc w:val="right"/>
              <w:rPr>
                <w:rFonts w:cs="Arial"/>
                <w:color w:val="000000"/>
                <w:sz w:val="18"/>
                <w:szCs w:val="18"/>
              </w:rPr>
            </w:pPr>
            <w:r w:rsidRPr="004F42BC">
              <w:rPr>
                <w:rFonts w:cs="Arial"/>
                <w:color w:val="000000"/>
                <w:sz w:val="18"/>
                <w:szCs w:val="18"/>
              </w:rPr>
              <w:t>72.0</w:t>
            </w:r>
          </w:p>
        </w:tc>
        <w:tc>
          <w:tcPr>
            <w:tcW w:w="1134" w:type="dxa"/>
            <w:tcBorders>
              <w:top w:val="nil"/>
              <w:left w:val="nil"/>
              <w:bottom w:val="nil"/>
              <w:right w:val="nil"/>
            </w:tcBorders>
            <w:shd w:val="clear" w:color="000000" w:fill="C7E4F3"/>
            <w:vAlign w:val="bottom"/>
          </w:tcPr>
          <w:p w14:paraId="2B5E0FB8" w14:textId="6D8C7B8F" w:rsidR="004F42BC" w:rsidRPr="004F42BC" w:rsidRDefault="004F42BC" w:rsidP="005B7B50">
            <w:pPr>
              <w:spacing w:before="40" w:after="40"/>
              <w:ind w:right="227"/>
              <w:jc w:val="right"/>
              <w:rPr>
                <w:rFonts w:cs="Arial"/>
                <w:color w:val="000000"/>
                <w:sz w:val="18"/>
                <w:szCs w:val="18"/>
              </w:rPr>
            </w:pPr>
            <w:r w:rsidRPr="004F42BC">
              <w:rPr>
                <w:rFonts w:cs="Arial"/>
                <w:color w:val="000000"/>
                <w:sz w:val="18"/>
                <w:szCs w:val="18"/>
              </w:rPr>
              <w:t>71.6</w:t>
            </w:r>
          </w:p>
        </w:tc>
      </w:tr>
      <w:tr w:rsidR="004F42BC" w:rsidRPr="008B2C65" w14:paraId="212E0499" w14:textId="77777777" w:rsidTr="00685143">
        <w:trPr>
          <w:trHeight w:val="80"/>
        </w:trPr>
        <w:tc>
          <w:tcPr>
            <w:tcW w:w="1814" w:type="dxa"/>
            <w:tcBorders>
              <w:top w:val="nil"/>
              <w:left w:val="nil"/>
              <w:bottom w:val="nil"/>
              <w:right w:val="nil"/>
            </w:tcBorders>
            <w:shd w:val="clear" w:color="auto" w:fill="auto"/>
            <w:vAlign w:val="center"/>
          </w:tcPr>
          <w:p w14:paraId="26F09814" w14:textId="18B797F1" w:rsidR="004F42BC" w:rsidRPr="008B2C65" w:rsidRDefault="004F42BC" w:rsidP="004F42BC">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Comcare</w:t>
            </w:r>
          </w:p>
        </w:tc>
        <w:tc>
          <w:tcPr>
            <w:tcW w:w="1020" w:type="dxa"/>
            <w:tcBorders>
              <w:top w:val="nil"/>
              <w:left w:val="nil"/>
              <w:bottom w:val="nil"/>
              <w:right w:val="nil"/>
            </w:tcBorders>
            <w:shd w:val="clear" w:color="auto" w:fill="auto"/>
            <w:vAlign w:val="bottom"/>
          </w:tcPr>
          <w:p w14:paraId="7706F095" w14:textId="10D66092" w:rsidR="004F42BC" w:rsidRPr="004F42BC" w:rsidRDefault="004F42BC" w:rsidP="005B7B50">
            <w:pPr>
              <w:spacing w:before="40" w:after="40"/>
              <w:ind w:right="227"/>
              <w:jc w:val="right"/>
              <w:rPr>
                <w:rFonts w:eastAsia="Times New Roman" w:cs="Arial"/>
                <w:sz w:val="18"/>
                <w:szCs w:val="18"/>
                <w:lang w:eastAsia="en-AU"/>
              </w:rPr>
            </w:pPr>
            <w:r w:rsidRPr="004F42BC">
              <w:rPr>
                <w:rFonts w:cs="Arial"/>
                <w:color w:val="000000"/>
                <w:sz w:val="18"/>
                <w:szCs w:val="18"/>
              </w:rPr>
              <w:t>71.7</w:t>
            </w:r>
          </w:p>
        </w:tc>
        <w:tc>
          <w:tcPr>
            <w:tcW w:w="1587" w:type="dxa"/>
            <w:tcBorders>
              <w:top w:val="nil"/>
              <w:left w:val="nil"/>
              <w:bottom w:val="nil"/>
              <w:right w:val="nil"/>
            </w:tcBorders>
            <w:vAlign w:val="bottom"/>
          </w:tcPr>
          <w:p w14:paraId="6BA2C169" w14:textId="397A33DA" w:rsidR="004F42BC" w:rsidRPr="004F42BC" w:rsidRDefault="004F42BC" w:rsidP="005B7B50">
            <w:pPr>
              <w:spacing w:before="40" w:after="40"/>
              <w:ind w:right="454"/>
              <w:jc w:val="right"/>
              <w:rPr>
                <w:rFonts w:cs="Arial"/>
                <w:color w:val="000000"/>
                <w:sz w:val="18"/>
                <w:szCs w:val="18"/>
              </w:rPr>
            </w:pPr>
            <w:r w:rsidRPr="004F42BC">
              <w:rPr>
                <w:rFonts w:cs="Arial"/>
                <w:color w:val="000000"/>
                <w:sz w:val="18"/>
                <w:szCs w:val="18"/>
              </w:rPr>
              <w:t>70.3</w:t>
            </w:r>
          </w:p>
        </w:tc>
        <w:tc>
          <w:tcPr>
            <w:tcW w:w="1361" w:type="dxa"/>
            <w:tcBorders>
              <w:top w:val="nil"/>
              <w:left w:val="nil"/>
              <w:bottom w:val="nil"/>
              <w:right w:val="nil"/>
            </w:tcBorders>
            <w:shd w:val="clear" w:color="auto" w:fill="auto"/>
            <w:vAlign w:val="bottom"/>
          </w:tcPr>
          <w:p w14:paraId="6048829B" w14:textId="239AD3AD" w:rsidR="004F42BC" w:rsidRPr="004F42BC" w:rsidRDefault="004F42BC" w:rsidP="005B7B50">
            <w:pPr>
              <w:spacing w:before="40" w:after="40"/>
              <w:ind w:right="397"/>
              <w:jc w:val="right"/>
              <w:rPr>
                <w:rFonts w:cs="Arial"/>
                <w:color w:val="000000"/>
                <w:sz w:val="18"/>
                <w:szCs w:val="18"/>
              </w:rPr>
            </w:pPr>
            <w:r w:rsidRPr="004F42BC">
              <w:rPr>
                <w:rFonts w:cs="Arial"/>
                <w:color w:val="000000"/>
                <w:sz w:val="18"/>
                <w:szCs w:val="18"/>
              </w:rPr>
              <w:t>71.8</w:t>
            </w:r>
          </w:p>
        </w:tc>
        <w:tc>
          <w:tcPr>
            <w:tcW w:w="1020" w:type="dxa"/>
            <w:tcBorders>
              <w:top w:val="nil"/>
              <w:left w:val="nil"/>
              <w:bottom w:val="nil"/>
              <w:right w:val="nil"/>
            </w:tcBorders>
            <w:vAlign w:val="bottom"/>
          </w:tcPr>
          <w:p w14:paraId="56BBD431" w14:textId="05B746A7" w:rsidR="004F42BC" w:rsidRPr="004F42BC" w:rsidRDefault="004F42BC" w:rsidP="005B7B50">
            <w:pPr>
              <w:spacing w:before="40" w:after="40"/>
              <w:ind w:right="227"/>
              <w:jc w:val="right"/>
              <w:rPr>
                <w:rFonts w:cs="Arial"/>
                <w:color w:val="000000"/>
                <w:sz w:val="18"/>
                <w:szCs w:val="18"/>
              </w:rPr>
            </w:pPr>
            <w:r w:rsidRPr="004F42BC">
              <w:rPr>
                <w:rFonts w:cs="Arial"/>
                <w:color w:val="000000"/>
                <w:sz w:val="18"/>
                <w:szCs w:val="18"/>
              </w:rPr>
              <w:t>67.4</w:t>
            </w:r>
          </w:p>
        </w:tc>
        <w:tc>
          <w:tcPr>
            <w:tcW w:w="1134" w:type="dxa"/>
            <w:tcBorders>
              <w:top w:val="nil"/>
              <w:left w:val="nil"/>
              <w:bottom w:val="nil"/>
              <w:right w:val="nil"/>
            </w:tcBorders>
            <w:shd w:val="clear" w:color="auto" w:fill="auto"/>
            <w:vAlign w:val="bottom"/>
          </w:tcPr>
          <w:p w14:paraId="58C76586" w14:textId="17D71B07" w:rsidR="004F42BC" w:rsidRPr="004F42BC" w:rsidRDefault="004F42BC" w:rsidP="005B7B50">
            <w:pPr>
              <w:spacing w:before="40" w:after="40"/>
              <w:ind w:right="227"/>
              <w:jc w:val="right"/>
              <w:rPr>
                <w:rFonts w:cs="Arial"/>
                <w:color w:val="000000"/>
                <w:sz w:val="18"/>
                <w:szCs w:val="18"/>
              </w:rPr>
            </w:pPr>
            <w:r w:rsidRPr="004F42BC">
              <w:rPr>
                <w:rFonts w:cs="Arial"/>
                <w:color w:val="000000"/>
                <w:sz w:val="18"/>
                <w:szCs w:val="18"/>
              </w:rPr>
              <w:t>75.1</w:t>
            </w:r>
          </w:p>
        </w:tc>
        <w:tc>
          <w:tcPr>
            <w:tcW w:w="1134" w:type="dxa"/>
            <w:tcBorders>
              <w:top w:val="nil"/>
              <w:left w:val="nil"/>
              <w:bottom w:val="nil"/>
              <w:right w:val="nil"/>
            </w:tcBorders>
            <w:shd w:val="clear" w:color="auto" w:fill="auto"/>
            <w:vAlign w:val="bottom"/>
          </w:tcPr>
          <w:p w14:paraId="748EB120" w14:textId="28E05C24" w:rsidR="004F42BC" w:rsidRPr="004F42BC" w:rsidRDefault="004F42BC" w:rsidP="005B7B50">
            <w:pPr>
              <w:spacing w:before="40" w:after="40"/>
              <w:ind w:right="227"/>
              <w:jc w:val="right"/>
              <w:rPr>
                <w:rFonts w:cs="Arial"/>
                <w:color w:val="000000"/>
                <w:sz w:val="18"/>
                <w:szCs w:val="18"/>
              </w:rPr>
            </w:pPr>
            <w:r w:rsidRPr="004F42BC">
              <w:rPr>
                <w:rFonts w:cs="Arial"/>
                <w:color w:val="000000"/>
                <w:sz w:val="18"/>
                <w:szCs w:val="18"/>
              </w:rPr>
              <w:t>78.9</w:t>
            </w:r>
          </w:p>
        </w:tc>
      </w:tr>
      <w:tr w:rsidR="004F42BC" w:rsidRPr="008B2C65" w14:paraId="2C274E27" w14:textId="77777777" w:rsidTr="00685143">
        <w:trPr>
          <w:trHeight w:val="80"/>
        </w:trPr>
        <w:tc>
          <w:tcPr>
            <w:tcW w:w="1814" w:type="dxa"/>
            <w:tcBorders>
              <w:top w:val="nil"/>
              <w:left w:val="nil"/>
              <w:bottom w:val="nil"/>
              <w:right w:val="nil"/>
            </w:tcBorders>
            <w:shd w:val="clear" w:color="000000" w:fill="C7E4F3"/>
            <w:vAlign w:val="center"/>
          </w:tcPr>
          <w:p w14:paraId="7D7331AD" w14:textId="25047DFD" w:rsidR="004F42BC" w:rsidRPr="008B2C65" w:rsidRDefault="004F42BC" w:rsidP="004F42BC">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NSW</w:t>
            </w:r>
          </w:p>
        </w:tc>
        <w:tc>
          <w:tcPr>
            <w:tcW w:w="1020" w:type="dxa"/>
            <w:tcBorders>
              <w:top w:val="nil"/>
              <w:left w:val="nil"/>
              <w:bottom w:val="nil"/>
              <w:right w:val="nil"/>
            </w:tcBorders>
            <w:shd w:val="clear" w:color="000000" w:fill="C7E4F3"/>
            <w:vAlign w:val="bottom"/>
          </w:tcPr>
          <w:p w14:paraId="4745C0B8" w14:textId="0310ADF7" w:rsidR="004F42BC" w:rsidRPr="004F42BC" w:rsidRDefault="004F42BC" w:rsidP="005B7B50">
            <w:pPr>
              <w:spacing w:before="40" w:after="40"/>
              <w:ind w:right="227"/>
              <w:jc w:val="right"/>
              <w:rPr>
                <w:rFonts w:eastAsia="Times New Roman" w:cs="Arial"/>
                <w:sz w:val="18"/>
                <w:szCs w:val="18"/>
                <w:lang w:eastAsia="en-AU"/>
              </w:rPr>
            </w:pPr>
            <w:r w:rsidRPr="004F42BC">
              <w:rPr>
                <w:rFonts w:cs="Arial"/>
                <w:color w:val="000000"/>
                <w:sz w:val="18"/>
                <w:szCs w:val="18"/>
              </w:rPr>
              <w:t>75.3</w:t>
            </w:r>
          </w:p>
        </w:tc>
        <w:tc>
          <w:tcPr>
            <w:tcW w:w="1587" w:type="dxa"/>
            <w:tcBorders>
              <w:top w:val="nil"/>
              <w:left w:val="nil"/>
              <w:bottom w:val="nil"/>
              <w:right w:val="nil"/>
            </w:tcBorders>
            <w:shd w:val="clear" w:color="000000" w:fill="C7E4F3"/>
            <w:vAlign w:val="bottom"/>
          </w:tcPr>
          <w:p w14:paraId="61BC0875" w14:textId="28139372" w:rsidR="004F42BC" w:rsidRPr="004F42BC" w:rsidRDefault="004F42BC" w:rsidP="005B7B50">
            <w:pPr>
              <w:spacing w:before="40" w:after="40"/>
              <w:ind w:right="454"/>
              <w:jc w:val="right"/>
              <w:rPr>
                <w:rFonts w:cs="Arial"/>
                <w:color w:val="000000"/>
                <w:sz w:val="18"/>
                <w:szCs w:val="18"/>
              </w:rPr>
            </w:pPr>
            <w:r w:rsidRPr="004F42BC">
              <w:rPr>
                <w:rFonts w:cs="Arial"/>
                <w:color w:val="000000"/>
                <w:sz w:val="18"/>
                <w:szCs w:val="18"/>
              </w:rPr>
              <w:t>70.4</w:t>
            </w:r>
          </w:p>
        </w:tc>
        <w:tc>
          <w:tcPr>
            <w:tcW w:w="1361" w:type="dxa"/>
            <w:tcBorders>
              <w:top w:val="nil"/>
              <w:left w:val="nil"/>
              <w:bottom w:val="nil"/>
              <w:right w:val="nil"/>
            </w:tcBorders>
            <w:shd w:val="clear" w:color="000000" w:fill="C7E4F3"/>
            <w:vAlign w:val="bottom"/>
          </w:tcPr>
          <w:p w14:paraId="59FF2AE2" w14:textId="7E6FAC1E" w:rsidR="004F42BC" w:rsidRPr="004F42BC" w:rsidRDefault="004F42BC" w:rsidP="005B7B50">
            <w:pPr>
              <w:spacing w:before="40" w:after="40"/>
              <w:ind w:right="397"/>
              <w:jc w:val="right"/>
              <w:rPr>
                <w:rFonts w:cs="Arial"/>
                <w:color w:val="000000"/>
                <w:sz w:val="18"/>
                <w:szCs w:val="18"/>
              </w:rPr>
            </w:pPr>
            <w:r w:rsidRPr="004F42BC">
              <w:rPr>
                <w:rFonts w:cs="Arial"/>
                <w:color w:val="000000"/>
                <w:sz w:val="18"/>
                <w:szCs w:val="18"/>
              </w:rPr>
              <w:t>73.9</w:t>
            </w:r>
          </w:p>
        </w:tc>
        <w:tc>
          <w:tcPr>
            <w:tcW w:w="1020" w:type="dxa"/>
            <w:tcBorders>
              <w:top w:val="nil"/>
              <w:left w:val="nil"/>
              <w:bottom w:val="nil"/>
              <w:right w:val="nil"/>
            </w:tcBorders>
            <w:shd w:val="clear" w:color="000000" w:fill="C7E4F3"/>
            <w:vAlign w:val="bottom"/>
          </w:tcPr>
          <w:p w14:paraId="65E63666" w14:textId="1D2AFBED" w:rsidR="004F42BC" w:rsidRPr="004F42BC" w:rsidRDefault="004F42BC" w:rsidP="005B7B50">
            <w:pPr>
              <w:spacing w:before="40" w:after="40"/>
              <w:ind w:right="227"/>
              <w:jc w:val="right"/>
              <w:rPr>
                <w:rFonts w:cs="Arial"/>
                <w:color w:val="000000"/>
                <w:sz w:val="18"/>
                <w:szCs w:val="18"/>
              </w:rPr>
            </w:pPr>
            <w:r w:rsidRPr="004F42BC">
              <w:rPr>
                <w:rFonts w:cs="Arial"/>
                <w:color w:val="000000"/>
                <w:sz w:val="18"/>
                <w:szCs w:val="18"/>
              </w:rPr>
              <w:t>67.2</w:t>
            </w:r>
          </w:p>
        </w:tc>
        <w:tc>
          <w:tcPr>
            <w:tcW w:w="1134" w:type="dxa"/>
            <w:tcBorders>
              <w:top w:val="nil"/>
              <w:left w:val="nil"/>
              <w:bottom w:val="nil"/>
              <w:right w:val="nil"/>
            </w:tcBorders>
            <w:shd w:val="clear" w:color="000000" w:fill="C7E4F3"/>
            <w:vAlign w:val="bottom"/>
          </w:tcPr>
          <w:p w14:paraId="2D1D0A5A" w14:textId="0F6832D4" w:rsidR="004F42BC" w:rsidRPr="004F42BC" w:rsidRDefault="004F42BC" w:rsidP="005B7B50">
            <w:pPr>
              <w:spacing w:before="40" w:after="40"/>
              <w:ind w:right="227"/>
              <w:jc w:val="right"/>
              <w:rPr>
                <w:rFonts w:cs="Arial"/>
                <w:color w:val="000000"/>
                <w:sz w:val="18"/>
                <w:szCs w:val="18"/>
              </w:rPr>
            </w:pPr>
            <w:r w:rsidRPr="004F42BC">
              <w:rPr>
                <w:rFonts w:cs="Arial"/>
                <w:color w:val="000000"/>
                <w:sz w:val="18"/>
                <w:szCs w:val="18"/>
              </w:rPr>
              <w:t>79.8</w:t>
            </w:r>
          </w:p>
        </w:tc>
        <w:tc>
          <w:tcPr>
            <w:tcW w:w="1134" w:type="dxa"/>
            <w:tcBorders>
              <w:top w:val="nil"/>
              <w:left w:val="nil"/>
              <w:bottom w:val="nil"/>
              <w:right w:val="nil"/>
            </w:tcBorders>
            <w:shd w:val="clear" w:color="000000" w:fill="C7E4F3"/>
            <w:vAlign w:val="bottom"/>
          </w:tcPr>
          <w:p w14:paraId="4E22E7E6" w14:textId="6B34A663" w:rsidR="004F42BC" w:rsidRPr="004F42BC" w:rsidRDefault="004F42BC" w:rsidP="005B7B50">
            <w:pPr>
              <w:spacing w:before="40" w:after="40"/>
              <w:ind w:right="227"/>
              <w:jc w:val="right"/>
              <w:rPr>
                <w:rFonts w:cs="Arial"/>
                <w:color w:val="000000"/>
                <w:sz w:val="18"/>
                <w:szCs w:val="18"/>
              </w:rPr>
            </w:pPr>
            <w:r w:rsidRPr="004F42BC">
              <w:rPr>
                <w:rFonts w:cs="Arial"/>
                <w:color w:val="000000"/>
                <w:sz w:val="18"/>
                <w:szCs w:val="18"/>
              </w:rPr>
              <w:t>81.2</w:t>
            </w:r>
          </w:p>
        </w:tc>
      </w:tr>
      <w:tr w:rsidR="004F42BC" w:rsidRPr="008B2C65" w14:paraId="320742DD" w14:textId="77777777" w:rsidTr="00685143">
        <w:trPr>
          <w:trHeight w:val="80"/>
        </w:trPr>
        <w:tc>
          <w:tcPr>
            <w:tcW w:w="1814" w:type="dxa"/>
            <w:tcBorders>
              <w:top w:val="nil"/>
              <w:left w:val="nil"/>
              <w:bottom w:val="nil"/>
              <w:right w:val="nil"/>
            </w:tcBorders>
            <w:shd w:val="clear" w:color="auto" w:fill="auto"/>
            <w:vAlign w:val="center"/>
          </w:tcPr>
          <w:p w14:paraId="7AEE01B6" w14:textId="026BBF86" w:rsidR="004F42BC" w:rsidRPr="008B2C65" w:rsidRDefault="004F42BC" w:rsidP="004F42BC">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NT</w:t>
            </w:r>
          </w:p>
        </w:tc>
        <w:tc>
          <w:tcPr>
            <w:tcW w:w="1020" w:type="dxa"/>
            <w:tcBorders>
              <w:top w:val="nil"/>
              <w:left w:val="nil"/>
              <w:bottom w:val="nil"/>
              <w:right w:val="nil"/>
            </w:tcBorders>
            <w:shd w:val="clear" w:color="auto" w:fill="auto"/>
            <w:vAlign w:val="bottom"/>
          </w:tcPr>
          <w:p w14:paraId="17C49144" w14:textId="783D755E" w:rsidR="004F42BC" w:rsidRPr="004F42BC" w:rsidRDefault="004F42BC" w:rsidP="005B7B50">
            <w:pPr>
              <w:spacing w:before="40" w:after="40"/>
              <w:ind w:right="227"/>
              <w:jc w:val="right"/>
              <w:rPr>
                <w:rFonts w:eastAsia="Times New Roman" w:cs="Arial"/>
                <w:sz w:val="18"/>
                <w:szCs w:val="18"/>
                <w:lang w:eastAsia="en-AU"/>
              </w:rPr>
            </w:pPr>
            <w:r w:rsidRPr="004F42BC">
              <w:rPr>
                <w:rFonts w:cs="Arial"/>
                <w:color w:val="000000"/>
                <w:sz w:val="18"/>
                <w:szCs w:val="18"/>
              </w:rPr>
              <w:t>67.9</w:t>
            </w:r>
          </w:p>
        </w:tc>
        <w:tc>
          <w:tcPr>
            <w:tcW w:w="1587" w:type="dxa"/>
            <w:tcBorders>
              <w:top w:val="nil"/>
              <w:left w:val="nil"/>
              <w:bottom w:val="nil"/>
              <w:right w:val="nil"/>
            </w:tcBorders>
            <w:vAlign w:val="bottom"/>
          </w:tcPr>
          <w:p w14:paraId="01CEDA64" w14:textId="0C5E4371" w:rsidR="004F42BC" w:rsidRPr="004F42BC" w:rsidRDefault="004F42BC" w:rsidP="005B7B50">
            <w:pPr>
              <w:spacing w:before="40" w:after="40"/>
              <w:ind w:right="454"/>
              <w:jc w:val="right"/>
              <w:rPr>
                <w:rFonts w:cs="Arial"/>
                <w:color w:val="000000"/>
                <w:sz w:val="18"/>
                <w:szCs w:val="18"/>
              </w:rPr>
            </w:pPr>
            <w:r w:rsidRPr="004F42BC">
              <w:rPr>
                <w:rFonts w:cs="Arial"/>
                <w:color w:val="000000"/>
                <w:sz w:val="18"/>
                <w:szCs w:val="18"/>
              </w:rPr>
              <w:t>65.0</w:t>
            </w:r>
          </w:p>
        </w:tc>
        <w:tc>
          <w:tcPr>
            <w:tcW w:w="1361" w:type="dxa"/>
            <w:tcBorders>
              <w:top w:val="nil"/>
              <w:left w:val="nil"/>
              <w:bottom w:val="nil"/>
              <w:right w:val="nil"/>
            </w:tcBorders>
            <w:shd w:val="clear" w:color="auto" w:fill="auto"/>
            <w:vAlign w:val="bottom"/>
          </w:tcPr>
          <w:p w14:paraId="6B0591C7" w14:textId="27280DAC" w:rsidR="004F42BC" w:rsidRPr="004F42BC" w:rsidRDefault="004F42BC" w:rsidP="005B7B50">
            <w:pPr>
              <w:spacing w:before="40" w:after="40"/>
              <w:ind w:right="397"/>
              <w:jc w:val="right"/>
              <w:rPr>
                <w:rFonts w:cs="Arial"/>
                <w:color w:val="000000"/>
                <w:sz w:val="18"/>
                <w:szCs w:val="18"/>
              </w:rPr>
            </w:pPr>
            <w:r w:rsidRPr="004F42BC">
              <w:rPr>
                <w:rFonts w:cs="Arial"/>
                <w:color w:val="000000"/>
                <w:sz w:val="18"/>
                <w:szCs w:val="18"/>
              </w:rPr>
              <w:t>64.6</w:t>
            </w:r>
          </w:p>
        </w:tc>
        <w:tc>
          <w:tcPr>
            <w:tcW w:w="1020" w:type="dxa"/>
            <w:tcBorders>
              <w:top w:val="nil"/>
              <w:left w:val="nil"/>
              <w:bottom w:val="nil"/>
              <w:right w:val="nil"/>
            </w:tcBorders>
            <w:vAlign w:val="bottom"/>
          </w:tcPr>
          <w:p w14:paraId="647652D3" w14:textId="46A13FEC" w:rsidR="004F42BC" w:rsidRPr="004F42BC" w:rsidRDefault="004F42BC" w:rsidP="005B7B50">
            <w:pPr>
              <w:spacing w:before="40" w:after="40"/>
              <w:ind w:right="227"/>
              <w:jc w:val="right"/>
              <w:rPr>
                <w:rFonts w:cs="Arial"/>
                <w:color w:val="000000"/>
                <w:sz w:val="18"/>
                <w:szCs w:val="18"/>
              </w:rPr>
            </w:pPr>
            <w:r w:rsidRPr="004F42BC">
              <w:rPr>
                <w:rFonts w:cs="Arial"/>
                <w:color w:val="000000"/>
                <w:sz w:val="18"/>
                <w:szCs w:val="18"/>
              </w:rPr>
              <w:t>67.1</w:t>
            </w:r>
          </w:p>
        </w:tc>
        <w:tc>
          <w:tcPr>
            <w:tcW w:w="1134" w:type="dxa"/>
            <w:tcBorders>
              <w:top w:val="nil"/>
              <w:left w:val="nil"/>
              <w:bottom w:val="nil"/>
              <w:right w:val="nil"/>
            </w:tcBorders>
            <w:shd w:val="clear" w:color="auto" w:fill="auto"/>
            <w:vAlign w:val="bottom"/>
          </w:tcPr>
          <w:p w14:paraId="4FB66259" w14:textId="2624BD1C" w:rsidR="004F42BC" w:rsidRPr="004F42BC" w:rsidRDefault="004F42BC" w:rsidP="005B7B50">
            <w:pPr>
              <w:spacing w:before="40" w:after="40"/>
              <w:ind w:right="227"/>
              <w:jc w:val="right"/>
              <w:rPr>
                <w:rFonts w:cs="Arial"/>
                <w:color w:val="000000"/>
                <w:sz w:val="18"/>
                <w:szCs w:val="18"/>
              </w:rPr>
            </w:pPr>
            <w:r w:rsidRPr="004F42BC">
              <w:rPr>
                <w:rFonts w:cs="Arial"/>
                <w:color w:val="000000"/>
                <w:sz w:val="18"/>
                <w:szCs w:val="18"/>
              </w:rPr>
              <w:t>77.5</w:t>
            </w:r>
          </w:p>
        </w:tc>
        <w:tc>
          <w:tcPr>
            <w:tcW w:w="1134" w:type="dxa"/>
            <w:tcBorders>
              <w:top w:val="nil"/>
              <w:left w:val="nil"/>
              <w:bottom w:val="nil"/>
              <w:right w:val="nil"/>
            </w:tcBorders>
            <w:shd w:val="clear" w:color="auto" w:fill="auto"/>
            <w:vAlign w:val="bottom"/>
          </w:tcPr>
          <w:p w14:paraId="22E7CF45" w14:textId="09E16E60" w:rsidR="004F42BC" w:rsidRPr="004F42BC" w:rsidRDefault="004F42BC" w:rsidP="005B7B50">
            <w:pPr>
              <w:spacing w:before="40" w:after="40"/>
              <w:ind w:right="227"/>
              <w:jc w:val="right"/>
              <w:rPr>
                <w:rFonts w:cs="Arial"/>
                <w:color w:val="000000"/>
                <w:sz w:val="18"/>
                <w:szCs w:val="18"/>
              </w:rPr>
            </w:pPr>
            <w:r w:rsidRPr="004F42BC">
              <w:rPr>
                <w:rFonts w:cs="Arial"/>
                <w:color w:val="000000"/>
                <w:sz w:val="18"/>
                <w:szCs w:val="18"/>
              </w:rPr>
              <w:t>78.9</w:t>
            </w:r>
          </w:p>
        </w:tc>
      </w:tr>
      <w:tr w:rsidR="004F42BC" w:rsidRPr="008B2C65" w14:paraId="508145C9" w14:textId="77777777" w:rsidTr="00685143">
        <w:trPr>
          <w:trHeight w:val="80"/>
        </w:trPr>
        <w:tc>
          <w:tcPr>
            <w:tcW w:w="1814" w:type="dxa"/>
            <w:tcBorders>
              <w:top w:val="nil"/>
              <w:left w:val="nil"/>
              <w:bottom w:val="nil"/>
              <w:right w:val="nil"/>
            </w:tcBorders>
            <w:shd w:val="clear" w:color="000000" w:fill="C7E4F3"/>
            <w:vAlign w:val="center"/>
          </w:tcPr>
          <w:p w14:paraId="5B9CE5FC" w14:textId="1F082045" w:rsidR="004F42BC" w:rsidRPr="008B2C65" w:rsidRDefault="004F42BC" w:rsidP="004F42BC">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Q</w:t>
            </w:r>
            <w:r>
              <w:rPr>
                <w:rFonts w:eastAsia="Times New Roman" w:cs="Arial"/>
                <w:color w:val="000000"/>
                <w:sz w:val="18"/>
                <w:szCs w:val="18"/>
                <w:lang w:eastAsia="en-AU"/>
              </w:rPr>
              <w:t>LD</w:t>
            </w:r>
          </w:p>
        </w:tc>
        <w:tc>
          <w:tcPr>
            <w:tcW w:w="1020" w:type="dxa"/>
            <w:tcBorders>
              <w:top w:val="nil"/>
              <w:left w:val="nil"/>
              <w:bottom w:val="nil"/>
              <w:right w:val="nil"/>
            </w:tcBorders>
            <w:shd w:val="clear" w:color="000000" w:fill="C7E4F3"/>
            <w:vAlign w:val="bottom"/>
          </w:tcPr>
          <w:p w14:paraId="2D2FDC40" w14:textId="39CCBCFE" w:rsidR="004F42BC" w:rsidRPr="004F42BC" w:rsidRDefault="004F42BC" w:rsidP="005B7B50">
            <w:pPr>
              <w:spacing w:before="40" w:after="40"/>
              <w:ind w:right="227"/>
              <w:jc w:val="right"/>
              <w:rPr>
                <w:rFonts w:eastAsia="Times New Roman" w:cs="Arial"/>
                <w:sz w:val="18"/>
                <w:szCs w:val="18"/>
                <w:lang w:eastAsia="en-AU"/>
              </w:rPr>
            </w:pPr>
            <w:r w:rsidRPr="004F42BC">
              <w:rPr>
                <w:rFonts w:cs="Arial"/>
                <w:color w:val="000000"/>
                <w:sz w:val="18"/>
                <w:szCs w:val="18"/>
              </w:rPr>
              <w:t>76.7</w:t>
            </w:r>
          </w:p>
        </w:tc>
        <w:tc>
          <w:tcPr>
            <w:tcW w:w="1587" w:type="dxa"/>
            <w:tcBorders>
              <w:top w:val="nil"/>
              <w:left w:val="nil"/>
              <w:bottom w:val="nil"/>
              <w:right w:val="nil"/>
            </w:tcBorders>
            <w:shd w:val="clear" w:color="000000" w:fill="C7E4F3"/>
            <w:vAlign w:val="bottom"/>
          </w:tcPr>
          <w:p w14:paraId="56F46001" w14:textId="54B8AC29" w:rsidR="004F42BC" w:rsidRPr="004F42BC" w:rsidRDefault="004F42BC" w:rsidP="005B7B50">
            <w:pPr>
              <w:spacing w:before="40" w:after="40"/>
              <w:ind w:right="454"/>
              <w:jc w:val="right"/>
              <w:rPr>
                <w:rFonts w:cs="Arial"/>
                <w:color w:val="000000"/>
                <w:sz w:val="18"/>
                <w:szCs w:val="18"/>
              </w:rPr>
            </w:pPr>
            <w:r w:rsidRPr="004F42BC">
              <w:rPr>
                <w:rFonts w:cs="Arial"/>
                <w:color w:val="000000"/>
                <w:sz w:val="18"/>
                <w:szCs w:val="18"/>
              </w:rPr>
              <w:t>68.4</w:t>
            </w:r>
          </w:p>
        </w:tc>
        <w:tc>
          <w:tcPr>
            <w:tcW w:w="1361" w:type="dxa"/>
            <w:tcBorders>
              <w:top w:val="nil"/>
              <w:left w:val="nil"/>
              <w:bottom w:val="nil"/>
              <w:right w:val="nil"/>
            </w:tcBorders>
            <w:shd w:val="clear" w:color="000000" w:fill="C7E4F3"/>
            <w:vAlign w:val="bottom"/>
          </w:tcPr>
          <w:p w14:paraId="202145B7" w14:textId="71E3D9CB" w:rsidR="004F42BC" w:rsidRPr="004F42BC" w:rsidRDefault="004F42BC" w:rsidP="005B7B50">
            <w:pPr>
              <w:spacing w:before="40" w:after="40"/>
              <w:ind w:right="397"/>
              <w:jc w:val="right"/>
              <w:rPr>
                <w:rFonts w:cs="Arial"/>
                <w:color w:val="000000"/>
                <w:sz w:val="18"/>
                <w:szCs w:val="18"/>
              </w:rPr>
            </w:pPr>
            <w:r w:rsidRPr="004F42BC">
              <w:rPr>
                <w:rFonts w:cs="Arial"/>
                <w:color w:val="000000"/>
                <w:sz w:val="18"/>
                <w:szCs w:val="18"/>
              </w:rPr>
              <w:t>68.5</w:t>
            </w:r>
          </w:p>
        </w:tc>
        <w:tc>
          <w:tcPr>
            <w:tcW w:w="1020" w:type="dxa"/>
            <w:tcBorders>
              <w:top w:val="nil"/>
              <w:left w:val="nil"/>
              <w:bottom w:val="nil"/>
              <w:right w:val="nil"/>
            </w:tcBorders>
            <w:shd w:val="clear" w:color="000000" w:fill="C7E4F3"/>
            <w:vAlign w:val="bottom"/>
          </w:tcPr>
          <w:p w14:paraId="015EC138" w14:textId="4D2746CB" w:rsidR="004F42BC" w:rsidRPr="004F42BC" w:rsidRDefault="004F42BC" w:rsidP="005B7B50">
            <w:pPr>
              <w:spacing w:before="40" w:after="40"/>
              <w:ind w:right="227"/>
              <w:jc w:val="right"/>
              <w:rPr>
                <w:rFonts w:cs="Arial"/>
                <w:color w:val="000000"/>
                <w:sz w:val="18"/>
                <w:szCs w:val="18"/>
              </w:rPr>
            </w:pPr>
            <w:r w:rsidRPr="004F42BC">
              <w:rPr>
                <w:rFonts w:cs="Arial"/>
                <w:color w:val="000000"/>
                <w:sz w:val="18"/>
                <w:szCs w:val="18"/>
              </w:rPr>
              <w:t>63.3</w:t>
            </w:r>
          </w:p>
        </w:tc>
        <w:tc>
          <w:tcPr>
            <w:tcW w:w="1134" w:type="dxa"/>
            <w:tcBorders>
              <w:top w:val="nil"/>
              <w:left w:val="nil"/>
              <w:bottom w:val="nil"/>
              <w:right w:val="nil"/>
            </w:tcBorders>
            <w:shd w:val="clear" w:color="000000" w:fill="C7E4F3"/>
            <w:vAlign w:val="bottom"/>
          </w:tcPr>
          <w:p w14:paraId="377C3561" w14:textId="325E1603" w:rsidR="004F42BC" w:rsidRPr="004F42BC" w:rsidRDefault="004F42BC" w:rsidP="005B7B50">
            <w:pPr>
              <w:spacing w:before="40" w:after="40"/>
              <w:ind w:right="227"/>
              <w:jc w:val="right"/>
              <w:rPr>
                <w:rFonts w:cs="Arial"/>
                <w:color w:val="000000"/>
                <w:sz w:val="18"/>
                <w:szCs w:val="18"/>
              </w:rPr>
            </w:pPr>
            <w:r w:rsidRPr="004F42BC">
              <w:rPr>
                <w:rFonts w:cs="Arial"/>
                <w:color w:val="000000"/>
                <w:sz w:val="18"/>
                <w:szCs w:val="18"/>
              </w:rPr>
              <w:t>80.5</w:t>
            </w:r>
          </w:p>
        </w:tc>
        <w:tc>
          <w:tcPr>
            <w:tcW w:w="1134" w:type="dxa"/>
            <w:tcBorders>
              <w:top w:val="nil"/>
              <w:left w:val="nil"/>
              <w:bottom w:val="nil"/>
              <w:right w:val="nil"/>
            </w:tcBorders>
            <w:shd w:val="clear" w:color="000000" w:fill="C7E4F3"/>
            <w:vAlign w:val="bottom"/>
          </w:tcPr>
          <w:p w14:paraId="3318910C" w14:textId="50B00911" w:rsidR="004F42BC" w:rsidRPr="004F42BC" w:rsidRDefault="004F42BC" w:rsidP="005B7B50">
            <w:pPr>
              <w:spacing w:before="40" w:after="40"/>
              <w:ind w:right="227"/>
              <w:jc w:val="right"/>
              <w:rPr>
                <w:rFonts w:cs="Arial"/>
                <w:color w:val="000000"/>
                <w:sz w:val="18"/>
                <w:szCs w:val="18"/>
              </w:rPr>
            </w:pPr>
            <w:r w:rsidRPr="004F42BC">
              <w:rPr>
                <w:rFonts w:cs="Arial"/>
                <w:color w:val="000000"/>
                <w:sz w:val="18"/>
                <w:szCs w:val="18"/>
              </w:rPr>
              <w:t>79.5</w:t>
            </w:r>
          </w:p>
        </w:tc>
      </w:tr>
      <w:tr w:rsidR="004F42BC" w:rsidRPr="008B2C65" w14:paraId="5850A678" w14:textId="77777777" w:rsidTr="00685143">
        <w:trPr>
          <w:trHeight w:val="80"/>
        </w:trPr>
        <w:tc>
          <w:tcPr>
            <w:tcW w:w="1814" w:type="dxa"/>
            <w:tcBorders>
              <w:top w:val="nil"/>
              <w:left w:val="nil"/>
              <w:bottom w:val="nil"/>
              <w:right w:val="nil"/>
            </w:tcBorders>
            <w:shd w:val="clear" w:color="auto" w:fill="auto"/>
            <w:vAlign w:val="center"/>
          </w:tcPr>
          <w:p w14:paraId="0A5F145A" w14:textId="386566EA" w:rsidR="004F42BC" w:rsidRPr="008B2C65" w:rsidRDefault="004F42BC" w:rsidP="004F42BC">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Seacare</w:t>
            </w:r>
          </w:p>
        </w:tc>
        <w:tc>
          <w:tcPr>
            <w:tcW w:w="1020" w:type="dxa"/>
            <w:tcBorders>
              <w:top w:val="nil"/>
              <w:left w:val="nil"/>
              <w:bottom w:val="nil"/>
              <w:right w:val="nil"/>
            </w:tcBorders>
            <w:shd w:val="clear" w:color="auto" w:fill="auto"/>
            <w:vAlign w:val="bottom"/>
          </w:tcPr>
          <w:p w14:paraId="7C9C7C7C" w14:textId="44659EEE" w:rsidR="004F42BC" w:rsidRPr="004F42BC" w:rsidRDefault="004F42BC" w:rsidP="005B7B50">
            <w:pPr>
              <w:spacing w:before="40" w:after="40"/>
              <w:ind w:right="227"/>
              <w:jc w:val="right"/>
              <w:rPr>
                <w:rFonts w:eastAsia="Times New Roman" w:cs="Arial"/>
                <w:sz w:val="18"/>
                <w:szCs w:val="18"/>
                <w:lang w:eastAsia="en-AU"/>
              </w:rPr>
            </w:pPr>
            <w:r w:rsidRPr="004F42BC">
              <w:rPr>
                <w:rFonts w:cs="Arial"/>
                <w:color w:val="000000"/>
                <w:sz w:val="18"/>
                <w:szCs w:val="18"/>
              </w:rPr>
              <w:t>84.2</w:t>
            </w:r>
          </w:p>
        </w:tc>
        <w:tc>
          <w:tcPr>
            <w:tcW w:w="1587" w:type="dxa"/>
            <w:tcBorders>
              <w:top w:val="nil"/>
              <w:left w:val="nil"/>
              <w:bottom w:val="nil"/>
              <w:right w:val="nil"/>
            </w:tcBorders>
            <w:vAlign w:val="bottom"/>
          </w:tcPr>
          <w:p w14:paraId="2D423FED" w14:textId="098EEE80" w:rsidR="004F42BC" w:rsidRPr="004F42BC" w:rsidRDefault="004F42BC" w:rsidP="005B7B50">
            <w:pPr>
              <w:spacing w:before="40" w:after="40"/>
              <w:ind w:right="454"/>
              <w:jc w:val="right"/>
              <w:rPr>
                <w:rFonts w:cs="Arial"/>
                <w:color w:val="000000"/>
                <w:sz w:val="18"/>
                <w:szCs w:val="18"/>
              </w:rPr>
            </w:pPr>
            <w:r w:rsidRPr="004F42BC">
              <w:rPr>
                <w:rFonts w:cs="Arial"/>
                <w:color w:val="000000"/>
                <w:sz w:val="18"/>
                <w:szCs w:val="18"/>
              </w:rPr>
              <w:t>73.5</w:t>
            </w:r>
          </w:p>
        </w:tc>
        <w:tc>
          <w:tcPr>
            <w:tcW w:w="1361" w:type="dxa"/>
            <w:tcBorders>
              <w:top w:val="nil"/>
              <w:left w:val="nil"/>
              <w:bottom w:val="nil"/>
              <w:right w:val="nil"/>
            </w:tcBorders>
            <w:shd w:val="clear" w:color="auto" w:fill="auto"/>
            <w:vAlign w:val="bottom"/>
          </w:tcPr>
          <w:p w14:paraId="1A609F4E" w14:textId="49DF8635" w:rsidR="004F42BC" w:rsidRPr="004F42BC" w:rsidRDefault="004F42BC" w:rsidP="005B7B50">
            <w:pPr>
              <w:spacing w:before="40" w:after="40"/>
              <w:ind w:right="397"/>
              <w:jc w:val="right"/>
              <w:rPr>
                <w:rFonts w:cs="Arial"/>
                <w:color w:val="000000"/>
                <w:sz w:val="18"/>
                <w:szCs w:val="18"/>
              </w:rPr>
            </w:pPr>
            <w:r w:rsidRPr="004F42BC">
              <w:rPr>
                <w:rFonts w:cs="Arial"/>
                <w:color w:val="000000"/>
                <w:sz w:val="18"/>
                <w:szCs w:val="18"/>
              </w:rPr>
              <w:t>74.1</w:t>
            </w:r>
          </w:p>
        </w:tc>
        <w:tc>
          <w:tcPr>
            <w:tcW w:w="1020" w:type="dxa"/>
            <w:tcBorders>
              <w:top w:val="nil"/>
              <w:left w:val="nil"/>
              <w:bottom w:val="nil"/>
              <w:right w:val="nil"/>
            </w:tcBorders>
            <w:vAlign w:val="bottom"/>
          </w:tcPr>
          <w:p w14:paraId="1B921D69" w14:textId="1F2C8276" w:rsidR="004F42BC" w:rsidRPr="004F42BC" w:rsidRDefault="004F42BC" w:rsidP="005B7B50">
            <w:pPr>
              <w:spacing w:before="40" w:after="40"/>
              <w:ind w:right="227"/>
              <w:jc w:val="right"/>
              <w:rPr>
                <w:rFonts w:cs="Arial"/>
                <w:color w:val="000000"/>
                <w:sz w:val="18"/>
                <w:szCs w:val="18"/>
              </w:rPr>
            </w:pPr>
            <w:r w:rsidRPr="004F42BC">
              <w:rPr>
                <w:rFonts w:cs="Arial"/>
                <w:color w:val="000000"/>
                <w:sz w:val="18"/>
                <w:szCs w:val="18"/>
              </w:rPr>
              <w:t>76.5</w:t>
            </w:r>
          </w:p>
        </w:tc>
        <w:tc>
          <w:tcPr>
            <w:tcW w:w="1134" w:type="dxa"/>
            <w:tcBorders>
              <w:top w:val="nil"/>
              <w:left w:val="nil"/>
              <w:bottom w:val="nil"/>
              <w:right w:val="nil"/>
            </w:tcBorders>
            <w:shd w:val="clear" w:color="auto" w:fill="auto"/>
            <w:vAlign w:val="bottom"/>
          </w:tcPr>
          <w:p w14:paraId="07CC295D" w14:textId="4E700D0D" w:rsidR="004F42BC" w:rsidRPr="004F42BC" w:rsidRDefault="004F42BC" w:rsidP="005B7B50">
            <w:pPr>
              <w:spacing w:before="40" w:after="40"/>
              <w:ind w:right="227"/>
              <w:jc w:val="right"/>
              <w:rPr>
                <w:rFonts w:cs="Arial"/>
                <w:color w:val="000000"/>
                <w:sz w:val="18"/>
                <w:szCs w:val="18"/>
              </w:rPr>
            </w:pPr>
            <w:r w:rsidRPr="004F42BC">
              <w:rPr>
                <w:rFonts w:cs="Arial"/>
                <w:color w:val="000000"/>
                <w:sz w:val="18"/>
                <w:szCs w:val="18"/>
              </w:rPr>
              <w:t>85.3</w:t>
            </w:r>
          </w:p>
        </w:tc>
        <w:tc>
          <w:tcPr>
            <w:tcW w:w="1134" w:type="dxa"/>
            <w:tcBorders>
              <w:top w:val="nil"/>
              <w:left w:val="nil"/>
              <w:bottom w:val="nil"/>
              <w:right w:val="nil"/>
            </w:tcBorders>
            <w:shd w:val="clear" w:color="auto" w:fill="auto"/>
            <w:vAlign w:val="bottom"/>
          </w:tcPr>
          <w:p w14:paraId="3E5B86D6" w14:textId="23E4FC6B" w:rsidR="004F42BC" w:rsidRPr="004F42BC" w:rsidRDefault="004F42BC" w:rsidP="005B7B50">
            <w:pPr>
              <w:spacing w:before="40" w:after="40"/>
              <w:ind w:right="227"/>
              <w:jc w:val="right"/>
              <w:rPr>
                <w:rFonts w:cs="Arial"/>
                <w:color w:val="000000"/>
                <w:sz w:val="18"/>
                <w:szCs w:val="18"/>
              </w:rPr>
            </w:pPr>
            <w:r w:rsidRPr="004F42BC">
              <w:rPr>
                <w:rFonts w:cs="Arial"/>
                <w:color w:val="000000"/>
                <w:sz w:val="18"/>
                <w:szCs w:val="18"/>
              </w:rPr>
              <w:t>81.5</w:t>
            </w:r>
          </w:p>
        </w:tc>
      </w:tr>
      <w:tr w:rsidR="004F42BC" w:rsidRPr="008B2C65" w14:paraId="00D5325E" w14:textId="77777777" w:rsidTr="00685143">
        <w:trPr>
          <w:trHeight w:val="80"/>
        </w:trPr>
        <w:tc>
          <w:tcPr>
            <w:tcW w:w="1814" w:type="dxa"/>
            <w:tcBorders>
              <w:top w:val="nil"/>
              <w:left w:val="nil"/>
              <w:bottom w:val="nil"/>
              <w:right w:val="nil"/>
            </w:tcBorders>
            <w:shd w:val="clear" w:color="auto" w:fill="C7E4F3" w:themeFill="accent1" w:themeFillTint="33"/>
            <w:vAlign w:val="center"/>
          </w:tcPr>
          <w:p w14:paraId="290F248F" w14:textId="0E1A43D7" w:rsidR="004F42BC" w:rsidRPr="008B2C65" w:rsidRDefault="004F42BC" w:rsidP="004F42BC">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T</w:t>
            </w:r>
            <w:r>
              <w:rPr>
                <w:rFonts w:eastAsia="Times New Roman" w:cs="Arial"/>
                <w:color w:val="000000"/>
                <w:sz w:val="18"/>
                <w:szCs w:val="18"/>
                <w:lang w:eastAsia="en-AU"/>
              </w:rPr>
              <w:t>AS</w:t>
            </w:r>
          </w:p>
        </w:tc>
        <w:tc>
          <w:tcPr>
            <w:tcW w:w="1020" w:type="dxa"/>
            <w:tcBorders>
              <w:top w:val="nil"/>
              <w:left w:val="nil"/>
              <w:bottom w:val="nil"/>
              <w:right w:val="nil"/>
            </w:tcBorders>
            <w:shd w:val="clear" w:color="auto" w:fill="C7E4F3" w:themeFill="accent1" w:themeFillTint="33"/>
            <w:vAlign w:val="bottom"/>
          </w:tcPr>
          <w:p w14:paraId="44FA490E" w14:textId="7C282EE5" w:rsidR="004F42BC" w:rsidRPr="004F42BC" w:rsidRDefault="004F42BC" w:rsidP="005B7B50">
            <w:pPr>
              <w:spacing w:before="40" w:after="40"/>
              <w:ind w:right="227"/>
              <w:jc w:val="right"/>
              <w:rPr>
                <w:rFonts w:eastAsia="Times New Roman" w:cs="Arial"/>
                <w:sz w:val="18"/>
                <w:szCs w:val="18"/>
                <w:lang w:eastAsia="en-AU"/>
              </w:rPr>
            </w:pPr>
            <w:r w:rsidRPr="004F42BC">
              <w:rPr>
                <w:rFonts w:cs="Arial"/>
                <w:color w:val="000000"/>
                <w:sz w:val="18"/>
                <w:szCs w:val="18"/>
              </w:rPr>
              <w:t>68.3</w:t>
            </w:r>
          </w:p>
        </w:tc>
        <w:tc>
          <w:tcPr>
            <w:tcW w:w="1587" w:type="dxa"/>
            <w:tcBorders>
              <w:top w:val="nil"/>
              <w:left w:val="nil"/>
              <w:bottom w:val="nil"/>
              <w:right w:val="nil"/>
            </w:tcBorders>
            <w:shd w:val="clear" w:color="auto" w:fill="C7E4F3" w:themeFill="accent1" w:themeFillTint="33"/>
            <w:vAlign w:val="bottom"/>
          </w:tcPr>
          <w:p w14:paraId="1AD51759" w14:textId="2C9BF3C4" w:rsidR="004F42BC" w:rsidRPr="004F42BC" w:rsidRDefault="004F42BC" w:rsidP="005B7B50">
            <w:pPr>
              <w:spacing w:before="40" w:after="40"/>
              <w:ind w:right="454"/>
              <w:jc w:val="right"/>
              <w:rPr>
                <w:rFonts w:cs="Arial"/>
                <w:color w:val="000000"/>
                <w:sz w:val="18"/>
                <w:szCs w:val="18"/>
              </w:rPr>
            </w:pPr>
            <w:r w:rsidRPr="004F42BC">
              <w:rPr>
                <w:rFonts w:cs="Arial"/>
                <w:color w:val="000000"/>
                <w:sz w:val="18"/>
                <w:szCs w:val="18"/>
              </w:rPr>
              <w:t>63.3</w:t>
            </w:r>
          </w:p>
        </w:tc>
        <w:tc>
          <w:tcPr>
            <w:tcW w:w="1361" w:type="dxa"/>
            <w:tcBorders>
              <w:top w:val="nil"/>
              <w:left w:val="nil"/>
              <w:bottom w:val="nil"/>
              <w:right w:val="nil"/>
            </w:tcBorders>
            <w:shd w:val="clear" w:color="auto" w:fill="C7E4F3" w:themeFill="accent1" w:themeFillTint="33"/>
            <w:vAlign w:val="bottom"/>
          </w:tcPr>
          <w:p w14:paraId="50D18663" w14:textId="2F196CB1" w:rsidR="004F42BC" w:rsidRPr="004F42BC" w:rsidRDefault="004F42BC" w:rsidP="005B7B50">
            <w:pPr>
              <w:spacing w:before="40" w:after="40"/>
              <w:ind w:right="397"/>
              <w:jc w:val="right"/>
              <w:rPr>
                <w:rFonts w:cs="Arial"/>
                <w:color w:val="000000"/>
                <w:sz w:val="18"/>
                <w:szCs w:val="18"/>
              </w:rPr>
            </w:pPr>
            <w:r w:rsidRPr="004F42BC">
              <w:rPr>
                <w:rFonts w:cs="Arial"/>
                <w:color w:val="000000"/>
                <w:sz w:val="18"/>
                <w:szCs w:val="18"/>
              </w:rPr>
              <w:t>70.1</w:t>
            </w:r>
          </w:p>
        </w:tc>
        <w:tc>
          <w:tcPr>
            <w:tcW w:w="1020" w:type="dxa"/>
            <w:tcBorders>
              <w:top w:val="nil"/>
              <w:left w:val="nil"/>
              <w:bottom w:val="nil"/>
              <w:right w:val="nil"/>
            </w:tcBorders>
            <w:shd w:val="clear" w:color="auto" w:fill="C7E4F3" w:themeFill="accent1" w:themeFillTint="33"/>
            <w:vAlign w:val="bottom"/>
          </w:tcPr>
          <w:p w14:paraId="582CA9CE" w14:textId="7D6B9D56" w:rsidR="004F42BC" w:rsidRPr="004F42BC" w:rsidRDefault="004F42BC" w:rsidP="005B7B50">
            <w:pPr>
              <w:spacing w:before="40" w:after="40"/>
              <w:ind w:right="227"/>
              <w:jc w:val="right"/>
              <w:rPr>
                <w:rFonts w:cs="Arial"/>
                <w:color w:val="000000"/>
                <w:sz w:val="18"/>
                <w:szCs w:val="18"/>
              </w:rPr>
            </w:pPr>
            <w:r w:rsidRPr="004F42BC">
              <w:rPr>
                <w:rFonts w:cs="Arial"/>
                <w:color w:val="000000"/>
                <w:sz w:val="18"/>
                <w:szCs w:val="18"/>
              </w:rPr>
              <w:t>64.2</w:t>
            </w:r>
          </w:p>
        </w:tc>
        <w:tc>
          <w:tcPr>
            <w:tcW w:w="1134" w:type="dxa"/>
            <w:tcBorders>
              <w:top w:val="nil"/>
              <w:left w:val="nil"/>
              <w:bottom w:val="nil"/>
              <w:right w:val="nil"/>
            </w:tcBorders>
            <w:shd w:val="clear" w:color="auto" w:fill="C7E4F3" w:themeFill="accent1" w:themeFillTint="33"/>
            <w:vAlign w:val="bottom"/>
          </w:tcPr>
          <w:p w14:paraId="111D57D0" w14:textId="58DB578A" w:rsidR="004F42BC" w:rsidRPr="004F42BC" w:rsidRDefault="004F42BC" w:rsidP="005B7B50">
            <w:pPr>
              <w:spacing w:before="40" w:after="40"/>
              <w:ind w:right="227"/>
              <w:jc w:val="right"/>
              <w:rPr>
                <w:rFonts w:cs="Arial"/>
                <w:color w:val="000000"/>
                <w:sz w:val="18"/>
                <w:szCs w:val="18"/>
              </w:rPr>
            </w:pPr>
            <w:r w:rsidRPr="004F42BC">
              <w:rPr>
                <w:rFonts w:cs="Arial"/>
                <w:color w:val="000000"/>
                <w:sz w:val="18"/>
                <w:szCs w:val="18"/>
              </w:rPr>
              <w:t>76.3</w:t>
            </w:r>
          </w:p>
        </w:tc>
        <w:tc>
          <w:tcPr>
            <w:tcW w:w="1134" w:type="dxa"/>
            <w:tcBorders>
              <w:top w:val="nil"/>
              <w:left w:val="nil"/>
              <w:bottom w:val="nil"/>
              <w:right w:val="nil"/>
            </w:tcBorders>
            <w:shd w:val="clear" w:color="auto" w:fill="C7E4F3" w:themeFill="accent1" w:themeFillTint="33"/>
            <w:vAlign w:val="bottom"/>
          </w:tcPr>
          <w:p w14:paraId="2DBE83DB" w14:textId="0E1B8DC7" w:rsidR="004F42BC" w:rsidRPr="004F42BC" w:rsidRDefault="004F42BC" w:rsidP="005B7B50">
            <w:pPr>
              <w:spacing w:before="40" w:after="40"/>
              <w:ind w:right="227"/>
              <w:jc w:val="right"/>
              <w:rPr>
                <w:rFonts w:cs="Arial"/>
                <w:color w:val="000000"/>
                <w:sz w:val="18"/>
                <w:szCs w:val="18"/>
              </w:rPr>
            </w:pPr>
            <w:r w:rsidRPr="004F42BC">
              <w:rPr>
                <w:rFonts w:cs="Arial"/>
                <w:color w:val="000000"/>
                <w:sz w:val="18"/>
                <w:szCs w:val="18"/>
              </w:rPr>
              <w:t>77.4</w:t>
            </w:r>
          </w:p>
        </w:tc>
      </w:tr>
      <w:tr w:rsidR="004F42BC" w:rsidRPr="008B2C65" w14:paraId="6D5DA554" w14:textId="77777777" w:rsidTr="00685143">
        <w:trPr>
          <w:trHeight w:val="80"/>
        </w:trPr>
        <w:tc>
          <w:tcPr>
            <w:tcW w:w="1814" w:type="dxa"/>
            <w:tcBorders>
              <w:top w:val="nil"/>
              <w:left w:val="nil"/>
              <w:bottom w:val="nil"/>
              <w:right w:val="nil"/>
            </w:tcBorders>
            <w:shd w:val="clear" w:color="auto" w:fill="auto"/>
            <w:vAlign w:val="center"/>
          </w:tcPr>
          <w:p w14:paraId="0DF9F068" w14:textId="1BC27691" w:rsidR="004F42BC" w:rsidRPr="008B2C65" w:rsidRDefault="004F42BC" w:rsidP="004F42BC">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WA</w:t>
            </w:r>
          </w:p>
        </w:tc>
        <w:tc>
          <w:tcPr>
            <w:tcW w:w="1020" w:type="dxa"/>
            <w:tcBorders>
              <w:top w:val="nil"/>
              <w:left w:val="nil"/>
              <w:bottom w:val="nil"/>
              <w:right w:val="nil"/>
            </w:tcBorders>
            <w:shd w:val="clear" w:color="auto" w:fill="auto"/>
            <w:vAlign w:val="bottom"/>
          </w:tcPr>
          <w:p w14:paraId="4888785C" w14:textId="677718D7" w:rsidR="004F42BC" w:rsidRPr="004F42BC" w:rsidRDefault="004F42BC" w:rsidP="005B7B50">
            <w:pPr>
              <w:spacing w:before="40" w:after="40"/>
              <w:ind w:right="227"/>
              <w:jc w:val="right"/>
              <w:rPr>
                <w:rFonts w:eastAsia="Times New Roman" w:cs="Arial"/>
                <w:sz w:val="18"/>
                <w:szCs w:val="18"/>
                <w:lang w:eastAsia="en-AU"/>
              </w:rPr>
            </w:pPr>
            <w:r w:rsidRPr="004F42BC">
              <w:rPr>
                <w:rFonts w:cs="Arial"/>
                <w:color w:val="000000"/>
                <w:sz w:val="18"/>
                <w:szCs w:val="18"/>
              </w:rPr>
              <w:t>75.7</w:t>
            </w:r>
          </w:p>
        </w:tc>
        <w:tc>
          <w:tcPr>
            <w:tcW w:w="1587" w:type="dxa"/>
            <w:tcBorders>
              <w:top w:val="nil"/>
              <w:left w:val="nil"/>
              <w:bottom w:val="nil"/>
              <w:right w:val="nil"/>
            </w:tcBorders>
            <w:vAlign w:val="bottom"/>
          </w:tcPr>
          <w:p w14:paraId="5D5DE994" w14:textId="5F00D6D5" w:rsidR="004F42BC" w:rsidRPr="004F42BC" w:rsidRDefault="004F42BC" w:rsidP="005B7B50">
            <w:pPr>
              <w:spacing w:before="40" w:after="40"/>
              <w:ind w:right="454"/>
              <w:jc w:val="right"/>
              <w:rPr>
                <w:rFonts w:cs="Arial"/>
                <w:color w:val="000000"/>
                <w:sz w:val="18"/>
                <w:szCs w:val="18"/>
              </w:rPr>
            </w:pPr>
            <w:r w:rsidRPr="004F42BC">
              <w:rPr>
                <w:rFonts w:cs="Arial"/>
                <w:color w:val="000000"/>
                <w:sz w:val="18"/>
                <w:szCs w:val="18"/>
              </w:rPr>
              <w:t>69.5</w:t>
            </w:r>
          </w:p>
        </w:tc>
        <w:tc>
          <w:tcPr>
            <w:tcW w:w="1361" w:type="dxa"/>
            <w:tcBorders>
              <w:top w:val="nil"/>
              <w:left w:val="nil"/>
              <w:bottom w:val="nil"/>
              <w:right w:val="nil"/>
            </w:tcBorders>
            <w:shd w:val="clear" w:color="auto" w:fill="auto"/>
            <w:vAlign w:val="bottom"/>
          </w:tcPr>
          <w:p w14:paraId="367E37B4" w14:textId="7F67EB12" w:rsidR="004F42BC" w:rsidRPr="004F42BC" w:rsidRDefault="004F42BC" w:rsidP="005B7B50">
            <w:pPr>
              <w:spacing w:before="40" w:after="40"/>
              <w:ind w:right="397"/>
              <w:jc w:val="right"/>
              <w:rPr>
                <w:rFonts w:cs="Arial"/>
                <w:color w:val="000000"/>
                <w:sz w:val="18"/>
                <w:szCs w:val="18"/>
              </w:rPr>
            </w:pPr>
            <w:r w:rsidRPr="004F42BC">
              <w:rPr>
                <w:rFonts w:cs="Arial"/>
                <w:color w:val="000000"/>
                <w:sz w:val="18"/>
                <w:szCs w:val="18"/>
              </w:rPr>
              <w:t>71.7</w:t>
            </w:r>
          </w:p>
        </w:tc>
        <w:tc>
          <w:tcPr>
            <w:tcW w:w="1020" w:type="dxa"/>
            <w:tcBorders>
              <w:top w:val="nil"/>
              <w:left w:val="nil"/>
              <w:bottom w:val="nil"/>
              <w:right w:val="nil"/>
            </w:tcBorders>
            <w:vAlign w:val="bottom"/>
          </w:tcPr>
          <w:p w14:paraId="41902EA2" w14:textId="50B22034" w:rsidR="004F42BC" w:rsidRPr="004F42BC" w:rsidRDefault="004F42BC" w:rsidP="005B7B50">
            <w:pPr>
              <w:spacing w:before="40" w:after="40"/>
              <w:ind w:right="227"/>
              <w:jc w:val="right"/>
              <w:rPr>
                <w:rFonts w:cs="Arial"/>
                <w:color w:val="000000"/>
                <w:sz w:val="18"/>
                <w:szCs w:val="18"/>
              </w:rPr>
            </w:pPr>
            <w:r w:rsidRPr="004F42BC">
              <w:rPr>
                <w:rFonts w:cs="Arial"/>
                <w:color w:val="000000"/>
                <w:sz w:val="18"/>
                <w:szCs w:val="18"/>
              </w:rPr>
              <w:t>66.9</w:t>
            </w:r>
          </w:p>
        </w:tc>
        <w:tc>
          <w:tcPr>
            <w:tcW w:w="1134" w:type="dxa"/>
            <w:tcBorders>
              <w:top w:val="nil"/>
              <w:left w:val="nil"/>
              <w:bottom w:val="nil"/>
              <w:right w:val="nil"/>
            </w:tcBorders>
            <w:shd w:val="clear" w:color="auto" w:fill="auto"/>
            <w:vAlign w:val="bottom"/>
          </w:tcPr>
          <w:p w14:paraId="232BC11F" w14:textId="3E9595F4" w:rsidR="004F42BC" w:rsidRPr="004F42BC" w:rsidRDefault="004F42BC" w:rsidP="005B7B50">
            <w:pPr>
              <w:spacing w:before="40" w:after="40"/>
              <w:ind w:right="227"/>
              <w:jc w:val="right"/>
              <w:rPr>
                <w:rFonts w:cs="Arial"/>
                <w:color w:val="000000"/>
                <w:sz w:val="18"/>
                <w:szCs w:val="18"/>
              </w:rPr>
            </w:pPr>
            <w:r w:rsidRPr="004F42BC">
              <w:rPr>
                <w:rFonts w:cs="Arial"/>
                <w:color w:val="000000"/>
                <w:sz w:val="18"/>
                <w:szCs w:val="18"/>
              </w:rPr>
              <w:t>78.0</w:t>
            </w:r>
          </w:p>
        </w:tc>
        <w:tc>
          <w:tcPr>
            <w:tcW w:w="1134" w:type="dxa"/>
            <w:tcBorders>
              <w:top w:val="nil"/>
              <w:left w:val="nil"/>
              <w:bottom w:val="nil"/>
              <w:right w:val="nil"/>
            </w:tcBorders>
            <w:shd w:val="clear" w:color="auto" w:fill="auto"/>
            <w:vAlign w:val="bottom"/>
          </w:tcPr>
          <w:p w14:paraId="609C75BC" w14:textId="0CDA9B09" w:rsidR="004F42BC" w:rsidRPr="004F42BC" w:rsidRDefault="004F42BC" w:rsidP="005B7B50">
            <w:pPr>
              <w:spacing w:before="40" w:after="40"/>
              <w:ind w:right="227"/>
              <w:jc w:val="right"/>
              <w:rPr>
                <w:rFonts w:cs="Arial"/>
                <w:color w:val="000000"/>
                <w:sz w:val="18"/>
                <w:szCs w:val="18"/>
              </w:rPr>
            </w:pPr>
            <w:r w:rsidRPr="004F42BC">
              <w:rPr>
                <w:rFonts w:cs="Arial"/>
                <w:color w:val="000000"/>
                <w:sz w:val="18"/>
                <w:szCs w:val="18"/>
              </w:rPr>
              <w:t>80.5</w:t>
            </w:r>
          </w:p>
        </w:tc>
      </w:tr>
      <w:tr w:rsidR="004F42BC" w:rsidRPr="008B2C65" w14:paraId="393C0048" w14:textId="77777777" w:rsidTr="00685143">
        <w:trPr>
          <w:trHeight w:val="80"/>
        </w:trPr>
        <w:tc>
          <w:tcPr>
            <w:tcW w:w="1814" w:type="dxa"/>
            <w:tcBorders>
              <w:top w:val="nil"/>
              <w:left w:val="nil"/>
              <w:bottom w:val="nil"/>
              <w:right w:val="nil"/>
            </w:tcBorders>
            <w:shd w:val="clear" w:color="auto" w:fill="C7E4F3" w:themeFill="accent1" w:themeFillTint="33"/>
            <w:vAlign w:val="center"/>
          </w:tcPr>
          <w:p w14:paraId="3C9C8745" w14:textId="12023AC9" w:rsidR="004F42BC" w:rsidRPr="008B2C65" w:rsidRDefault="004F42BC" w:rsidP="004F42BC">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V</w:t>
            </w:r>
            <w:r>
              <w:rPr>
                <w:rFonts w:eastAsia="Times New Roman" w:cs="Arial"/>
                <w:color w:val="000000"/>
                <w:sz w:val="18"/>
                <w:szCs w:val="18"/>
                <w:lang w:eastAsia="en-AU"/>
              </w:rPr>
              <w:t>IC</w:t>
            </w:r>
          </w:p>
        </w:tc>
        <w:tc>
          <w:tcPr>
            <w:tcW w:w="1020" w:type="dxa"/>
            <w:tcBorders>
              <w:top w:val="nil"/>
              <w:left w:val="nil"/>
              <w:bottom w:val="nil"/>
              <w:right w:val="nil"/>
            </w:tcBorders>
            <w:shd w:val="clear" w:color="auto" w:fill="C7E4F3" w:themeFill="accent1" w:themeFillTint="33"/>
            <w:vAlign w:val="bottom"/>
          </w:tcPr>
          <w:p w14:paraId="5BFE305D" w14:textId="25FC019D" w:rsidR="004F42BC" w:rsidRPr="004F42BC" w:rsidRDefault="004F42BC" w:rsidP="005B7B50">
            <w:pPr>
              <w:spacing w:before="40" w:after="40"/>
              <w:ind w:right="227"/>
              <w:jc w:val="right"/>
              <w:rPr>
                <w:rFonts w:eastAsia="Times New Roman" w:cs="Arial"/>
                <w:sz w:val="18"/>
                <w:szCs w:val="18"/>
                <w:lang w:eastAsia="en-AU"/>
              </w:rPr>
            </w:pPr>
            <w:r w:rsidRPr="004F42BC">
              <w:rPr>
                <w:rFonts w:cs="Arial"/>
                <w:color w:val="000000"/>
                <w:sz w:val="18"/>
                <w:szCs w:val="18"/>
              </w:rPr>
              <w:t>68.9</w:t>
            </w:r>
          </w:p>
        </w:tc>
        <w:tc>
          <w:tcPr>
            <w:tcW w:w="1587" w:type="dxa"/>
            <w:tcBorders>
              <w:top w:val="nil"/>
              <w:left w:val="nil"/>
              <w:bottom w:val="nil"/>
              <w:right w:val="nil"/>
            </w:tcBorders>
            <w:shd w:val="clear" w:color="auto" w:fill="C7E4F3" w:themeFill="accent1" w:themeFillTint="33"/>
            <w:vAlign w:val="bottom"/>
          </w:tcPr>
          <w:p w14:paraId="242A0DAC" w14:textId="4FD6A226" w:rsidR="004F42BC" w:rsidRPr="004F42BC" w:rsidRDefault="004F42BC" w:rsidP="005B7B50">
            <w:pPr>
              <w:spacing w:before="40" w:after="40"/>
              <w:ind w:right="454"/>
              <w:jc w:val="right"/>
              <w:rPr>
                <w:rFonts w:cs="Arial"/>
                <w:color w:val="000000"/>
                <w:sz w:val="18"/>
                <w:szCs w:val="18"/>
              </w:rPr>
            </w:pPr>
            <w:r w:rsidRPr="004F42BC">
              <w:rPr>
                <w:rFonts w:cs="Arial"/>
                <w:color w:val="000000"/>
                <w:sz w:val="18"/>
                <w:szCs w:val="18"/>
              </w:rPr>
              <w:t>64.1</w:t>
            </w:r>
          </w:p>
        </w:tc>
        <w:tc>
          <w:tcPr>
            <w:tcW w:w="1361" w:type="dxa"/>
            <w:tcBorders>
              <w:top w:val="nil"/>
              <w:left w:val="nil"/>
              <w:bottom w:val="nil"/>
              <w:right w:val="nil"/>
            </w:tcBorders>
            <w:shd w:val="clear" w:color="auto" w:fill="C7E4F3" w:themeFill="accent1" w:themeFillTint="33"/>
            <w:vAlign w:val="bottom"/>
          </w:tcPr>
          <w:p w14:paraId="419258DF" w14:textId="37F8F634" w:rsidR="004F42BC" w:rsidRPr="004F42BC" w:rsidRDefault="004F42BC" w:rsidP="005B7B50">
            <w:pPr>
              <w:spacing w:before="40" w:after="40"/>
              <w:ind w:right="397"/>
              <w:jc w:val="right"/>
              <w:rPr>
                <w:rFonts w:cs="Arial"/>
                <w:color w:val="000000"/>
                <w:sz w:val="18"/>
                <w:szCs w:val="18"/>
              </w:rPr>
            </w:pPr>
            <w:r w:rsidRPr="004F42BC">
              <w:rPr>
                <w:rFonts w:cs="Arial"/>
                <w:color w:val="000000"/>
                <w:sz w:val="18"/>
                <w:szCs w:val="18"/>
              </w:rPr>
              <w:t>70.3</w:t>
            </w:r>
          </w:p>
        </w:tc>
        <w:tc>
          <w:tcPr>
            <w:tcW w:w="1020" w:type="dxa"/>
            <w:tcBorders>
              <w:top w:val="nil"/>
              <w:left w:val="nil"/>
              <w:bottom w:val="nil"/>
              <w:right w:val="nil"/>
            </w:tcBorders>
            <w:shd w:val="clear" w:color="auto" w:fill="C7E4F3" w:themeFill="accent1" w:themeFillTint="33"/>
            <w:vAlign w:val="bottom"/>
          </w:tcPr>
          <w:p w14:paraId="37F5BCD4" w14:textId="650A0606" w:rsidR="004F42BC" w:rsidRPr="004F42BC" w:rsidRDefault="004F42BC" w:rsidP="005B7B50">
            <w:pPr>
              <w:spacing w:before="40" w:after="40"/>
              <w:ind w:right="227"/>
              <w:jc w:val="right"/>
              <w:rPr>
                <w:rFonts w:cs="Arial"/>
                <w:color w:val="000000"/>
                <w:sz w:val="18"/>
                <w:szCs w:val="18"/>
              </w:rPr>
            </w:pPr>
            <w:r w:rsidRPr="004F42BC">
              <w:rPr>
                <w:rFonts w:cs="Arial"/>
                <w:color w:val="000000"/>
                <w:sz w:val="18"/>
                <w:szCs w:val="18"/>
              </w:rPr>
              <w:t>62.4</w:t>
            </w:r>
          </w:p>
        </w:tc>
        <w:tc>
          <w:tcPr>
            <w:tcW w:w="1134" w:type="dxa"/>
            <w:tcBorders>
              <w:top w:val="nil"/>
              <w:left w:val="nil"/>
              <w:bottom w:val="nil"/>
              <w:right w:val="nil"/>
            </w:tcBorders>
            <w:shd w:val="clear" w:color="auto" w:fill="C7E4F3" w:themeFill="accent1" w:themeFillTint="33"/>
            <w:vAlign w:val="bottom"/>
          </w:tcPr>
          <w:p w14:paraId="26682ADF" w14:textId="3353F3E3" w:rsidR="004F42BC" w:rsidRPr="004F42BC" w:rsidRDefault="004F42BC" w:rsidP="005B7B50">
            <w:pPr>
              <w:spacing w:before="40" w:after="40"/>
              <w:ind w:right="227"/>
              <w:jc w:val="right"/>
              <w:rPr>
                <w:rFonts w:cs="Arial"/>
                <w:color w:val="000000"/>
                <w:sz w:val="18"/>
                <w:szCs w:val="18"/>
              </w:rPr>
            </w:pPr>
            <w:r w:rsidRPr="004F42BC">
              <w:rPr>
                <w:rFonts w:cs="Arial"/>
                <w:color w:val="000000"/>
                <w:sz w:val="18"/>
                <w:szCs w:val="18"/>
              </w:rPr>
              <w:t>77.3</w:t>
            </w:r>
          </w:p>
        </w:tc>
        <w:tc>
          <w:tcPr>
            <w:tcW w:w="1134" w:type="dxa"/>
            <w:tcBorders>
              <w:top w:val="nil"/>
              <w:left w:val="nil"/>
              <w:bottom w:val="nil"/>
              <w:right w:val="nil"/>
            </w:tcBorders>
            <w:shd w:val="clear" w:color="auto" w:fill="C7E4F3" w:themeFill="accent1" w:themeFillTint="33"/>
            <w:vAlign w:val="bottom"/>
          </w:tcPr>
          <w:p w14:paraId="054167E9" w14:textId="051ECA9B" w:rsidR="004F42BC" w:rsidRPr="004F42BC" w:rsidRDefault="004F42BC" w:rsidP="005B7B50">
            <w:pPr>
              <w:spacing w:before="40" w:after="40"/>
              <w:ind w:right="227"/>
              <w:jc w:val="right"/>
              <w:rPr>
                <w:rFonts w:cs="Arial"/>
                <w:color w:val="000000"/>
                <w:sz w:val="18"/>
                <w:szCs w:val="18"/>
              </w:rPr>
            </w:pPr>
            <w:r w:rsidRPr="004F42BC">
              <w:rPr>
                <w:rFonts w:cs="Arial"/>
                <w:color w:val="000000"/>
                <w:sz w:val="18"/>
                <w:szCs w:val="18"/>
              </w:rPr>
              <w:t>76.6</w:t>
            </w:r>
          </w:p>
        </w:tc>
      </w:tr>
      <w:tr w:rsidR="00AD3CC9" w:rsidRPr="008B2C65" w14:paraId="3FA38A0C" w14:textId="77777777" w:rsidTr="00001A7D">
        <w:trPr>
          <w:trHeight w:val="80"/>
        </w:trPr>
        <w:tc>
          <w:tcPr>
            <w:tcW w:w="1814" w:type="dxa"/>
            <w:tcBorders>
              <w:top w:val="nil"/>
              <w:left w:val="nil"/>
              <w:bottom w:val="nil"/>
              <w:right w:val="nil"/>
            </w:tcBorders>
            <w:shd w:val="clear" w:color="auto" w:fill="58AEDA"/>
            <w:vAlign w:val="center"/>
            <w:hideMark/>
          </w:tcPr>
          <w:p w14:paraId="4DE38B32" w14:textId="17859987" w:rsidR="00AD3CC9" w:rsidRPr="008B2C65" w:rsidRDefault="0025300B" w:rsidP="00685143">
            <w:pPr>
              <w:spacing w:before="40" w:after="40"/>
              <w:rPr>
                <w:rFonts w:eastAsia="Times New Roman" w:cs="Arial"/>
                <w:b/>
                <w:bCs/>
                <w:color w:val="000000"/>
                <w:sz w:val="18"/>
                <w:szCs w:val="18"/>
                <w:lang w:eastAsia="en-AU"/>
              </w:rPr>
            </w:pPr>
            <w:r>
              <w:rPr>
                <w:rFonts w:eastAsia="Times New Roman" w:cs="Arial"/>
                <w:b/>
                <w:bCs/>
                <w:color w:val="000000"/>
                <w:sz w:val="18"/>
                <w:szCs w:val="18"/>
                <w:lang w:eastAsia="en-AU"/>
              </w:rPr>
              <w:t>Injury/illness</w:t>
            </w:r>
            <w:r w:rsidR="00AD3CC9" w:rsidRPr="008B2C65">
              <w:rPr>
                <w:rFonts w:eastAsia="Times New Roman" w:cs="Arial"/>
                <w:b/>
                <w:bCs/>
                <w:color w:val="000000"/>
                <w:sz w:val="18"/>
                <w:szCs w:val="18"/>
                <w:lang w:eastAsia="en-AU"/>
              </w:rPr>
              <w:t xml:space="preserve"> type </w:t>
            </w:r>
          </w:p>
        </w:tc>
        <w:tc>
          <w:tcPr>
            <w:tcW w:w="1020" w:type="dxa"/>
            <w:tcBorders>
              <w:top w:val="nil"/>
              <w:left w:val="nil"/>
              <w:bottom w:val="nil"/>
              <w:right w:val="nil"/>
            </w:tcBorders>
            <w:shd w:val="clear" w:color="auto" w:fill="58AEDA"/>
            <w:vAlign w:val="center"/>
            <w:hideMark/>
          </w:tcPr>
          <w:p w14:paraId="2D5FCA1E" w14:textId="77777777" w:rsidR="00AD3CC9" w:rsidRPr="00467D4A" w:rsidRDefault="00AD3CC9" w:rsidP="005B7B50">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587" w:type="dxa"/>
            <w:tcBorders>
              <w:top w:val="nil"/>
              <w:left w:val="nil"/>
              <w:bottom w:val="nil"/>
              <w:right w:val="nil"/>
            </w:tcBorders>
            <w:shd w:val="clear" w:color="auto" w:fill="58AEDA"/>
          </w:tcPr>
          <w:p w14:paraId="55E0A972" w14:textId="77777777" w:rsidR="00AD3CC9" w:rsidRPr="00467D4A" w:rsidRDefault="00AD3CC9" w:rsidP="005B7B50">
            <w:pPr>
              <w:spacing w:before="40" w:after="40"/>
              <w:ind w:right="454"/>
              <w:jc w:val="right"/>
              <w:rPr>
                <w:rFonts w:eastAsia="Times New Roman" w:cs="Arial"/>
                <w:sz w:val="18"/>
                <w:szCs w:val="18"/>
                <w:lang w:eastAsia="en-AU"/>
              </w:rPr>
            </w:pPr>
          </w:p>
        </w:tc>
        <w:tc>
          <w:tcPr>
            <w:tcW w:w="1361" w:type="dxa"/>
            <w:tcBorders>
              <w:top w:val="nil"/>
              <w:left w:val="nil"/>
              <w:bottom w:val="nil"/>
              <w:right w:val="nil"/>
            </w:tcBorders>
            <w:shd w:val="clear" w:color="auto" w:fill="58AEDA"/>
            <w:vAlign w:val="center"/>
            <w:hideMark/>
          </w:tcPr>
          <w:p w14:paraId="4ED9A947" w14:textId="7C5B4E88" w:rsidR="00AD3CC9" w:rsidRPr="00467D4A" w:rsidRDefault="00AD3CC9" w:rsidP="005B7B50">
            <w:pPr>
              <w:spacing w:before="40" w:after="40"/>
              <w:ind w:right="397"/>
              <w:jc w:val="right"/>
              <w:rPr>
                <w:rFonts w:eastAsia="Times New Roman" w:cs="Arial"/>
                <w:sz w:val="18"/>
                <w:szCs w:val="18"/>
                <w:lang w:eastAsia="en-AU"/>
              </w:rPr>
            </w:pPr>
            <w:r w:rsidRPr="00467D4A">
              <w:rPr>
                <w:rFonts w:eastAsia="Times New Roman" w:cs="Arial"/>
                <w:sz w:val="18"/>
                <w:szCs w:val="18"/>
                <w:lang w:eastAsia="en-AU"/>
              </w:rPr>
              <w:t> </w:t>
            </w:r>
          </w:p>
        </w:tc>
        <w:tc>
          <w:tcPr>
            <w:tcW w:w="1020" w:type="dxa"/>
            <w:tcBorders>
              <w:top w:val="nil"/>
              <w:left w:val="nil"/>
              <w:bottom w:val="nil"/>
              <w:right w:val="nil"/>
            </w:tcBorders>
            <w:shd w:val="clear" w:color="auto" w:fill="58AEDA"/>
          </w:tcPr>
          <w:p w14:paraId="37BF1A50" w14:textId="77777777" w:rsidR="00AD3CC9" w:rsidRPr="00467D4A" w:rsidRDefault="00AD3CC9" w:rsidP="005B7B50">
            <w:pPr>
              <w:spacing w:before="40" w:after="40"/>
              <w:ind w:right="227"/>
              <w:jc w:val="right"/>
              <w:rPr>
                <w:rFonts w:eastAsia="Times New Roman" w:cs="Arial"/>
                <w:sz w:val="18"/>
                <w:szCs w:val="18"/>
                <w:lang w:eastAsia="en-AU"/>
              </w:rPr>
            </w:pPr>
          </w:p>
        </w:tc>
        <w:tc>
          <w:tcPr>
            <w:tcW w:w="1134" w:type="dxa"/>
            <w:tcBorders>
              <w:top w:val="nil"/>
              <w:left w:val="nil"/>
              <w:bottom w:val="nil"/>
              <w:right w:val="nil"/>
            </w:tcBorders>
            <w:shd w:val="clear" w:color="auto" w:fill="58AEDA"/>
            <w:vAlign w:val="center"/>
            <w:hideMark/>
          </w:tcPr>
          <w:p w14:paraId="0F3FF478" w14:textId="6959DEA4" w:rsidR="00AD3CC9" w:rsidRPr="00467D4A" w:rsidRDefault="00AD3CC9" w:rsidP="005B7B50">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134" w:type="dxa"/>
            <w:tcBorders>
              <w:top w:val="nil"/>
              <w:left w:val="nil"/>
              <w:bottom w:val="nil"/>
              <w:right w:val="nil"/>
            </w:tcBorders>
            <w:shd w:val="clear" w:color="auto" w:fill="58AEDA"/>
            <w:vAlign w:val="center"/>
            <w:hideMark/>
          </w:tcPr>
          <w:p w14:paraId="239253BF" w14:textId="77777777" w:rsidR="00AD3CC9" w:rsidRPr="00467D4A" w:rsidRDefault="00AD3CC9" w:rsidP="005B7B50">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r>
      <w:tr w:rsidR="00624D3C" w:rsidRPr="008B2C65" w14:paraId="7E6CF064" w14:textId="77777777" w:rsidTr="00685143">
        <w:trPr>
          <w:trHeight w:val="80"/>
        </w:trPr>
        <w:tc>
          <w:tcPr>
            <w:tcW w:w="1814" w:type="dxa"/>
            <w:tcBorders>
              <w:top w:val="nil"/>
              <w:left w:val="nil"/>
              <w:bottom w:val="nil"/>
              <w:right w:val="nil"/>
            </w:tcBorders>
            <w:shd w:val="clear" w:color="000000" w:fill="C7E4F3"/>
            <w:vAlign w:val="center"/>
            <w:hideMark/>
          </w:tcPr>
          <w:p w14:paraId="7FF3C905" w14:textId="77777777" w:rsidR="00624D3C" w:rsidRPr="008B2C65" w:rsidRDefault="00624D3C" w:rsidP="00624D3C">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Fractures</w:t>
            </w:r>
          </w:p>
        </w:tc>
        <w:tc>
          <w:tcPr>
            <w:tcW w:w="1020" w:type="dxa"/>
            <w:tcBorders>
              <w:top w:val="nil"/>
              <w:left w:val="nil"/>
              <w:bottom w:val="nil"/>
              <w:right w:val="nil"/>
            </w:tcBorders>
            <w:shd w:val="clear" w:color="000000" w:fill="C7E4F3"/>
            <w:vAlign w:val="bottom"/>
          </w:tcPr>
          <w:p w14:paraId="4673BCC7" w14:textId="5D5AAFE6" w:rsidR="00624D3C" w:rsidRPr="00624D3C" w:rsidRDefault="00624D3C" w:rsidP="005B7B50">
            <w:pPr>
              <w:spacing w:before="40" w:after="40"/>
              <w:ind w:right="227"/>
              <w:jc w:val="right"/>
              <w:rPr>
                <w:rFonts w:cs="Arial"/>
                <w:color w:val="000000"/>
                <w:sz w:val="18"/>
              </w:rPr>
            </w:pPr>
            <w:r w:rsidRPr="00624D3C">
              <w:rPr>
                <w:rFonts w:cs="Arial"/>
                <w:color w:val="000000"/>
                <w:sz w:val="18"/>
              </w:rPr>
              <w:t>86.4</w:t>
            </w:r>
            <w:r>
              <w:rPr>
                <w:rFonts w:cs="Arial"/>
                <w:color w:val="000000"/>
                <w:sz w:val="18"/>
              </w:rPr>
              <w:t>**</w:t>
            </w:r>
          </w:p>
        </w:tc>
        <w:tc>
          <w:tcPr>
            <w:tcW w:w="1587" w:type="dxa"/>
            <w:tcBorders>
              <w:top w:val="nil"/>
              <w:left w:val="nil"/>
              <w:bottom w:val="nil"/>
              <w:right w:val="nil"/>
            </w:tcBorders>
            <w:shd w:val="clear" w:color="000000" w:fill="C7E4F3"/>
            <w:vAlign w:val="bottom"/>
          </w:tcPr>
          <w:p w14:paraId="4A4074C4" w14:textId="527C3F91" w:rsidR="00624D3C" w:rsidRPr="00624D3C" w:rsidRDefault="00624D3C" w:rsidP="005B7B50">
            <w:pPr>
              <w:spacing w:before="40" w:after="40"/>
              <w:ind w:right="454"/>
              <w:jc w:val="right"/>
              <w:rPr>
                <w:rFonts w:cs="Arial"/>
                <w:color w:val="000000"/>
                <w:sz w:val="18"/>
              </w:rPr>
            </w:pPr>
            <w:r w:rsidRPr="00624D3C">
              <w:rPr>
                <w:rFonts w:cs="Arial"/>
                <w:color w:val="000000"/>
                <w:sz w:val="18"/>
              </w:rPr>
              <w:t>83.0</w:t>
            </w:r>
            <w:r>
              <w:rPr>
                <w:rFonts w:cs="Arial"/>
                <w:color w:val="000000"/>
                <w:sz w:val="18"/>
              </w:rPr>
              <w:t>**</w:t>
            </w:r>
          </w:p>
        </w:tc>
        <w:tc>
          <w:tcPr>
            <w:tcW w:w="1361" w:type="dxa"/>
            <w:tcBorders>
              <w:top w:val="nil"/>
              <w:left w:val="nil"/>
              <w:bottom w:val="nil"/>
              <w:right w:val="nil"/>
            </w:tcBorders>
            <w:shd w:val="clear" w:color="000000" w:fill="C7E4F3"/>
            <w:vAlign w:val="bottom"/>
          </w:tcPr>
          <w:p w14:paraId="611DF0CA" w14:textId="1BACA71B" w:rsidR="00624D3C" w:rsidRPr="00624D3C" w:rsidRDefault="00624D3C" w:rsidP="005B7B50">
            <w:pPr>
              <w:spacing w:before="40" w:after="40"/>
              <w:ind w:right="397"/>
              <w:jc w:val="right"/>
              <w:rPr>
                <w:rFonts w:cs="Arial"/>
                <w:color w:val="000000"/>
                <w:sz w:val="18"/>
              </w:rPr>
            </w:pPr>
            <w:r w:rsidRPr="00624D3C">
              <w:rPr>
                <w:rFonts w:cs="Arial"/>
                <w:color w:val="000000"/>
                <w:sz w:val="18"/>
              </w:rPr>
              <w:t>83.0</w:t>
            </w:r>
            <w:r>
              <w:rPr>
                <w:rFonts w:cs="Arial"/>
                <w:color w:val="000000"/>
                <w:sz w:val="18"/>
              </w:rPr>
              <w:t>**</w:t>
            </w:r>
          </w:p>
        </w:tc>
        <w:tc>
          <w:tcPr>
            <w:tcW w:w="1020" w:type="dxa"/>
            <w:tcBorders>
              <w:top w:val="nil"/>
              <w:left w:val="nil"/>
              <w:bottom w:val="nil"/>
              <w:right w:val="nil"/>
            </w:tcBorders>
            <w:shd w:val="clear" w:color="000000" w:fill="C7E4F3"/>
            <w:vAlign w:val="bottom"/>
          </w:tcPr>
          <w:p w14:paraId="6153D8D3" w14:textId="3863F88E" w:rsidR="00624D3C" w:rsidRPr="00624D3C" w:rsidRDefault="00624D3C" w:rsidP="005B7B50">
            <w:pPr>
              <w:spacing w:before="40" w:after="40"/>
              <w:ind w:right="227"/>
              <w:jc w:val="right"/>
              <w:rPr>
                <w:rFonts w:cs="Arial"/>
                <w:color w:val="000000"/>
                <w:sz w:val="18"/>
              </w:rPr>
            </w:pPr>
            <w:r w:rsidRPr="00624D3C">
              <w:rPr>
                <w:rFonts w:cs="Arial"/>
                <w:color w:val="000000"/>
                <w:sz w:val="18"/>
              </w:rPr>
              <w:t>73.5</w:t>
            </w:r>
            <w:r>
              <w:rPr>
                <w:rFonts w:cs="Arial"/>
                <w:color w:val="000000"/>
                <w:sz w:val="18"/>
              </w:rPr>
              <w:t>**</w:t>
            </w:r>
          </w:p>
        </w:tc>
        <w:tc>
          <w:tcPr>
            <w:tcW w:w="1134" w:type="dxa"/>
            <w:tcBorders>
              <w:top w:val="nil"/>
              <w:left w:val="nil"/>
              <w:bottom w:val="nil"/>
              <w:right w:val="nil"/>
            </w:tcBorders>
            <w:shd w:val="clear" w:color="000000" w:fill="C7E4F3"/>
            <w:vAlign w:val="bottom"/>
          </w:tcPr>
          <w:p w14:paraId="54AB4EB2" w14:textId="20168947" w:rsidR="00624D3C" w:rsidRPr="00624D3C" w:rsidRDefault="00624D3C" w:rsidP="005B7B50">
            <w:pPr>
              <w:spacing w:before="40" w:after="40"/>
              <w:ind w:right="227"/>
              <w:jc w:val="right"/>
              <w:rPr>
                <w:rFonts w:cs="Arial"/>
                <w:color w:val="000000"/>
                <w:sz w:val="18"/>
              </w:rPr>
            </w:pPr>
            <w:r w:rsidRPr="00624D3C">
              <w:rPr>
                <w:rFonts w:cs="Arial"/>
                <w:color w:val="000000"/>
                <w:sz w:val="18"/>
              </w:rPr>
              <w:t>87.4</w:t>
            </w:r>
            <w:r>
              <w:rPr>
                <w:rFonts w:cs="Arial"/>
                <w:color w:val="000000"/>
                <w:sz w:val="18"/>
              </w:rPr>
              <w:t>**</w:t>
            </w:r>
          </w:p>
        </w:tc>
        <w:tc>
          <w:tcPr>
            <w:tcW w:w="1134" w:type="dxa"/>
            <w:tcBorders>
              <w:top w:val="nil"/>
              <w:left w:val="nil"/>
              <w:bottom w:val="nil"/>
              <w:right w:val="nil"/>
            </w:tcBorders>
            <w:shd w:val="clear" w:color="000000" w:fill="C7E4F3"/>
            <w:vAlign w:val="bottom"/>
          </w:tcPr>
          <w:p w14:paraId="4AF6F049" w14:textId="777A3BE8" w:rsidR="00624D3C" w:rsidRPr="00624D3C" w:rsidRDefault="00624D3C" w:rsidP="005B7B50">
            <w:pPr>
              <w:spacing w:before="40" w:after="40"/>
              <w:ind w:right="227"/>
              <w:jc w:val="right"/>
              <w:rPr>
                <w:rFonts w:cs="Arial"/>
                <w:color w:val="000000"/>
                <w:sz w:val="18"/>
              </w:rPr>
            </w:pPr>
            <w:r w:rsidRPr="00624D3C">
              <w:rPr>
                <w:rFonts w:cs="Arial"/>
                <w:color w:val="000000"/>
                <w:sz w:val="18"/>
              </w:rPr>
              <w:t>86.1</w:t>
            </w:r>
            <w:r>
              <w:rPr>
                <w:rFonts w:cs="Arial"/>
                <w:color w:val="000000"/>
                <w:sz w:val="18"/>
              </w:rPr>
              <w:t>**</w:t>
            </w:r>
          </w:p>
        </w:tc>
      </w:tr>
      <w:tr w:rsidR="00624D3C" w:rsidRPr="008B2C65" w14:paraId="06873E0F" w14:textId="77777777" w:rsidTr="00685143">
        <w:trPr>
          <w:trHeight w:val="80"/>
        </w:trPr>
        <w:tc>
          <w:tcPr>
            <w:tcW w:w="1814" w:type="dxa"/>
            <w:tcBorders>
              <w:top w:val="nil"/>
              <w:left w:val="nil"/>
              <w:bottom w:val="nil"/>
              <w:right w:val="nil"/>
            </w:tcBorders>
            <w:shd w:val="clear" w:color="auto" w:fill="auto"/>
            <w:vAlign w:val="center"/>
            <w:hideMark/>
          </w:tcPr>
          <w:p w14:paraId="344F1E4C" w14:textId="77777777" w:rsidR="00624D3C" w:rsidRPr="008B2C65" w:rsidRDefault="00624D3C" w:rsidP="00624D3C">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Musculoskeletal disorders</w:t>
            </w:r>
          </w:p>
        </w:tc>
        <w:tc>
          <w:tcPr>
            <w:tcW w:w="1020" w:type="dxa"/>
            <w:tcBorders>
              <w:top w:val="nil"/>
              <w:left w:val="nil"/>
              <w:bottom w:val="nil"/>
              <w:right w:val="nil"/>
            </w:tcBorders>
            <w:shd w:val="clear" w:color="auto" w:fill="auto"/>
            <w:vAlign w:val="bottom"/>
          </w:tcPr>
          <w:p w14:paraId="5A4A07B9" w14:textId="53A2D1C1" w:rsidR="00624D3C" w:rsidRPr="00624D3C" w:rsidRDefault="00624D3C" w:rsidP="005B7B50">
            <w:pPr>
              <w:spacing w:before="40" w:after="40"/>
              <w:ind w:right="227"/>
              <w:jc w:val="right"/>
              <w:rPr>
                <w:rFonts w:cs="Arial"/>
                <w:color w:val="000000"/>
                <w:sz w:val="18"/>
              </w:rPr>
            </w:pPr>
            <w:r w:rsidRPr="00624D3C">
              <w:rPr>
                <w:rFonts w:cs="Arial"/>
                <w:color w:val="000000"/>
                <w:sz w:val="18"/>
              </w:rPr>
              <w:t>73.5</w:t>
            </w:r>
          </w:p>
        </w:tc>
        <w:tc>
          <w:tcPr>
            <w:tcW w:w="1587" w:type="dxa"/>
            <w:tcBorders>
              <w:top w:val="nil"/>
              <w:left w:val="nil"/>
              <w:bottom w:val="nil"/>
              <w:right w:val="nil"/>
            </w:tcBorders>
            <w:vAlign w:val="bottom"/>
          </w:tcPr>
          <w:p w14:paraId="2A0398B9" w14:textId="03D848EC" w:rsidR="00624D3C" w:rsidRPr="00624D3C" w:rsidRDefault="00624D3C" w:rsidP="005B7B50">
            <w:pPr>
              <w:spacing w:before="40" w:after="40"/>
              <w:ind w:right="454"/>
              <w:jc w:val="right"/>
              <w:rPr>
                <w:rFonts w:cs="Arial"/>
                <w:color w:val="000000"/>
                <w:sz w:val="18"/>
              </w:rPr>
            </w:pPr>
            <w:r w:rsidRPr="00624D3C">
              <w:rPr>
                <w:rFonts w:cs="Arial"/>
                <w:color w:val="000000"/>
                <w:sz w:val="18"/>
              </w:rPr>
              <w:t>65.8</w:t>
            </w:r>
            <w:r>
              <w:rPr>
                <w:rFonts w:cs="Arial"/>
                <w:color w:val="000000"/>
                <w:sz w:val="18"/>
              </w:rPr>
              <w:t>*</w:t>
            </w:r>
          </w:p>
        </w:tc>
        <w:tc>
          <w:tcPr>
            <w:tcW w:w="1361" w:type="dxa"/>
            <w:tcBorders>
              <w:top w:val="nil"/>
              <w:left w:val="nil"/>
              <w:bottom w:val="nil"/>
              <w:right w:val="nil"/>
            </w:tcBorders>
            <w:shd w:val="clear" w:color="auto" w:fill="auto"/>
            <w:vAlign w:val="bottom"/>
          </w:tcPr>
          <w:p w14:paraId="6517344C" w14:textId="7E8D8078" w:rsidR="00624D3C" w:rsidRPr="00624D3C" w:rsidRDefault="00624D3C" w:rsidP="005B7B50">
            <w:pPr>
              <w:spacing w:before="40" w:after="40"/>
              <w:ind w:right="397"/>
              <w:jc w:val="right"/>
              <w:rPr>
                <w:rFonts w:cs="Arial"/>
                <w:color w:val="000000"/>
                <w:sz w:val="18"/>
              </w:rPr>
            </w:pPr>
            <w:r w:rsidRPr="00624D3C">
              <w:rPr>
                <w:rFonts w:cs="Arial"/>
                <w:color w:val="000000"/>
                <w:sz w:val="18"/>
              </w:rPr>
              <w:t>69.9</w:t>
            </w:r>
          </w:p>
        </w:tc>
        <w:tc>
          <w:tcPr>
            <w:tcW w:w="1020" w:type="dxa"/>
            <w:tcBorders>
              <w:top w:val="nil"/>
              <w:left w:val="nil"/>
              <w:bottom w:val="nil"/>
              <w:right w:val="nil"/>
            </w:tcBorders>
            <w:vAlign w:val="bottom"/>
          </w:tcPr>
          <w:p w14:paraId="10D09C01" w14:textId="15866B64" w:rsidR="00624D3C" w:rsidRPr="00624D3C" w:rsidRDefault="00624D3C" w:rsidP="005B7B50">
            <w:pPr>
              <w:spacing w:before="40" w:after="40"/>
              <w:ind w:right="227"/>
              <w:jc w:val="right"/>
              <w:rPr>
                <w:rFonts w:cs="Arial"/>
                <w:color w:val="000000"/>
                <w:sz w:val="18"/>
              </w:rPr>
            </w:pPr>
            <w:r w:rsidRPr="00624D3C">
              <w:rPr>
                <w:rFonts w:cs="Arial"/>
                <w:color w:val="000000"/>
                <w:sz w:val="18"/>
              </w:rPr>
              <w:t>66.0</w:t>
            </w:r>
          </w:p>
        </w:tc>
        <w:tc>
          <w:tcPr>
            <w:tcW w:w="1134" w:type="dxa"/>
            <w:tcBorders>
              <w:top w:val="nil"/>
              <w:left w:val="nil"/>
              <w:bottom w:val="nil"/>
              <w:right w:val="nil"/>
            </w:tcBorders>
            <w:shd w:val="clear" w:color="auto" w:fill="auto"/>
            <w:vAlign w:val="bottom"/>
          </w:tcPr>
          <w:p w14:paraId="463E3D9F" w14:textId="60D28F1A" w:rsidR="00624D3C" w:rsidRPr="00624D3C" w:rsidRDefault="00624D3C" w:rsidP="005B7B50">
            <w:pPr>
              <w:spacing w:before="40" w:after="40"/>
              <w:ind w:right="227"/>
              <w:jc w:val="right"/>
              <w:rPr>
                <w:rFonts w:cs="Arial"/>
                <w:color w:val="000000"/>
                <w:sz w:val="18"/>
              </w:rPr>
            </w:pPr>
            <w:r w:rsidRPr="00624D3C">
              <w:rPr>
                <w:rFonts w:cs="Arial"/>
                <w:color w:val="000000"/>
                <w:sz w:val="18"/>
              </w:rPr>
              <w:t>78.6</w:t>
            </w:r>
          </w:p>
        </w:tc>
        <w:tc>
          <w:tcPr>
            <w:tcW w:w="1134" w:type="dxa"/>
            <w:tcBorders>
              <w:top w:val="nil"/>
              <w:left w:val="nil"/>
              <w:bottom w:val="nil"/>
              <w:right w:val="nil"/>
            </w:tcBorders>
            <w:shd w:val="clear" w:color="auto" w:fill="auto"/>
            <w:vAlign w:val="bottom"/>
          </w:tcPr>
          <w:p w14:paraId="5CCED9D2" w14:textId="08C8C5FF" w:rsidR="00624D3C" w:rsidRPr="00624D3C" w:rsidRDefault="00624D3C" w:rsidP="005B7B50">
            <w:pPr>
              <w:spacing w:before="40" w:after="40"/>
              <w:ind w:right="227"/>
              <w:jc w:val="right"/>
              <w:rPr>
                <w:rFonts w:cs="Arial"/>
                <w:color w:val="000000"/>
                <w:sz w:val="18"/>
              </w:rPr>
            </w:pPr>
            <w:r w:rsidRPr="00624D3C">
              <w:rPr>
                <w:rFonts w:cs="Arial"/>
                <w:color w:val="000000"/>
                <w:sz w:val="18"/>
              </w:rPr>
              <w:t>79.6</w:t>
            </w:r>
          </w:p>
        </w:tc>
      </w:tr>
      <w:tr w:rsidR="00624D3C" w:rsidRPr="008B2C65" w14:paraId="5DC359BB" w14:textId="77777777" w:rsidTr="00685143">
        <w:trPr>
          <w:trHeight w:val="80"/>
        </w:trPr>
        <w:tc>
          <w:tcPr>
            <w:tcW w:w="1814" w:type="dxa"/>
            <w:tcBorders>
              <w:top w:val="nil"/>
              <w:left w:val="nil"/>
              <w:bottom w:val="nil"/>
              <w:right w:val="nil"/>
            </w:tcBorders>
            <w:shd w:val="clear" w:color="000000" w:fill="C7E4F3"/>
            <w:vAlign w:val="center"/>
            <w:hideMark/>
          </w:tcPr>
          <w:p w14:paraId="0D648717" w14:textId="77777777" w:rsidR="00624D3C" w:rsidRPr="008B2C65" w:rsidRDefault="00624D3C" w:rsidP="00624D3C">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Other trauma</w:t>
            </w:r>
          </w:p>
        </w:tc>
        <w:tc>
          <w:tcPr>
            <w:tcW w:w="1020" w:type="dxa"/>
            <w:tcBorders>
              <w:top w:val="nil"/>
              <w:left w:val="nil"/>
              <w:bottom w:val="nil"/>
              <w:right w:val="nil"/>
            </w:tcBorders>
            <w:shd w:val="clear" w:color="000000" w:fill="C7E4F3"/>
            <w:vAlign w:val="bottom"/>
          </w:tcPr>
          <w:p w14:paraId="649F3553" w14:textId="206FD7F5" w:rsidR="00624D3C" w:rsidRPr="00624D3C" w:rsidRDefault="00624D3C" w:rsidP="005B7B50">
            <w:pPr>
              <w:spacing w:before="40" w:after="40"/>
              <w:ind w:right="227"/>
              <w:jc w:val="right"/>
              <w:rPr>
                <w:rFonts w:cs="Arial"/>
                <w:color w:val="000000"/>
                <w:sz w:val="18"/>
              </w:rPr>
            </w:pPr>
            <w:r w:rsidRPr="00624D3C">
              <w:rPr>
                <w:rFonts w:cs="Arial"/>
                <w:color w:val="000000"/>
                <w:sz w:val="18"/>
              </w:rPr>
              <w:t>79.6</w:t>
            </w:r>
            <w:r>
              <w:rPr>
                <w:rFonts w:cs="Arial"/>
                <w:color w:val="000000"/>
                <w:sz w:val="18"/>
              </w:rPr>
              <w:t>**</w:t>
            </w:r>
          </w:p>
        </w:tc>
        <w:tc>
          <w:tcPr>
            <w:tcW w:w="1587" w:type="dxa"/>
            <w:tcBorders>
              <w:top w:val="nil"/>
              <w:left w:val="nil"/>
              <w:bottom w:val="nil"/>
              <w:right w:val="nil"/>
            </w:tcBorders>
            <w:shd w:val="clear" w:color="000000" w:fill="C7E4F3"/>
            <w:vAlign w:val="bottom"/>
          </w:tcPr>
          <w:p w14:paraId="0A7A5F1B" w14:textId="457064D0" w:rsidR="00624D3C" w:rsidRPr="00624D3C" w:rsidRDefault="00624D3C" w:rsidP="005B7B50">
            <w:pPr>
              <w:spacing w:before="40" w:after="40"/>
              <w:ind w:right="454"/>
              <w:jc w:val="right"/>
              <w:rPr>
                <w:rFonts w:cs="Arial"/>
                <w:color w:val="000000"/>
                <w:sz w:val="18"/>
              </w:rPr>
            </w:pPr>
            <w:r w:rsidRPr="00624D3C">
              <w:rPr>
                <w:rFonts w:cs="Arial"/>
                <w:color w:val="000000"/>
                <w:sz w:val="18"/>
              </w:rPr>
              <w:t>74.0</w:t>
            </w:r>
            <w:r>
              <w:rPr>
                <w:rFonts w:cs="Arial"/>
                <w:color w:val="000000"/>
                <w:sz w:val="18"/>
              </w:rPr>
              <w:t>**</w:t>
            </w:r>
          </w:p>
        </w:tc>
        <w:tc>
          <w:tcPr>
            <w:tcW w:w="1361" w:type="dxa"/>
            <w:tcBorders>
              <w:top w:val="nil"/>
              <w:left w:val="nil"/>
              <w:bottom w:val="nil"/>
              <w:right w:val="nil"/>
            </w:tcBorders>
            <w:shd w:val="clear" w:color="000000" w:fill="C7E4F3"/>
            <w:vAlign w:val="bottom"/>
          </w:tcPr>
          <w:p w14:paraId="4ACDA54A" w14:textId="0EF3245B" w:rsidR="00624D3C" w:rsidRPr="00624D3C" w:rsidRDefault="00624D3C" w:rsidP="005B7B50">
            <w:pPr>
              <w:spacing w:before="40" w:after="40"/>
              <w:ind w:right="397"/>
              <w:jc w:val="right"/>
              <w:rPr>
                <w:rFonts w:cs="Arial"/>
                <w:color w:val="000000"/>
                <w:sz w:val="18"/>
              </w:rPr>
            </w:pPr>
            <w:r w:rsidRPr="00624D3C">
              <w:rPr>
                <w:rFonts w:cs="Arial"/>
                <w:color w:val="000000"/>
                <w:sz w:val="18"/>
              </w:rPr>
              <w:t>75.3</w:t>
            </w:r>
          </w:p>
        </w:tc>
        <w:tc>
          <w:tcPr>
            <w:tcW w:w="1020" w:type="dxa"/>
            <w:tcBorders>
              <w:top w:val="nil"/>
              <w:left w:val="nil"/>
              <w:bottom w:val="nil"/>
              <w:right w:val="nil"/>
            </w:tcBorders>
            <w:shd w:val="clear" w:color="000000" w:fill="C7E4F3"/>
            <w:vAlign w:val="bottom"/>
          </w:tcPr>
          <w:p w14:paraId="734EEBE7" w14:textId="20C67D58" w:rsidR="00624D3C" w:rsidRPr="00624D3C" w:rsidRDefault="00624D3C" w:rsidP="005B7B50">
            <w:pPr>
              <w:spacing w:before="40" w:after="40"/>
              <w:ind w:right="227"/>
              <w:jc w:val="right"/>
              <w:rPr>
                <w:rFonts w:cs="Arial"/>
                <w:color w:val="000000"/>
                <w:sz w:val="18"/>
              </w:rPr>
            </w:pPr>
            <w:r w:rsidRPr="00624D3C">
              <w:rPr>
                <w:rFonts w:cs="Arial"/>
                <w:color w:val="000000"/>
                <w:sz w:val="18"/>
              </w:rPr>
              <w:t>64.7</w:t>
            </w:r>
          </w:p>
        </w:tc>
        <w:tc>
          <w:tcPr>
            <w:tcW w:w="1134" w:type="dxa"/>
            <w:tcBorders>
              <w:top w:val="nil"/>
              <w:left w:val="nil"/>
              <w:bottom w:val="nil"/>
              <w:right w:val="nil"/>
            </w:tcBorders>
            <w:shd w:val="clear" w:color="000000" w:fill="C7E4F3"/>
            <w:vAlign w:val="bottom"/>
          </w:tcPr>
          <w:p w14:paraId="4E4AF68D" w14:textId="79C35AFA" w:rsidR="00624D3C" w:rsidRPr="00624D3C" w:rsidRDefault="00624D3C" w:rsidP="005B7B50">
            <w:pPr>
              <w:spacing w:before="40" w:after="40"/>
              <w:ind w:right="227"/>
              <w:jc w:val="right"/>
              <w:rPr>
                <w:rFonts w:cs="Arial"/>
                <w:color w:val="000000"/>
                <w:sz w:val="18"/>
              </w:rPr>
            </w:pPr>
            <w:r w:rsidRPr="00624D3C">
              <w:rPr>
                <w:rFonts w:cs="Arial"/>
                <w:color w:val="000000"/>
                <w:sz w:val="18"/>
              </w:rPr>
              <w:t>82.8</w:t>
            </w:r>
          </w:p>
        </w:tc>
        <w:tc>
          <w:tcPr>
            <w:tcW w:w="1134" w:type="dxa"/>
            <w:tcBorders>
              <w:top w:val="nil"/>
              <w:left w:val="nil"/>
              <w:bottom w:val="nil"/>
              <w:right w:val="nil"/>
            </w:tcBorders>
            <w:shd w:val="clear" w:color="000000" w:fill="C7E4F3"/>
            <w:vAlign w:val="bottom"/>
          </w:tcPr>
          <w:p w14:paraId="2CE163EE" w14:textId="568629FF" w:rsidR="00624D3C" w:rsidRPr="00624D3C" w:rsidRDefault="00624D3C" w:rsidP="005B7B50">
            <w:pPr>
              <w:spacing w:before="40" w:after="40"/>
              <w:ind w:right="227"/>
              <w:jc w:val="right"/>
              <w:rPr>
                <w:rFonts w:cs="Arial"/>
                <w:color w:val="000000"/>
                <w:sz w:val="18"/>
              </w:rPr>
            </w:pPr>
            <w:r w:rsidRPr="00624D3C">
              <w:rPr>
                <w:rFonts w:cs="Arial"/>
                <w:color w:val="000000"/>
                <w:sz w:val="18"/>
              </w:rPr>
              <w:t>82.7</w:t>
            </w:r>
          </w:p>
        </w:tc>
      </w:tr>
      <w:tr w:rsidR="00624D3C" w:rsidRPr="008B2C65" w14:paraId="2EC95D92" w14:textId="77777777" w:rsidTr="00685143">
        <w:trPr>
          <w:trHeight w:val="80"/>
        </w:trPr>
        <w:tc>
          <w:tcPr>
            <w:tcW w:w="1814" w:type="dxa"/>
            <w:tcBorders>
              <w:top w:val="nil"/>
              <w:left w:val="nil"/>
              <w:bottom w:val="nil"/>
              <w:right w:val="nil"/>
            </w:tcBorders>
            <w:shd w:val="clear" w:color="auto" w:fill="auto"/>
            <w:vAlign w:val="center"/>
            <w:hideMark/>
          </w:tcPr>
          <w:p w14:paraId="2A564496" w14:textId="77777777" w:rsidR="00624D3C" w:rsidRPr="008B2C65" w:rsidRDefault="00624D3C" w:rsidP="00624D3C">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Mental illness</w:t>
            </w:r>
          </w:p>
        </w:tc>
        <w:tc>
          <w:tcPr>
            <w:tcW w:w="1020" w:type="dxa"/>
            <w:tcBorders>
              <w:top w:val="nil"/>
              <w:left w:val="nil"/>
              <w:bottom w:val="nil"/>
              <w:right w:val="nil"/>
            </w:tcBorders>
            <w:shd w:val="clear" w:color="auto" w:fill="auto"/>
            <w:vAlign w:val="bottom"/>
          </w:tcPr>
          <w:p w14:paraId="4A91E650" w14:textId="1B72328B" w:rsidR="00624D3C" w:rsidRPr="00624D3C" w:rsidRDefault="00624D3C" w:rsidP="005B7B50">
            <w:pPr>
              <w:spacing w:before="40" w:after="40"/>
              <w:ind w:right="227"/>
              <w:jc w:val="right"/>
              <w:rPr>
                <w:rFonts w:cs="Arial"/>
                <w:color w:val="000000"/>
                <w:sz w:val="18"/>
              </w:rPr>
            </w:pPr>
            <w:r w:rsidRPr="00624D3C">
              <w:rPr>
                <w:rFonts w:cs="Arial"/>
                <w:color w:val="000000"/>
                <w:sz w:val="18"/>
              </w:rPr>
              <w:t>30.1</w:t>
            </w:r>
            <w:r>
              <w:rPr>
                <w:rFonts w:cs="Arial"/>
                <w:color w:val="000000"/>
                <w:sz w:val="18"/>
              </w:rPr>
              <w:t>*</w:t>
            </w:r>
          </w:p>
        </w:tc>
        <w:tc>
          <w:tcPr>
            <w:tcW w:w="1587" w:type="dxa"/>
            <w:tcBorders>
              <w:top w:val="nil"/>
              <w:left w:val="nil"/>
              <w:bottom w:val="nil"/>
              <w:right w:val="nil"/>
            </w:tcBorders>
            <w:vAlign w:val="bottom"/>
          </w:tcPr>
          <w:p w14:paraId="5E0F8F97" w14:textId="0709C9CE" w:rsidR="00624D3C" w:rsidRPr="00624D3C" w:rsidRDefault="00624D3C" w:rsidP="005B7B50">
            <w:pPr>
              <w:spacing w:before="40" w:after="40"/>
              <w:ind w:right="454"/>
              <w:jc w:val="right"/>
              <w:rPr>
                <w:rFonts w:cs="Arial"/>
                <w:color w:val="000000"/>
                <w:sz w:val="18"/>
              </w:rPr>
            </w:pPr>
            <w:r w:rsidRPr="00624D3C">
              <w:rPr>
                <w:rFonts w:cs="Arial"/>
                <w:color w:val="000000"/>
                <w:sz w:val="18"/>
              </w:rPr>
              <w:t>33.1</w:t>
            </w:r>
            <w:r>
              <w:rPr>
                <w:rFonts w:cs="Arial"/>
                <w:color w:val="000000"/>
                <w:sz w:val="18"/>
              </w:rPr>
              <w:t>*</w:t>
            </w:r>
          </w:p>
        </w:tc>
        <w:tc>
          <w:tcPr>
            <w:tcW w:w="1361" w:type="dxa"/>
            <w:tcBorders>
              <w:top w:val="nil"/>
              <w:left w:val="nil"/>
              <w:bottom w:val="nil"/>
              <w:right w:val="nil"/>
            </w:tcBorders>
            <w:shd w:val="clear" w:color="auto" w:fill="auto"/>
            <w:vAlign w:val="bottom"/>
          </w:tcPr>
          <w:p w14:paraId="5A3D7143" w14:textId="1D8F8601" w:rsidR="00624D3C" w:rsidRPr="00624D3C" w:rsidRDefault="00624D3C" w:rsidP="005B7B50">
            <w:pPr>
              <w:spacing w:before="40" w:after="40"/>
              <w:ind w:right="397"/>
              <w:jc w:val="right"/>
              <w:rPr>
                <w:rFonts w:cs="Arial"/>
                <w:color w:val="000000"/>
                <w:sz w:val="18"/>
              </w:rPr>
            </w:pPr>
            <w:r w:rsidRPr="00624D3C">
              <w:rPr>
                <w:rFonts w:cs="Arial"/>
                <w:color w:val="000000"/>
                <w:sz w:val="18"/>
              </w:rPr>
              <w:t>37.5</w:t>
            </w:r>
            <w:r>
              <w:rPr>
                <w:rFonts w:cs="Arial"/>
                <w:color w:val="000000"/>
                <w:sz w:val="18"/>
              </w:rPr>
              <w:t>*</w:t>
            </w:r>
          </w:p>
        </w:tc>
        <w:tc>
          <w:tcPr>
            <w:tcW w:w="1020" w:type="dxa"/>
            <w:tcBorders>
              <w:top w:val="nil"/>
              <w:left w:val="nil"/>
              <w:bottom w:val="nil"/>
              <w:right w:val="nil"/>
            </w:tcBorders>
            <w:vAlign w:val="bottom"/>
          </w:tcPr>
          <w:p w14:paraId="2C2DD81E" w14:textId="2614A79C" w:rsidR="00624D3C" w:rsidRPr="00624D3C" w:rsidRDefault="00624D3C" w:rsidP="005B7B50">
            <w:pPr>
              <w:spacing w:before="40" w:after="40"/>
              <w:ind w:right="227"/>
              <w:jc w:val="right"/>
              <w:rPr>
                <w:rFonts w:cs="Arial"/>
                <w:color w:val="000000"/>
                <w:sz w:val="18"/>
              </w:rPr>
            </w:pPr>
            <w:r w:rsidRPr="00624D3C">
              <w:rPr>
                <w:rFonts w:cs="Arial"/>
                <w:color w:val="000000"/>
                <w:sz w:val="18"/>
              </w:rPr>
              <w:t>28.4</w:t>
            </w:r>
            <w:r>
              <w:rPr>
                <w:rFonts w:cs="Arial"/>
                <w:color w:val="000000"/>
                <w:sz w:val="18"/>
              </w:rPr>
              <w:t>*</w:t>
            </w:r>
          </w:p>
        </w:tc>
        <w:tc>
          <w:tcPr>
            <w:tcW w:w="1134" w:type="dxa"/>
            <w:tcBorders>
              <w:top w:val="nil"/>
              <w:left w:val="nil"/>
              <w:bottom w:val="nil"/>
              <w:right w:val="nil"/>
            </w:tcBorders>
            <w:shd w:val="clear" w:color="auto" w:fill="auto"/>
            <w:vAlign w:val="bottom"/>
          </w:tcPr>
          <w:p w14:paraId="022F0E41" w14:textId="016EDDF3" w:rsidR="00624D3C" w:rsidRPr="00624D3C" w:rsidRDefault="00624D3C" w:rsidP="005B7B50">
            <w:pPr>
              <w:spacing w:before="40" w:after="40"/>
              <w:ind w:right="227"/>
              <w:jc w:val="right"/>
              <w:rPr>
                <w:rFonts w:cs="Arial"/>
                <w:color w:val="000000"/>
                <w:sz w:val="18"/>
              </w:rPr>
            </w:pPr>
            <w:r w:rsidRPr="00624D3C">
              <w:rPr>
                <w:rFonts w:cs="Arial"/>
                <w:color w:val="000000"/>
                <w:sz w:val="18"/>
              </w:rPr>
              <w:t>42.0</w:t>
            </w:r>
            <w:r>
              <w:rPr>
                <w:rFonts w:cs="Arial"/>
                <w:color w:val="000000"/>
                <w:sz w:val="18"/>
              </w:rPr>
              <w:t>*</w:t>
            </w:r>
          </w:p>
        </w:tc>
        <w:tc>
          <w:tcPr>
            <w:tcW w:w="1134" w:type="dxa"/>
            <w:tcBorders>
              <w:top w:val="nil"/>
              <w:left w:val="nil"/>
              <w:bottom w:val="nil"/>
              <w:right w:val="nil"/>
            </w:tcBorders>
            <w:shd w:val="clear" w:color="auto" w:fill="auto"/>
            <w:vAlign w:val="bottom"/>
          </w:tcPr>
          <w:p w14:paraId="62429134" w14:textId="15455154" w:rsidR="00624D3C" w:rsidRPr="00624D3C" w:rsidRDefault="00624D3C" w:rsidP="005B7B50">
            <w:pPr>
              <w:spacing w:before="40" w:after="40"/>
              <w:ind w:right="227"/>
              <w:jc w:val="right"/>
              <w:rPr>
                <w:rFonts w:cs="Arial"/>
                <w:color w:val="000000"/>
                <w:sz w:val="18"/>
              </w:rPr>
            </w:pPr>
            <w:r w:rsidRPr="00624D3C">
              <w:rPr>
                <w:rFonts w:cs="Arial"/>
                <w:color w:val="000000"/>
                <w:sz w:val="18"/>
              </w:rPr>
              <w:t>41.2</w:t>
            </w:r>
            <w:r>
              <w:rPr>
                <w:rFonts w:cs="Arial"/>
                <w:color w:val="000000"/>
                <w:sz w:val="18"/>
              </w:rPr>
              <w:t>*</w:t>
            </w:r>
          </w:p>
        </w:tc>
      </w:tr>
      <w:tr w:rsidR="00624D3C" w:rsidRPr="008B2C65" w14:paraId="1A1A286A" w14:textId="77777777" w:rsidTr="00685143">
        <w:trPr>
          <w:trHeight w:val="80"/>
        </w:trPr>
        <w:tc>
          <w:tcPr>
            <w:tcW w:w="1814" w:type="dxa"/>
            <w:tcBorders>
              <w:top w:val="nil"/>
              <w:left w:val="nil"/>
              <w:bottom w:val="nil"/>
              <w:right w:val="nil"/>
            </w:tcBorders>
            <w:shd w:val="clear" w:color="000000" w:fill="C7E4F3"/>
            <w:vAlign w:val="center"/>
            <w:hideMark/>
          </w:tcPr>
          <w:p w14:paraId="7E17872C" w14:textId="77777777" w:rsidR="00624D3C" w:rsidRPr="008B2C65" w:rsidRDefault="00624D3C" w:rsidP="00624D3C">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Other diseases</w:t>
            </w:r>
          </w:p>
        </w:tc>
        <w:tc>
          <w:tcPr>
            <w:tcW w:w="1020" w:type="dxa"/>
            <w:tcBorders>
              <w:top w:val="nil"/>
              <w:left w:val="nil"/>
              <w:bottom w:val="nil"/>
              <w:right w:val="nil"/>
            </w:tcBorders>
            <w:shd w:val="clear" w:color="000000" w:fill="C7E4F3"/>
            <w:vAlign w:val="bottom"/>
          </w:tcPr>
          <w:p w14:paraId="67A99AB8" w14:textId="2FA7DBA3" w:rsidR="00624D3C" w:rsidRPr="00624D3C" w:rsidRDefault="00624D3C" w:rsidP="005B7B50">
            <w:pPr>
              <w:spacing w:before="40" w:after="40"/>
              <w:ind w:right="227"/>
              <w:jc w:val="right"/>
              <w:rPr>
                <w:rFonts w:cs="Arial"/>
                <w:color w:val="000000"/>
                <w:sz w:val="18"/>
              </w:rPr>
            </w:pPr>
            <w:r w:rsidRPr="00624D3C">
              <w:rPr>
                <w:rFonts w:cs="Arial"/>
                <w:color w:val="000000"/>
                <w:sz w:val="18"/>
              </w:rPr>
              <w:t>71.1</w:t>
            </w:r>
          </w:p>
        </w:tc>
        <w:tc>
          <w:tcPr>
            <w:tcW w:w="1587" w:type="dxa"/>
            <w:tcBorders>
              <w:top w:val="nil"/>
              <w:left w:val="nil"/>
              <w:bottom w:val="nil"/>
              <w:right w:val="nil"/>
            </w:tcBorders>
            <w:shd w:val="clear" w:color="000000" w:fill="C7E4F3"/>
            <w:vAlign w:val="bottom"/>
          </w:tcPr>
          <w:p w14:paraId="4386909C" w14:textId="55A1D275" w:rsidR="00624D3C" w:rsidRPr="00624D3C" w:rsidRDefault="00624D3C" w:rsidP="005B7B50">
            <w:pPr>
              <w:spacing w:before="40" w:after="40"/>
              <w:ind w:right="454"/>
              <w:jc w:val="right"/>
              <w:rPr>
                <w:rFonts w:cs="Arial"/>
                <w:color w:val="000000"/>
                <w:sz w:val="18"/>
              </w:rPr>
            </w:pPr>
            <w:r w:rsidRPr="00624D3C">
              <w:rPr>
                <w:rFonts w:cs="Arial"/>
                <w:color w:val="000000"/>
                <w:sz w:val="18"/>
              </w:rPr>
              <w:t>69.0</w:t>
            </w:r>
          </w:p>
        </w:tc>
        <w:tc>
          <w:tcPr>
            <w:tcW w:w="1361" w:type="dxa"/>
            <w:tcBorders>
              <w:top w:val="nil"/>
              <w:left w:val="nil"/>
              <w:bottom w:val="nil"/>
              <w:right w:val="nil"/>
            </w:tcBorders>
            <w:shd w:val="clear" w:color="000000" w:fill="C7E4F3"/>
            <w:vAlign w:val="bottom"/>
          </w:tcPr>
          <w:p w14:paraId="70A168DF" w14:textId="3C13AEF7" w:rsidR="00624D3C" w:rsidRPr="00624D3C" w:rsidRDefault="00624D3C" w:rsidP="005B7B50">
            <w:pPr>
              <w:spacing w:before="40" w:after="40"/>
              <w:ind w:right="397"/>
              <w:jc w:val="right"/>
              <w:rPr>
                <w:rFonts w:cs="Arial"/>
                <w:color w:val="000000"/>
                <w:sz w:val="18"/>
              </w:rPr>
            </w:pPr>
            <w:r w:rsidRPr="00624D3C">
              <w:rPr>
                <w:rFonts w:cs="Arial"/>
                <w:color w:val="000000"/>
                <w:sz w:val="18"/>
              </w:rPr>
              <w:t>70.2</w:t>
            </w:r>
          </w:p>
        </w:tc>
        <w:tc>
          <w:tcPr>
            <w:tcW w:w="1020" w:type="dxa"/>
            <w:tcBorders>
              <w:top w:val="nil"/>
              <w:left w:val="nil"/>
              <w:bottom w:val="nil"/>
              <w:right w:val="nil"/>
            </w:tcBorders>
            <w:shd w:val="clear" w:color="000000" w:fill="C7E4F3"/>
            <w:vAlign w:val="bottom"/>
          </w:tcPr>
          <w:p w14:paraId="346CCF4A" w14:textId="5A2C191D" w:rsidR="00624D3C" w:rsidRPr="00624D3C" w:rsidRDefault="00624D3C" w:rsidP="005B7B50">
            <w:pPr>
              <w:spacing w:before="40" w:after="40"/>
              <w:ind w:right="227"/>
              <w:jc w:val="right"/>
              <w:rPr>
                <w:rFonts w:cs="Arial"/>
                <w:color w:val="000000"/>
                <w:sz w:val="18"/>
              </w:rPr>
            </w:pPr>
            <w:r w:rsidRPr="00624D3C">
              <w:rPr>
                <w:rFonts w:cs="Arial"/>
                <w:color w:val="000000"/>
                <w:sz w:val="18"/>
              </w:rPr>
              <w:t>71.3</w:t>
            </w:r>
          </w:p>
        </w:tc>
        <w:tc>
          <w:tcPr>
            <w:tcW w:w="1134" w:type="dxa"/>
            <w:tcBorders>
              <w:top w:val="nil"/>
              <w:left w:val="nil"/>
              <w:bottom w:val="nil"/>
              <w:right w:val="nil"/>
            </w:tcBorders>
            <w:shd w:val="clear" w:color="000000" w:fill="C7E4F3"/>
            <w:vAlign w:val="bottom"/>
          </w:tcPr>
          <w:p w14:paraId="7B411FA8" w14:textId="68CC5023" w:rsidR="00624D3C" w:rsidRPr="00624D3C" w:rsidRDefault="00624D3C" w:rsidP="005B7B50">
            <w:pPr>
              <w:spacing w:before="40" w:after="40"/>
              <w:ind w:right="227"/>
              <w:jc w:val="right"/>
              <w:rPr>
                <w:rFonts w:cs="Arial"/>
                <w:color w:val="000000"/>
                <w:sz w:val="18"/>
              </w:rPr>
            </w:pPr>
            <w:r w:rsidRPr="00624D3C">
              <w:rPr>
                <w:rFonts w:cs="Arial"/>
                <w:color w:val="000000"/>
                <w:sz w:val="18"/>
              </w:rPr>
              <w:t>81.1</w:t>
            </w:r>
          </w:p>
        </w:tc>
        <w:tc>
          <w:tcPr>
            <w:tcW w:w="1134" w:type="dxa"/>
            <w:tcBorders>
              <w:top w:val="nil"/>
              <w:left w:val="nil"/>
              <w:bottom w:val="nil"/>
              <w:right w:val="nil"/>
            </w:tcBorders>
            <w:shd w:val="clear" w:color="000000" w:fill="C7E4F3"/>
            <w:vAlign w:val="bottom"/>
          </w:tcPr>
          <w:p w14:paraId="0C68588F" w14:textId="012B506B" w:rsidR="00624D3C" w:rsidRPr="00624D3C" w:rsidRDefault="00624D3C" w:rsidP="005B7B50">
            <w:pPr>
              <w:spacing w:before="40" w:after="40"/>
              <w:ind w:right="227"/>
              <w:jc w:val="right"/>
              <w:rPr>
                <w:rFonts w:cs="Arial"/>
                <w:color w:val="000000"/>
                <w:sz w:val="18"/>
              </w:rPr>
            </w:pPr>
            <w:r w:rsidRPr="00624D3C">
              <w:rPr>
                <w:rFonts w:cs="Arial"/>
                <w:color w:val="000000"/>
                <w:sz w:val="18"/>
              </w:rPr>
              <w:t>83.7</w:t>
            </w:r>
          </w:p>
        </w:tc>
      </w:tr>
      <w:tr w:rsidR="00AD3CC9" w:rsidRPr="008B2C65" w14:paraId="2A2B82FC" w14:textId="77777777" w:rsidTr="00001A7D">
        <w:trPr>
          <w:trHeight w:val="80"/>
        </w:trPr>
        <w:tc>
          <w:tcPr>
            <w:tcW w:w="1814" w:type="dxa"/>
            <w:tcBorders>
              <w:top w:val="nil"/>
              <w:left w:val="nil"/>
              <w:bottom w:val="nil"/>
              <w:right w:val="nil"/>
            </w:tcBorders>
            <w:shd w:val="clear" w:color="auto" w:fill="58AFDA" w:themeFill="accent1" w:themeFillTint="99"/>
            <w:vAlign w:val="center"/>
          </w:tcPr>
          <w:p w14:paraId="788D2267" w14:textId="77777777" w:rsidR="00AD3CC9" w:rsidRDefault="00AD3CC9" w:rsidP="00685143">
            <w:pPr>
              <w:spacing w:before="40" w:after="40"/>
              <w:rPr>
                <w:rFonts w:eastAsia="Times New Roman" w:cs="Arial"/>
                <w:color w:val="000000"/>
                <w:sz w:val="18"/>
                <w:szCs w:val="18"/>
                <w:lang w:eastAsia="en-AU"/>
              </w:rPr>
            </w:pPr>
            <w:r>
              <w:rPr>
                <w:rFonts w:eastAsia="Times New Roman" w:cs="Arial"/>
                <w:b/>
                <w:bCs/>
                <w:color w:val="000000"/>
                <w:sz w:val="18"/>
                <w:szCs w:val="18"/>
                <w:lang w:eastAsia="en-AU"/>
              </w:rPr>
              <w:t>Employer size</w:t>
            </w:r>
            <w:r w:rsidRPr="008B2C65">
              <w:rPr>
                <w:rFonts w:eastAsia="Times New Roman" w:cs="Arial"/>
                <w:b/>
                <w:bCs/>
                <w:color w:val="000000"/>
                <w:sz w:val="18"/>
                <w:szCs w:val="18"/>
                <w:lang w:eastAsia="en-AU"/>
              </w:rPr>
              <w:t xml:space="preserve"> </w:t>
            </w:r>
          </w:p>
        </w:tc>
        <w:tc>
          <w:tcPr>
            <w:tcW w:w="1020" w:type="dxa"/>
            <w:tcBorders>
              <w:top w:val="nil"/>
              <w:left w:val="nil"/>
              <w:bottom w:val="nil"/>
              <w:right w:val="nil"/>
            </w:tcBorders>
            <w:shd w:val="clear" w:color="auto" w:fill="58AFDA" w:themeFill="accent1" w:themeFillTint="99"/>
            <w:vAlign w:val="center"/>
          </w:tcPr>
          <w:p w14:paraId="596DB696" w14:textId="77777777" w:rsidR="00AD3CC9" w:rsidRPr="00467D4A" w:rsidRDefault="00AD3CC9" w:rsidP="005B7B50">
            <w:pPr>
              <w:spacing w:before="40" w:after="40"/>
              <w:ind w:right="227"/>
              <w:jc w:val="right"/>
              <w:rPr>
                <w:rFonts w:eastAsia="Times New Roman" w:cs="Arial"/>
                <w:sz w:val="18"/>
                <w:szCs w:val="18"/>
                <w:lang w:eastAsia="en-AU"/>
              </w:rPr>
            </w:pPr>
          </w:p>
        </w:tc>
        <w:tc>
          <w:tcPr>
            <w:tcW w:w="1587" w:type="dxa"/>
            <w:tcBorders>
              <w:top w:val="nil"/>
              <w:left w:val="nil"/>
              <w:bottom w:val="nil"/>
              <w:right w:val="nil"/>
            </w:tcBorders>
            <w:shd w:val="clear" w:color="auto" w:fill="58AFDA" w:themeFill="accent1" w:themeFillTint="99"/>
          </w:tcPr>
          <w:p w14:paraId="272CBA9F" w14:textId="77777777" w:rsidR="00AD3CC9" w:rsidRPr="00467D4A" w:rsidRDefault="00AD3CC9" w:rsidP="005B7B50">
            <w:pPr>
              <w:spacing w:before="40" w:after="40"/>
              <w:ind w:right="454"/>
              <w:jc w:val="right"/>
              <w:rPr>
                <w:rFonts w:eastAsia="Times New Roman" w:cs="Arial"/>
                <w:sz w:val="18"/>
                <w:szCs w:val="18"/>
                <w:lang w:eastAsia="en-AU"/>
              </w:rPr>
            </w:pPr>
          </w:p>
        </w:tc>
        <w:tc>
          <w:tcPr>
            <w:tcW w:w="1361" w:type="dxa"/>
            <w:tcBorders>
              <w:top w:val="nil"/>
              <w:left w:val="nil"/>
              <w:bottom w:val="nil"/>
              <w:right w:val="nil"/>
            </w:tcBorders>
            <w:shd w:val="clear" w:color="auto" w:fill="58AFDA" w:themeFill="accent1" w:themeFillTint="99"/>
            <w:vAlign w:val="center"/>
          </w:tcPr>
          <w:p w14:paraId="61028B5B" w14:textId="1C6699F3" w:rsidR="00AD3CC9" w:rsidRPr="00467D4A" w:rsidRDefault="00AD3CC9" w:rsidP="005B7B50">
            <w:pPr>
              <w:spacing w:before="40" w:after="40"/>
              <w:ind w:right="397"/>
              <w:jc w:val="right"/>
              <w:rPr>
                <w:rFonts w:eastAsia="Times New Roman" w:cs="Arial"/>
                <w:sz w:val="18"/>
                <w:szCs w:val="18"/>
                <w:lang w:eastAsia="en-AU"/>
              </w:rPr>
            </w:pPr>
          </w:p>
        </w:tc>
        <w:tc>
          <w:tcPr>
            <w:tcW w:w="1020" w:type="dxa"/>
            <w:tcBorders>
              <w:top w:val="nil"/>
              <w:left w:val="nil"/>
              <w:bottom w:val="nil"/>
              <w:right w:val="nil"/>
            </w:tcBorders>
            <w:shd w:val="clear" w:color="auto" w:fill="58AFDA" w:themeFill="accent1" w:themeFillTint="99"/>
          </w:tcPr>
          <w:p w14:paraId="6E970F11" w14:textId="77777777" w:rsidR="00AD3CC9" w:rsidRPr="00467D4A" w:rsidRDefault="00AD3CC9" w:rsidP="005B7B50">
            <w:pPr>
              <w:spacing w:before="40" w:after="40"/>
              <w:ind w:right="227"/>
              <w:jc w:val="right"/>
              <w:rPr>
                <w:rFonts w:eastAsia="Times New Roman" w:cs="Arial"/>
                <w:sz w:val="18"/>
                <w:szCs w:val="18"/>
                <w:lang w:eastAsia="en-AU"/>
              </w:rPr>
            </w:pPr>
          </w:p>
        </w:tc>
        <w:tc>
          <w:tcPr>
            <w:tcW w:w="1134" w:type="dxa"/>
            <w:tcBorders>
              <w:top w:val="nil"/>
              <w:left w:val="nil"/>
              <w:bottom w:val="nil"/>
              <w:right w:val="nil"/>
            </w:tcBorders>
            <w:shd w:val="clear" w:color="auto" w:fill="58AFDA" w:themeFill="accent1" w:themeFillTint="99"/>
            <w:vAlign w:val="center"/>
          </w:tcPr>
          <w:p w14:paraId="39A90D5B" w14:textId="4D591C14" w:rsidR="00AD3CC9" w:rsidRPr="00467D4A" w:rsidRDefault="00AD3CC9" w:rsidP="005B7B50">
            <w:pPr>
              <w:spacing w:before="40" w:after="40"/>
              <w:ind w:right="227"/>
              <w:jc w:val="right"/>
              <w:rPr>
                <w:rFonts w:eastAsia="Times New Roman" w:cs="Arial"/>
                <w:sz w:val="18"/>
                <w:szCs w:val="18"/>
                <w:lang w:eastAsia="en-AU"/>
              </w:rPr>
            </w:pPr>
          </w:p>
        </w:tc>
        <w:tc>
          <w:tcPr>
            <w:tcW w:w="1134" w:type="dxa"/>
            <w:tcBorders>
              <w:top w:val="nil"/>
              <w:left w:val="nil"/>
              <w:bottom w:val="nil"/>
              <w:right w:val="nil"/>
            </w:tcBorders>
            <w:shd w:val="clear" w:color="auto" w:fill="58AFDA" w:themeFill="accent1" w:themeFillTint="99"/>
            <w:vAlign w:val="center"/>
          </w:tcPr>
          <w:p w14:paraId="25723A18" w14:textId="77777777" w:rsidR="00AD3CC9" w:rsidRPr="00467D4A" w:rsidRDefault="00AD3CC9" w:rsidP="005B7B50">
            <w:pPr>
              <w:spacing w:before="40" w:after="40"/>
              <w:ind w:right="227"/>
              <w:jc w:val="right"/>
              <w:rPr>
                <w:rFonts w:eastAsia="Times New Roman" w:cs="Arial"/>
                <w:sz w:val="18"/>
                <w:szCs w:val="18"/>
                <w:lang w:eastAsia="en-AU"/>
              </w:rPr>
            </w:pPr>
          </w:p>
        </w:tc>
      </w:tr>
      <w:tr w:rsidR="00624D3C" w:rsidRPr="008B2C65" w14:paraId="5F5E66F7" w14:textId="77777777" w:rsidTr="00685143">
        <w:trPr>
          <w:trHeight w:val="80"/>
        </w:trPr>
        <w:tc>
          <w:tcPr>
            <w:tcW w:w="1814" w:type="dxa"/>
            <w:tcBorders>
              <w:top w:val="nil"/>
              <w:left w:val="nil"/>
              <w:bottom w:val="nil"/>
              <w:right w:val="nil"/>
            </w:tcBorders>
            <w:shd w:val="clear" w:color="000000" w:fill="C7E4F3"/>
            <w:vAlign w:val="center"/>
          </w:tcPr>
          <w:p w14:paraId="624CD656" w14:textId="77777777" w:rsidR="00624D3C" w:rsidRDefault="00624D3C" w:rsidP="00624D3C">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Small</w:t>
            </w:r>
          </w:p>
        </w:tc>
        <w:tc>
          <w:tcPr>
            <w:tcW w:w="1020" w:type="dxa"/>
            <w:tcBorders>
              <w:top w:val="nil"/>
              <w:left w:val="nil"/>
              <w:bottom w:val="nil"/>
              <w:right w:val="nil"/>
            </w:tcBorders>
            <w:shd w:val="clear" w:color="000000" w:fill="C7E4F3"/>
            <w:vAlign w:val="bottom"/>
          </w:tcPr>
          <w:p w14:paraId="38C78473" w14:textId="6C910992" w:rsidR="00624D3C" w:rsidRPr="00624D3C" w:rsidRDefault="00624D3C" w:rsidP="005B7B50">
            <w:pPr>
              <w:spacing w:before="40" w:after="40"/>
              <w:ind w:right="227"/>
              <w:jc w:val="right"/>
              <w:rPr>
                <w:rFonts w:cs="Arial"/>
                <w:color w:val="000000"/>
                <w:sz w:val="18"/>
                <w:szCs w:val="18"/>
              </w:rPr>
            </w:pPr>
            <w:r w:rsidRPr="00624D3C">
              <w:rPr>
                <w:rFonts w:cs="Arial"/>
                <w:color w:val="000000"/>
                <w:sz w:val="18"/>
                <w:szCs w:val="18"/>
              </w:rPr>
              <w:t>75.1</w:t>
            </w:r>
          </w:p>
        </w:tc>
        <w:tc>
          <w:tcPr>
            <w:tcW w:w="1587" w:type="dxa"/>
            <w:tcBorders>
              <w:top w:val="nil"/>
              <w:left w:val="nil"/>
              <w:bottom w:val="nil"/>
              <w:right w:val="nil"/>
            </w:tcBorders>
            <w:shd w:val="clear" w:color="000000" w:fill="C7E4F3"/>
            <w:vAlign w:val="bottom"/>
          </w:tcPr>
          <w:p w14:paraId="75C5D1ED" w14:textId="1329123D" w:rsidR="00624D3C" w:rsidRPr="00624D3C" w:rsidRDefault="00624D3C" w:rsidP="005B7B50">
            <w:pPr>
              <w:spacing w:before="40" w:after="40"/>
              <w:ind w:right="454"/>
              <w:jc w:val="right"/>
              <w:rPr>
                <w:rFonts w:cs="Arial"/>
                <w:color w:val="000000"/>
                <w:sz w:val="18"/>
                <w:szCs w:val="18"/>
              </w:rPr>
            </w:pPr>
            <w:r w:rsidRPr="00624D3C">
              <w:rPr>
                <w:rFonts w:cs="Arial"/>
                <w:color w:val="000000"/>
                <w:sz w:val="18"/>
                <w:szCs w:val="18"/>
              </w:rPr>
              <w:t>68.0</w:t>
            </w:r>
          </w:p>
        </w:tc>
        <w:tc>
          <w:tcPr>
            <w:tcW w:w="1361" w:type="dxa"/>
            <w:tcBorders>
              <w:top w:val="nil"/>
              <w:left w:val="nil"/>
              <w:bottom w:val="nil"/>
              <w:right w:val="nil"/>
            </w:tcBorders>
            <w:shd w:val="clear" w:color="000000" w:fill="C7E4F3"/>
            <w:vAlign w:val="bottom"/>
          </w:tcPr>
          <w:p w14:paraId="5930F622" w14:textId="29AD6CBA" w:rsidR="00624D3C" w:rsidRPr="00624D3C" w:rsidRDefault="00624D3C" w:rsidP="005B7B50">
            <w:pPr>
              <w:spacing w:before="40" w:after="40"/>
              <w:ind w:right="397"/>
              <w:jc w:val="right"/>
              <w:rPr>
                <w:rFonts w:cs="Arial"/>
                <w:color w:val="000000"/>
                <w:sz w:val="18"/>
                <w:szCs w:val="18"/>
              </w:rPr>
            </w:pPr>
            <w:r w:rsidRPr="00624D3C">
              <w:rPr>
                <w:rFonts w:cs="Arial"/>
                <w:color w:val="000000"/>
                <w:sz w:val="18"/>
                <w:szCs w:val="18"/>
              </w:rPr>
              <w:t>67.0</w:t>
            </w:r>
          </w:p>
        </w:tc>
        <w:tc>
          <w:tcPr>
            <w:tcW w:w="1020" w:type="dxa"/>
            <w:tcBorders>
              <w:top w:val="nil"/>
              <w:left w:val="nil"/>
              <w:bottom w:val="nil"/>
              <w:right w:val="nil"/>
            </w:tcBorders>
            <w:shd w:val="clear" w:color="000000" w:fill="C7E4F3"/>
            <w:vAlign w:val="bottom"/>
          </w:tcPr>
          <w:p w14:paraId="49E6819B" w14:textId="7D30E8BE" w:rsidR="00624D3C" w:rsidRPr="00624D3C" w:rsidRDefault="00624D3C" w:rsidP="005B7B50">
            <w:pPr>
              <w:spacing w:before="40" w:after="40"/>
              <w:ind w:right="227"/>
              <w:jc w:val="right"/>
              <w:rPr>
                <w:rFonts w:cs="Arial"/>
                <w:color w:val="000000"/>
                <w:sz w:val="18"/>
                <w:szCs w:val="18"/>
              </w:rPr>
            </w:pPr>
            <w:r w:rsidRPr="00624D3C">
              <w:rPr>
                <w:rFonts w:cs="Arial"/>
                <w:color w:val="000000"/>
                <w:sz w:val="18"/>
                <w:szCs w:val="18"/>
              </w:rPr>
              <w:t>64.3</w:t>
            </w:r>
          </w:p>
        </w:tc>
        <w:tc>
          <w:tcPr>
            <w:tcW w:w="1134" w:type="dxa"/>
            <w:tcBorders>
              <w:top w:val="nil"/>
              <w:left w:val="nil"/>
              <w:bottom w:val="nil"/>
              <w:right w:val="nil"/>
            </w:tcBorders>
            <w:shd w:val="clear" w:color="000000" w:fill="C7E4F3"/>
            <w:vAlign w:val="bottom"/>
          </w:tcPr>
          <w:p w14:paraId="465F65B2" w14:textId="585DC4AC" w:rsidR="00624D3C" w:rsidRPr="00624D3C" w:rsidRDefault="00624D3C" w:rsidP="005B7B50">
            <w:pPr>
              <w:spacing w:before="40" w:after="40"/>
              <w:ind w:right="227"/>
              <w:jc w:val="right"/>
              <w:rPr>
                <w:rFonts w:cs="Arial"/>
                <w:color w:val="000000"/>
                <w:sz w:val="18"/>
                <w:szCs w:val="18"/>
              </w:rPr>
            </w:pPr>
            <w:r w:rsidRPr="00624D3C">
              <w:rPr>
                <w:rFonts w:cs="Arial"/>
                <w:color w:val="000000"/>
                <w:sz w:val="18"/>
                <w:szCs w:val="18"/>
              </w:rPr>
              <w:t>77.9</w:t>
            </w:r>
          </w:p>
        </w:tc>
        <w:tc>
          <w:tcPr>
            <w:tcW w:w="1134" w:type="dxa"/>
            <w:tcBorders>
              <w:top w:val="nil"/>
              <w:left w:val="nil"/>
              <w:bottom w:val="nil"/>
              <w:right w:val="nil"/>
            </w:tcBorders>
            <w:shd w:val="clear" w:color="000000" w:fill="C7E4F3"/>
            <w:vAlign w:val="bottom"/>
          </w:tcPr>
          <w:p w14:paraId="54CD345B" w14:textId="204ED9DF" w:rsidR="00624D3C" w:rsidRPr="00624D3C" w:rsidRDefault="00624D3C" w:rsidP="005B7B50">
            <w:pPr>
              <w:spacing w:before="40" w:after="40"/>
              <w:ind w:right="227"/>
              <w:jc w:val="right"/>
              <w:rPr>
                <w:rFonts w:cs="Arial"/>
                <w:color w:val="000000"/>
                <w:sz w:val="18"/>
                <w:szCs w:val="18"/>
              </w:rPr>
            </w:pPr>
            <w:r w:rsidRPr="00624D3C">
              <w:rPr>
                <w:rFonts w:cs="Arial"/>
                <w:color w:val="000000"/>
                <w:sz w:val="18"/>
                <w:szCs w:val="18"/>
              </w:rPr>
              <w:t>77.1</w:t>
            </w:r>
          </w:p>
        </w:tc>
      </w:tr>
      <w:tr w:rsidR="00624D3C" w:rsidRPr="008B2C65" w14:paraId="3BD42B38" w14:textId="77777777" w:rsidTr="00685143">
        <w:trPr>
          <w:trHeight w:val="80"/>
        </w:trPr>
        <w:tc>
          <w:tcPr>
            <w:tcW w:w="1814" w:type="dxa"/>
            <w:tcBorders>
              <w:top w:val="nil"/>
              <w:left w:val="nil"/>
              <w:right w:val="nil"/>
            </w:tcBorders>
            <w:shd w:val="clear" w:color="auto" w:fill="auto"/>
            <w:vAlign w:val="center"/>
          </w:tcPr>
          <w:p w14:paraId="43A0FEC0" w14:textId="77777777" w:rsidR="00624D3C" w:rsidRDefault="00624D3C" w:rsidP="00624D3C">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Medium</w:t>
            </w:r>
          </w:p>
        </w:tc>
        <w:tc>
          <w:tcPr>
            <w:tcW w:w="1020" w:type="dxa"/>
            <w:tcBorders>
              <w:top w:val="nil"/>
              <w:left w:val="nil"/>
              <w:right w:val="nil"/>
            </w:tcBorders>
            <w:shd w:val="clear" w:color="auto" w:fill="auto"/>
            <w:vAlign w:val="bottom"/>
          </w:tcPr>
          <w:p w14:paraId="1259F09B" w14:textId="0C08FC42" w:rsidR="00624D3C" w:rsidRPr="00624D3C" w:rsidRDefault="00624D3C" w:rsidP="005B7B50">
            <w:pPr>
              <w:spacing w:before="40" w:after="40"/>
              <w:ind w:right="227"/>
              <w:jc w:val="right"/>
              <w:rPr>
                <w:rFonts w:cs="Arial"/>
                <w:color w:val="000000"/>
                <w:sz w:val="18"/>
                <w:szCs w:val="18"/>
              </w:rPr>
            </w:pPr>
            <w:r w:rsidRPr="00624D3C">
              <w:rPr>
                <w:rFonts w:cs="Arial"/>
                <w:color w:val="000000"/>
                <w:sz w:val="18"/>
                <w:szCs w:val="18"/>
              </w:rPr>
              <w:t>73.3</w:t>
            </w:r>
          </w:p>
        </w:tc>
        <w:tc>
          <w:tcPr>
            <w:tcW w:w="1587" w:type="dxa"/>
            <w:tcBorders>
              <w:top w:val="nil"/>
              <w:left w:val="nil"/>
              <w:right w:val="nil"/>
            </w:tcBorders>
            <w:vAlign w:val="bottom"/>
          </w:tcPr>
          <w:p w14:paraId="205BFAD4" w14:textId="4FC224F3" w:rsidR="00624D3C" w:rsidRPr="00624D3C" w:rsidRDefault="00624D3C" w:rsidP="005B7B50">
            <w:pPr>
              <w:spacing w:before="40" w:after="40"/>
              <w:ind w:right="454"/>
              <w:jc w:val="right"/>
              <w:rPr>
                <w:rFonts w:cs="Arial"/>
                <w:color w:val="000000"/>
                <w:sz w:val="18"/>
                <w:szCs w:val="18"/>
              </w:rPr>
            </w:pPr>
            <w:r w:rsidRPr="00624D3C">
              <w:rPr>
                <w:rFonts w:cs="Arial"/>
                <w:color w:val="000000"/>
                <w:sz w:val="18"/>
                <w:szCs w:val="18"/>
              </w:rPr>
              <w:t>67.4</w:t>
            </w:r>
          </w:p>
        </w:tc>
        <w:tc>
          <w:tcPr>
            <w:tcW w:w="1361" w:type="dxa"/>
            <w:tcBorders>
              <w:top w:val="nil"/>
              <w:left w:val="nil"/>
              <w:right w:val="nil"/>
            </w:tcBorders>
            <w:shd w:val="clear" w:color="auto" w:fill="auto"/>
            <w:vAlign w:val="bottom"/>
          </w:tcPr>
          <w:p w14:paraId="1F703085" w14:textId="66106839" w:rsidR="00624D3C" w:rsidRPr="00624D3C" w:rsidRDefault="00624D3C" w:rsidP="005B7B50">
            <w:pPr>
              <w:spacing w:before="40" w:after="40"/>
              <w:ind w:right="397"/>
              <w:jc w:val="right"/>
              <w:rPr>
                <w:rFonts w:cs="Arial"/>
                <w:color w:val="000000"/>
                <w:sz w:val="18"/>
                <w:szCs w:val="18"/>
              </w:rPr>
            </w:pPr>
            <w:r w:rsidRPr="00624D3C">
              <w:rPr>
                <w:rFonts w:cs="Arial"/>
                <w:color w:val="000000"/>
                <w:sz w:val="18"/>
                <w:szCs w:val="18"/>
              </w:rPr>
              <w:t>73.6</w:t>
            </w:r>
          </w:p>
        </w:tc>
        <w:tc>
          <w:tcPr>
            <w:tcW w:w="1020" w:type="dxa"/>
            <w:tcBorders>
              <w:top w:val="nil"/>
              <w:left w:val="nil"/>
              <w:right w:val="nil"/>
            </w:tcBorders>
            <w:vAlign w:val="bottom"/>
          </w:tcPr>
          <w:p w14:paraId="4563A4B5" w14:textId="1E7B4CC5" w:rsidR="00624D3C" w:rsidRPr="00624D3C" w:rsidRDefault="00624D3C" w:rsidP="005B7B50">
            <w:pPr>
              <w:spacing w:before="40" w:after="40"/>
              <w:ind w:right="227"/>
              <w:jc w:val="right"/>
              <w:rPr>
                <w:rFonts w:cs="Arial"/>
                <w:color w:val="000000"/>
                <w:sz w:val="18"/>
                <w:szCs w:val="18"/>
              </w:rPr>
            </w:pPr>
            <w:r w:rsidRPr="00624D3C">
              <w:rPr>
                <w:rFonts w:cs="Arial"/>
                <w:color w:val="000000"/>
                <w:sz w:val="18"/>
                <w:szCs w:val="18"/>
              </w:rPr>
              <w:t>64.5</w:t>
            </w:r>
          </w:p>
        </w:tc>
        <w:tc>
          <w:tcPr>
            <w:tcW w:w="1134" w:type="dxa"/>
            <w:tcBorders>
              <w:top w:val="nil"/>
              <w:left w:val="nil"/>
              <w:right w:val="nil"/>
            </w:tcBorders>
            <w:shd w:val="clear" w:color="auto" w:fill="auto"/>
            <w:vAlign w:val="bottom"/>
          </w:tcPr>
          <w:p w14:paraId="2E02195C" w14:textId="7B3CD0EB" w:rsidR="00624D3C" w:rsidRPr="00624D3C" w:rsidRDefault="00624D3C" w:rsidP="005B7B50">
            <w:pPr>
              <w:spacing w:before="40" w:after="40"/>
              <w:ind w:right="227"/>
              <w:jc w:val="right"/>
              <w:rPr>
                <w:rFonts w:cs="Arial"/>
                <w:color w:val="000000"/>
                <w:sz w:val="18"/>
                <w:szCs w:val="18"/>
              </w:rPr>
            </w:pPr>
            <w:r w:rsidRPr="00624D3C">
              <w:rPr>
                <w:rFonts w:cs="Arial"/>
                <w:color w:val="000000"/>
                <w:sz w:val="18"/>
                <w:szCs w:val="18"/>
              </w:rPr>
              <w:t>77.9</w:t>
            </w:r>
          </w:p>
        </w:tc>
        <w:tc>
          <w:tcPr>
            <w:tcW w:w="1134" w:type="dxa"/>
            <w:tcBorders>
              <w:top w:val="nil"/>
              <w:left w:val="nil"/>
              <w:right w:val="nil"/>
            </w:tcBorders>
            <w:shd w:val="clear" w:color="auto" w:fill="auto"/>
            <w:vAlign w:val="bottom"/>
          </w:tcPr>
          <w:p w14:paraId="2193BD5C" w14:textId="6727BFC7" w:rsidR="00624D3C" w:rsidRPr="00624D3C" w:rsidRDefault="00624D3C" w:rsidP="005B7B50">
            <w:pPr>
              <w:spacing w:before="40" w:after="40"/>
              <w:ind w:right="227"/>
              <w:jc w:val="right"/>
              <w:rPr>
                <w:rFonts w:cs="Arial"/>
                <w:color w:val="000000"/>
                <w:sz w:val="18"/>
                <w:szCs w:val="18"/>
              </w:rPr>
            </w:pPr>
            <w:r w:rsidRPr="00624D3C">
              <w:rPr>
                <w:rFonts w:cs="Arial"/>
                <w:color w:val="000000"/>
                <w:sz w:val="18"/>
                <w:szCs w:val="18"/>
              </w:rPr>
              <w:t>79.8</w:t>
            </w:r>
          </w:p>
        </w:tc>
      </w:tr>
      <w:tr w:rsidR="00624D3C" w:rsidRPr="008B2C65" w14:paraId="7D94E6AB" w14:textId="77777777" w:rsidTr="00685143">
        <w:trPr>
          <w:trHeight w:val="80"/>
        </w:trPr>
        <w:tc>
          <w:tcPr>
            <w:tcW w:w="1814" w:type="dxa"/>
            <w:tcBorders>
              <w:top w:val="nil"/>
              <w:left w:val="nil"/>
              <w:bottom w:val="single" w:sz="4" w:space="0" w:color="1F698E" w:themeColor="accent1"/>
              <w:right w:val="nil"/>
            </w:tcBorders>
            <w:shd w:val="clear" w:color="000000" w:fill="C7E4F3"/>
            <w:vAlign w:val="center"/>
          </w:tcPr>
          <w:p w14:paraId="558AD10B" w14:textId="77777777" w:rsidR="00624D3C" w:rsidRDefault="00624D3C" w:rsidP="00624D3C">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Large</w:t>
            </w:r>
          </w:p>
        </w:tc>
        <w:tc>
          <w:tcPr>
            <w:tcW w:w="1020" w:type="dxa"/>
            <w:tcBorders>
              <w:top w:val="nil"/>
              <w:left w:val="nil"/>
              <w:bottom w:val="single" w:sz="4" w:space="0" w:color="1F698E" w:themeColor="accent1"/>
              <w:right w:val="nil"/>
            </w:tcBorders>
            <w:shd w:val="clear" w:color="000000" w:fill="C7E4F3"/>
            <w:vAlign w:val="bottom"/>
          </w:tcPr>
          <w:p w14:paraId="49827AB2" w14:textId="7AF53199" w:rsidR="00624D3C" w:rsidRPr="00624D3C" w:rsidRDefault="00624D3C" w:rsidP="005B7B50">
            <w:pPr>
              <w:spacing w:before="40" w:after="40"/>
              <w:ind w:right="227"/>
              <w:jc w:val="right"/>
              <w:rPr>
                <w:rFonts w:cs="Arial"/>
                <w:color w:val="000000"/>
                <w:sz w:val="18"/>
                <w:szCs w:val="18"/>
              </w:rPr>
            </w:pPr>
            <w:r w:rsidRPr="00624D3C">
              <w:rPr>
                <w:rFonts w:cs="Arial"/>
                <w:color w:val="000000"/>
                <w:sz w:val="18"/>
                <w:szCs w:val="18"/>
              </w:rPr>
              <w:t>74.9</w:t>
            </w:r>
          </w:p>
        </w:tc>
        <w:tc>
          <w:tcPr>
            <w:tcW w:w="1587" w:type="dxa"/>
            <w:tcBorders>
              <w:top w:val="nil"/>
              <w:left w:val="nil"/>
              <w:bottom w:val="single" w:sz="4" w:space="0" w:color="1F698E" w:themeColor="accent1"/>
              <w:right w:val="nil"/>
            </w:tcBorders>
            <w:shd w:val="clear" w:color="000000" w:fill="C7E4F3"/>
            <w:vAlign w:val="bottom"/>
          </w:tcPr>
          <w:p w14:paraId="6B14279B" w14:textId="2B7CA189" w:rsidR="00624D3C" w:rsidRPr="00624D3C" w:rsidRDefault="00624D3C" w:rsidP="005B7B50">
            <w:pPr>
              <w:spacing w:before="40" w:after="40"/>
              <w:ind w:right="454"/>
              <w:jc w:val="right"/>
              <w:rPr>
                <w:rFonts w:cs="Arial"/>
                <w:color w:val="000000"/>
                <w:sz w:val="18"/>
                <w:szCs w:val="18"/>
              </w:rPr>
            </w:pPr>
            <w:r w:rsidRPr="00624D3C">
              <w:rPr>
                <w:rFonts w:cs="Arial"/>
                <w:color w:val="000000"/>
                <w:sz w:val="18"/>
                <w:szCs w:val="18"/>
              </w:rPr>
              <w:t>68.0</w:t>
            </w:r>
          </w:p>
        </w:tc>
        <w:tc>
          <w:tcPr>
            <w:tcW w:w="1361" w:type="dxa"/>
            <w:tcBorders>
              <w:top w:val="nil"/>
              <w:left w:val="nil"/>
              <w:bottom w:val="single" w:sz="4" w:space="0" w:color="1F698E" w:themeColor="accent1"/>
              <w:right w:val="nil"/>
            </w:tcBorders>
            <w:shd w:val="clear" w:color="000000" w:fill="C7E4F3"/>
            <w:vAlign w:val="bottom"/>
          </w:tcPr>
          <w:p w14:paraId="2DA9E77D" w14:textId="674DCE6C" w:rsidR="00624D3C" w:rsidRPr="00624D3C" w:rsidRDefault="00624D3C" w:rsidP="005B7B50">
            <w:pPr>
              <w:spacing w:before="40" w:after="40"/>
              <w:ind w:right="397"/>
              <w:jc w:val="right"/>
              <w:rPr>
                <w:rFonts w:cs="Arial"/>
                <w:color w:val="000000"/>
                <w:sz w:val="18"/>
                <w:szCs w:val="18"/>
              </w:rPr>
            </w:pPr>
            <w:r w:rsidRPr="00624D3C">
              <w:rPr>
                <w:rFonts w:cs="Arial"/>
                <w:color w:val="000000"/>
                <w:sz w:val="18"/>
                <w:szCs w:val="18"/>
              </w:rPr>
              <w:t>70.7</w:t>
            </w:r>
          </w:p>
        </w:tc>
        <w:tc>
          <w:tcPr>
            <w:tcW w:w="1020" w:type="dxa"/>
            <w:tcBorders>
              <w:top w:val="nil"/>
              <w:left w:val="nil"/>
              <w:bottom w:val="single" w:sz="4" w:space="0" w:color="1F698E" w:themeColor="accent1"/>
              <w:right w:val="nil"/>
            </w:tcBorders>
            <w:shd w:val="clear" w:color="000000" w:fill="C7E4F3"/>
            <w:vAlign w:val="bottom"/>
          </w:tcPr>
          <w:p w14:paraId="502823CB" w14:textId="2EF4F448" w:rsidR="00624D3C" w:rsidRPr="00624D3C" w:rsidRDefault="00624D3C" w:rsidP="005B7B50">
            <w:pPr>
              <w:spacing w:before="40" w:after="40"/>
              <w:ind w:right="227"/>
              <w:jc w:val="right"/>
              <w:rPr>
                <w:rFonts w:cs="Arial"/>
                <w:color w:val="000000"/>
                <w:sz w:val="18"/>
                <w:szCs w:val="18"/>
              </w:rPr>
            </w:pPr>
            <w:r w:rsidRPr="00624D3C">
              <w:rPr>
                <w:rFonts w:cs="Arial"/>
                <w:color w:val="000000"/>
                <w:sz w:val="18"/>
                <w:szCs w:val="18"/>
              </w:rPr>
              <w:t>65.5</w:t>
            </w:r>
          </w:p>
        </w:tc>
        <w:tc>
          <w:tcPr>
            <w:tcW w:w="1134" w:type="dxa"/>
            <w:tcBorders>
              <w:top w:val="nil"/>
              <w:left w:val="nil"/>
              <w:bottom w:val="single" w:sz="4" w:space="0" w:color="1F698E" w:themeColor="accent1"/>
              <w:right w:val="nil"/>
            </w:tcBorders>
            <w:shd w:val="clear" w:color="000000" w:fill="C7E4F3"/>
            <w:vAlign w:val="bottom"/>
          </w:tcPr>
          <w:p w14:paraId="6A2284AB" w14:textId="064C28FB" w:rsidR="00624D3C" w:rsidRPr="00624D3C" w:rsidRDefault="00624D3C" w:rsidP="005B7B50">
            <w:pPr>
              <w:spacing w:before="40" w:after="40"/>
              <w:ind w:right="227"/>
              <w:jc w:val="right"/>
              <w:rPr>
                <w:rFonts w:cs="Arial"/>
                <w:color w:val="000000"/>
                <w:sz w:val="18"/>
                <w:szCs w:val="18"/>
              </w:rPr>
            </w:pPr>
            <w:r w:rsidRPr="00624D3C">
              <w:rPr>
                <w:rFonts w:cs="Arial"/>
                <w:color w:val="000000"/>
                <w:sz w:val="18"/>
                <w:szCs w:val="18"/>
              </w:rPr>
              <w:t>80.1</w:t>
            </w:r>
          </w:p>
        </w:tc>
        <w:tc>
          <w:tcPr>
            <w:tcW w:w="1134" w:type="dxa"/>
            <w:tcBorders>
              <w:top w:val="nil"/>
              <w:left w:val="nil"/>
              <w:bottom w:val="single" w:sz="4" w:space="0" w:color="1F698E" w:themeColor="accent1"/>
              <w:right w:val="nil"/>
            </w:tcBorders>
            <w:shd w:val="clear" w:color="000000" w:fill="C7E4F3"/>
            <w:vAlign w:val="bottom"/>
          </w:tcPr>
          <w:p w14:paraId="4948814B" w14:textId="32CCC8DA" w:rsidR="00624D3C" w:rsidRPr="00624D3C" w:rsidRDefault="00624D3C" w:rsidP="005B7B50">
            <w:pPr>
              <w:spacing w:before="40" w:after="40"/>
              <w:ind w:right="227"/>
              <w:jc w:val="right"/>
              <w:rPr>
                <w:rFonts w:cs="Arial"/>
                <w:color w:val="000000"/>
                <w:sz w:val="18"/>
                <w:szCs w:val="18"/>
              </w:rPr>
            </w:pPr>
            <w:r w:rsidRPr="00624D3C">
              <w:rPr>
                <w:rFonts w:cs="Arial"/>
                <w:color w:val="000000"/>
                <w:sz w:val="18"/>
                <w:szCs w:val="18"/>
              </w:rPr>
              <w:t>80.1</w:t>
            </w:r>
          </w:p>
        </w:tc>
      </w:tr>
    </w:tbl>
    <w:p w14:paraId="65A5441D" w14:textId="6CAAE747" w:rsidR="00AD3CC9" w:rsidRDefault="004F42BC" w:rsidP="004F42BC">
      <w:pPr>
        <w:pStyle w:val="FigureNote"/>
        <w:spacing w:before="120"/>
        <w:rPr>
          <w:rFonts w:cs="Arial"/>
          <w:szCs w:val="16"/>
        </w:rPr>
      </w:pPr>
      <w:r w:rsidRPr="001B644C">
        <w:t xml:space="preserve">Base: </w:t>
      </w:r>
      <w:r w:rsidRPr="001B644C">
        <w:tab/>
      </w:r>
      <w:r w:rsidRPr="00810D9B">
        <w:t>All respondents</w:t>
      </w:r>
      <w:r>
        <w:t xml:space="preserve">, </w:t>
      </w:r>
      <w:r>
        <w:rPr>
          <w:rFonts w:cs="Arial"/>
          <w:szCs w:val="16"/>
        </w:rPr>
        <w:t>ACT (n=14</w:t>
      </w:r>
      <w:r w:rsidR="00624D3C">
        <w:rPr>
          <w:rFonts w:cs="Arial"/>
          <w:szCs w:val="16"/>
        </w:rPr>
        <w:t>1</w:t>
      </w:r>
      <w:r>
        <w:rPr>
          <w:rFonts w:cs="Arial"/>
          <w:szCs w:val="16"/>
        </w:rPr>
        <w:t xml:space="preserve"> to n=147), Comcare (n=7</w:t>
      </w:r>
      <w:r w:rsidR="00624D3C">
        <w:rPr>
          <w:rFonts w:cs="Arial"/>
          <w:szCs w:val="16"/>
        </w:rPr>
        <w:t>04</w:t>
      </w:r>
      <w:r>
        <w:rPr>
          <w:rFonts w:cs="Arial"/>
          <w:szCs w:val="16"/>
        </w:rPr>
        <w:t xml:space="preserve"> to n=76</w:t>
      </w:r>
      <w:r w:rsidR="00624D3C">
        <w:rPr>
          <w:rFonts w:cs="Arial"/>
          <w:szCs w:val="16"/>
        </w:rPr>
        <w:t>4), NSW (n=795</w:t>
      </w:r>
      <w:r>
        <w:rPr>
          <w:rFonts w:cs="Arial"/>
          <w:szCs w:val="16"/>
        </w:rPr>
        <w:t xml:space="preserve"> to n=8</w:t>
      </w:r>
      <w:r w:rsidR="00624D3C">
        <w:rPr>
          <w:rFonts w:cs="Arial"/>
          <w:szCs w:val="16"/>
        </w:rPr>
        <w:t>44), NT (n=138</w:t>
      </w:r>
      <w:r>
        <w:rPr>
          <w:rFonts w:cs="Arial"/>
          <w:szCs w:val="16"/>
        </w:rPr>
        <w:t xml:space="preserve"> to n=14</w:t>
      </w:r>
      <w:r w:rsidR="00624D3C">
        <w:rPr>
          <w:rFonts w:cs="Arial"/>
          <w:szCs w:val="16"/>
        </w:rPr>
        <w:t>9</w:t>
      </w:r>
      <w:r>
        <w:rPr>
          <w:rFonts w:cs="Arial"/>
          <w:szCs w:val="16"/>
        </w:rPr>
        <w:t>), QLD (n=</w:t>
      </w:r>
      <w:r w:rsidR="00624D3C">
        <w:rPr>
          <w:rFonts w:cs="Arial"/>
          <w:szCs w:val="16"/>
        </w:rPr>
        <w:t>755</w:t>
      </w:r>
      <w:r>
        <w:rPr>
          <w:rFonts w:cs="Arial"/>
          <w:szCs w:val="16"/>
        </w:rPr>
        <w:t xml:space="preserve"> to n=7</w:t>
      </w:r>
      <w:r w:rsidR="00624D3C">
        <w:rPr>
          <w:rFonts w:cs="Arial"/>
          <w:szCs w:val="16"/>
        </w:rPr>
        <w:t>96</w:t>
      </w:r>
      <w:r>
        <w:rPr>
          <w:rFonts w:cs="Arial"/>
          <w:szCs w:val="16"/>
        </w:rPr>
        <w:t>), Seacare (n=5</w:t>
      </w:r>
      <w:r w:rsidR="00624D3C">
        <w:rPr>
          <w:rFonts w:cs="Arial"/>
          <w:szCs w:val="16"/>
        </w:rPr>
        <w:t>2</w:t>
      </w:r>
      <w:r>
        <w:rPr>
          <w:rFonts w:cs="Arial"/>
          <w:szCs w:val="16"/>
        </w:rPr>
        <w:t xml:space="preserve"> to n=58), TAS (n=4</w:t>
      </w:r>
      <w:r w:rsidR="00624D3C">
        <w:rPr>
          <w:rFonts w:cs="Arial"/>
          <w:szCs w:val="16"/>
        </w:rPr>
        <w:t>52</w:t>
      </w:r>
      <w:r>
        <w:rPr>
          <w:rFonts w:cs="Arial"/>
          <w:szCs w:val="16"/>
        </w:rPr>
        <w:t xml:space="preserve"> to n=47</w:t>
      </w:r>
      <w:r w:rsidR="00624D3C">
        <w:rPr>
          <w:rFonts w:cs="Arial"/>
          <w:szCs w:val="16"/>
        </w:rPr>
        <w:t>7</w:t>
      </w:r>
      <w:r>
        <w:rPr>
          <w:rFonts w:cs="Arial"/>
          <w:szCs w:val="16"/>
        </w:rPr>
        <w:t>), WA (n=</w:t>
      </w:r>
      <w:r w:rsidR="00624D3C">
        <w:rPr>
          <w:rFonts w:cs="Arial"/>
          <w:szCs w:val="16"/>
        </w:rPr>
        <w:t>466</w:t>
      </w:r>
      <w:r>
        <w:rPr>
          <w:rFonts w:cs="Arial"/>
          <w:szCs w:val="16"/>
        </w:rPr>
        <w:t xml:space="preserve"> to n=50</w:t>
      </w:r>
      <w:r w:rsidR="00624D3C">
        <w:rPr>
          <w:rFonts w:cs="Arial"/>
          <w:szCs w:val="16"/>
        </w:rPr>
        <w:t>7</w:t>
      </w:r>
      <w:r>
        <w:rPr>
          <w:rFonts w:cs="Arial"/>
          <w:szCs w:val="16"/>
        </w:rPr>
        <w:t>), VIC (n=7</w:t>
      </w:r>
      <w:r w:rsidR="00624D3C">
        <w:rPr>
          <w:rFonts w:cs="Arial"/>
          <w:szCs w:val="16"/>
        </w:rPr>
        <w:t>53</w:t>
      </w:r>
      <w:r>
        <w:rPr>
          <w:rFonts w:cs="Arial"/>
          <w:szCs w:val="16"/>
        </w:rPr>
        <w:t xml:space="preserve"> to n=78</w:t>
      </w:r>
      <w:r w:rsidR="00624D3C">
        <w:rPr>
          <w:rFonts w:cs="Arial"/>
          <w:szCs w:val="16"/>
        </w:rPr>
        <w:t>8</w:t>
      </w:r>
      <w:r>
        <w:rPr>
          <w:rFonts w:cs="Arial"/>
          <w:szCs w:val="16"/>
        </w:rPr>
        <w:t xml:space="preserve">), </w:t>
      </w:r>
      <w:r>
        <w:t>Fractures (n=5</w:t>
      </w:r>
      <w:r w:rsidR="00624D3C">
        <w:t>85</w:t>
      </w:r>
      <w:r>
        <w:t xml:space="preserve"> to n=6</w:t>
      </w:r>
      <w:r w:rsidR="00624D3C">
        <w:t>18</w:t>
      </w:r>
      <w:r>
        <w:t xml:space="preserve">), </w:t>
      </w:r>
      <w:r w:rsidR="00624D3C">
        <w:t>Musculoskeletal Disorders (n=2,489</w:t>
      </w:r>
      <w:r>
        <w:t xml:space="preserve"> to n=2,6</w:t>
      </w:r>
      <w:r w:rsidR="00624D3C">
        <w:t>45</w:t>
      </w:r>
      <w:r>
        <w:t>), Other Trauma (n=7</w:t>
      </w:r>
      <w:r w:rsidR="00624D3C">
        <w:t>32</w:t>
      </w:r>
      <w:r>
        <w:t xml:space="preserve"> to n=77</w:t>
      </w:r>
      <w:r w:rsidR="00624D3C">
        <w:t>6</w:t>
      </w:r>
      <w:r>
        <w:t>), Mental Illness (n=26</w:t>
      </w:r>
      <w:r w:rsidR="00624D3C">
        <w:t>2 to n=281</w:t>
      </w:r>
      <w:r>
        <w:t>), Other Diseases (n=20</w:t>
      </w:r>
      <w:r w:rsidR="009A31DA">
        <w:t>0 to n=213</w:t>
      </w:r>
      <w:r>
        <w:t xml:space="preserve">), </w:t>
      </w:r>
      <w:r>
        <w:rPr>
          <w:rFonts w:cs="Arial"/>
          <w:szCs w:val="16"/>
        </w:rPr>
        <w:t>Small (Less than $1m) (n=8</w:t>
      </w:r>
      <w:r w:rsidR="009A31DA">
        <w:rPr>
          <w:rFonts w:cs="Arial"/>
          <w:szCs w:val="16"/>
        </w:rPr>
        <w:t>32</w:t>
      </w:r>
      <w:r>
        <w:rPr>
          <w:rFonts w:cs="Arial"/>
          <w:szCs w:val="16"/>
        </w:rPr>
        <w:t xml:space="preserve"> to n=8</w:t>
      </w:r>
      <w:r w:rsidR="009A31DA">
        <w:rPr>
          <w:rFonts w:cs="Arial"/>
          <w:szCs w:val="16"/>
        </w:rPr>
        <w:t>77</w:t>
      </w:r>
      <w:r>
        <w:rPr>
          <w:rFonts w:cs="Arial"/>
          <w:szCs w:val="16"/>
        </w:rPr>
        <w:t>), Medium (Between $1m and less than $20m) (n=1,</w:t>
      </w:r>
      <w:r w:rsidR="009A31DA">
        <w:rPr>
          <w:rFonts w:cs="Arial"/>
          <w:szCs w:val="16"/>
        </w:rPr>
        <w:t>179</w:t>
      </w:r>
      <w:r>
        <w:rPr>
          <w:rFonts w:cs="Arial"/>
          <w:szCs w:val="16"/>
        </w:rPr>
        <w:t xml:space="preserve"> to n=1,2</w:t>
      </w:r>
      <w:r w:rsidR="009A31DA">
        <w:rPr>
          <w:rFonts w:cs="Arial"/>
          <w:szCs w:val="16"/>
        </w:rPr>
        <w:t>64</w:t>
      </w:r>
      <w:r>
        <w:rPr>
          <w:rFonts w:cs="Arial"/>
          <w:szCs w:val="16"/>
        </w:rPr>
        <w:t>), Large ($20m or more) (n=1,</w:t>
      </w:r>
      <w:r w:rsidR="009A31DA">
        <w:rPr>
          <w:rFonts w:cs="Arial"/>
          <w:szCs w:val="16"/>
        </w:rPr>
        <w:t>19</w:t>
      </w:r>
      <w:r>
        <w:rPr>
          <w:rFonts w:cs="Arial"/>
          <w:szCs w:val="16"/>
        </w:rPr>
        <w:t>5 to n=1,2</w:t>
      </w:r>
      <w:r w:rsidR="009A31DA">
        <w:rPr>
          <w:rFonts w:cs="Arial"/>
          <w:szCs w:val="16"/>
        </w:rPr>
        <w:t>59</w:t>
      </w:r>
      <w:r>
        <w:rPr>
          <w:rFonts w:cs="Arial"/>
          <w:szCs w:val="16"/>
        </w:rPr>
        <w:t>).</w:t>
      </w:r>
    </w:p>
    <w:p w14:paraId="513589FC" w14:textId="4F697FD7" w:rsidR="004F42BC" w:rsidRDefault="004F42BC" w:rsidP="004F42BC">
      <w:pPr>
        <w:pStyle w:val="FigureNote"/>
      </w:pPr>
      <w:r>
        <w:t>EMP7</w:t>
      </w:r>
      <w:r w:rsidRPr="009A7AC8">
        <w:tab/>
      </w:r>
      <w:r w:rsidRPr="003A4EB6">
        <w:rPr>
          <w:szCs w:val="16"/>
        </w:rPr>
        <w:t>Thinking about the role of your employer following your work-related injury or illness, do you agree or disagree with the following statements</w:t>
      </w:r>
      <w:r w:rsidRPr="009A7AC8">
        <w:t>?</w:t>
      </w:r>
    </w:p>
    <w:p w14:paraId="76DE8231" w14:textId="0D7D3805" w:rsidR="004F42BC" w:rsidRDefault="004F42BC" w:rsidP="004F42BC">
      <w:pPr>
        <w:pStyle w:val="FigureNote"/>
      </w:pPr>
      <w:r>
        <w:t>Note:</w:t>
      </w:r>
      <w:r>
        <w:tab/>
        <w:t xml:space="preserve">Don’t know and Refused responses excluded from base. </w:t>
      </w:r>
      <w:r w:rsidRPr="00887D32">
        <w:t xml:space="preserve">Asterisks indicate statistically significant </w:t>
      </w:r>
      <w:r w:rsidRPr="00611565">
        <w:t>difference (single asterisk (*) indicates a lower proportion; double asterisk (**) indicates a higher p</w:t>
      </w:r>
      <w:r w:rsidRPr="00887D32">
        <w:t>roportion</w:t>
      </w:r>
      <w:r>
        <w:t>)</w:t>
      </w:r>
      <w:r w:rsidR="003E25AE">
        <w:t xml:space="preserve"> (p-value &lt;=0.05).</w:t>
      </w:r>
    </w:p>
    <w:p w14:paraId="1E1CFBF2" w14:textId="77777777" w:rsidR="004F42BC" w:rsidRPr="00AD3CC9" w:rsidRDefault="004F42BC" w:rsidP="004F42BC">
      <w:pPr>
        <w:pStyle w:val="FigureNote"/>
      </w:pPr>
    </w:p>
    <w:p w14:paraId="568225B7" w14:textId="788DB45A" w:rsidR="00534357" w:rsidRDefault="00534357" w:rsidP="00534357">
      <w:pPr>
        <w:pStyle w:val="Heading2"/>
      </w:pPr>
      <w:bookmarkStart w:id="110" w:name="_Toc528056037"/>
      <w:r>
        <w:t xml:space="preserve">Contact </w:t>
      </w:r>
      <w:r w:rsidR="006C6E74">
        <w:t>from</w:t>
      </w:r>
      <w:r>
        <w:t xml:space="preserve"> employer / return to work coordinator</w:t>
      </w:r>
      <w:bookmarkEnd w:id="110"/>
    </w:p>
    <w:p w14:paraId="727F2316" w14:textId="490478E2" w:rsidR="00534357" w:rsidRDefault="003C39E1" w:rsidP="00534357">
      <w:pPr>
        <w:pStyle w:val="Body"/>
      </w:pPr>
      <w:r>
        <w:t>The survey asked workers</w:t>
      </w:r>
      <w:r w:rsidR="006C6E74">
        <w:t xml:space="preserve"> about contact received from </w:t>
      </w:r>
      <w:r>
        <w:t>their employer</w:t>
      </w:r>
      <w:r w:rsidR="006C6E74">
        <w:t xml:space="preserve"> following their work</w:t>
      </w:r>
      <w:r w:rsidR="00F61F8D">
        <w:noBreakHyphen/>
      </w:r>
      <w:r w:rsidR="006C6E74">
        <w:t>related injury or illness</w:t>
      </w:r>
      <w:r>
        <w:t xml:space="preserve">, including </w:t>
      </w:r>
      <w:r w:rsidR="00534357" w:rsidRPr="00E84F72">
        <w:t>if they ha</w:t>
      </w:r>
      <w:r>
        <w:t>d</w:t>
      </w:r>
      <w:r w:rsidR="00534357" w:rsidRPr="00E84F72">
        <w:t xml:space="preserve"> </w:t>
      </w:r>
      <w:r w:rsidR="006C6E74">
        <w:t xml:space="preserve">been contacted by </w:t>
      </w:r>
      <w:r w:rsidR="00534357" w:rsidRPr="00E84F72">
        <w:t xml:space="preserve">a person </w:t>
      </w:r>
      <w:r w:rsidR="006C6E74" w:rsidRPr="00E84F72">
        <w:t xml:space="preserve">designated </w:t>
      </w:r>
      <w:r w:rsidR="00534357" w:rsidRPr="00E84F72">
        <w:t xml:space="preserve">to coordinate their return to work process. The title of this role varies by </w:t>
      </w:r>
      <w:r w:rsidR="00534357">
        <w:t>j</w:t>
      </w:r>
      <w:r w:rsidR="00534357" w:rsidRPr="00E84F72">
        <w:t>urisdiction and can be know</w:t>
      </w:r>
      <w:r w:rsidR="00534357">
        <w:t>n</w:t>
      </w:r>
      <w:r w:rsidR="00534357" w:rsidRPr="00E84F72">
        <w:t xml:space="preserve"> as a Return to Work Coordinator, Case Manager, Customer Advisor, Rehabilitation and Return to Work Coordinator, or</w:t>
      </w:r>
      <w:r w:rsidR="00626857">
        <w:t> </w:t>
      </w:r>
      <w:r w:rsidR="00534357" w:rsidRPr="00E84F72">
        <w:t>Injury Management Coordinator.</w:t>
      </w:r>
    </w:p>
    <w:p w14:paraId="15CFD335" w14:textId="04413D9D" w:rsidR="003C39E1" w:rsidRPr="00011EAE" w:rsidRDefault="003C39E1" w:rsidP="00FD3931">
      <w:pPr>
        <w:pStyle w:val="Body"/>
      </w:pPr>
      <w:r w:rsidRPr="00FD3931">
        <w:t>Figure 2</w:t>
      </w:r>
      <w:r w:rsidR="002870E5" w:rsidRPr="00FD3931">
        <w:t>5</w:t>
      </w:r>
      <w:r w:rsidRPr="00FD3931">
        <w:t xml:space="preserve"> </w:t>
      </w:r>
      <w:r w:rsidR="00F61F8D" w:rsidRPr="00FD3931">
        <w:t xml:space="preserve">(overleaf) </w:t>
      </w:r>
      <w:r w:rsidRPr="00FD3931">
        <w:t xml:space="preserve">shows the incidence of contact </w:t>
      </w:r>
      <w:r w:rsidR="006C6E74" w:rsidRPr="00FD3931">
        <w:t xml:space="preserve">received from </w:t>
      </w:r>
      <w:r w:rsidRPr="00FD3931">
        <w:t xml:space="preserve">a return to work coordinator and </w:t>
      </w:r>
      <w:r w:rsidR="006C6E74" w:rsidRPr="00FD3931">
        <w:t>from</w:t>
      </w:r>
      <w:r w:rsidRPr="00FD3931">
        <w:t xml:space="preserve"> the employer </w:t>
      </w:r>
      <w:r w:rsidR="006C6E74" w:rsidRPr="00FD3931">
        <w:t>at all</w:t>
      </w:r>
      <w:r w:rsidRPr="00FD3931">
        <w:t>.</w:t>
      </w:r>
      <w:r w:rsidR="00416F96" w:rsidRPr="00FD3931">
        <w:t xml:space="preserve"> Almost two-thirds (62.7%) of workers reported receiving contact from their employer about their recovery. A slightly smaller proportion (56.9%) reported being contacted by a return to work coordinator.</w:t>
      </w:r>
      <w:r w:rsidRPr="00FD3931">
        <w:br w:type="page"/>
      </w:r>
    </w:p>
    <w:p w14:paraId="2E62947B" w14:textId="24A33B0D" w:rsidR="003C39E1" w:rsidRDefault="003C39E1" w:rsidP="003C39E1">
      <w:pPr>
        <w:pStyle w:val="Caption"/>
      </w:pPr>
      <w:bookmarkStart w:id="111" w:name="_Toc528056592"/>
      <w:r>
        <w:lastRenderedPageBreak/>
        <w:t xml:space="preserve">Figure </w:t>
      </w:r>
      <w:r w:rsidR="006F2BDD">
        <w:rPr>
          <w:noProof/>
        </w:rPr>
        <w:fldChar w:fldCharType="begin"/>
      </w:r>
      <w:r w:rsidR="006F2BDD">
        <w:rPr>
          <w:noProof/>
        </w:rPr>
        <w:instrText xml:space="preserve"> SEQ Figure \* ARABIC </w:instrText>
      </w:r>
      <w:r w:rsidR="006F2BDD">
        <w:rPr>
          <w:noProof/>
        </w:rPr>
        <w:fldChar w:fldCharType="separate"/>
      </w:r>
      <w:r w:rsidR="00B9340A">
        <w:rPr>
          <w:noProof/>
        </w:rPr>
        <w:t>25</w:t>
      </w:r>
      <w:r w:rsidR="006F2BDD">
        <w:rPr>
          <w:noProof/>
        </w:rPr>
        <w:fldChar w:fldCharType="end"/>
      </w:r>
      <w:r>
        <w:tab/>
        <w:t xml:space="preserve">Contact with employer / return to work coordinator, by jurisdiction, </w:t>
      </w:r>
      <w:r w:rsidR="0025300B">
        <w:t>injury/illness</w:t>
      </w:r>
      <w:r>
        <w:t xml:space="preserve"> type and employer size – 2018 (%)</w:t>
      </w:r>
      <w:bookmarkEnd w:id="111"/>
    </w:p>
    <w:p w14:paraId="7293180C" w14:textId="213C6157" w:rsidR="003C39E1" w:rsidRPr="003C39E1" w:rsidRDefault="003C39E1" w:rsidP="003C39E1">
      <w:pPr>
        <w:pStyle w:val="Body"/>
      </w:pPr>
      <w:r>
        <w:rPr>
          <w:noProof/>
          <w:color w:val="FF0000"/>
          <w:lang w:eastAsia="en-AU"/>
        </w:rPr>
        <w:drawing>
          <wp:inline distT="0" distB="0" distL="0" distR="0" wp14:anchorId="246F186E" wp14:editId="2D9B8E23">
            <wp:extent cx="5759450" cy="5040000"/>
            <wp:effectExtent l="0" t="0" r="12700" b="8255"/>
            <wp:docPr id="196" name="Chart 196" descr="This chart presents the percentage of respondents who had contact with their employer and/or return to work coordinator, by jurisdiction, injury/illness type and employer size. Discussion of the findings is above and below th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2BEE10F" w14:textId="759DB3F0" w:rsidR="00416F96" w:rsidRDefault="00416F96" w:rsidP="00416F96">
      <w:pPr>
        <w:pStyle w:val="FigureNote"/>
        <w:spacing w:before="120"/>
        <w:rPr>
          <w:rFonts w:cs="Arial"/>
          <w:szCs w:val="16"/>
        </w:rPr>
      </w:pPr>
      <w:r w:rsidRPr="001B644C">
        <w:t xml:space="preserve">Base: </w:t>
      </w:r>
      <w:r w:rsidRPr="001B644C">
        <w:tab/>
      </w:r>
      <w:r w:rsidRPr="00810D9B">
        <w:t>All respondents</w:t>
      </w:r>
      <w:r>
        <w:t xml:space="preserve">, </w:t>
      </w:r>
      <w:r>
        <w:rPr>
          <w:rFonts w:cs="Arial"/>
          <w:szCs w:val="16"/>
        </w:rPr>
        <w:t>ACT (n=14</w:t>
      </w:r>
      <w:r w:rsidR="00501468">
        <w:rPr>
          <w:rFonts w:cs="Arial"/>
          <w:szCs w:val="16"/>
        </w:rPr>
        <w:t>3</w:t>
      </w:r>
      <w:r>
        <w:rPr>
          <w:rFonts w:cs="Arial"/>
          <w:szCs w:val="16"/>
        </w:rPr>
        <w:t>), Comcare (n=74</w:t>
      </w:r>
      <w:r w:rsidR="00501468">
        <w:rPr>
          <w:rFonts w:cs="Arial"/>
          <w:szCs w:val="16"/>
        </w:rPr>
        <w:t>2), NSW (n=</w:t>
      </w:r>
      <w:r>
        <w:rPr>
          <w:rFonts w:cs="Arial"/>
          <w:szCs w:val="16"/>
        </w:rPr>
        <w:t>8</w:t>
      </w:r>
      <w:r w:rsidR="00501468">
        <w:rPr>
          <w:rFonts w:cs="Arial"/>
          <w:szCs w:val="16"/>
        </w:rPr>
        <w:t>32</w:t>
      </w:r>
      <w:r>
        <w:rPr>
          <w:rFonts w:cs="Arial"/>
          <w:szCs w:val="16"/>
        </w:rPr>
        <w:t>), NT (n=1</w:t>
      </w:r>
      <w:r w:rsidR="00501468">
        <w:rPr>
          <w:rFonts w:cs="Arial"/>
          <w:szCs w:val="16"/>
        </w:rPr>
        <w:t>48</w:t>
      </w:r>
      <w:r>
        <w:rPr>
          <w:rFonts w:cs="Arial"/>
          <w:szCs w:val="16"/>
        </w:rPr>
        <w:t>), QLD (n=7</w:t>
      </w:r>
      <w:r w:rsidR="00501468">
        <w:rPr>
          <w:rFonts w:cs="Arial"/>
          <w:szCs w:val="16"/>
        </w:rPr>
        <w:t>87</w:t>
      </w:r>
      <w:r>
        <w:rPr>
          <w:rFonts w:cs="Arial"/>
          <w:szCs w:val="16"/>
        </w:rPr>
        <w:t>), Seacare (n=58), TAS (n=4</w:t>
      </w:r>
      <w:r w:rsidR="00501468">
        <w:rPr>
          <w:rFonts w:cs="Arial"/>
          <w:szCs w:val="16"/>
        </w:rPr>
        <w:t>66</w:t>
      </w:r>
      <w:r>
        <w:rPr>
          <w:rFonts w:cs="Arial"/>
          <w:szCs w:val="16"/>
        </w:rPr>
        <w:t>), WA (n=</w:t>
      </w:r>
      <w:r w:rsidR="00501468">
        <w:rPr>
          <w:rFonts w:cs="Arial"/>
          <w:szCs w:val="16"/>
        </w:rPr>
        <w:t>502</w:t>
      </w:r>
      <w:r>
        <w:rPr>
          <w:rFonts w:cs="Arial"/>
          <w:szCs w:val="16"/>
        </w:rPr>
        <w:t>), VIC (n=7</w:t>
      </w:r>
      <w:r w:rsidR="00501468">
        <w:rPr>
          <w:rFonts w:cs="Arial"/>
          <w:szCs w:val="16"/>
        </w:rPr>
        <w:t>73</w:t>
      </w:r>
      <w:r>
        <w:rPr>
          <w:rFonts w:cs="Arial"/>
          <w:szCs w:val="16"/>
        </w:rPr>
        <w:t xml:space="preserve">), </w:t>
      </w:r>
      <w:r w:rsidR="00501468">
        <w:t>Fractures (n=</w:t>
      </w:r>
      <w:r>
        <w:t>61</w:t>
      </w:r>
      <w:r w:rsidR="00501468">
        <w:t>1</w:t>
      </w:r>
      <w:r>
        <w:t>), Musculoskeletal Disorders (n=2,5</w:t>
      </w:r>
      <w:r w:rsidR="00501468">
        <w:t>91</w:t>
      </w:r>
      <w:r>
        <w:t>), Other Trauma (n=76</w:t>
      </w:r>
      <w:r w:rsidR="00501468">
        <w:t>1</w:t>
      </w:r>
      <w:r>
        <w:t>), Mental Illness (n=28</w:t>
      </w:r>
      <w:r w:rsidR="00501468">
        <w:t>0</w:t>
      </w:r>
      <w:r>
        <w:t>), Other Diseases (n=2</w:t>
      </w:r>
      <w:r w:rsidR="00501468">
        <w:t>08</w:t>
      </w:r>
      <w:r>
        <w:t xml:space="preserve">), </w:t>
      </w:r>
      <w:r>
        <w:rPr>
          <w:rFonts w:cs="Arial"/>
          <w:szCs w:val="16"/>
        </w:rPr>
        <w:t>Small (Less than $1m) (n=8</w:t>
      </w:r>
      <w:r w:rsidR="00501468">
        <w:rPr>
          <w:rFonts w:cs="Arial"/>
          <w:szCs w:val="16"/>
        </w:rPr>
        <w:t>61</w:t>
      </w:r>
      <w:r>
        <w:rPr>
          <w:rFonts w:cs="Arial"/>
          <w:szCs w:val="16"/>
        </w:rPr>
        <w:t>), Medium (Between $1m and less than $20m) (n=1,24</w:t>
      </w:r>
      <w:r w:rsidR="00501468">
        <w:rPr>
          <w:rFonts w:cs="Arial"/>
          <w:szCs w:val="16"/>
        </w:rPr>
        <w:t>6</w:t>
      </w:r>
      <w:r>
        <w:rPr>
          <w:rFonts w:cs="Arial"/>
          <w:szCs w:val="16"/>
        </w:rPr>
        <w:t>), Large ($20m or more) (n=1,2</w:t>
      </w:r>
      <w:r w:rsidR="00501468">
        <w:rPr>
          <w:rFonts w:cs="Arial"/>
          <w:szCs w:val="16"/>
        </w:rPr>
        <w:t>46</w:t>
      </w:r>
      <w:r>
        <w:rPr>
          <w:rFonts w:cs="Arial"/>
          <w:szCs w:val="16"/>
        </w:rPr>
        <w:t>).</w:t>
      </w:r>
    </w:p>
    <w:p w14:paraId="1FCD0353" w14:textId="1FBCB7BC" w:rsidR="00416F96" w:rsidRDefault="00416F96" w:rsidP="00416F96">
      <w:pPr>
        <w:pStyle w:val="FigureNote"/>
      </w:pPr>
      <w:r>
        <w:t>EMP8</w:t>
      </w:r>
      <w:r w:rsidRPr="009A7AC8">
        <w:tab/>
      </w:r>
      <w:r w:rsidRPr="00416F96">
        <w:t>Did someone contact you about recovering from your work-related injury or illness</w:t>
      </w:r>
      <w:r w:rsidRPr="009A7AC8">
        <w:t>?</w:t>
      </w:r>
    </w:p>
    <w:p w14:paraId="25E16484" w14:textId="447D6DB4" w:rsidR="00501468" w:rsidRDefault="00501468" w:rsidP="00416F96">
      <w:pPr>
        <w:pStyle w:val="FigureNote"/>
      </w:pPr>
      <w:r w:rsidRPr="001B644C">
        <w:t xml:space="preserve">Base: </w:t>
      </w:r>
      <w:r w:rsidRPr="001B644C">
        <w:tab/>
      </w:r>
      <w:r w:rsidRPr="00810D9B">
        <w:t>All respondents</w:t>
      </w:r>
      <w:r>
        <w:t xml:space="preserve">, </w:t>
      </w:r>
      <w:r>
        <w:rPr>
          <w:rFonts w:cs="Arial"/>
          <w:szCs w:val="16"/>
        </w:rPr>
        <w:t xml:space="preserve">ACT (n=149), Comcare (n=763), NSW (n=861), NT (n=149), QLD (n=807), Seacare (n=58), TAS (n=477), WA (n=509), VIC (n=800), </w:t>
      </w:r>
      <w:r>
        <w:t xml:space="preserve">Fractures (n=624), Musculoskeletal Disorders (n=2,664), Other Trauma (n=786), Mental Illness (n=281), Other Diseases (n=218), </w:t>
      </w:r>
      <w:r>
        <w:rPr>
          <w:rFonts w:cs="Arial"/>
          <w:szCs w:val="16"/>
        </w:rPr>
        <w:t>Small (Less than $1m) (n=898), Medium (Between $1m and less than $20m) (n=1,272), Large ($20m or more) (n=1,271).</w:t>
      </w:r>
    </w:p>
    <w:p w14:paraId="4B7BFF1C" w14:textId="0501E2EB" w:rsidR="00416F96" w:rsidRDefault="00416F96" w:rsidP="00416F96">
      <w:pPr>
        <w:pStyle w:val="FigureNote"/>
      </w:pPr>
      <w:r>
        <w:t>EMP5</w:t>
      </w:r>
      <w:r w:rsidRPr="009A7AC8">
        <w:tab/>
      </w:r>
      <w:r w:rsidRPr="00416F96">
        <w:t xml:space="preserve">Has this person </w:t>
      </w:r>
      <w:r>
        <w:t xml:space="preserve">(return to work coordinator) </w:t>
      </w:r>
      <w:r w:rsidRPr="00416F96">
        <w:t>been in contact with you since your injury or illness</w:t>
      </w:r>
      <w:r w:rsidRPr="009A7AC8">
        <w:t>?</w:t>
      </w:r>
    </w:p>
    <w:p w14:paraId="170538D5" w14:textId="36EA5579" w:rsidR="00416F96" w:rsidRDefault="00416F96" w:rsidP="00416F96">
      <w:pPr>
        <w:pStyle w:val="FigureNote"/>
      </w:pPr>
      <w:r>
        <w:t>Note:</w:t>
      </w:r>
      <w:r>
        <w:tab/>
        <w:t xml:space="preserve">Don’t know and Refused responses excluded from base. </w:t>
      </w:r>
      <w:r w:rsidR="00572E92">
        <w:t xml:space="preserve">Calculation of EMP5 result includes those who </w:t>
      </w:r>
      <w:r w:rsidR="00FD3931">
        <w:t xml:space="preserve">reported </w:t>
      </w:r>
      <w:r w:rsidR="00572E92">
        <w:t>they d</w:t>
      </w:r>
      <w:r w:rsidR="00FD3931">
        <w:t>id</w:t>
      </w:r>
      <w:r w:rsidR="00572E92">
        <w:t xml:space="preserve"> not have a return to work coordinator at EMP4 (counted as ‘no’ at EMP5). </w:t>
      </w:r>
      <w:r w:rsidRPr="00887D32">
        <w:t xml:space="preserve">Asterisks indicate statistically significant </w:t>
      </w:r>
      <w:r w:rsidRPr="00611565">
        <w:t>difference</w:t>
      </w:r>
      <w:r w:rsidR="006C4EDE">
        <w:t xml:space="preserve"> </w:t>
      </w:r>
      <w:r w:rsidRPr="00611565">
        <w:t>(single asterisk (*) indicates a lower proportion; double asterisk (**) indicates a higher p</w:t>
      </w:r>
      <w:r w:rsidRPr="00887D32">
        <w:t>roportion</w:t>
      </w:r>
      <w:r>
        <w:t>)</w:t>
      </w:r>
      <w:r w:rsidR="003E25AE">
        <w:t xml:space="preserve"> (p-value &lt;=0.05).</w:t>
      </w:r>
    </w:p>
    <w:p w14:paraId="6EA0A3E0" w14:textId="77777777" w:rsidR="00416F96" w:rsidRDefault="00416F96" w:rsidP="00416F96">
      <w:pPr>
        <w:pStyle w:val="FigureNote"/>
      </w:pPr>
    </w:p>
    <w:p w14:paraId="71818861" w14:textId="3FFE4539" w:rsidR="00B369C9" w:rsidRPr="002870E5" w:rsidRDefault="00B369C9" w:rsidP="00B369C9">
      <w:pPr>
        <w:pStyle w:val="Body"/>
      </w:pPr>
      <w:r w:rsidRPr="002870E5">
        <w:t xml:space="preserve">Workers from Seacare and Comcare were significantly more likely to have had </w:t>
      </w:r>
      <w:r w:rsidR="002870E5">
        <w:t>a</w:t>
      </w:r>
      <w:r w:rsidRPr="002870E5">
        <w:t xml:space="preserve"> return to work coordinator be in contact since their injury or illness. Workers from Queensland were significantly less likely to have </w:t>
      </w:r>
      <w:r w:rsidR="002870E5">
        <w:t>received</w:t>
      </w:r>
      <w:r w:rsidRPr="002870E5">
        <w:t xml:space="preserve"> this contact.</w:t>
      </w:r>
    </w:p>
    <w:p w14:paraId="60AE1DC6" w14:textId="6C4E5866" w:rsidR="00B369C9" w:rsidRPr="002870E5" w:rsidRDefault="00B369C9" w:rsidP="00B369C9">
      <w:pPr>
        <w:pStyle w:val="Body"/>
        <w:rPr>
          <w:rFonts w:cs="Arial"/>
        </w:rPr>
      </w:pPr>
      <w:r w:rsidRPr="002870E5">
        <w:rPr>
          <w:rFonts w:cs="Arial"/>
        </w:rPr>
        <w:t xml:space="preserve">Workers </w:t>
      </w:r>
      <w:r w:rsidR="00611DE9" w:rsidRPr="002870E5">
        <w:rPr>
          <w:rFonts w:cs="Arial"/>
        </w:rPr>
        <w:t xml:space="preserve">who experienced </w:t>
      </w:r>
      <w:r w:rsidRPr="002870E5">
        <w:rPr>
          <w:rFonts w:cs="Arial"/>
        </w:rPr>
        <w:t xml:space="preserve">mental illness were significantly less likely to have been contacted by their supervisor or someone else from their work about recovering from their work-related injury or illness. </w:t>
      </w:r>
    </w:p>
    <w:p w14:paraId="625001FD" w14:textId="4B9E5E2D" w:rsidR="00B369C9" w:rsidRPr="002870E5" w:rsidRDefault="00B369C9" w:rsidP="00534357">
      <w:pPr>
        <w:pStyle w:val="Body"/>
        <w:rPr>
          <w:rFonts w:cs="Arial"/>
        </w:rPr>
      </w:pPr>
      <w:r w:rsidRPr="002870E5">
        <w:rPr>
          <w:rFonts w:cs="Arial"/>
        </w:rPr>
        <w:t xml:space="preserve">Workers </w:t>
      </w:r>
      <w:r w:rsidR="00611DE9" w:rsidRPr="002870E5">
        <w:rPr>
          <w:rFonts w:cs="Arial"/>
        </w:rPr>
        <w:t>who experienced other trauma</w:t>
      </w:r>
      <w:r w:rsidRPr="002870E5">
        <w:rPr>
          <w:rFonts w:cs="Arial"/>
        </w:rPr>
        <w:t xml:space="preserve"> were significantly less likely </w:t>
      </w:r>
      <w:r w:rsidR="00611DE9" w:rsidRPr="002870E5">
        <w:rPr>
          <w:rFonts w:cs="Arial"/>
        </w:rPr>
        <w:t>to have been contacted by a</w:t>
      </w:r>
      <w:r w:rsidR="00626857">
        <w:rPr>
          <w:rFonts w:cs="Arial"/>
        </w:rPr>
        <w:t> </w:t>
      </w:r>
      <w:r w:rsidR="00611DE9" w:rsidRPr="002870E5">
        <w:rPr>
          <w:rFonts w:cs="Arial"/>
        </w:rPr>
        <w:t>return to work c</w:t>
      </w:r>
      <w:r w:rsidRPr="002870E5">
        <w:rPr>
          <w:rFonts w:cs="Arial"/>
        </w:rPr>
        <w:t>oordinator since their injury or illness</w:t>
      </w:r>
      <w:r w:rsidRPr="002870E5">
        <w:rPr>
          <w:rFonts w:eastAsiaTheme="minorHAnsi" w:cs="Arial"/>
        </w:rPr>
        <w:t>.</w:t>
      </w:r>
    </w:p>
    <w:p w14:paraId="4C3A4249" w14:textId="74D5A0B7" w:rsidR="00534357" w:rsidRDefault="00534357" w:rsidP="00534357">
      <w:pPr>
        <w:pStyle w:val="Heading2"/>
      </w:pPr>
      <w:bookmarkStart w:id="112" w:name="_Toc528056038"/>
      <w:r>
        <w:lastRenderedPageBreak/>
        <w:t>Stressful interactions</w:t>
      </w:r>
      <w:r w:rsidR="006136D7">
        <w:t xml:space="preserve"> (return to work coordinator)</w:t>
      </w:r>
      <w:bookmarkEnd w:id="112"/>
    </w:p>
    <w:p w14:paraId="30B8A9D3" w14:textId="32A50EBC" w:rsidR="00B9385F" w:rsidRDefault="00DA5B1A" w:rsidP="00534357">
      <w:pPr>
        <w:pStyle w:val="Body"/>
      </w:pPr>
      <w:r>
        <w:t>Those who dealt with a designated return to work coordinator were asked to rate</w:t>
      </w:r>
      <w:r w:rsidR="006F41A4">
        <w:t xml:space="preserve"> the extent to which their interactions were stressful or not. </w:t>
      </w:r>
      <w:r w:rsidR="00B9385F">
        <w:t>The question used a 5-point scale, ranging from Extremely stressful to Not at all stressful. The result reported is the net of two response options – Extremely stressful or Quite a bit stressful.</w:t>
      </w:r>
    </w:p>
    <w:p w14:paraId="2FE311EF" w14:textId="01DB76DC" w:rsidR="00534357" w:rsidRDefault="006F41A4" w:rsidP="00534357">
      <w:pPr>
        <w:pStyle w:val="Body"/>
      </w:pPr>
      <w:r>
        <w:t>Figure 2</w:t>
      </w:r>
      <w:r w:rsidR="002870E5">
        <w:t>6</w:t>
      </w:r>
      <w:r>
        <w:t xml:space="preserve"> shows that</w:t>
      </w:r>
      <w:r w:rsidR="00B9385F">
        <w:t xml:space="preserve">, overall, only a low proportion </w:t>
      </w:r>
      <w:r w:rsidR="00980291">
        <w:t>(11.2</w:t>
      </w:r>
      <w:r w:rsidR="00B9385F">
        <w:t>%) of workers who had interactions with a return to work coordinator found them stressful.</w:t>
      </w:r>
    </w:p>
    <w:p w14:paraId="2DD9767B" w14:textId="5B6B8D84" w:rsidR="00B9385F" w:rsidRDefault="00B9385F" w:rsidP="00534357">
      <w:pPr>
        <w:pStyle w:val="Body"/>
      </w:pPr>
      <w:r>
        <w:t>There were no statistically significant differences between jurisdictions.</w:t>
      </w:r>
      <w:r w:rsidR="00980291">
        <w:t xml:space="preserve"> I</w:t>
      </w:r>
      <w:r>
        <w:t>ndicatively</w:t>
      </w:r>
      <w:r w:rsidR="00980291">
        <w:t xml:space="preserve"> however</w:t>
      </w:r>
      <w:r>
        <w:t>, workers from the ACT, Northern Territory and Victoria appear more likely to have found interactions with their return to work coordinator stressful.</w:t>
      </w:r>
    </w:p>
    <w:p w14:paraId="67B516FB" w14:textId="4820F89E" w:rsidR="00B9385F" w:rsidRDefault="00B9385F" w:rsidP="00534357">
      <w:pPr>
        <w:pStyle w:val="Body"/>
      </w:pPr>
      <w:r>
        <w:t>A clear difference is evident within the injury</w:t>
      </w:r>
      <w:r w:rsidR="00F27BDF">
        <w:t>/illness</w:t>
      </w:r>
      <w:r>
        <w:t xml:space="preserve"> type sub-groups. Those who experienced mental illness were significantly more likely to have found interactions with their return to work coordinator stressful. A</w:t>
      </w:r>
      <w:r w:rsidR="007D5C3A">
        <w:t xml:space="preserve"> quarter (</w:t>
      </w:r>
      <w:r>
        <w:t>2</w:t>
      </w:r>
      <w:r w:rsidR="007D5C3A">
        <w:t>5</w:t>
      </w:r>
      <w:r>
        <w:t>.</w:t>
      </w:r>
      <w:r w:rsidR="007D5C3A">
        <w:t>1</w:t>
      </w:r>
      <w:r>
        <w:t>%</w:t>
      </w:r>
      <w:r w:rsidR="007D5C3A">
        <w:t xml:space="preserve">) of </w:t>
      </w:r>
      <w:r>
        <w:t xml:space="preserve">this cohort reported </w:t>
      </w:r>
      <w:r w:rsidR="007D5C3A">
        <w:t>finding their interactions stressful</w:t>
      </w:r>
      <w:r w:rsidR="00980291">
        <w:t>, more than any other sub</w:t>
      </w:r>
      <w:r w:rsidR="00F61F8D">
        <w:noBreakHyphen/>
      </w:r>
      <w:r w:rsidR="00980291">
        <w:t>group</w:t>
      </w:r>
      <w:r>
        <w:t>.</w:t>
      </w:r>
    </w:p>
    <w:p w14:paraId="5EE2B1BB" w14:textId="4368E729" w:rsidR="00B9385F" w:rsidRDefault="00B9385F" w:rsidP="00534357">
      <w:pPr>
        <w:pStyle w:val="Body"/>
      </w:pPr>
      <w:r>
        <w:t>No statistically significant d</w:t>
      </w:r>
      <w:r w:rsidR="007D5C3A">
        <w:t>i</w:t>
      </w:r>
      <w:r>
        <w:t xml:space="preserve">fferences were observed by employer </w:t>
      </w:r>
      <w:r w:rsidR="007D5C3A">
        <w:t>size, although it appear</w:t>
      </w:r>
      <w:r w:rsidR="0043442D">
        <w:t>s</w:t>
      </w:r>
      <w:r w:rsidR="007D5C3A">
        <w:t xml:space="preserve"> that those who work for smaller organisations may have found their interactions with their return to work coordinator less stressful, compared to those who work for medium and large sized organisations.</w:t>
      </w:r>
    </w:p>
    <w:p w14:paraId="64F09BB4" w14:textId="0D99F191" w:rsidR="00172147" w:rsidRDefault="00172147" w:rsidP="00172147">
      <w:pPr>
        <w:pStyle w:val="Caption"/>
      </w:pPr>
      <w:bookmarkStart w:id="113" w:name="_Toc528056593"/>
      <w:r>
        <w:t xml:space="preserve">Figure </w:t>
      </w:r>
      <w:r w:rsidR="006F2BDD">
        <w:rPr>
          <w:noProof/>
        </w:rPr>
        <w:fldChar w:fldCharType="begin"/>
      </w:r>
      <w:r w:rsidR="006F2BDD">
        <w:rPr>
          <w:noProof/>
        </w:rPr>
        <w:instrText xml:space="preserve"> SEQ Figure \* ARABIC </w:instrText>
      </w:r>
      <w:r w:rsidR="006F2BDD">
        <w:rPr>
          <w:noProof/>
        </w:rPr>
        <w:fldChar w:fldCharType="separate"/>
      </w:r>
      <w:r w:rsidR="00B9340A">
        <w:rPr>
          <w:noProof/>
        </w:rPr>
        <w:t>26</w:t>
      </w:r>
      <w:r w:rsidR="006F2BDD">
        <w:rPr>
          <w:noProof/>
        </w:rPr>
        <w:fldChar w:fldCharType="end"/>
      </w:r>
      <w:r>
        <w:tab/>
        <w:t>Stressful interactions</w:t>
      </w:r>
      <w:r w:rsidR="006F6F27">
        <w:t xml:space="preserve"> with return to work coordinator</w:t>
      </w:r>
      <w:r>
        <w:t xml:space="preserve">, by jurisdiction, </w:t>
      </w:r>
      <w:r w:rsidR="0025300B">
        <w:t>injury/illness</w:t>
      </w:r>
      <w:r>
        <w:t xml:space="preserve"> type and employer size – 2018 (%</w:t>
      </w:r>
      <w:r w:rsidR="00FD3931">
        <w:t> </w:t>
      </w:r>
      <w:r w:rsidR="00B9385F">
        <w:t>Extremely stressful</w:t>
      </w:r>
      <w:r w:rsidR="00FD3931">
        <w:t>/</w:t>
      </w:r>
      <w:r w:rsidR="00B9385F">
        <w:t>Quite a bit stressful</w:t>
      </w:r>
      <w:r>
        <w:t>)</w:t>
      </w:r>
      <w:bookmarkEnd w:id="113"/>
    </w:p>
    <w:p w14:paraId="0196CE6E" w14:textId="6A3E41FE" w:rsidR="00172147" w:rsidRDefault="00172147" w:rsidP="00534357">
      <w:pPr>
        <w:pStyle w:val="Body"/>
        <w:rPr>
          <w:rFonts w:cs="Arial"/>
        </w:rPr>
      </w:pPr>
      <w:r>
        <w:rPr>
          <w:noProof/>
          <w:color w:val="FF0000"/>
          <w:lang w:eastAsia="en-AU"/>
        </w:rPr>
        <w:drawing>
          <wp:inline distT="0" distB="0" distL="0" distR="0" wp14:anchorId="71769C8A" wp14:editId="5F752003">
            <wp:extent cx="5759450" cy="3600000"/>
            <wp:effectExtent l="0" t="0" r="12700" b="635"/>
            <wp:docPr id="197" name="Chart 197" descr="This chart presents the percentage of respondents who found interactions with their return to work coordinator stressful, by jursidiction, injury/illness type and employer size. Discussion of the findings is above th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97507A4" w14:textId="77686ED5" w:rsidR="00172147" w:rsidRPr="00494D08" w:rsidRDefault="00172147" w:rsidP="00172147">
      <w:pPr>
        <w:pStyle w:val="FigureNote"/>
      </w:pPr>
      <w:r w:rsidRPr="00494D08">
        <w:t xml:space="preserve">Base: </w:t>
      </w:r>
      <w:r w:rsidRPr="00494D08">
        <w:tab/>
      </w:r>
      <w:r w:rsidR="0043442D" w:rsidRPr="00494D08">
        <w:t>R</w:t>
      </w:r>
      <w:r w:rsidRPr="00494D08">
        <w:t>espondents</w:t>
      </w:r>
      <w:r w:rsidR="0043442D" w:rsidRPr="00494D08">
        <w:t xml:space="preserve"> </w:t>
      </w:r>
      <w:r w:rsidR="001B0E1C" w:rsidRPr="00494D08">
        <w:t>who were contacted by a return to work coordinator</w:t>
      </w:r>
      <w:r w:rsidRPr="00494D08">
        <w:t xml:space="preserve">, </w:t>
      </w:r>
      <w:r w:rsidR="00AA5106">
        <w:t xml:space="preserve">Total (n=2,903), </w:t>
      </w:r>
      <w:r w:rsidRPr="00494D08">
        <w:rPr>
          <w:rFonts w:cs="Arial"/>
          <w:szCs w:val="16"/>
        </w:rPr>
        <w:t>ACT (n=</w:t>
      </w:r>
      <w:r w:rsidR="0043442D" w:rsidRPr="00494D08">
        <w:rPr>
          <w:rFonts w:cs="Arial"/>
          <w:szCs w:val="16"/>
        </w:rPr>
        <w:t>8</w:t>
      </w:r>
      <w:r w:rsidRPr="00494D08">
        <w:rPr>
          <w:rFonts w:cs="Arial"/>
          <w:szCs w:val="16"/>
        </w:rPr>
        <w:t>9</w:t>
      </w:r>
      <w:r w:rsidR="001B0E1C" w:rsidRPr="00494D08">
        <w:rPr>
          <w:rFonts w:cs="Arial"/>
          <w:szCs w:val="16"/>
        </w:rPr>
        <w:t>), Comcare (n=491</w:t>
      </w:r>
      <w:r w:rsidRPr="00494D08">
        <w:rPr>
          <w:rFonts w:cs="Arial"/>
          <w:szCs w:val="16"/>
        </w:rPr>
        <w:t>), NSW (n=</w:t>
      </w:r>
      <w:r w:rsidR="001B0E1C" w:rsidRPr="00494D08">
        <w:rPr>
          <w:rFonts w:cs="Arial"/>
          <w:szCs w:val="16"/>
        </w:rPr>
        <w:t>580</w:t>
      </w:r>
      <w:r w:rsidRPr="00494D08">
        <w:rPr>
          <w:rFonts w:cs="Arial"/>
          <w:szCs w:val="16"/>
        </w:rPr>
        <w:t>), NT (n=</w:t>
      </w:r>
      <w:r w:rsidR="001B0E1C" w:rsidRPr="00494D08">
        <w:rPr>
          <w:rFonts w:cs="Arial"/>
          <w:szCs w:val="16"/>
        </w:rPr>
        <w:t>80</w:t>
      </w:r>
      <w:r w:rsidRPr="00494D08">
        <w:rPr>
          <w:rFonts w:cs="Arial"/>
          <w:szCs w:val="16"/>
        </w:rPr>
        <w:t>), QLD (n=</w:t>
      </w:r>
      <w:r w:rsidR="001B0E1C" w:rsidRPr="00494D08">
        <w:rPr>
          <w:rFonts w:cs="Arial"/>
          <w:szCs w:val="16"/>
        </w:rPr>
        <w:t>444</w:t>
      </w:r>
      <w:r w:rsidRPr="00494D08">
        <w:rPr>
          <w:rFonts w:cs="Arial"/>
          <w:szCs w:val="16"/>
        </w:rPr>
        <w:t>), Seacare (n=</w:t>
      </w:r>
      <w:r w:rsidR="001B0E1C" w:rsidRPr="00494D08">
        <w:rPr>
          <w:rFonts w:cs="Arial"/>
          <w:szCs w:val="16"/>
        </w:rPr>
        <w:t>47</w:t>
      </w:r>
      <w:r w:rsidRPr="00494D08">
        <w:rPr>
          <w:rFonts w:cs="Arial"/>
          <w:szCs w:val="16"/>
        </w:rPr>
        <w:t>), TAS (n=</w:t>
      </w:r>
      <w:r w:rsidR="001B0E1C" w:rsidRPr="00494D08">
        <w:rPr>
          <w:rFonts w:cs="Arial"/>
          <w:szCs w:val="16"/>
        </w:rPr>
        <w:t>298</w:t>
      </w:r>
      <w:r w:rsidRPr="00494D08">
        <w:rPr>
          <w:rFonts w:cs="Arial"/>
          <w:szCs w:val="16"/>
        </w:rPr>
        <w:t>), WA (n=</w:t>
      </w:r>
      <w:r w:rsidR="001B0E1C" w:rsidRPr="00494D08">
        <w:rPr>
          <w:rFonts w:cs="Arial"/>
          <w:szCs w:val="16"/>
        </w:rPr>
        <w:t>358</w:t>
      </w:r>
      <w:r w:rsidRPr="00494D08">
        <w:rPr>
          <w:rFonts w:cs="Arial"/>
          <w:szCs w:val="16"/>
        </w:rPr>
        <w:t>), VIC (n=</w:t>
      </w:r>
      <w:r w:rsidR="001B0E1C" w:rsidRPr="00494D08">
        <w:rPr>
          <w:rFonts w:cs="Arial"/>
          <w:szCs w:val="16"/>
        </w:rPr>
        <w:t>516</w:t>
      </w:r>
      <w:r w:rsidRPr="00494D08">
        <w:rPr>
          <w:rFonts w:cs="Arial"/>
          <w:szCs w:val="16"/>
        </w:rPr>
        <w:t xml:space="preserve">), </w:t>
      </w:r>
      <w:r w:rsidRPr="00494D08">
        <w:t>Fractures (n=</w:t>
      </w:r>
      <w:r w:rsidR="001B0E1C" w:rsidRPr="00494D08">
        <w:t>43</w:t>
      </w:r>
      <w:r w:rsidRPr="00494D08">
        <w:t>4), Musculoskeletal Disorders (n=</w:t>
      </w:r>
      <w:r w:rsidR="001B0E1C" w:rsidRPr="00494D08">
        <w:t>1,710</w:t>
      </w:r>
      <w:r w:rsidRPr="00494D08">
        <w:t>), Other Trauma (n=</w:t>
      </w:r>
      <w:r w:rsidR="00494D08" w:rsidRPr="00494D08">
        <w:t>451</w:t>
      </w:r>
      <w:r w:rsidRPr="00494D08">
        <w:t>), Mental Illness (n=</w:t>
      </w:r>
      <w:r w:rsidR="00494D08" w:rsidRPr="00494D08">
        <w:t>175</w:t>
      </w:r>
      <w:r w:rsidRPr="00494D08">
        <w:t>), Other Diseases (n=</w:t>
      </w:r>
      <w:r w:rsidR="00494D08" w:rsidRPr="00494D08">
        <w:t>133</w:t>
      </w:r>
      <w:r w:rsidRPr="00494D08">
        <w:t xml:space="preserve">), </w:t>
      </w:r>
      <w:r w:rsidRPr="00494D08">
        <w:rPr>
          <w:rFonts w:cs="Arial"/>
          <w:szCs w:val="16"/>
        </w:rPr>
        <w:t>Small (Less than $1m) (n=</w:t>
      </w:r>
      <w:r w:rsidR="00494D08" w:rsidRPr="00494D08">
        <w:rPr>
          <w:rFonts w:cs="Arial"/>
          <w:szCs w:val="16"/>
        </w:rPr>
        <w:t>552</w:t>
      </w:r>
      <w:r w:rsidRPr="00494D08">
        <w:rPr>
          <w:rFonts w:cs="Arial"/>
          <w:szCs w:val="16"/>
        </w:rPr>
        <w:t>), Medium (Between $1m and less than $20m) (n=</w:t>
      </w:r>
      <w:r w:rsidR="00494D08" w:rsidRPr="00494D08">
        <w:rPr>
          <w:rFonts w:cs="Arial"/>
          <w:szCs w:val="16"/>
        </w:rPr>
        <w:t>802</w:t>
      </w:r>
      <w:r w:rsidRPr="00494D08">
        <w:rPr>
          <w:rFonts w:cs="Arial"/>
          <w:szCs w:val="16"/>
        </w:rPr>
        <w:t>), Large ($20m or more) (n=</w:t>
      </w:r>
      <w:r w:rsidR="00494D08" w:rsidRPr="00494D08">
        <w:rPr>
          <w:rFonts w:cs="Arial"/>
          <w:szCs w:val="16"/>
        </w:rPr>
        <w:t>830</w:t>
      </w:r>
      <w:r w:rsidRPr="00494D08">
        <w:rPr>
          <w:rFonts w:cs="Arial"/>
          <w:szCs w:val="16"/>
        </w:rPr>
        <w:t>).</w:t>
      </w:r>
    </w:p>
    <w:p w14:paraId="49B30F1F" w14:textId="6598DAA0" w:rsidR="00172147" w:rsidRPr="00494D08" w:rsidRDefault="00172147" w:rsidP="00172147">
      <w:pPr>
        <w:pStyle w:val="FigureNote"/>
      </w:pPr>
      <w:r w:rsidRPr="00494D08">
        <w:t>EMP</w:t>
      </w:r>
      <w:r w:rsidR="00494D08" w:rsidRPr="00494D08">
        <w:t>6</w:t>
      </w:r>
      <w:r w:rsidRPr="00494D08">
        <w:tab/>
      </w:r>
      <w:r w:rsidR="00494D08" w:rsidRPr="00494D08">
        <w:t>Thinking about all your dealings with this person, to what extent have your interactions been stressful or not stressful</w:t>
      </w:r>
      <w:r w:rsidRPr="00494D08">
        <w:t>?</w:t>
      </w:r>
    </w:p>
    <w:p w14:paraId="44439B21" w14:textId="15BD4051" w:rsidR="00172147" w:rsidRPr="00494D08" w:rsidRDefault="00172147" w:rsidP="00172147">
      <w:pPr>
        <w:pStyle w:val="FigureNote"/>
      </w:pPr>
      <w:r w:rsidRPr="00494D08">
        <w:t>Note:</w:t>
      </w:r>
      <w:r w:rsidRPr="00494D08">
        <w:tab/>
        <w:t>Don’t know and Refused responses excluded from base. Asterisks indicate statistically significant difference</w:t>
      </w:r>
      <w:r w:rsidR="006C4EDE">
        <w:t xml:space="preserve"> </w:t>
      </w:r>
      <w:r w:rsidRPr="00494D08">
        <w:t>(single asterisk (*) indicates a lower proportion; double asterisk (**) i</w:t>
      </w:r>
      <w:r w:rsidR="003E25AE">
        <w:t>ndicates a higher proportion) (p-value &lt;=0.05).</w:t>
      </w:r>
    </w:p>
    <w:p w14:paraId="50A8A8CB" w14:textId="01652080" w:rsidR="00CD39CA" w:rsidRDefault="00CD39CA" w:rsidP="00CD39CA">
      <w:pPr>
        <w:pStyle w:val="Heading1"/>
      </w:pPr>
      <w:bookmarkStart w:id="114" w:name="_Toc526235321"/>
      <w:bookmarkStart w:id="115" w:name="_Toc526235613"/>
      <w:bookmarkStart w:id="116" w:name="_Toc528056039"/>
      <w:bookmarkEnd w:id="114"/>
      <w:bookmarkEnd w:id="115"/>
      <w:r>
        <w:lastRenderedPageBreak/>
        <w:t>Healthcare Domain Measures</w:t>
      </w:r>
      <w:bookmarkEnd w:id="116"/>
    </w:p>
    <w:p w14:paraId="210D6DD6" w14:textId="72661C3A" w:rsidR="004046A8" w:rsidRDefault="00BC118B" w:rsidP="004046A8">
      <w:pPr>
        <w:pStyle w:val="Body"/>
      </w:pPr>
      <w:r>
        <w:t xml:space="preserve">The healthcare domain encompasses treatment and rehabilitation services provided </w:t>
      </w:r>
      <w:r w:rsidR="005B19A0">
        <w:t xml:space="preserve">to workers </w:t>
      </w:r>
      <w:r>
        <w:t>through the health care system and how these are facilitated and delivered by a range of medical professionals including General Practitioners</w:t>
      </w:r>
      <w:r w:rsidR="008053EA">
        <w:t>,</w:t>
      </w:r>
      <w:r>
        <w:t xml:space="preserve"> and treatment and rehabilitation specialists.</w:t>
      </w:r>
    </w:p>
    <w:p w14:paraId="0F69C808" w14:textId="60CF3F01" w:rsidR="005B19A0" w:rsidRDefault="005B19A0" w:rsidP="005B19A0">
      <w:pPr>
        <w:pStyle w:val="Heading2"/>
      </w:pPr>
      <w:bookmarkStart w:id="117" w:name="_Toc528056040"/>
      <w:r>
        <w:t xml:space="preserve">Healthcare </w:t>
      </w:r>
      <w:r w:rsidR="00FC415A">
        <w:t>a</w:t>
      </w:r>
      <w:r>
        <w:t>ccess</w:t>
      </w:r>
      <w:bookmarkEnd w:id="117"/>
    </w:p>
    <w:p w14:paraId="787CEEDB" w14:textId="5255D7E1" w:rsidR="00360F9D" w:rsidRDefault="00360F9D" w:rsidP="004046A8">
      <w:pPr>
        <w:pStyle w:val="Body"/>
      </w:pPr>
      <w:r>
        <w:t>Most</w:t>
      </w:r>
      <w:r w:rsidR="00545E21">
        <w:t xml:space="preserve"> respondents </w:t>
      </w:r>
      <w:r>
        <w:t xml:space="preserve">felt they could </w:t>
      </w:r>
      <w:r w:rsidR="00545E21">
        <w:t>easily access</w:t>
      </w:r>
      <w:r>
        <w:t xml:space="preserve"> medical care. As shown in Figure 27, overall 87.5% of workers reported that they were able to access the</w:t>
      </w:r>
      <w:r w:rsidRPr="00360F9D">
        <w:t xml:space="preserve"> med</w:t>
      </w:r>
      <w:r>
        <w:t xml:space="preserve">ical treatment or services </w:t>
      </w:r>
      <w:r w:rsidRPr="00360F9D">
        <w:t xml:space="preserve">needed for </w:t>
      </w:r>
      <w:r>
        <w:t>thei</w:t>
      </w:r>
      <w:r w:rsidRPr="00360F9D">
        <w:t>r work-related injury or illnes</w:t>
      </w:r>
      <w:r>
        <w:t>s.</w:t>
      </w:r>
    </w:p>
    <w:p w14:paraId="3EFC8BA0" w14:textId="185C5AE5" w:rsidR="00360F9D" w:rsidRDefault="00360F9D" w:rsidP="004046A8">
      <w:pPr>
        <w:pStyle w:val="Body"/>
      </w:pPr>
      <w:r>
        <w:t xml:space="preserve">While results were high across all jurisdictions, </w:t>
      </w:r>
      <w:r w:rsidR="008053EA">
        <w:t xml:space="preserve">workers </w:t>
      </w:r>
      <w:r w:rsidR="00300DB3">
        <w:t>from Comcare</w:t>
      </w:r>
      <w:r>
        <w:t xml:space="preserve"> (81</w:t>
      </w:r>
      <w:r w:rsidR="006C4EDE">
        <w:t>.</w:t>
      </w:r>
      <w:r>
        <w:t>6%) and Victoria (82.1</w:t>
      </w:r>
      <w:r w:rsidR="004D59E8">
        <w:t>%) were</w:t>
      </w:r>
      <w:r w:rsidR="00300DB3">
        <w:t xml:space="preserve"> significantly </w:t>
      </w:r>
      <w:r>
        <w:t>less</w:t>
      </w:r>
      <w:r w:rsidR="00300DB3">
        <w:t xml:space="preserve"> likely to agree they </w:t>
      </w:r>
      <w:r>
        <w:t>we</w:t>
      </w:r>
      <w:r w:rsidR="00300DB3">
        <w:t xml:space="preserve">re able to easily access </w:t>
      </w:r>
      <w:r>
        <w:t xml:space="preserve">medical care. Workers from Seacare reported the highest agreement at 94.0%. </w:t>
      </w:r>
    </w:p>
    <w:p w14:paraId="535B2CBA" w14:textId="6344EF99" w:rsidR="005B19A0" w:rsidRDefault="00360F9D" w:rsidP="004046A8">
      <w:pPr>
        <w:pStyle w:val="Body"/>
      </w:pPr>
      <w:r>
        <w:t xml:space="preserve">Agreement that it was easy to access medical care did not vary significantly by </w:t>
      </w:r>
      <w:r w:rsidR="0025300B">
        <w:t>injury/illness</w:t>
      </w:r>
      <w:r>
        <w:t xml:space="preserve"> type. Indicatively, those who experienced other trauma (91.2%), other diseases (90.3%) or fractures (89.1%) were more likely to feel they could easily access the treatment and services they needed, while those who exper</w:t>
      </w:r>
      <w:r w:rsidR="0013773C">
        <w:t>ienced mental illness (82.1%) or musculoskeletal disorders (85.9%) were less likely to feel this way.</w:t>
      </w:r>
      <w:r>
        <w:t xml:space="preserve"> </w:t>
      </w:r>
    </w:p>
    <w:p w14:paraId="348A8E68" w14:textId="5FD65676" w:rsidR="00545E21" w:rsidRDefault="00545E21" w:rsidP="00545E21">
      <w:pPr>
        <w:pStyle w:val="Caption"/>
      </w:pPr>
      <w:bookmarkStart w:id="118" w:name="_Toc528056594"/>
      <w:r>
        <w:t xml:space="preserve">Figure </w:t>
      </w:r>
      <w:r w:rsidR="006F2BDD">
        <w:rPr>
          <w:noProof/>
        </w:rPr>
        <w:fldChar w:fldCharType="begin"/>
      </w:r>
      <w:r w:rsidR="006F2BDD">
        <w:rPr>
          <w:noProof/>
        </w:rPr>
        <w:instrText xml:space="preserve"> SEQ Figure \* ARABIC </w:instrText>
      </w:r>
      <w:r w:rsidR="006F2BDD">
        <w:rPr>
          <w:noProof/>
        </w:rPr>
        <w:fldChar w:fldCharType="separate"/>
      </w:r>
      <w:r w:rsidR="00B9340A">
        <w:rPr>
          <w:noProof/>
        </w:rPr>
        <w:t>27</w:t>
      </w:r>
      <w:r w:rsidR="006F2BDD">
        <w:rPr>
          <w:noProof/>
        </w:rPr>
        <w:fldChar w:fldCharType="end"/>
      </w:r>
      <w:r>
        <w:tab/>
        <w:t>Ability to easily access medical care, by jurisdiction and</w:t>
      </w:r>
      <w:r w:rsidR="00360F9D">
        <w:t xml:space="preserve"> </w:t>
      </w:r>
      <w:r w:rsidR="0025300B">
        <w:t>injury/illness</w:t>
      </w:r>
      <w:r>
        <w:t xml:space="preserve"> type – 2018 (%</w:t>
      </w:r>
      <w:r w:rsidR="008E6918">
        <w:t> </w:t>
      </w:r>
      <w:r>
        <w:t>Strongly Agree / Agree)</w:t>
      </w:r>
      <w:bookmarkEnd w:id="118"/>
    </w:p>
    <w:p w14:paraId="36B92AA3" w14:textId="30231C4E" w:rsidR="00545E21" w:rsidRDefault="00545E21" w:rsidP="00545E21">
      <w:pPr>
        <w:pStyle w:val="Body"/>
      </w:pPr>
      <w:r>
        <w:rPr>
          <w:noProof/>
          <w:color w:val="FF0000"/>
          <w:lang w:eastAsia="en-AU"/>
        </w:rPr>
        <w:drawing>
          <wp:inline distT="0" distB="0" distL="0" distR="0" wp14:anchorId="027C04C5" wp14:editId="11FD5668">
            <wp:extent cx="5759450" cy="3599815"/>
            <wp:effectExtent l="0" t="0" r="12700" b="635"/>
            <wp:docPr id="199" name="Chart 199" descr="The chart presents the percentage of respondents who reported being able to easily access medical care, by jurisidiction and injury/illness type. Discussion of the findings is above th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607FB11" w14:textId="4749ACCC" w:rsidR="00545E21" w:rsidRPr="00494D08" w:rsidRDefault="00545E21" w:rsidP="00545E21">
      <w:pPr>
        <w:pStyle w:val="FigureNote"/>
      </w:pPr>
      <w:r w:rsidRPr="00494D08">
        <w:t xml:space="preserve">Base: </w:t>
      </w:r>
      <w:r w:rsidRPr="00494D08">
        <w:tab/>
      </w:r>
      <w:r>
        <w:t>All r</w:t>
      </w:r>
      <w:r w:rsidRPr="00494D08">
        <w:t xml:space="preserve">espondents, </w:t>
      </w:r>
      <w:r w:rsidR="00AA5106">
        <w:t xml:space="preserve">Total (n=4,525), </w:t>
      </w:r>
      <w:r w:rsidRPr="00494D08">
        <w:rPr>
          <w:rFonts w:cs="Arial"/>
          <w:szCs w:val="16"/>
        </w:rPr>
        <w:t>ACT (n=</w:t>
      </w:r>
      <w:r>
        <w:rPr>
          <w:rFonts w:cs="Arial"/>
          <w:szCs w:val="16"/>
        </w:rPr>
        <w:t>147</w:t>
      </w:r>
      <w:r w:rsidRPr="00494D08">
        <w:rPr>
          <w:rFonts w:cs="Arial"/>
          <w:szCs w:val="16"/>
        </w:rPr>
        <w:t>), Comcare (n=</w:t>
      </w:r>
      <w:r>
        <w:rPr>
          <w:rFonts w:cs="Arial"/>
          <w:szCs w:val="16"/>
        </w:rPr>
        <w:t>757</w:t>
      </w:r>
      <w:r w:rsidRPr="00494D08">
        <w:rPr>
          <w:rFonts w:cs="Arial"/>
          <w:szCs w:val="16"/>
        </w:rPr>
        <w:t>), NSW (n=</w:t>
      </w:r>
      <w:r>
        <w:rPr>
          <w:rFonts w:cs="Arial"/>
          <w:szCs w:val="16"/>
        </w:rPr>
        <w:t>849</w:t>
      </w:r>
      <w:r w:rsidRPr="00494D08">
        <w:rPr>
          <w:rFonts w:cs="Arial"/>
          <w:szCs w:val="16"/>
        </w:rPr>
        <w:t>), NT (n=</w:t>
      </w:r>
      <w:r>
        <w:rPr>
          <w:rFonts w:cs="Arial"/>
          <w:szCs w:val="16"/>
        </w:rPr>
        <w:t>146</w:t>
      </w:r>
      <w:r w:rsidRPr="00494D08">
        <w:rPr>
          <w:rFonts w:cs="Arial"/>
          <w:szCs w:val="16"/>
        </w:rPr>
        <w:t>), QLD (n=</w:t>
      </w:r>
      <w:r>
        <w:rPr>
          <w:rFonts w:cs="Arial"/>
          <w:szCs w:val="16"/>
        </w:rPr>
        <w:t>793</w:t>
      </w:r>
      <w:r w:rsidRPr="00494D08">
        <w:rPr>
          <w:rFonts w:cs="Arial"/>
          <w:szCs w:val="16"/>
        </w:rPr>
        <w:t>), Seacare (n=</w:t>
      </w:r>
      <w:r>
        <w:rPr>
          <w:rFonts w:cs="Arial"/>
          <w:szCs w:val="16"/>
        </w:rPr>
        <w:t>58</w:t>
      </w:r>
      <w:r w:rsidRPr="00494D08">
        <w:rPr>
          <w:rFonts w:cs="Arial"/>
          <w:szCs w:val="16"/>
        </w:rPr>
        <w:t>), TAS (n=</w:t>
      </w:r>
      <w:r>
        <w:rPr>
          <w:rFonts w:cs="Arial"/>
          <w:szCs w:val="16"/>
        </w:rPr>
        <w:t>479</w:t>
      </w:r>
      <w:r w:rsidRPr="00494D08">
        <w:rPr>
          <w:rFonts w:cs="Arial"/>
          <w:szCs w:val="16"/>
        </w:rPr>
        <w:t>), WA (n=</w:t>
      </w:r>
      <w:r w:rsidR="007D1F2F">
        <w:rPr>
          <w:rFonts w:cs="Arial"/>
          <w:szCs w:val="16"/>
        </w:rPr>
        <w:t>505</w:t>
      </w:r>
      <w:r w:rsidRPr="00494D08">
        <w:rPr>
          <w:rFonts w:cs="Arial"/>
          <w:szCs w:val="16"/>
        </w:rPr>
        <w:t>), VIC (n=</w:t>
      </w:r>
      <w:r w:rsidR="007D1F2F">
        <w:rPr>
          <w:rFonts w:cs="Arial"/>
          <w:szCs w:val="16"/>
        </w:rPr>
        <w:t>791</w:t>
      </w:r>
      <w:r w:rsidRPr="00494D08">
        <w:rPr>
          <w:rFonts w:cs="Arial"/>
          <w:szCs w:val="16"/>
        </w:rPr>
        <w:t xml:space="preserve">), </w:t>
      </w:r>
      <w:r w:rsidRPr="00494D08">
        <w:t>Fractures (n=</w:t>
      </w:r>
      <w:r w:rsidR="007D1F2F">
        <w:t>620</w:t>
      </w:r>
      <w:r w:rsidRPr="00494D08">
        <w:t>), Musculoskeletal Disorders (n=</w:t>
      </w:r>
      <w:r w:rsidR="007D1F2F">
        <w:t>2</w:t>
      </w:r>
      <w:r w:rsidRPr="00494D08">
        <w:t>,</w:t>
      </w:r>
      <w:r w:rsidR="007D1F2F">
        <w:t>635</w:t>
      </w:r>
      <w:r w:rsidRPr="00494D08">
        <w:t>), Other Trauma (n=</w:t>
      </w:r>
      <w:r w:rsidR="00360F9D">
        <w:t>776</w:t>
      </w:r>
      <w:r w:rsidRPr="00494D08">
        <w:t>), Mental Illness (n=</w:t>
      </w:r>
      <w:r w:rsidR="00360F9D">
        <w:t>282</w:t>
      </w:r>
      <w:r w:rsidRPr="00494D08">
        <w:t>), Other Diseases (n=</w:t>
      </w:r>
      <w:r w:rsidR="00360F9D">
        <w:t>212</w:t>
      </w:r>
      <w:r w:rsidRPr="00494D08">
        <w:t>)</w:t>
      </w:r>
      <w:r w:rsidRPr="00494D08">
        <w:rPr>
          <w:rFonts w:cs="Arial"/>
          <w:szCs w:val="16"/>
        </w:rPr>
        <w:t>.</w:t>
      </w:r>
    </w:p>
    <w:p w14:paraId="6B378640" w14:textId="514336F3" w:rsidR="00545E21" w:rsidRPr="00494D08" w:rsidRDefault="00360F9D" w:rsidP="00545E21">
      <w:pPr>
        <w:pStyle w:val="FigureNote"/>
      </w:pPr>
      <w:r>
        <w:t>HL1</w:t>
      </w:r>
      <w:r w:rsidR="00545E21" w:rsidRPr="00494D08">
        <w:tab/>
      </w:r>
      <w:r w:rsidRPr="00360F9D">
        <w:t>Do you agree or disagree that you were able to easily access the medical treatment or services that you needed for your work-related injury or illness</w:t>
      </w:r>
      <w:r w:rsidR="00545E21" w:rsidRPr="00494D08">
        <w:t>?</w:t>
      </w:r>
    </w:p>
    <w:p w14:paraId="4E01A817" w14:textId="18591CAC" w:rsidR="00545E21" w:rsidRPr="00545E21" w:rsidRDefault="00545E21" w:rsidP="00545E21">
      <w:pPr>
        <w:pStyle w:val="FigureNote"/>
      </w:pPr>
      <w:r w:rsidRPr="00494D08">
        <w:t>Note:</w:t>
      </w:r>
      <w:r w:rsidRPr="00494D08">
        <w:tab/>
        <w:t xml:space="preserve">Don’t know and Refused responses excluded from base. Asterisks indicate statistically significant difference (single asterisk (*) indicates a lower proportion; double asterisk (**) </w:t>
      </w:r>
      <w:r>
        <w:t>indicates a higher proportion</w:t>
      </w:r>
      <w:r w:rsidR="003E25AE">
        <w:t>) (p-value &lt;=0.05).</w:t>
      </w:r>
    </w:p>
    <w:p w14:paraId="02940B92" w14:textId="63AFA08D" w:rsidR="005B19A0" w:rsidRDefault="005B19A0" w:rsidP="005B19A0">
      <w:pPr>
        <w:pStyle w:val="Heading2"/>
      </w:pPr>
      <w:bookmarkStart w:id="119" w:name="_Toc528056041"/>
      <w:r>
        <w:lastRenderedPageBreak/>
        <w:t xml:space="preserve">Healthcare </w:t>
      </w:r>
      <w:r w:rsidR="00FC415A">
        <w:t>t</w:t>
      </w:r>
      <w:r>
        <w:t>eam</w:t>
      </w:r>
      <w:bookmarkEnd w:id="119"/>
    </w:p>
    <w:p w14:paraId="2A984130" w14:textId="6A8C0BEB" w:rsidR="004D59E8" w:rsidRDefault="00300DB3" w:rsidP="004046A8">
      <w:pPr>
        <w:pStyle w:val="Body"/>
      </w:pPr>
      <w:r>
        <w:t>All respondents were asked to select from a list of healthcare providers that they had seen for treatment of their work-related injury or illness</w:t>
      </w:r>
      <w:r w:rsidR="004D59E8">
        <w:t>, and the one they considered to be the main provider</w:t>
      </w:r>
      <w:r>
        <w:t>.</w:t>
      </w:r>
    </w:p>
    <w:p w14:paraId="2A8CF029" w14:textId="4837D553" w:rsidR="004D59E8" w:rsidRDefault="003A36B1" w:rsidP="004046A8">
      <w:pPr>
        <w:pStyle w:val="Body"/>
      </w:pPr>
      <w:r>
        <w:t>The vast majority of workers reported they had seen at least one healthcare provider – only 0.</w:t>
      </w:r>
      <w:r w:rsidR="00FA0EF6">
        <w:t>5</w:t>
      </w:r>
      <w:r>
        <w:t>% overall reported seeing no healthcare providers. Just over half (52.</w:t>
      </w:r>
      <w:r w:rsidR="00FA0EF6">
        <w:t>9</w:t>
      </w:r>
      <w:r>
        <w:t xml:space="preserve">%) of </w:t>
      </w:r>
      <w:r w:rsidR="004D59E8">
        <w:t>a</w:t>
      </w:r>
      <w:r>
        <w:t xml:space="preserve">ll </w:t>
      </w:r>
      <w:r w:rsidR="004D59E8">
        <w:t xml:space="preserve">workers reported </w:t>
      </w:r>
      <w:r>
        <w:t xml:space="preserve">they had seen three or more healthcare providers. </w:t>
      </w:r>
    </w:p>
    <w:p w14:paraId="3A8F8C27" w14:textId="64323F17" w:rsidR="003A36B1" w:rsidRDefault="003A36B1" w:rsidP="004046A8">
      <w:pPr>
        <w:pStyle w:val="Body"/>
      </w:pPr>
      <w:r>
        <w:t xml:space="preserve">As shown in Figure 28, there were some significant differences between sub-groups in the number of healthcare providers seen. </w:t>
      </w:r>
      <w:r w:rsidR="00F27BDF">
        <w:t>W</w:t>
      </w:r>
      <w:r>
        <w:t>orkers from Commonwealth schemes were more likely to have seen three or more healthcare providers – 78.8% of Seacare workers and 65.4% of Comcare workers.</w:t>
      </w:r>
    </w:p>
    <w:p w14:paraId="15A6744B" w14:textId="76AB4811" w:rsidR="00702C32" w:rsidRDefault="00702C32" w:rsidP="004046A8">
      <w:pPr>
        <w:pStyle w:val="Body"/>
      </w:pPr>
      <w:r>
        <w:t xml:space="preserve">The nature of injury/illness experienced appears to correlate with the range of healthcare providers that are subsequently consulted. A significantly higher proportion of those who experienced fractures (62.6%) or musculoskeletal </w:t>
      </w:r>
      <w:r w:rsidR="00157805">
        <w:t>disorders (57.1</w:t>
      </w:r>
      <w:r>
        <w:t>%) reported they had seen three or more healthcare providers. Conversely, a significantly lower proportion of those who experienced other diseases (37.1%) or other trauma (3</w:t>
      </w:r>
      <w:r w:rsidR="00157805">
        <w:t>8.1</w:t>
      </w:r>
      <w:r>
        <w:t xml:space="preserve">%) </w:t>
      </w:r>
      <w:r w:rsidR="00F61F8D">
        <w:t>had seen</w:t>
      </w:r>
      <w:r>
        <w:t xml:space="preserve"> three or more healthcare providers.</w:t>
      </w:r>
    </w:p>
    <w:p w14:paraId="24778EEF" w14:textId="0F758A0C" w:rsidR="004D59E8" w:rsidRDefault="004D59E8" w:rsidP="004D59E8">
      <w:pPr>
        <w:pStyle w:val="Caption"/>
      </w:pPr>
      <w:bookmarkStart w:id="120" w:name="_Toc528056595"/>
      <w:r>
        <w:t xml:space="preserve">Figure </w:t>
      </w:r>
      <w:r w:rsidR="006F2BDD">
        <w:rPr>
          <w:noProof/>
        </w:rPr>
        <w:fldChar w:fldCharType="begin"/>
      </w:r>
      <w:r w:rsidR="006F2BDD">
        <w:rPr>
          <w:noProof/>
        </w:rPr>
        <w:instrText xml:space="preserve"> SEQ Figure \* ARABIC </w:instrText>
      </w:r>
      <w:r w:rsidR="006F2BDD">
        <w:rPr>
          <w:noProof/>
        </w:rPr>
        <w:fldChar w:fldCharType="separate"/>
      </w:r>
      <w:r w:rsidR="00B9340A">
        <w:rPr>
          <w:noProof/>
        </w:rPr>
        <w:t>28</w:t>
      </w:r>
      <w:r w:rsidR="006F2BDD">
        <w:rPr>
          <w:noProof/>
        </w:rPr>
        <w:fldChar w:fldCharType="end"/>
      </w:r>
      <w:r>
        <w:tab/>
        <w:t xml:space="preserve">Number of healthcare providers seen, by jurisdiction and </w:t>
      </w:r>
      <w:r w:rsidR="0025300B">
        <w:t>injury/illness</w:t>
      </w:r>
      <w:r>
        <w:t xml:space="preserve"> type – 2018 (%)</w:t>
      </w:r>
      <w:bookmarkEnd w:id="120"/>
    </w:p>
    <w:p w14:paraId="77C74627" w14:textId="32DB4DCA" w:rsidR="004D59E8" w:rsidRPr="004D59E8" w:rsidRDefault="004D59E8" w:rsidP="004D59E8">
      <w:pPr>
        <w:pStyle w:val="Body"/>
      </w:pPr>
      <w:r>
        <w:rPr>
          <w:noProof/>
          <w:color w:val="FF0000"/>
          <w:lang w:eastAsia="en-AU"/>
        </w:rPr>
        <w:drawing>
          <wp:inline distT="0" distB="0" distL="0" distR="0" wp14:anchorId="22440F88" wp14:editId="7E221896">
            <wp:extent cx="5759450" cy="4499610"/>
            <wp:effectExtent l="0" t="0" r="12700" b="15240"/>
            <wp:docPr id="200" name="Chart 200" descr="This chart presents the proprotion of respondents who saw no healthcare providers, one provider, two providers or three or more providers. The findings are presented by jursidiction and injury/illness type. Discussion of the findings is above th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17B98DF" w14:textId="60376EA8" w:rsidR="008F7A77" w:rsidRPr="008F7A77" w:rsidRDefault="008F7A77" w:rsidP="008F7A77">
      <w:pPr>
        <w:pStyle w:val="FigureNote"/>
      </w:pPr>
      <w:r w:rsidRPr="008F7A77">
        <w:t xml:space="preserve">Base: </w:t>
      </w:r>
      <w:r w:rsidRPr="008F7A77">
        <w:tab/>
        <w:t xml:space="preserve">All respondents, </w:t>
      </w:r>
      <w:r w:rsidR="00AA5106">
        <w:t xml:space="preserve">Total (n=4,592), </w:t>
      </w:r>
      <w:r w:rsidRPr="008F7A77">
        <w:t>ACT (n=1</w:t>
      </w:r>
      <w:r w:rsidR="00702C32">
        <w:t>50</w:t>
      </w:r>
      <w:r w:rsidRPr="008F7A77">
        <w:t>), Comcare (n=77</w:t>
      </w:r>
      <w:r w:rsidR="00702C32">
        <w:t>0</w:t>
      </w:r>
      <w:r w:rsidRPr="008F7A77">
        <w:t>), NSW (n=</w:t>
      </w:r>
      <w:r w:rsidR="00702C32">
        <w:t>860</w:t>
      </w:r>
      <w:r w:rsidRPr="008F7A77">
        <w:t>), NT (n=</w:t>
      </w:r>
      <w:r w:rsidR="00702C32">
        <w:t>150</w:t>
      </w:r>
      <w:r w:rsidRPr="008F7A77">
        <w:t>), QLD (n=</w:t>
      </w:r>
      <w:r w:rsidR="00702C32">
        <w:t>808</w:t>
      </w:r>
      <w:r w:rsidRPr="008F7A77">
        <w:t>), Seacare (n=</w:t>
      </w:r>
      <w:r w:rsidR="00702C32">
        <w:t>58</w:t>
      </w:r>
      <w:r w:rsidRPr="008F7A77">
        <w:t>), TAS (n=</w:t>
      </w:r>
      <w:r w:rsidR="00702C32">
        <w:t>481</w:t>
      </w:r>
      <w:r w:rsidRPr="008F7A77">
        <w:t>), WA (n=</w:t>
      </w:r>
      <w:r w:rsidR="00FC2EE3">
        <w:t>512</w:t>
      </w:r>
      <w:r w:rsidRPr="008F7A77">
        <w:t>), VIC (n=</w:t>
      </w:r>
      <w:r w:rsidR="00FC2EE3">
        <w:t>803</w:t>
      </w:r>
      <w:r w:rsidRPr="008F7A77">
        <w:t>), Fractures (n=</w:t>
      </w:r>
      <w:r w:rsidR="00FC2EE3">
        <w:t>628</w:t>
      </w:r>
      <w:r w:rsidRPr="008F7A77">
        <w:t>), Musculoskeletal Disorders (n=2,6</w:t>
      </w:r>
      <w:r w:rsidR="00FC2EE3">
        <w:t>74</w:t>
      </w:r>
      <w:r w:rsidRPr="008F7A77">
        <w:t>), Other Trauma (n=7</w:t>
      </w:r>
      <w:r w:rsidR="00FC2EE3">
        <w:t>87</w:t>
      </w:r>
      <w:r w:rsidRPr="008F7A77">
        <w:t>), Mental Illness (n=28</w:t>
      </w:r>
      <w:r w:rsidR="00FC2EE3">
        <w:t>4</w:t>
      </w:r>
      <w:r w:rsidRPr="008F7A77">
        <w:t>), Other Diseases (n=</w:t>
      </w:r>
      <w:r w:rsidR="00FC2EE3">
        <w:t>218</w:t>
      </w:r>
      <w:r w:rsidRPr="008F7A77">
        <w:t>).</w:t>
      </w:r>
    </w:p>
    <w:p w14:paraId="5DA494C0" w14:textId="4B79E680" w:rsidR="008F7A77" w:rsidRPr="008F7A77" w:rsidRDefault="008F7A77" w:rsidP="008F7A77">
      <w:pPr>
        <w:pStyle w:val="FigureNote"/>
      </w:pPr>
      <w:r w:rsidRPr="008F7A77">
        <w:t>HL</w:t>
      </w:r>
      <w:r w:rsidR="00702C32">
        <w:t>2a</w:t>
      </w:r>
      <w:r w:rsidRPr="008F7A77">
        <w:tab/>
      </w:r>
      <w:r w:rsidR="00702C32" w:rsidRPr="00AE1C37">
        <w:rPr>
          <w:rFonts w:cs="Arial"/>
          <w:szCs w:val="16"/>
        </w:rPr>
        <w:t>Which of the following healthcare providers have you seen for treatment of your work-related injury or illness</w:t>
      </w:r>
      <w:r w:rsidRPr="008F7A77">
        <w:t>?</w:t>
      </w:r>
    </w:p>
    <w:p w14:paraId="570D9813" w14:textId="1C2845BA" w:rsidR="004D59E8" w:rsidRDefault="008F7A77" w:rsidP="008F7A77">
      <w:pPr>
        <w:pStyle w:val="FigureNote"/>
      </w:pPr>
      <w:r w:rsidRPr="008F7A77">
        <w:t>Note:</w:t>
      </w:r>
      <w:r w:rsidRPr="008F7A77">
        <w:tab/>
        <w:t>Don’t know and Refused responses excluded from base. Asterisks indicate statistically significant difference (single asterisk (*) indicates a lower proportion; double asterisk (**)</w:t>
      </w:r>
      <w:r w:rsidR="003E25AE">
        <w:t xml:space="preserve"> indicates a higher proportion) (p-value &lt;=0.05).</w:t>
      </w:r>
    </w:p>
    <w:p w14:paraId="68816268" w14:textId="17B3D8FC" w:rsidR="00464E59" w:rsidRDefault="000275DE" w:rsidP="000275DE">
      <w:pPr>
        <w:pStyle w:val="Body"/>
      </w:pPr>
      <w:r>
        <w:lastRenderedPageBreak/>
        <w:t xml:space="preserve">Having identified all the healthcare providers seen, respondents were asked to indicate the one they considered to be their main provider. </w:t>
      </w:r>
      <w:r w:rsidR="0031421F">
        <w:t>As presented in Table 9, overall</w:t>
      </w:r>
      <w:r w:rsidR="00464E59">
        <w:t>, and for each sub-group, the most common response was that a GP was the main healthcare provider. 57.0% of all workers reported that a GP was their main healthcare provider.</w:t>
      </w:r>
    </w:p>
    <w:p w14:paraId="09E85C56" w14:textId="067716CF" w:rsidR="00464E59" w:rsidRDefault="00464E59" w:rsidP="000275DE">
      <w:pPr>
        <w:pStyle w:val="Body"/>
      </w:pPr>
      <w:r>
        <w:t xml:space="preserve">Several significant differences were observed between jurisdictions. </w:t>
      </w:r>
      <w:r w:rsidR="00F27BDF">
        <w:t>Workers from</w:t>
      </w:r>
      <w:r>
        <w:t xml:space="preserve"> Tasmania (65.3%) and NSW (61.9%) were significantly more likely to consider their GP as their main healthcare provider; while those from Seacare (37.9%) were significantly less likely to. Elsewhere, a significantly higher proportion of workers from Queensland (17.0%) reported that a surgeon was their main healthcare provider.</w:t>
      </w:r>
    </w:p>
    <w:p w14:paraId="2C71CA19" w14:textId="21B2C3A4" w:rsidR="00464E59" w:rsidRDefault="00464E59" w:rsidP="000275DE">
      <w:pPr>
        <w:pStyle w:val="Body"/>
      </w:pPr>
      <w:r>
        <w:t xml:space="preserve">There were also significant differences based on </w:t>
      </w:r>
      <w:r w:rsidR="0025300B">
        <w:t>injury/illness</w:t>
      </w:r>
      <w:r>
        <w:t xml:space="preserve"> type. </w:t>
      </w:r>
      <w:r w:rsidR="008A21E3">
        <w:t>Those who experienced other trauma (64.6%) were significantly more likely to consider their GP as their main healthcare provider. A</w:t>
      </w:r>
      <w:r w:rsidR="00F61F8D">
        <w:t> </w:t>
      </w:r>
      <w:r w:rsidR="008A21E3">
        <w:t>significantly higher proportion of those who experienced other diseases (28.0%) or fractures (19.2%) reported that a surgeon was their main healthcare provider; and a significantly higher proportion of those who experienced mental illness (39.1%) considered a psychologist or psychiatrist to be their main healthcare provider.</w:t>
      </w:r>
    </w:p>
    <w:p w14:paraId="59B703A4" w14:textId="3B4C4265" w:rsidR="000275DE" w:rsidRDefault="006D4294" w:rsidP="00E72F51">
      <w:pPr>
        <w:pStyle w:val="Caption"/>
        <w:keepNext/>
      </w:pPr>
      <w:bookmarkStart w:id="121" w:name="_Toc528056608"/>
      <w:r>
        <w:t xml:space="preserve">Table </w:t>
      </w:r>
      <w:r w:rsidR="006F2BDD">
        <w:rPr>
          <w:noProof/>
        </w:rPr>
        <w:fldChar w:fldCharType="begin"/>
      </w:r>
      <w:r w:rsidR="006F2BDD">
        <w:rPr>
          <w:noProof/>
        </w:rPr>
        <w:instrText xml:space="preserve"> SEQ Table \* ARABIC </w:instrText>
      </w:r>
      <w:r w:rsidR="006F2BDD">
        <w:rPr>
          <w:noProof/>
        </w:rPr>
        <w:fldChar w:fldCharType="separate"/>
      </w:r>
      <w:r w:rsidR="00B9340A">
        <w:rPr>
          <w:noProof/>
        </w:rPr>
        <w:t>9</w:t>
      </w:r>
      <w:r w:rsidR="006F2BDD">
        <w:rPr>
          <w:noProof/>
        </w:rPr>
        <w:fldChar w:fldCharType="end"/>
      </w:r>
      <w:r w:rsidR="000275DE">
        <w:tab/>
        <w:t xml:space="preserve">Main healthcare provider, by jurisdiction and </w:t>
      </w:r>
      <w:r w:rsidR="0025300B">
        <w:t>injury/illness</w:t>
      </w:r>
      <w:r w:rsidR="000275DE">
        <w:t xml:space="preserve"> type – 2018 (%)</w:t>
      </w:r>
      <w:bookmarkEnd w:id="121"/>
    </w:p>
    <w:tbl>
      <w:tblPr>
        <w:tblW w:w="9072" w:type="dxa"/>
        <w:tblLayout w:type="fixed"/>
        <w:tblLook w:val="04A0" w:firstRow="1" w:lastRow="0" w:firstColumn="1" w:lastColumn="0" w:noHBand="0" w:noVBand="1"/>
        <w:tblDescription w:val="This table presents the proportion of respondents reporting their main healthcare provider, by jursidiction and injury/illness type. Discussion of the findings is above the table."/>
      </w:tblPr>
      <w:tblGrid>
        <w:gridCol w:w="1984"/>
        <w:gridCol w:w="1134"/>
        <w:gridCol w:w="1134"/>
        <w:gridCol w:w="1134"/>
        <w:gridCol w:w="1361"/>
        <w:gridCol w:w="1361"/>
        <w:gridCol w:w="964"/>
      </w:tblGrid>
      <w:tr w:rsidR="000275DE" w:rsidRPr="008B2C65" w14:paraId="7413FE46" w14:textId="77777777" w:rsidTr="000275DE">
        <w:trPr>
          <w:trHeight w:val="80"/>
          <w:tblHeader/>
        </w:trPr>
        <w:tc>
          <w:tcPr>
            <w:tcW w:w="1984" w:type="dxa"/>
            <w:tcBorders>
              <w:top w:val="nil"/>
              <w:left w:val="nil"/>
              <w:bottom w:val="nil"/>
              <w:right w:val="nil"/>
            </w:tcBorders>
            <w:shd w:val="clear" w:color="000000" w:fill="1F698E"/>
            <w:vAlign w:val="center"/>
            <w:hideMark/>
          </w:tcPr>
          <w:p w14:paraId="62FD7894" w14:textId="77777777" w:rsidR="000275DE" w:rsidRPr="008B2C65" w:rsidRDefault="000275DE" w:rsidP="002870E5">
            <w:pPr>
              <w:spacing w:before="40" w:after="40"/>
              <w:jc w:val="right"/>
              <w:rPr>
                <w:rFonts w:eastAsia="Times New Roman" w:cs="Arial"/>
                <w:b/>
                <w:bCs/>
                <w:color w:val="FFFFFF"/>
                <w:sz w:val="18"/>
                <w:szCs w:val="18"/>
                <w:lang w:eastAsia="en-AU"/>
              </w:rPr>
            </w:pPr>
            <w:r w:rsidRPr="008B2C65">
              <w:rPr>
                <w:rFonts w:eastAsia="Times New Roman" w:cs="Arial"/>
                <w:b/>
                <w:bCs/>
                <w:color w:val="FFFFFF"/>
                <w:sz w:val="18"/>
                <w:szCs w:val="18"/>
                <w:lang w:eastAsia="en-AU"/>
              </w:rPr>
              <w:t> </w:t>
            </w:r>
          </w:p>
        </w:tc>
        <w:tc>
          <w:tcPr>
            <w:tcW w:w="1134" w:type="dxa"/>
            <w:tcBorders>
              <w:top w:val="nil"/>
              <w:left w:val="nil"/>
              <w:bottom w:val="nil"/>
              <w:right w:val="nil"/>
            </w:tcBorders>
            <w:shd w:val="clear" w:color="000000" w:fill="1F698E"/>
            <w:vAlign w:val="center"/>
          </w:tcPr>
          <w:p w14:paraId="3107AD3E" w14:textId="7BA2E93E" w:rsidR="000275DE" w:rsidRPr="008B2C65" w:rsidRDefault="000275DE" w:rsidP="002870E5">
            <w:pPr>
              <w:spacing w:before="40" w:after="40"/>
              <w:jc w:val="center"/>
              <w:rPr>
                <w:rFonts w:eastAsia="Times New Roman" w:cs="Arial"/>
                <w:b/>
                <w:bCs/>
                <w:color w:val="FFFFFF"/>
                <w:sz w:val="18"/>
                <w:szCs w:val="18"/>
                <w:lang w:eastAsia="en-AU"/>
              </w:rPr>
            </w:pPr>
            <w:r>
              <w:rPr>
                <w:rFonts w:eastAsia="Times New Roman" w:cs="Arial"/>
                <w:b/>
                <w:bCs/>
                <w:color w:val="FFFFFF"/>
                <w:sz w:val="18"/>
                <w:szCs w:val="18"/>
                <w:lang w:eastAsia="en-AU"/>
              </w:rPr>
              <w:t>GP</w:t>
            </w:r>
          </w:p>
        </w:tc>
        <w:tc>
          <w:tcPr>
            <w:tcW w:w="1134" w:type="dxa"/>
            <w:tcBorders>
              <w:top w:val="nil"/>
              <w:left w:val="nil"/>
              <w:bottom w:val="nil"/>
              <w:right w:val="nil"/>
            </w:tcBorders>
            <w:shd w:val="clear" w:color="000000" w:fill="1F698E"/>
          </w:tcPr>
          <w:p w14:paraId="0E8DF772" w14:textId="2E88C055" w:rsidR="000275DE" w:rsidRDefault="000275DE" w:rsidP="002870E5">
            <w:pPr>
              <w:spacing w:before="40" w:after="40"/>
              <w:jc w:val="center"/>
              <w:rPr>
                <w:rFonts w:eastAsia="Times New Roman" w:cs="Arial"/>
                <w:b/>
                <w:bCs/>
                <w:color w:val="FFFFFF"/>
                <w:sz w:val="18"/>
                <w:szCs w:val="18"/>
                <w:lang w:eastAsia="en-AU"/>
              </w:rPr>
            </w:pPr>
            <w:r>
              <w:rPr>
                <w:rFonts w:eastAsia="Times New Roman" w:cs="Arial"/>
                <w:b/>
                <w:bCs/>
                <w:color w:val="FFFFFF"/>
                <w:sz w:val="18"/>
                <w:szCs w:val="18"/>
                <w:lang w:eastAsia="en-AU"/>
              </w:rPr>
              <w:t>Physio therapist</w:t>
            </w:r>
          </w:p>
        </w:tc>
        <w:tc>
          <w:tcPr>
            <w:tcW w:w="1134" w:type="dxa"/>
            <w:tcBorders>
              <w:top w:val="nil"/>
              <w:left w:val="nil"/>
              <w:bottom w:val="nil"/>
              <w:right w:val="nil"/>
            </w:tcBorders>
            <w:shd w:val="clear" w:color="000000" w:fill="1F698E"/>
            <w:vAlign w:val="center"/>
          </w:tcPr>
          <w:p w14:paraId="775A94AC" w14:textId="200A2C0B" w:rsidR="000275DE" w:rsidRPr="008B2C65" w:rsidRDefault="000275DE" w:rsidP="002870E5">
            <w:pPr>
              <w:spacing w:before="40" w:after="40"/>
              <w:jc w:val="center"/>
              <w:rPr>
                <w:rFonts w:eastAsia="Times New Roman" w:cs="Arial"/>
                <w:b/>
                <w:bCs/>
                <w:color w:val="FFFFFF"/>
                <w:sz w:val="18"/>
                <w:szCs w:val="18"/>
                <w:lang w:eastAsia="en-AU"/>
              </w:rPr>
            </w:pPr>
            <w:r>
              <w:rPr>
                <w:rFonts w:eastAsia="Times New Roman" w:cs="Arial"/>
                <w:b/>
                <w:bCs/>
                <w:color w:val="FFFFFF"/>
                <w:sz w:val="18"/>
                <w:szCs w:val="18"/>
                <w:lang w:eastAsia="en-AU"/>
              </w:rPr>
              <w:t>Surgeon</w:t>
            </w:r>
          </w:p>
        </w:tc>
        <w:tc>
          <w:tcPr>
            <w:tcW w:w="1361" w:type="dxa"/>
            <w:tcBorders>
              <w:top w:val="nil"/>
              <w:left w:val="nil"/>
              <w:bottom w:val="nil"/>
              <w:right w:val="nil"/>
            </w:tcBorders>
            <w:shd w:val="clear" w:color="000000" w:fill="1F698E"/>
          </w:tcPr>
          <w:p w14:paraId="69067687" w14:textId="40780E9F" w:rsidR="000275DE" w:rsidRDefault="000275DE" w:rsidP="002870E5">
            <w:pPr>
              <w:spacing w:before="40" w:after="40"/>
              <w:jc w:val="center"/>
              <w:rPr>
                <w:rFonts w:eastAsia="Times New Roman" w:cs="Arial"/>
                <w:b/>
                <w:bCs/>
                <w:color w:val="FFFFFF"/>
                <w:sz w:val="18"/>
                <w:szCs w:val="18"/>
                <w:lang w:eastAsia="en-AU"/>
              </w:rPr>
            </w:pPr>
            <w:r>
              <w:rPr>
                <w:rFonts w:eastAsia="Times New Roman" w:cs="Arial"/>
                <w:b/>
                <w:bCs/>
                <w:color w:val="FFFFFF"/>
                <w:sz w:val="18"/>
                <w:szCs w:val="18"/>
                <w:lang w:eastAsia="en-AU"/>
              </w:rPr>
              <w:t>Psychologist / Psychiatrist</w:t>
            </w:r>
          </w:p>
        </w:tc>
        <w:tc>
          <w:tcPr>
            <w:tcW w:w="1361" w:type="dxa"/>
            <w:tcBorders>
              <w:top w:val="nil"/>
              <w:left w:val="nil"/>
              <w:bottom w:val="nil"/>
              <w:right w:val="nil"/>
            </w:tcBorders>
            <w:shd w:val="clear" w:color="000000" w:fill="1F698E"/>
            <w:vAlign w:val="center"/>
          </w:tcPr>
          <w:p w14:paraId="37FE168C" w14:textId="3BA7C6F7" w:rsidR="000275DE" w:rsidRPr="008B2C65" w:rsidRDefault="000275DE" w:rsidP="002870E5">
            <w:pPr>
              <w:spacing w:before="40" w:after="40"/>
              <w:jc w:val="center"/>
              <w:rPr>
                <w:rFonts w:eastAsia="Times New Roman" w:cs="Arial"/>
                <w:b/>
                <w:bCs/>
                <w:color w:val="FFFFFF"/>
                <w:sz w:val="18"/>
                <w:szCs w:val="18"/>
                <w:lang w:eastAsia="en-AU"/>
              </w:rPr>
            </w:pPr>
            <w:r>
              <w:rPr>
                <w:rFonts w:eastAsia="Times New Roman" w:cs="Arial"/>
                <w:b/>
                <w:bCs/>
                <w:color w:val="FFFFFF"/>
                <w:sz w:val="18"/>
                <w:szCs w:val="18"/>
                <w:lang w:eastAsia="en-AU"/>
              </w:rPr>
              <w:t>Occupational Therapist</w:t>
            </w:r>
          </w:p>
        </w:tc>
        <w:tc>
          <w:tcPr>
            <w:tcW w:w="964" w:type="dxa"/>
            <w:tcBorders>
              <w:top w:val="nil"/>
              <w:left w:val="nil"/>
              <w:bottom w:val="nil"/>
              <w:right w:val="nil"/>
            </w:tcBorders>
            <w:shd w:val="clear" w:color="000000" w:fill="1F698E"/>
            <w:vAlign w:val="center"/>
          </w:tcPr>
          <w:p w14:paraId="29B3DC37" w14:textId="5C152031" w:rsidR="000275DE" w:rsidRPr="008B2C65" w:rsidRDefault="000275DE" w:rsidP="002870E5">
            <w:pPr>
              <w:spacing w:before="40" w:after="40"/>
              <w:jc w:val="center"/>
              <w:rPr>
                <w:rFonts w:eastAsia="Times New Roman" w:cs="Arial"/>
                <w:b/>
                <w:bCs/>
                <w:color w:val="FFFFFF"/>
                <w:sz w:val="18"/>
                <w:szCs w:val="18"/>
                <w:lang w:eastAsia="en-AU"/>
              </w:rPr>
            </w:pPr>
            <w:r>
              <w:rPr>
                <w:rFonts w:eastAsia="Times New Roman" w:cs="Arial"/>
                <w:b/>
                <w:bCs/>
                <w:color w:val="FFFFFF"/>
                <w:sz w:val="18"/>
                <w:szCs w:val="18"/>
                <w:lang w:eastAsia="en-AU"/>
              </w:rPr>
              <w:t>Other</w:t>
            </w:r>
          </w:p>
        </w:tc>
      </w:tr>
      <w:tr w:rsidR="00D70A09" w:rsidRPr="008B2C65" w14:paraId="048617B6" w14:textId="77777777" w:rsidTr="002870E5">
        <w:trPr>
          <w:trHeight w:val="80"/>
          <w:tblHeader/>
        </w:trPr>
        <w:tc>
          <w:tcPr>
            <w:tcW w:w="1984" w:type="dxa"/>
            <w:tcBorders>
              <w:top w:val="nil"/>
              <w:left w:val="nil"/>
              <w:bottom w:val="nil"/>
              <w:right w:val="nil"/>
            </w:tcBorders>
            <w:shd w:val="clear" w:color="auto" w:fill="auto"/>
            <w:vAlign w:val="center"/>
          </w:tcPr>
          <w:p w14:paraId="6DCA0951" w14:textId="6DD88DA5" w:rsidR="00D70A09" w:rsidRPr="00D70A09" w:rsidRDefault="00D70A09" w:rsidP="00D70A09">
            <w:pPr>
              <w:spacing w:before="40" w:after="40"/>
              <w:rPr>
                <w:rFonts w:eastAsia="Times New Roman" w:cs="Arial"/>
                <w:b/>
                <w:bCs/>
                <w:sz w:val="18"/>
                <w:szCs w:val="18"/>
                <w:lang w:eastAsia="en-AU"/>
              </w:rPr>
            </w:pPr>
            <w:r w:rsidRPr="00D70A09">
              <w:rPr>
                <w:rFonts w:eastAsia="Times New Roman" w:cs="Arial"/>
                <w:b/>
                <w:bCs/>
                <w:sz w:val="18"/>
                <w:szCs w:val="18"/>
                <w:lang w:eastAsia="en-AU"/>
              </w:rPr>
              <w:t>Total</w:t>
            </w:r>
          </w:p>
        </w:tc>
        <w:tc>
          <w:tcPr>
            <w:tcW w:w="1134" w:type="dxa"/>
            <w:tcBorders>
              <w:top w:val="nil"/>
              <w:left w:val="nil"/>
              <w:bottom w:val="nil"/>
              <w:right w:val="nil"/>
            </w:tcBorders>
            <w:shd w:val="clear" w:color="auto" w:fill="auto"/>
            <w:vAlign w:val="bottom"/>
          </w:tcPr>
          <w:p w14:paraId="7AD45FA2" w14:textId="721D56AF" w:rsidR="00D70A09" w:rsidRPr="002A683D" w:rsidRDefault="00D70A09" w:rsidP="00D70A09">
            <w:pPr>
              <w:spacing w:before="40" w:after="40"/>
              <w:jc w:val="center"/>
              <w:rPr>
                <w:rFonts w:eastAsia="Times New Roman" w:cs="Arial"/>
                <w:b/>
                <w:bCs/>
                <w:sz w:val="18"/>
                <w:szCs w:val="18"/>
                <w:lang w:eastAsia="en-AU"/>
              </w:rPr>
            </w:pPr>
            <w:r w:rsidRPr="002A683D">
              <w:rPr>
                <w:rFonts w:cs="Arial"/>
                <w:b/>
                <w:bCs/>
                <w:color w:val="000000"/>
                <w:sz w:val="18"/>
              </w:rPr>
              <w:t>57.0</w:t>
            </w:r>
          </w:p>
        </w:tc>
        <w:tc>
          <w:tcPr>
            <w:tcW w:w="1134" w:type="dxa"/>
            <w:tcBorders>
              <w:top w:val="nil"/>
              <w:left w:val="nil"/>
              <w:bottom w:val="nil"/>
              <w:right w:val="nil"/>
            </w:tcBorders>
            <w:shd w:val="clear" w:color="auto" w:fill="auto"/>
            <w:vAlign w:val="bottom"/>
          </w:tcPr>
          <w:p w14:paraId="4065C9C1" w14:textId="6A937899" w:rsidR="00D70A09" w:rsidRPr="002A683D" w:rsidRDefault="00D70A09" w:rsidP="00D70A09">
            <w:pPr>
              <w:spacing w:before="40" w:after="40"/>
              <w:jc w:val="center"/>
              <w:rPr>
                <w:rFonts w:eastAsia="Times New Roman" w:cs="Arial"/>
                <w:b/>
                <w:bCs/>
                <w:sz w:val="18"/>
                <w:szCs w:val="18"/>
                <w:lang w:eastAsia="en-AU"/>
              </w:rPr>
            </w:pPr>
            <w:r w:rsidRPr="002A683D">
              <w:rPr>
                <w:rFonts w:cs="Arial"/>
                <w:b/>
                <w:bCs/>
                <w:color w:val="000000"/>
                <w:sz w:val="18"/>
              </w:rPr>
              <w:t>21.9</w:t>
            </w:r>
          </w:p>
        </w:tc>
        <w:tc>
          <w:tcPr>
            <w:tcW w:w="1134" w:type="dxa"/>
            <w:tcBorders>
              <w:top w:val="nil"/>
              <w:left w:val="nil"/>
              <w:bottom w:val="nil"/>
              <w:right w:val="nil"/>
            </w:tcBorders>
            <w:shd w:val="clear" w:color="auto" w:fill="auto"/>
            <w:vAlign w:val="bottom"/>
          </w:tcPr>
          <w:p w14:paraId="1BF9CD5A" w14:textId="36867DB1" w:rsidR="00D70A09" w:rsidRPr="002A683D" w:rsidRDefault="00D70A09" w:rsidP="00D70A09">
            <w:pPr>
              <w:spacing w:before="40" w:after="40"/>
              <w:jc w:val="center"/>
              <w:rPr>
                <w:rFonts w:eastAsia="Times New Roman" w:cs="Arial"/>
                <w:b/>
                <w:bCs/>
                <w:sz w:val="18"/>
                <w:szCs w:val="18"/>
                <w:lang w:eastAsia="en-AU"/>
              </w:rPr>
            </w:pPr>
            <w:r w:rsidRPr="002A683D">
              <w:rPr>
                <w:rFonts w:cs="Arial"/>
                <w:b/>
                <w:bCs/>
                <w:color w:val="000000"/>
                <w:sz w:val="18"/>
              </w:rPr>
              <w:t>11.4</w:t>
            </w:r>
          </w:p>
        </w:tc>
        <w:tc>
          <w:tcPr>
            <w:tcW w:w="1361" w:type="dxa"/>
            <w:tcBorders>
              <w:top w:val="nil"/>
              <w:left w:val="nil"/>
              <w:bottom w:val="nil"/>
              <w:right w:val="nil"/>
            </w:tcBorders>
            <w:shd w:val="clear" w:color="auto" w:fill="auto"/>
            <w:vAlign w:val="bottom"/>
          </w:tcPr>
          <w:p w14:paraId="5947C02C" w14:textId="6090CFA8" w:rsidR="00D70A09" w:rsidRPr="002A683D" w:rsidRDefault="00D70A09" w:rsidP="00D70A09">
            <w:pPr>
              <w:spacing w:before="40" w:after="40"/>
              <w:jc w:val="center"/>
              <w:rPr>
                <w:rFonts w:eastAsia="Times New Roman" w:cs="Arial"/>
                <w:b/>
                <w:bCs/>
                <w:sz w:val="18"/>
                <w:szCs w:val="18"/>
                <w:lang w:eastAsia="en-AU"/>
              </w:rPr>
            </w:pPr>
            <w:r w:rsidRPr="002A683D">
              <w:rPr>
                <w:rFonts w:cs="Arial"/>
                <w:b/>
                <w:bCs/>
                <w:color w:val="000000"/>
                <w:sz w:val="18"/>
              </w:rPr>
              <w:t>2.3</w:t>
            </w:r>
          </w:p>
        </w:tc>
        <w:tc>
          <w:tcPr>
            <w:tcW w:w="1361" w:type="dxa"/>
            <w:tcBorders>
              <w:top w:val="nil"/>
              <w:left w:val="nil"/>
              <w:bottom w:val="nil"/>
              <w:right w:val="nil"/>
            </w:tcBorders>
            <w:shd w:val="clear" w:color="auto" w:fill="auto"/>
            <w:vAlign w:val="bottom"/>
          </w:tcPr>
          <w:p w14:paraId="30A446F4" w14:textId="2E7B5080" w:rsidR="00D70A09" w:rsidRPr="002A683D" w:rsidRDefault="00D70A09" w:rsidP="00D70A09">
            <w:pPr>
              <w:spacing w:before="40" w:after="40"/>
              <w:jc w:val="center"/>
              <w:rPr>
                <w:rFonts w:eastAsia="Times New Roman" w:cs="Arial"/>
                <w:b/>
                <w:bCs/>
                <w:sz w:val="18"/>
                <w:szCs w:val="18"/>
                <w:lang w:eastAsia="en-AU"/>
              </w:rPr>
            </w:pPr>
            <w:r w:rsidRPr="002A683D">
              <w:rPr>
                <w:rFonts w:cs="Arial"/>
                <w:b/>
                <w:bCs/>
                <w:color w:val="000000"/>
                <w:sz w:val="18"/>
              </w:rPr>
              <w:t>1.5</w:t>
            </w:r>
          </w:p>
        </w:tc>
        <w:tc>
          <w:tcPr>
            <w:tcW w:w="964" w:type="dxa"/>
            <w:tcBorders>
              <w:top w:val="nil"/>
              <w:left w:val="nil"/>
              <w:bottom w:val="nil"/>
              <w:right w:val="nil"/>
            </w:tcBorders>
            <w:shd w:val="clear" w:color="auto" w:fill="auto"/>
            <w:vAlign w:val="bottom"/>
          </w:tcPr>
          <w:p w14:paraId="2942D8DB" w14:textId="4BCC0AA0" w:rsidR="00D70A09" w:rsidRPr="002A683D" w:rsidRDefault="00D70A09" w:rsidP="00D70A09">
            <w:pPr>
              <w:spacing w:before="40" w:after="40"/>
              <w:jc w:val="center"/>
              <w:rPr>
                <w:rFonts w:eastAsia="Times New Roman" w:cs="Arial"/>
                <w:b/>
                <w:bCs/>
                <w:sz w:val="18"/>
                <w:szCs w:val="18"/>
                <w:lang w:eastAsia="en-AU"/>
              </w:rPr>
            </w:pPr>
            <w:r w:rsidRPr="002A683D">
              <w:rPr>
                <w:rFonts w:cs="Arial"/>
                <w:b/>
                <w:bCs/>
                <w:color w:val="000000"/>
                <w:sz w:val="18"/>
              </w:rPr>
              <w:t>5.8</w:t>
            </w:r>
          </w:p>
        </w:tc>
      </w:tr>
      <w:tr w:rsidR="000275DE" w:rsidRPr="008B2C65" w14:paraId="0901EE75" w14:textId="77777777" w:rsidTr="000275DE">
        <w:trPr>
          <w:trHeight w:val="80"/>
        </w:trPr>
        <w:tc>
          <w:tcPr>
            <w:tcW w:w="1984" w:type="dxa"/>
            <w:tcBorders>
              <w:top w:val="nil"/>
              <w:left w:val="nil"/>
              <w:bottom w:val="nil"/>
              <w:right w:val="nil"/>
            </w:tcBorders>
            <w:shd w:val="clear" w:color="auto" w:fill="58AEDA"/>
            <w:vAlign w:val="center"/>
            <w:hideMark/>
          </w:tcPr>
          <w:p w14:paraId="3E0EAA88" w14:textId="77777777" w:rsidR="000275DE" w:rsidRPr="008B2C65" w:rsidRDefault="000275DE" w:rsidP="002870E5">
            <w:pPr>
              <w:spacing w:before="40" w:after="40"/>
              <w:rPr>
                <w:rFonts w:eastAsia="Times New Roman" w:cs="Arial"/>
                <w:b/>
                <w:bCs/>
                <w:color w:val="000000"/>
                <w:sz w:val="18"/>
                <w:szCs w:val="18"/>
                <w:lang w:eastAsia="en-AU"/>
              </w:rPr>
            </w:pPr>
            <w:r w:rsidRPr="008B2C65">
              <w:rPr>
                <w:rFonts w:eastAsia="Times New Roman" w:cs="Arial"/>
                <w:b/>
                <w:bCs/>
                <w:color w:val="000000"/>
                <w:sz w:val="18"/>
                <w:szCs w:val="18"/>
                <w:lang w:eastAsia="en-AU"/>
              </w:rPr>
              <w:t>Jurisdiction</w:t>
            </w:r>
          </w:p>
        </w:tc>
        <w:tc>
          <w:tcPr>
            <w:tcW w:w="1134" w:type="dxa"/>
            <w:tcBorders>
              <w:top w:val="nil"/>
              <w:left w:val="nil"/>
              <w:bottom w:val="nil"/>
              <w:right w:val="nil"/>
            </w:tcBorders>
            <w:shd w:val="clear" w:color="auto" w:fill="58AEDA"/>
            <w:vAlign w:val="center"/>
            <w:hideMark/>
          </w:tcPr>
          <w:p w14:paraId="53B0FAD9" w14:textId="77777777" w:rsidR="000275DE" w:rsidRPr="00467D4A" w:rsidRDefault="000275DE" w:rsidP="002870E5">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134" w:type="dxa"/>
            <w:tcBorders>
              <w:top w:val="nil"/>
              <w:left w:val="nil"/>
              <w:bottom w:val="nil"/>
              <w:right w:val="nil"/>
            </w:tcBorders>
            <w:shd w:val="clear" w:color="auto" w:fill="58AEDA"/>
          </w:tcPr>
          <w:p w14:paraId="47942FB2" w14:textId="77777777" w:rsidR="000275DE" w:rsidRPr="00467D4A" w:rsidRDefault="000275DE" w:rsidP="002870E5">
            <w:pPr>
              <w:spacing w:before="40" w:after="40"/>
              <w:ind w:right="227"/>
              <w:jc w:val="right"/>
              <w:rPr>
                <w:rFonts w:eastAsia="Times New Roman" w:cs="Arial"/>
                <w:sz w:val="18"/>
                <w:szCs w:val="18"/>
                <w:lang w:eastAsia="en-AU"/>
              </w:rPr>
            </w:pPr>
          </w:p>
        </w:tc>
        <w:tc>
          <w:tcPr>
            <w:tcW w:w="1134" w:type="dxa"/>
            <w:tcBorders>
              <w:top w:val="nil"/>
              <w:left w:val="nil"/>
              <w:bottom w:val="nil"/>
              <w:right w:val="nil"/>
            </w:tcBorders>
            <w:shd w:val="clear" w:color="auto" w:fill="58AEDA"/>
            <w:vAlign w:val="center"/>
            <w:hideMark/>
          </w:tcPr>
          <w:p w14:paraId="1AF6A9D7" w14:textId="77777777" w:rsidR="000275DE" w:rsidRPr="00467D4A" w:rsidRDefault="000275DE" w:rsidP="002870E5">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361" w:type="dxa"/>
            <w:tcBorders>
              <w:top w:val="nil"/>
              <w:left w:val="nil"/>
              <w:bottom w:val="nil"/>
              <w:right w:val="nil"/>
            </w:tcBorders>
            <w:shd w:val="clear" w:color="auto" w:fill="58AEDA"/>
          </w:tcPr>
          <w:p w14:paraId="03DE5F59" w14:textId="77777777" w:rsidR="000275DE" w:rsidRPr="00467D4A" w:rsidRDefault="000275DE" w:rsidP="002870E5">
            <w:pPr>
              <w:spacing w:before="40" w:after="40"/>
              <w:ind w:right="227"/>
              <w:jc w:val="right"/>
              <w:rPr>
                <w:rFonts w:eastAsia="Times New Roman" w:cs="Arial"/>
                <w:sz w:val="18"/>
                <w:szCs w:val="18"/>
                <w:lang w:eastAsia="en-AU"/>
              </w:rPr>
            </w:pPr>
          </w:p>
        </w:tc>
        <w:tc>
          <w:tcPr>
            <w:tcW w:w="1361" w:type="dxa"/>
            <w:tcBorders>
              <w:top w:val="nil"/>
              <w:left w:val="nil"/>
              <w:bottom w:val="nil"/>
              <w:right w:val="nil"/>
            </w:tcBorders>
            <w:shd w:val="clear" w:color="auto" w:fill="58AEDA"/>
            <w:vAlign w:val="center"/>
            <w:hideMark/>
          </w:tcPr>
          <w:p w14:paraId="04FC7C54" w14:textId="77777777" w:rsidR="000275DE" w:rsidRPr="00467D4A" w:rsidRDefault="000275DE" w:rsidP="002870E5">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964" w:type="dxa"/>
            <w:tcBorders>
              <w:top w:val="nil"/>
              <w:left w:val="nil"/>
              <w:bottom w:val="nil"/>
              <w:right w:val="nil"/>
            </w:tcBorders>
            <w:shd w:val="clear" w:color="auto" w:fill="58AEDA"/>
            <w:vAlign w:val="center"/>
            <w:hideMark/>
          </w:tcPr>
          <w:p w14:paraId="653A4F52" w14:textId="77777777" w:rsidR="000275DE" w:rsidRPr="00467D4A" w:rsidRDefault="000275DE" w:rsidP="002870E5">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r>
      <w:tr w:rsidR="002A683D" w:rsidRPr="008B2C65" w14:paraId="08F55B98" w14:textId="77777777" w:rsidTr="000275DE">
        <w:trPr>
          <w:trHeight w:val="80"/>
        </w:trPr>
        <w:tc>
          <w:tcPr>
            <w:tcW w:w="1984" w:type="dxa"/>
            <w:tcBorders>
              <w:top w:val="nil"/>
              <w:left w:val="nil"/>
              <w:bottom w:val="nil"/>
              <w:right w:val="nil"/>
            </w:tcBorders>
            <w:shd w:val="clear" w:color="000000" w:fill="C7E4F3"/>
            <w:vAlign w:val="center"/>
          </w:tcPr>
          <w:p w14:paraId="2A25C709" w14:textId="77777777" w:rsidR="002A683D" w:rsidRPr="008B2C65" w:rsidRDefault="002A683D" w:rsidP="002A683D">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A</w:t>
            </w:r>
            <w:r>
              <w:rPr>
                <w:rFonts w:eastAsia="Times New Roman" w:cs="Arial"/>
                <w:color w:val="000000"/>
                <w:sz w:val="18"/>
                <w:szCs w:val="18"/>
                <w:lang w:eastAsia="en-AU"/>
              </w:rPr>
              <w:t>CT</w:t>
            </w:r>
          </w:p>
        </w:tc>
        <w:tc>
          <w:tcPr>
            <w:tcW w:w="1134" w:type="dxa"/>
            <w:tcBorders>
              <w:top w:val="nil"/>
              <w:left w:val="nil"/>
              <w:bottom w:val="nil"/>
              <w:right w:val="nil"/>
            </w:tcBorders>
            <w:shd w:val="clear" w:color="000000" w:fill="C7E4F3"/>
            <w:vAlign w:val="bottom"/>
          </w:tcPr>
          <w:p w14:paraId="06517785" w14:textId="6BB9CAA2" w:rsidR="002A683D" w:rsidRPr="002A683D" w:rsidRDefault="002A683D" w:rsidP="002A683D">
            <w:pPr>
              <w:spacing w:before="40" w:after="40"/>
              <w:ind w:right="227"/>
              <w:jc w:val="right"/>
              <w:rPr>
                <w:rFonts w:eastAsia="Times New Roman" w:cs="Arial"/>
                <w:sz w:val="18"/>
                <w:szCs w:val="18"/>
                <w:lang w:eastAsia="en-AU"/>
              </w:rPr>
            </w:pPr>
            <w:r w:rsidRPr="002A683D">
              <w:rPr>
                <w:rFonts w:cs="Arial"/>
                <w:color w:val="000000"/>
                <w:sz w:val="18"/>
                <w:szCs w:val="18"/>
              </w:rPr>
              <w:t>66.8</w:t>
            </w:r>
          </w:p>
        </w:tc>
        <w:tc>
          <w:tcPr>
            <w:tcW w:w="1134" w:type="dxa"/>
            <w:tcBorders>
              <w:top w:val="nil"/>
              <w:left w:val="nil"/>
              <w:bottom w:val="nil"/>
              <w:right w:val="nil"/>
            </w:tcBorders>
            <w:shd w:val="clear" w:color="000000" w:fill="C7E4F3"/>
            <w:vAlign w:val="bottom"/>
          </w:tcPr>
          <w:p w14:paraId="7E62D539" w14:textId="519FA4EF" w:rsidR="002A683D" w:rsidRPr="002A683D" w:rsidRDefault="002A683D" w:rsidP="002A683D">
            <w:pPr>
              <w:spacing w:before="40" w:after="40"/>
              <w:ind w:right="283"/>
              <w:jc w:val="right"/>
              <w:rPr>
                <w:rFonts w:cs="Arial"/>
                <w:color w:val="000000"/>
                <w:sz w:val="18"/>
                <w:szCs w:val="18"/>
              </w:rPr>
            </w:pPr>
            <w:r w:rsidRPr="002A683D">
              <w:rPr>
                <w:rFonts w:cs="Arial"/>
                <w:color w:val="000000"/>
                <w:sz w:val="18"/>
                <w:szCs w:val="18"/>
              </w:rPr>
              <w:t>23.7</w:t>
            </w:r>
          </w:p>
        </w:tc>
        <w:tc>
          <w:tcPr>
            <w:tcW w:w="1134" w:type="dxa"/>
            <w:tcBorders>
              <w:top w:val="nil"/>
              <w:left w:val="nil"/>
              <w:bottom w:val="nil"/>
              <w:right w:val="nil"/>
            </w:tcBorders>
            <w:shd w:val="clear" w:color="000000" w:fill="C7E4F3"/>
            <w:vAlign w:val="bottom"/>
          </w:tcPr>
          <w:p w14:paraId="309AD67B" w14:textId="748736DE" w:rsidR="002A683D" w:rsidRPr="002A683D" w:rsidRDefault="002A683D" w:rsidP="002A683D">
            <w:pPr>
              <w:spacing w:before="40" w:after="40"/>
              <w:ind w:right="227"/>
              <w:jc w:val="right"/>
              <w:rPr>
                <w:rFonts w:cs="Arial"/>
                <w:color w:val="000000"/>
                <w:sz w:val="18"/>
                <w:szCs w:val="18"/>
              </w:rPr>
            </w:pPr>
            <w:r w:rsidRPr="002A683D">
              <w:rPr>
                <w:rFonts w:cs="Arial"/>
                <w:color w:val="000000"/>
                <w:sz w:val="18"/>
                <w:szCs w:val="18"/>
              </w:rPr>
              <w:t>4.6</w:t>
            </w:r>
          </w:p>
        </w:tc>
        <w:tc>
          <w:tcPr>
            <w:tcW w:w="1361" w:type="dxa"/>
            <w:tcBorders>
              <w:top w:val="nil"/>
              <w:left w:val="nil"/>
              <w:bottom w:val="nil"/>
              <w:right w:val="nil"/>
            </w:tcBorders>
            <w:shd w:val="clear" w:color="000000" w:fill="C7E4F3"/>
            <w:vAlign w:val="bottom"/>
          </w:tcPr>
          <w:p w14:paraId="3F230061" w14:textId="0250DEE2" w:rsidR="002A683D" w:rsidRPr="002A683D" w:rsidRDefault="002A683D" w:rsidP="002A683D">
            <w:pPr>
              <w:spacing w:before="40" w:after="40"/>
              <w:ind w:right="340"/>
              <w:jc w:val="right"/>
              <w:rPr>
                <w:rFonts w:cs="Arial"/>
                <w:color w:val="000000"/>
                <w:sz w:val="18"/>
                <w:szCs w:val="18"/>
              </w:rPr>
            </w:pPr>
            <w:r w:rsidRPr="002A683D">
              <w:rPr>
                <w:rFonts w:cs="Arial"/>
                <w:color w:val="000000"/>
                <w:sz w:val="18"/>
                <w:szCs w:val="18"/>
              </w:rPr>
              <w:t>1.2</w:t>
            </w:r>
          </w:p>
        </w:tc>
        <w:tc>
          <w:tcPr>
            <w:tcW w:w="1361" w:type="dxa"/>
            <w:tcBorders>
              <w:top w:val="nil"/>
              <w:left w:val="nil"/>
              <w:bottom w:val="nil"/>
              <w:right w:val="nil"/>
            </w:tcBorders>
            <w:shd w:val="clear" w:color="000000" w:fill="C7E4F3"/>
            <w:vAlign w:val="bottom"/>
          </w:tcPr>
          <w:p w14:paraId="3CD25EF5" w14:textId="73833DDE" w:rsidR="002A683D" w:rsidRPr="002A683D" w:rsidRDefault="002A683D" w:rsidP="002A683D">
            <w:pPr>
              <w:spacing w:before="40" w:after="40"/>
              <w:ind w:right="397"/>
              <w:jc w:val="right"/>
              <w:rPr>
                <w:rFonts w:cs="Arial"/>
                <w:color w:val="000000"/>
                <w:sz w:val="18"/>
                <w:szCs w:val="18"/>
              </w:rPr>
            </w:pPr>
            <w:r w:rsidRPr="002A683D">
              <w:rPr>
                <w:rFonts w:cs="Arial"/>
                <w:color w:val="000000"/>
                <w:sz w:val="18"/>
                <w:szCs w:val="18"/>
              </w:rPr>
              <w:t>0.0</w:t>
            </w:r>
          </w:p>
        </w:tc>
        <w:tc>
          <w:tcPr>
            <w:tcW w:w="964" w:type="dxa"/>
            <w:tcBorders>
              <w:top w:val="nil"/>
              <w:left w:val="nil"/>
              <w:bottom w:val="nil"/>
              <w:right w:val="nil"/>
            </w:tcBorders>
            <w:shd w:val="clear" w:color="000000" w:fill="C7E4F3"/>
            <w:vAlign w:val="bottom"/>
          </w:tcPr>
          <w:p w14:paraId="6D91AF0C" w14:textId="0CE96F94" w:rsidR="002A683D" w:rsidRPr="002A683D" w:rsidRDefault="002A683D" w:rsidP="002A683D">
            <w:pPr>
              <w:spacing w:before="40" w:after="40"/>
              <w:ind w:right="170"/>
              <w:jc w:val="right"/>
              <w:rPr>
                <w:rFonts w:cs="Arial"/>
                <w:color w:val="000000"/>
                <w:sz w:val="18"/>
                <w:szCs w:val="18"/>
              </w:rPr>
            </w:pPr>
            <w:r w:rsidRPr="002A683D">
              <w:rPr>
                <w:rFonts w:cs="Arial"/>
                <w:color w:val="000000"/>
                <w:sz w:val="18"/>
                <w:szCs w:val="18"/>
              </w:rPr>
              <w:t>3.8</w:t>
            </w:r>
          </w:p>
        </w:tc>
      </w:tr>
      <w:tr w:rsidR="002A683D" w:rsidRPr="008B2C65" w14:paraId="4CF6E44A" w14:textId="77777777" w:rsidTr="000275DE">
        <w:trPr>
          <w:trHeight w:val="80"/>
        </w:trPr>
        <w:tc>
          <w:tcPr>
            <w:tcW w:w="1984" w:type="dxa"/>
            <w:tcBorders>
              <w:top w:val="nil"/>
              <w:left w:val="nil"/>
              <w:bottom w:val="nil"/>
              <w:right w:val="nil"/>
            </w:tcBorders>
            <w:shd w:val="clear" w:color="auto" w:fill="auto"/>
            <w:vAlign w:val="center"/>
          </w:tcPr>
          <w:p w14:paraId="47C78FFD" w14:textId="77777777" w:rsidR="002A683D" w:rsidRPr="008B2C65" w:rsidRDefault="002A683D" w:rsidP="002A683D">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Comcare</w:t>
            </w:r>
          </w:p>
        </w:tc>
        <w:tc>
          <w:tcPr>
            <w:tcW w:w="1134" w:type="dxa"/>
            <w:tcBorders>
              <w:top w:val="nil"/>
              <w:left w:val="nil"/>
              <w:bottom w:val="nil"/>
              <w:right w:val="nil"/>
            </w:tcBorders>
            <w:shd w:val="clear" w:color="auto" w:fill="auto"/>
            <w:vAlign w:val="bottom"/>
          </w:tcPr>
          <w:p w14:paraId="4DEBB879" w14:textId="726A49F8" w:rsidR="002A683D" w:rsidRPr="002A683D" w:rsidRDefault="002A683D" w:rsidP="002A683D">
            <w:pPr>
              <w:spacing w:before="40" w:after="40"/>
              <w:ind w:right="227"/>
              <w:jc w:val="right"/>
              <w:rPr>
                <w:rFonts w:eastAsia="Times New Roman" w:cs="Arial"/>
                <w:sz w:val="18"/>
                <w:szCs w:val="18"/>
                <w:lang w:eastAsia="en-AU"/>
              </w:rPr>
            </w:pPr>
            <w:r w:rsidRPr="002A683D">
              <w:rPr>
                <w:rFonts w:cs="Arial"/>
                <w:color w:val="000000"/>
                <w:sz w:val="18"/>
                <w:szCs w:val="18"/>
              </w:rPr>
              <w:t>52.2</w:t>
            </w:r>
          </w:p>
        </w:tc>
        <w:tc>
          <w:tcPr>
            <w:tcW w:w="1134" w:type="dxa"/>
            <w:tcBorders>
              <w:top w:val="nil"/>
              <w:left w:val="nil"/>
              <w:bottom w:val="nil"/>
              <w:right w:val="nil"/>
            </w:tcBorders>
            <w:vAlign w:val="bottom"/>
          </w:tcPr>
          <w:p w14:paraId="6710D272" w14:textId="72A49AB0" w:rsidR="002A683D" w:rsidRPr="002A683D" w:rsidRDefault="002A683D" w:rsidP="002A683D">
            <w:pPr>
              <w:spacing w:before="40" w:after="40"/>
              <w:ind w:right="283"/>
              <w:jc w:val="right"/>
              <w:rPr>
                <w:rFonts w:cs="Arial"/>
                <w:color w:val="000000"/>
                <w:sz w:val="18"/>
                <w:szCs w:val="18"/>
              </w:rPr>
            </w:pPr>
            <w:r w:rsidRPr="002A683D">
              <w:rPr>
                <w:rFonts w:cs="Arial"/>
                <w:color w:val="000000"/>
                <w:sz w:val="18"/>
                <w:szCs w:val="18"/>
              </w:rPr>
              <w:t>22.6</w:t>
            </w:r>
          </w:p>
        </w:tc>
        <w:tc>
          <w:tcPr>
            <w:tcW w:w="1134" w:type="dxa"/>
            <w:tcBorders>
              <w:top w:val="nil"/>
              <w:left w:val="nil"/>
              <w:bottom w:val="nil"/>
              <w:right w:val="nil"/>
            </w:tcBorders>
            <w:shd w:val="clear" w:color="auto" w:fill="auto"/>
            <w:vAlign w:val="bottom"/>
          </w:tcPr>
          <w:p w14:paraId="0B664D1D" w14:textId="2FCF4BD9" w:rsidR="002A683D" w:rsidRPr="002A683D" w:rsidRDefault="002A683D" w:rsidP="002A683D">
            <w:pPr>
              <w:spacing w:before="40" w:after="40"/>
              <w:ind w:right="227"/>
              <w:jc w:val="right"/>
              <w:rPr>
                <w:rFonts w:cs="Arial"/>
                <w:color w:val="000000"/>
                <w:sz w:val="18"/>
                <w:szCs w:val="18"/>
              </w:rPr>
            </w:pPr>
            <w:r w:rsidRPr="002A683D">
              <w:rPr>
                <w:rFonts w:cs="Arial"/>
                <w:color w:val="000000"/>
                <w:sz w:val="18"/>
                <w:szCs w:val="18"/>
              </w:rPr>
              <w:t>15.0</w:t>
            </w:r>
          </w:p>
        </w:tc>
        <w:tc>
          <w:tcPr>
            <w:tcW w:w="1361" w:type="dxa"/>
            <w:tcBorders>
              <w:top w:val="nil"/>
              <w:left w:val="nil"/>
              <w:bottom w:val="nil"/>
              <w:right w:val="nil"/>
            </w:tcBorders>
            <w:vAlign w:val="bottom"/>
          </w:tcPr>
          <w:p w14:paraId="6EA90203" w14:textId="3E9D8BB0" w:rsidR="002A683D" w:rsidRPr="002A683D" w:rsidRDefault="002A683D" w:rsidP="002A683D">
            <w:pPr>
              <w:spacing w:before="40" w:after="40"/>
              <w:ind w:right="340"/>
              <w:jc w:val="right"/>
              <w:rPr>
                <w:rFonts w:cs="Arial"/>
                <w:color w:val="000000"/>
                <w:sz w:val="18"/>
                <w:szCs w:val="18"/>
              </w:rPr>
            </w:pPr>
            <w:r w:rsidRPr="002A683D">
              <w:rPr>
                <w:rFonts w:cs="Arial"/>
                <w:color w:val="000000"/>
                <w:sz w:val="18"/>
                <w:szCs w:val="18"/>
              </w:rPr>
              <w:t>3.3</w:t>
            </w:r>
          </w:p>
        </w:tc>
        <w:tc>
          <w:tcPr>
            <w:tcW w:w="1361" w:type="dxa"/>
            <w:tcBorders>
              <w:top w:val="nil"/>
              <w:left w:val="nil"/>
              <w:bottom w:val="nil"/>
              <w:right w:val="nil"/>
            </w:tcBorders>
            <w:shd w:val="clear" w:color="auto" w:fill="auto"/>
            <w:vAlign w:val="bottom"/>
          </w:tcPr>
          <w:p w14:paraId="64BF1AEF" w14:textId="3D04C032" w:rsidR="002A683D" w:rsidRPr="002A683D" w:rsidRDefault="002A683D" w:rsidP="002A683D">
            <w:pPr>
              <w:spacing w:before="40" w:after="40"/>
              <w:ind w:right="397"/>
              <w:jc w:val="right"/>
              <w:rPr>
                <w:rFonts w:cs="Arial"/>
                <w:color w:val="000000"/>
                <w:sz w:val="18"/>
                <w:szCs w:val="18"/>
              </w:rPr>
            </w:pPr>
            <w:r w:rsidRPr="002A683D">
              <w:rPr>
                <w:rFonts w:cs="Arial"/>
                <w:color w:val="000000"/>
                <w:sz w:val="18"/>
                <w:szCs w:val="18"/>
              </w:rPr>
              <w:t>1.2</w:t>
            </w:r>
          </w:p>
        </w:tc>
        <w:tc>
          <w:tcPr>
            <w:tcW w:w="964" w:type="dxa"/>
            <w:tcBorders>
              <w:top w:val="nil"/>
              <w:left w:val="nil"/>
              <w:bottom w:val="nil"/>
              <w:right w:val="nil"/>
            </w:tcBorders>
            <w:shd w:val="clear" w:color="auto" w:fill="auto"/>
            <w:vAlign w:val="bottom"/>
          </w:tcPr>
          <w:p w14:paraId="127927C1" w14:textId="7A4E0F29" w:rsidR="002A683D" w:rsidRPr="002A683D" w:rsidRDefault="002A683D" w:rsidP="002A683D">
            <w:pPr>
              <w:spacing w:before="40" w:after="40"/>
              <w:ind w:right="170"/>
              <w:jc w:val="right"/>
              <w:rPr>
                <w:rFonts w:cs="Arial"/>
                <w:color w:val="000000"/>
                <w:sz w:val="18"/>
                <w:szCs w:val="18"/>
              </w:rPr>
            </w:pPr>
            <w:r w:rsidRPr="002A683D">
              <w:rPr>
                <w:rFonts w:cs="Arial"/>
                <w:color w:val="000000"/>
                <w:sz w:val="18"/>
                <w:szCs w:val="18"/>
              </w:rPr>
              <w:t>5.6</w:t>
            </w:r>
          </w:p>
        </w:tc>
      </w:tr>
      <w:tr w:rsidR="002A683D" w:rsidRPr="008B2C65" w14:paraId="6C267A0B" w14:textId="77777777" w:rsidTr="000275DE">
        <w:trPr>
          <w:trHeight w:val="80"/>
        </w:trPr>
        <w:tc>
          <w:tcPr>
            <w:tcW w:w="1984" w:type="dxa"/>
            <w:tcBorders>
              <w:top w:val="nil"/>
              <w:left w:val="nil"/>
              <w:bottom w:val="nil"/>
              <w:right w:val="nil"/>
            </w:tcBorders>
            <w:shd w:val="clear" w:color="000000" w:fill="C7E4F3"/>
            <w:vAlign w:val="center"/>
          </w:tcPr>
          <w:p w14:paraId="36A0C82B" w14:textId="77777777" w:rsidR="002A683D" w:rsidRPr="008B2C65" w:rsidRDefault="002A683D" w:rsidP="002A683D">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NSW</w:t>
            </w:r>
          </w:p>
        </w:tc>
        <w:tc>
          <w:tcPr>
            <w:tcW w:w="1134" w:type="dxa"/>
            <w:tcBorders>
              <w:top w:val="nil"/>
              <w:left w:val="nil"/>
              <w:bottom w:val="nil"/>
              <w:right w:val="nil"/>
            </w:tcBorders>
            <w:shd w:val="clear" w:color="000000" w:fill="C7E4F3"/>
            <w:vAlign w:val="bottom"/>
          </w:tcPr>
          <w:p w14:paraId="512BF8EE" w14:textId="2037EA4F" w:rsidR="002A683D" w:rsidRPr="002A683D" w:rsidRDefault="002A683D" w:rsidP="002A683D">
            <w:pPr>
              <w:spacing w:before="40" w:after="40"/>
              <w:ind w:right="227"/>
              <w:jc w:val="right"/>
              <w:rPr>
                <w:rFonts w:eastAsia="Times New Roman" w:cs="Arial"/>
                <w:sz w:val="18"/>
                <w:szCs w:val="18"/>
                <w:lang w:eastAsia="en-AU"/>
              </w:rPr>
            </w:pPr>
            <w:r w:rsidRPr="002A683D">
              <w:rPr>
                <w:rFonts w:cs="Arial"/>
                <w:color w:val="000000"/>
                <w:sz w:val="18"/>
                <w:szCs w:val="18"/>
              </w:rPr>
              <w:t>61.9</w:t>
            </w:r>
            <w:r>
              <w:rPr>
                <w:rFonts w:cs="Arial"/>
                <w:color w:val="000000"/>
                <w:sz w:val="18"/>
                <w:szCs w:val="18"/>
              </w:rPr>
              <w:t>**</w:t>
            </w:r>
          </w:p>
        </w:tc>
        <w:tc>
          <w:tcPr>
            <w:tcW w:w="1134" w:type="dxa"/>
            <w:tcBorders>
              <w:top w:val="nil"/>
              <w:left w:val="nil"/>
              <w:bottom w:val="nil"/>
              <w:right w:val="nil"/>
            </w:tcBorders>
            <w:shd w:val="clear" w:color="000000" w:fill="C7E4F3"/>
            <w:vAlign w:val="bottom"/>
          </w:tcPr>
          <w:p w14:paraId="1EF99E1A" w14:textId="1E285390" w:rsidR="002A683D" w:rsidRPr="002A683D" w:rsidRDefault="002A683D" w:rsidP="002A683D">
            <w:pPr>
              <w:spacing w:before="40" w:after="40"/>
              <w:ind w:right="283"/>
              <w:jc w:val="right"/>
              <w:rPr>
                <w:rFonts w:cs="Arial"/>
                <w:color w:val="000000"/>
                <w:sz w:val="18"/>
                <w:szCs w:val="18"/>
              </w:rPr>
            </w:pPr>
            <w:r w:rsidRPr="002A683D">
              <w:rPr>
                <w:rFonts w:cs="Arial"/>
                <w:color w:val="000000"/>
                <w:sz w:val="18"/>
                <w:szCs w:val="18"/>
              </w:rPr>
              <w:t>20.5</w:t>
            </w:r>
          </w:p>
        </w:tc>
        <w:tc>
          <w:tcPr>
            <w:tcW w:w="1134" w:type="dxa"/>
            <w:tcBorders>
              <w:top w:val="nil"/>
              <w:left w:val="nil"/>
              <w:bottom w:val="nil"/>
              <w:right w:val="nil"/>
            </w:tcBorders>
            <w:shd w:val="clear" w:color="000000" w:fill="C7E4F3"/>
            <w:vAlign w:val="bottom"/>
          </w:tcPr>
          <w:p w14:paraId="6933048A" w14:textId="0C1A83B2" w:rsidR="002A683D" w:rsidRPr="002A683D" w:rsidRDefault="002A683D" w:rsidP="002A683D">
            <w:pPr>
              <w:spacing w:before="40" w:after="40"/>
              <w:ind w:right="227"/>
              <w:jc w:val="right"/>
              <w:rPr>
                <w:rFonts w:cs="Arial"/>
                <w:color w:val="000000"/>
                <w:sz w:val="18"/>
                <w:szCs w:val="18"/>
              </w:rPr>
            </w:pPr>
            <w:r w:rsidRPr="002A683D">
              <w:rPr>
                <w:rFonts w:cs="Arial"/>
                <w:color w:val="000000"/>
                <w:sz w:val="18"/>
                <w:szCs w:val="18"/>
              </w:rPr>
              <w:t>9.1</w:t>
            </w:r>
          </w:p>
        </w:tc>
        <w:tc>
          <w:tcPr>
            <w:tcW w:w="1361" w:type="dxa"/>
            <w:tcBorders>
              <w:top w:val="nil"/>
              <w:left w:val="nil"/>
              <w:bottom w:val="nil"/>
              <w:right w:val="nil"/>
            </w:tcBorders>
            <w:shd w:val="clear" w:color="000000" w:fill="C7E4F3"/>
            <w:vAlign w:val="bottom"/>
          </w:tcPr>
          <w:p w14:paraId="65420BB4" w14:textId="703B08F8" w:rsidR="002A683D" w:rsidRPr="002A683D" w:rsidRDefault="002A683D" w:rsidP="002A683D">
            <w:pPr>
              <w:spacing w:before="40" w:after="40"/>
              <w:ind w:right="340"/>
              <w:jc w:val="right"/>
              <w:rPr>
                <w:rFonts w:cs="Arial"/>
                <w:color w:val="000000"/>
                <w:sz w:val="18"/>
                <w:szCs w:val="18"/>
              </w:rPr>
            </w:pPr>
            <w:r w:rsidRPr="002A683D">
              <w:rPr>
                <w:rFonts w:cs="Arial"/>
                <w:color w:val="000000"/>
                <w:sz w:val="18"/>
                <w:szCs w:val="18"/>
              </w:rPr>
              <w:t>2.3</w:t>
            </w:r>
          </w:p>
        </w:tc>
        <w:tc>
          <w:tcPr>
            <w:tcW w:w="1361" w:type="dxa"/>
            <w:tcBorders>
              <w:top w:val="nil"/>
              <w:left w:val="nil"/>
              <w:bottom w:val="nil"/>
              <w:right w:val="nil"/>
            </w:tcBorders>
            <w:shd w:val="clear" w:color="000000" w:fill="C7E4F3"/>
            <w:vAlign w:val="bottom"/>
          </w:tcPr>
          <w:p w14:paraId="31C7F5F9" w14:textId="23D412F9" w:rsidR="002A683D" w:rsidRPr="002A683D" w:rsidRDefault="002A683D" w:rsidP="002A683D">
            <w:pPr>
              <w:spacing w:before="40" w:after="40"/>
              <w:ind w:right="397"/>
              <w:jc w:val="right"/>
              <w:rPr>
                <w:rFonts w:cs="Arial"/>
                <w:color w:val="000000"/>
                <w:sz w:val="18"/>
                <w:szCs w:val="18"/>
              </w:rPr>
            </w:pPr>
            <w:r w:rsidRPr="002A683D">
              <w:rPr>
                <w:rFonts w:cs="Arial"/>
                <w:color w:val="000000"/>
                <w:sz w:val="18"/>
                <w:szCs w:val="18"/>
              </w:rPr>
              <w:t>0.5</w:t>
            </w:r>
          </w:p>
        </w:tc>
        <w:tc>
          <w:tcPr>
            <w:tcW w:w="964" w:type="dxa"/>
            <w:tcBorders>
              <w:top w:val="nil"/>
              <w:left w:val="nil"/>
              <w:bottom w:val="nil"/>
              <w:right w:val="nil"/>
            </w:tcBorders>
            <w:shd w:val="clear" w:color="000000" w:fill="C7E4F3"/>
            <w:vAlign w:val="bottom"/>
          </w:tcPr>
          <w:p w14:paraId="5F34156A" w14:textId="19E89E1F" w:rsidR="002A683D" w:rsidRPr="002A683D" w:rsidRDefault="002A683D" w:rsidP="002A683D">
            <w:pPr>
              <w:spacing w:before="40" w:after="40"/>
              <w:ind w:right="170"/>
              <w:jc w:val="right"/>
              <w:rPr>
                <w:rFonts w:cs="Arial"/>
                <w:color w:val="000000"/>
                <w:sz w:val="18"/>
                <w:szCs w:val="18"/>
              </w:rPr>
            </w:pPr>
            <w:r w:rsidRPr="002A683D">
              <w:rPr>
                <w:rFonts w:cs="Arial"/>
                <w:color w:val="000000"/>
                <w:sz w:val="18"/>
                <w:szCs w:val="18"/>
              </w:rPr>
              <w:t>5.7</w:t>
            </w:r>
          </w:p>
        </w:tc>
      </w:tr>
      <w:tr w:rsidR="002A683D" w:rsidRPr="008B2C65" w14:paraId="7D3C6E65" w14:textId="77777777" w:rsidTr="000275DE">
        <w:trPr>
          <w:trHeight w:val="80"/>
        </w:trPr>
        <w:tc>
          <w:tcPr>
            <w:tcW w:w="1984" w:type="dxa"/>
            <w:tcBorders>
              <w:top w:val="nil"/>
              <w:left w:val="nil"/>
              <w:bottom w:val="nil"/>
              <w:right w:val="nil"/>
            </w:tcBorders>
            <w:shd w:val="clear" w:color="auto" w:fill="auto"/>
            <w:vAlign w:val="center"/>
          </w:tcPr>
          <w:p w14:paraId="1B24DF7A" w14:textId="77777777" w:rsidR="002A683D" w:rsidRPr="008B2C65" w:rsidRDefault="002A683D" w:rsidP="002A683D">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NT</w:t>
            </w:r>
          </w:p>
        </w:tc>
        <w:tc>
          <w:tcPr>
            <w:tcW w:w="1134" w:type="dxa"/>
            <w:tcBorders>
              <w:top w:val="nil"/>
              <w:left w:val="nil"/>
              <w:bottom w:val="nil"/>
              <w:right w:val="nil"/>
            </w:tcBorders>
            <w:shd w:val="clear" w:color="auto" w:fill="auto"/>
            <w:vAlign w:val="bottom"/>
          </w:tcPr>
          <w:p w14:paraId="709DF8F3" w14:textId="0C06BF91" w:rsidR="002A683D" w:rsidRPr="002A683D" w:rsidRDefault="002A683D" w:rsidP="002A683D">
            <w:pPr>
              <w:spacing w:before="40" w:after="40"/>
              <w:ind w:right="227"/>
              <w:jc w:val="right"/>
              <w:rPr>
                <w:rFonts w:eastAsia="Times New Roman" w:cs="Arial"/>
                <w:sz w:val="18"/>
                <w:szCs w:val="18"/>
                <w:lang w:eastAsia="en-AU"/>
              </w:rPr>
            </w:pPr>
            <w:r w:rsidRPr="002A683D">
              <w:rPr>
                <w:rFonts w:cs="Arial"/>
                <w:color w:val="000000"/>
                <w:sz w:val="18"/>
                <w:szCs w:val="18"/>
              </w:rPr>
              <w:t>44.8</w:t>
            </w:r>
          </w:p>
        </w:tc>
        <w:tc>
          <w:tcPr>
            <w:tcW w:w="1134" w:type="dxa"/>
            <w:tcBorders>
              <w:top w:val="nil"/>
              <w:left w:val="nil"/>
              <w:bottom w:val="nil"/>
              <w:right w:val="nil"/>
            </w:tcBorders>
            <w:vAlign w:val="bottom"/>
          </w:tcPr>
          <w:p w14:paraId="776473DE" w14:textId="79EFC8E8" w:rsidR="002A683D" w:rsidRPr="002A683D" w:rsidRDefault="002A683D" w:rsidP="002A683D">
            <w:pPr>
              <w:spacing w:before="40" w:after="40"/>
              <w:ind w:right="283"/>
              <w:jc w:val="right"/>
              <w:rPr>
                <w:rFonts w:cs="Arial"/>
                <w:color w:val="000000"/>
                <w:sz w:val="18"/>
                <w:szCs w:val="18"/>
              </w:rPr>
            </w:pPr>
            <w:r w:rsidRPr="002A683D">
              <w:rPr>
                <w:rFonts w:cs="Arial"/>
                <w:color w:val="000000"/>
                <w:sz w:val="18"/>
                <w:szCs w:val="18"/>
              </w:rPr>
              <w:t>27.8</w:t>
            </w:r>
          </w:p>
        </w:tc>
        <w:tc>
          <w:tcPr>
            <w:tcW w:w="1134" w:type="dxa"/>
            <w:tcBorders>
              <w:top w:val="nil"/>
              <w:left w:val="nil"/>
              <w:bottom w:val="nil"/>
              <w:right w:val="nil"/>
            </w:tcBorders>
            <w:shd w:val="clear" w:color="auto" w:fill="auto"/>
            <w:vAlign w:val="bottom"/>
          </w:tcPr>
          <w:p w14:paraId="63BDF392" w14:textId="7EFB6510" w:rsidR="002A683D" w:rsidRPr="002A683D" w:rsidRDefault="002A683D" w:rsidP="002A683D">
            <w:pPr>
              <w:spacing w:before="40" w:after="40"/>
              <w:ind w:right="227"/>
              <w:jc w:val="right"/>
              <w:rPr>
                <w:rFonts w:cs="Arial"/>
                <w:color w:val="000000"/>
                <w:sz w:val="18"/>
                <w:szCs w:val="18"/>
              </w:rPr>
            </w:pPr>
            <w:r w:rsidRPr="002A683D">
              <w:rPr>
                <w:rFonts w:cs="Arial"/>
                <w:color w:val="000000"/>
                <w:sz w:val="18"/>
                <w:szCs w:val="18"/>
              </w:rPr>
              <w:t>17.2</w:t>
            </w:r>
          </w:p>
        </w:tc>
        <w:tc>
          <w:tcPr>
            <w:tcW w:w="1361" w:type="dxa"/>
            <w:tcBorders>
              <w:top w:val="nil"/>
              <w:left w:val="nil"/>
              <w:bottom w:val="nil"/>
              <w:right w:val="nil"/>
            </w:tcBorders>
            <w:vAlign w:val="bottom"/>
          </w:tcPr>
          <w:p w14:paraId="093625D9" w14:textId="0D610F87" w:rsidR="002A683D" w:rsidRPr="002A683D" w:rsidRDefault="002A683D" w:rsidP="002A683D">
            <w:pPr>
              <w:spacing w:before="40" w:after="40"/>
              <w:ind w:right="340"/>
              <w:jc w:val="right"/>
              <w:rPr>
                <w:rFonts w:cs="Arial"/>
                <w:color w:val="000000"/>
                <w:sz w:val="18"/>
                <w:szCs w:val="18"/>
              </w:rPr>
            </w:pPr>
            <w:r w:rsidRPr="002A683D">
              <w:rPr>
                <w:rFonts w:cs="Arial"/>
                <w:color w:val="000000"/>
                <w:sz w:val="18"/>
                <w:szCs w:val="18"/>
              </w:rPr>
              <w:t>3.6</w:t>
            </w:r>
          </w:p>
        </w:tc>
        <w:tc>
          <w:tcPr>
            <w:tcW w:w="1361" w:type="dxa"/>
            <w:tcBorders>
              <w:top w:val="nil"/>
              <w:left w:val="nil"/>
              <w:bottom w:val="nil"/>
              <w:right w:val="nil"/>
            </w:tcBorders>
            <w:shd w:val="clear" w:color="auto" w:fill="auto"/>
            <w:vAlign w:val="bottom"/>
          </w:tcPr>
          <w:p w14:paraId="7D56A855" w14:textId="5F9D5322" w:rsidR="002A683D" w:rsidRPr="002A683D" w:rsidRDefault="002A683D" w:rsidP="002A683D">
            <w:pPr>
              <w:spacing w:before="40" w:after="40"/>
              <w:ind w:right="397"/>
              <w:jc w:val="right"/>
              <w:rPr>
                <w:rFonts w:cs="Arial"/>
                <w:color w:val="000000"/>
                <w:sz w:val="18"/>
                <w:szCs w:val="18"/>
              </w:rPr>
            </w:pPr>
            <w:r w:rsidRPr="002A683D">
              <w:rPr>
                <w:rFonts w:cs="Arial"/>
                <w:color w:val="000000"/>
                <w:sz w:val="18"/>
                <w:szCs w:val="18"/>
              </w:rPr>
              <w:t>2.9</w:t>
            </w:r>
          </w:p>
        </w:tc>
        <w:tc>
          <w:tcPr>
            <w:tcW w:w="964" w:type="dxa"/>
            <w:tcBorders>
              <w:top w:val="nil"/>
              <w:left w:val="nil"/>
              <w:bottom w:val="nil"/>
              <w:right w:val="nil"/>
            </w:tcBorders>
            <w:shd w:val="clear" w:color="auto" w:fill="auto"/>
            <w:vAlign w:val="bottom"/>
          </w:tcPr>
          <w:p w14:paraId="0084AF0E" w14:textId="318B15D2" w:rsidR="002A683D" w:rsidRPr="002A683D" w:rsidRDefault="002A683D" w:rsidP="002A683D">
            <w:pPr>
              <w:spacing w:before="40" w:after="40"/>
              <w:ind w:right="170"/>
              <w:jc w:val="right"/>
              <w:rPr>
                <w:rFonts w:cs="Arial"/>
                <w:color w:val="000000"/>
                <w:sz w:val="18"/>
                <w:szCs w:val="18"/>
              </w:rPr>
            </w:pPr>
            <w:r w:rsidRPr="002A683D">
              <w:rPr>
                <w:rFonts w:cs="Arial"/>
                <w:color w:val="000000"/>
                <w:sz w:val="18"/>
                <w:szCs w:val="18"/>
              </w:rPr>
              <w:t>3.7</w:t>
            </w:r>
          </w:p>
        </w:tc>
      </w:tr>
      <w:tr w:rsidR="002A683D" w:rsidRPr="008B2C65" w14:paraId="2D09B1BF" w14:textId="77777777" w:rsidTr="000275DE">
        <w:trPr>
          <w:trHeight w:val="80"/>
        </w:trPr>
        <w:tc>
          <w:tcPr>
            <w:tcW w:w="1984" w:type="dxa"/>
            <w:tcBorders>
              <w:top w:val="nil"/>
              <w:left w:val="nil"/>
              <w:bottom w:val="nil"/>
              <w:right w:val="nil"/>
            </w:tcBorders>
            <w:shd w:val="clear" w:color="000000" w:fill="C7E4F3"/>
            <w:vAlign w:val="center"/>
          </w:tcPr>
          <w:p w14:paraId="12640F62" w14:textId="77777777" w:rsidR="002A683D" w:rsidRPr="008B2C65" w:rsidRDefault="002A683D" w:rsidP="002A683D">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Q</w:t>
            </w:r>
            <w:r>
              <w:rPr>
                <w:rFonts w:eastAsia="Times New Roman" w:cs="Arial"/>
                <w:color w:val="000000"/>
                <w:sz w:val="18"/>
                <w:szCs w:val="18"/>
                <w:lang w:eastAsia="en-AU"/>
              </w:rPr>
              <w:t>LD</w:t>
            </w:r>
          </w:p>
        </w:tc>
        <w:tc>
          <w:tcPr>
            <w:tcW w:w="1134" w:type="dxa"/>
            <w:tcBorders>
              <w:top w:val="nil"/>
              <w:left w:val="nil"/>
              <w:bottom w:val="nil"/>
              <w:right w:val="nil"/>
            </w:tcBorders>
            <w:shd w:val="clear" w:color="000000" w:fill="C7E4F3"/>
            <w:vAlign w:val="bottom"/>
          </w:tcPr>
          <w:p w14:paraId="23AED6D4" w14:textId="3FD0E44B" w:rsidR="002A683D" w:rsidRPr="002A683D" w:rsidRDefault="002A683D" w:rsidP="002A683D">
            <w:pPr>
              <w:spacing w:before="40" w:after="40"/>
              <w:ind w:right="227"/>
              <w:jc w:val="right"/>
              <w:rPr>
                <w:rFonts w:eastAsia="Times New Roman" w:cs="Arial"/>
                <w:sz w:val="18"/>
                <w:szCs w:val="18"/>
                <w:lang w:eastAsia="en-AU"/>
              </w:rPr>
            </w:pPr>
            <w:r w:rsidRPr="002A683D">
              <w:rPr>
                <w:rFonts w:cs="Arial"/>
                <w:color w:val="000000"/>
                <w:sz w:val="18"/>
                <w:szCs w:val="18"/>
              </w:rPr>
              <w:t>52.7</w:t>
            </w:r>
          </w:p>
        </w:tc>
        <w:tc>
          <w:tcPr>
            <w:tcW w:w="1134" w:type="dxa"/>
            <w:tcBorders>
              <w:top w:val="nil"/>
              <w:left w:val="nil"/>
              <w:bottom w:val="nil"/>
              <w:right w:val="nil"/>
            </w:tcBorders>
            <w:shd w:val="clear" w:color="000000" w:fill="C7E4F3"/>
            <w:vAlign w:val="bottom"/>
          </w:tcPr>
          <w:p w14:paraId="05744DA6" w14:textId="4BD2E444" w:rsidR="002A683D" w:rsidRPr="002A683D" w:rsidRDefault="002A683D" w:rsidP="002A683D">
            <w:pPr>
              <w:spacing w:before="40" w:after="40"/>
              <w:ind w:right="283"/>
              <w:jc w:val="right"/>
              <w:rPr>
                <w:rFonts w:cs="Arial"/>
                <w:color w:val="000000"/>
                <w:sz w:val="18"/>
                <w:szCs w:val="18"/>
              </w:rPr>
            </w:pPr>
            <w:r w:rsidRPr="002A683D">
              <w:rPr>
                <w:rFonts w:cs="Arial"/>
                <w:color w:val="000000"/>
                <w:sz w:val="18"/>
                <w:szCs w:val="18"/>
              </w:rPr>
              <w:t>19.2</w:t>
            </w:r>
          </w:p>
        </w:tc>
        <w:tc>
          <w:tcPr>
            <w:tcW w:w="1134" w:type="dxa"/>
            <w:tcBorders>
              <w:top w:val="nil"/>
              <w:left w:val="nil"/>
              <w:bottom w:val="nil"/>
              <w:right w:val="nil"/>
            </w:tcBorders>
            <w:shd w:val="clear" w:color="000000" w:fill="C7E4F3"/>
            <w:vAlign w:val="bottom"/>
          </w:tcPr>
          <w:p w14:paraId="59D3897B" w14:textId="69A7649B" w:rsidR="002A683D" w:rsidRPr="002A683D" w:rsidRDefault="002A683D" w:rsidP="002A683D">
            <w:pPr>
              <w:spacing w:before="40" w:after="40"/>
              <w:ind w:right="227"/>
              <w:jc w:val="right"/>
              <w:rPr>
                <w:rFonts w:cs="Arial"/>
                <w:color w:val="000000"/>
                <w:sz w:val="18"/>
                <w:szCs w:val="18"/>
              </w:rPr>
            </w:pPr>
            <w:r w:rsidRPr="002A683D">
              <w:rPr>
                <w:rFonts w:cs="Arial"/>
                <w:color w:val="000000"/>
                <w:sz w:val="18"/>
                <w:szCs w:val="18"/>
              </w:rPr>
              <w:t>17.0</w:t>
            </w:r>
            <w:r>
              <w:rPr>
                <w:rFonts w:cs="Arial"/>
                <w:color w:val="000000"/>
                <w:sz w:val="18"/>
                <w:szCs w:val="18"/>
              </w:rPr>
              <w:t>**</w:t>
            </w:r>
          </w:p>
        </w:tc>
        <w:tc>
          <w:tcPr>
            <w:tcW w:w="1361" w:type="dxa"/>
            <w:tcBorders>
              <w:top w:val="nil"/>
              <w:left w:val="nil"/>
              <w:bottom w:val="nil"/>
              <w:right w:val="nil"/>
            </w:tcBorders>
            <w:shd w:val="clear" w:color="000000" w:fill="C7E4F3"/>
            <w:vAlign w:val="bottom"/>
          </w:tcPr>
          <w:p w14:paraId="234E2C05" w14:textId="3660BB19" w:rsidR="002A683D" w:rsidRPr="002A683D" w:rsidRDefault="002A683D" w:rsidP="002A683D">
            <w:pPr>
              <w:spacing w:before="40" w:after="40"/>
              <w:ind w:right="340"/>
              <w:jc w:val="right"/>
              <w:rPr>
                <w:rFonts w:cs="Arial"/>
                <w:color w:val="000000"/>
                <w:sz w:val="18"/>
                <w:szCs w:val="18"/>
              </w:rPr>
            </w:pPr>
            <w:r w:rsidRPr="002A683D">
              <w:rPr>
                <w:rFonts w:cs="Arial"/>
                <w:color w:val="000000"/>
                <w:sz w:val="18"/>
                <w:szCs w:val="18"/>
              </w:rPr>
              <w:t>1.7</w:t>
            </w:r>
          </w:p>
        </w:tc>
        <w:tc>
          <w:tcPr>
            <w:tcW w:w="1361" w:type="dxa"/>
            <w:tcBorders>
              <w:top w:val="nil"/>
              <w:left w:val="nil"/>
              <w:bottom w:val="nil"/>
              <w:right w:val="nil"/>
            </w:tcBorders>
            <w:shd w:val="clear" w:color="000000" w:fill="C7E4F3"/>
            <w:vAlign w:val="bottom"/>
          </w:tcPr>
          <w:p w14:paraId="08FB8AB8" w14:textId="37F680BB" w:rsidR="002A683D" w:rsidRPr="002A683D" w:rsidRDefault="002A683D" w:rsidP="002A683D">
            <w:pPr>
              <w:spacing w:before="40" w:after="40"/>
              <w:ind w:right="397"/>
              <w:jc w:val="right"/>
              <w:rPr>
                <w:rFonts w:cs="Arial"/>
                <w:color w:val="000000"/>
                <w:sz w:val="18"/>
                <w:szCs w:val="18"/>
              </w:rPr>
            </w:pPr>
            <w:r w:rsidRPr="002A683D">
              <w:rPr>
                <w:rFonts w:cs="Arial"/>
                <w:color w:val="000000"/>
                <w:sz w:val="18"/>
                <w:szCs w:val="18"/>
              </w:rPr>
              <w:t>2.1</w:t>
            </w:r>
          </w:p>
        </w:tc>
        <w:tc>
          <w:tcPr>
            <w:tcW w:w="964" w:type="dxa"/>
            <w:tcBorders>
              <w:top w:val="nil"/>
              <w:left w:val="nil"/>
              <w:bottom w:val="nil"/>
              <w:right w:val="nil"/>
            </w:tcBorders>
            <w:shd w:val="clear" w:color="000000" w:fill="C7E4F3"/>
            <w:vAlign w:val="bottom"/>
          </w:tcPr>
          <w:p w14:paraId="35057296" w14:textId="06B546D3" w:rsidR="002A683D" w:rsidRPr="002A683D" w:rsidRDefault="002A683D" w:rsidP="002A683D">
            <w:pPr>
              <w:spacing w:before="40" w:after="40"/>
              <w:ind w:right="170"/>
              <w:jc w:val="right"/>
              <w:rPr>
                <w:rFonts w:cs="Arial"/>
                <w:color w:val="000000"/>
                <w:sz w:val="18"/>
                <w:szCs w:val="18"/>
              </w:rPr>
            </w:pPr>
            <w:r w:rsidRPr="002A683D">
              <w:rPr>
                <w:rFonts w:cs="Arial"/>
                <w:color w:val="000000"/>
                <w:sz w:val="18"/>
                <w:szCs w:val="18"/>
              </w:rPr>
              <w:t>7.3</w:t>
            </w:r>
          </w:p>
        </w:tc>
      </w:tr>
      <w:tr w:rsidR="002A683D" w:rsidRPr="008B2C65" w14:paraId="735961D8" w14:textId="77777777" w:rsidTr="000275DE">
        <w:trPr>
          <w:trHeight w:val="80"/>
        </w:trPr>
        <w:tc>
          <w:tcPr>
            <w:tcW w:w="1984" w:type="dxa"/>
            <w:tcBorders>
              <w:top w:val="nil"/>
              <w:left w:val="nil"/>
              <w:bottom w:val="nil"/>
              <w:right w:val="nil"/>
            </w:tcBorders>
            <w:shd w:val="clear" w:color="auto" w:fill="auto"/>
            <w:vAlign w:val="center"/>
          </w:tcPr>
          <w:p w14:paraId="67F4AA46" w14:textId="77777777" w:rsidR="002A683D" w:rsidRPr="008B2C65" w:rsidRDefault="002A683D" w:rsidP="002A683D">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Seacare</w:t>
            </w:r>
          </w:p>
        </w:tc>
        <w:tc>
          <w:tcPr>
            <w:tcW w:w="1134" w:type="dxa"/>
            <w:tcBorders>
              <w:top w:val="nil"/>
              <w:left w:val="nil"/>
              <w:bottom w:val="nil"/>
              <w:right w:val="nil"/>
            </w:tcBorders>
            <w:shd w:val="clear" w:color="auto" w:fill="auto"/>
            <w:vAlign w:val="bottom"/>
          </w:tcPr>
          <w:p w14:paraId="303540FB" w14:textId="7518A28F" w:rsidR="002A683D" w:rsidRPr="002A683D" w:rsidRDefault="002A683D" w:rsidP="002A683D">
            <w:pPr>
              <w:spacing w:before="40" w:after="40"/>
              <w:ind w:right="227"/>
              <w:jc w:val="right"/>
              <w:rPr>
                <w:rFonts w:eastAsia="Times New Roman" w:cs="Arial"/>
                <w:sz w:val="18"/>
                <w:szCs w:val="18"/>
                <w:lang w:eastAsia="en-AU"/>
              </w:rPr>
            </w:pPr>
            <w:r w:rsidRPr="002A683D">
              <w:rPr>
                <w:rFonts w:cs="Arial"/>
                <w:color w:val="000000"/>
                <w:sz w:val="18"/>
                <w:szCs w:val="18"/>
              </w:rPr>
              <w:t>37.9</w:t>
            </w:r>
            <w:r>
              <w:rPr>
                <w:rFonts w:cs="Arial"/>
                <w:color w:val="000000"/>
                <w:sz w:val="18"/>
                <w:szCs w:val="18"/>
              </w:rPr>
              <w:t>*</w:t>
            </w:r>
          </w:p>
        </w:tc>
        <w:tc>
          <w:tcPr>
            <w:tcW w:w="1134" w:type="dxa"/>
            <w:tcBorders>
              <w:top w:val="nil"/>
              <w:left w:val="nil"/>
              <w:bottom w:val="nil"/>
              <w:right w:val="nil"/>
            </w:tcBorders>
            <w:vAlign w:val="bottom"/>
          </w:tcPr>
          <w:p w14:paraId="060AB933" w14:textId="63142FBE" w:rsidR="002A683D" w:rsidRPr="002A683D" w:rsidRDefault="002A683D" w:rsidP="002A683D">
            <w:pPr>
              <w:spacing w:before="40" w:after="40"/>
              <w:ind w:right="283"/>
              <w:jc w:val="right"/>
              <w:rPr>
                <w:rFonts w:cs="Arial"/>
                <w:color w:val="000000"/>
                <w:sz w:val="18"/>
                <w:szCs w:val="18"/>
              </w:rPr>
            </w:pPr>
            <w:r w:rsidRPr="002A683D">
              <w:rPr>
                <w:rFonts w:cs="Arial"/>
                <w:color w:val="000000"/>
                <w:sz w:val="18"/>
                <w:szCs w:val="18"/>
              </w:rPr>
              <w:t>34.1</w:t>
            </w:r>
          </w:p>
        </w:tc>
        <w:tc>
          <w:tcPr>
            <w:tcW w:w="1134" w:type="dxa"/>
            <w:tcBorders>
              <w:top w:val="nil"/>
              <w:left w:val="nil"/>
              <w:bottom w:val="nil"/>
              <w:right w:val="nil"/>
            </w:tcBorders>
            <w:shd w:val="clear" w:color="auto" w:fill="auto"/>
            <w:vAlign w:val="bottom"/>
          </w:tcPr>
          <w:p w14:paraId="646F8F19" w14:textId="187876F3" w:rsidR="002A683D" w:rsidRPr="002A683D" w:rsidRDefault="002A683D" w:rsidP="002A683D">
            <w:pPr>
              <w:spacing w:before="40" w:after="40"/>
              <w:ind w:right="227"/>
              <w:jc w:val="right"/>
              <w:rPr>
                <w:rFonts w:cs="Arial"/>
                <w:color w:val="000000"/>
                <w:sz w:val="18"/>
                <w:szCs w:val="18"/>
              </w:rPr>
            </w:pPr>
            <w:r w:rsidRPr="002A683D">
              <w:rPr>
                <w:rFonts w:cs="Arial"/>
                <w:color w:val="000000"/>
                <w:sz w:val="18"/>
                <w:szCs w:val="18"/>
              </w:rPr>
              <w:t>22.2</w:t>
            </w:r>
          </w:p>
        </w:tc>
        <w:tc>
          <w:tcPr>
            <w:tcW w:w="1361" w:type="dxa"/>
            <w:tcBorders>
              <w:top w:val="nil"/>
              <w:left w:val="nil"/>
              <w:bottom w:val="nil"/>
              <w:right w:val="nil"/>
            </w:tcBorders>
            <w:vAlign w:val="bottom"/>
          </w:tcPr>
          <w:p w14:paraId="26D1AD6A" w14:textId="60780378" w:rsidR="002A683D" w:rsidRPr="002A683D" w:rsidRDefault="002A683D" w:rsidP="002A683D">
            <w:pPr>
              <w:spacing w:before="40" w:after="40"/>
              <w:ind w:right="340"/>
              <w:jc w:val="right"/>
              <w:rPr>
                <w:rFonts w:cs="Arial"/>
                <w:color w:val="000000"/>
                <w:sz w:val="18"/>
                <w:szCs w:val="18"/>
              </w:rPr>
            </w:pPr>
            <w:r w:rsidRPr="002A683D">
              <w:rPr>
                <w:rFonts w:cs="Arial"/>
                <w:color w:val="000000"/>
                <w:sz w:val="18"/>
                <w:szCs w:val="18"/>
              </w:rPr>
              <w:t>0.0</w:t>
            </w:r>
          </w:p>
        </w:tc>
        <w:tc>
          <w:tcPr>
            <w:tcW w:w="1361" w:type="dxa"/>
            <w:tcBorders>
              <w:top w:val="nil"/>
              <w:left w:val="nil"/>
              <w:bottom w:val="nil"/>
              <w:right w:val="nil"/>
            </w:tcBorders>
            <w:shd w:val="clear" w:color="auto" w:fill="auto"/>
            <w:vAlign w:val="bottom"/>
          </w:tcPr>
          <w:p w14:paraId="54F69499" w14:textId="7729FF76" w:rsidR="002A683D" w:rsidRPr="002A683D" w:rsidRDefault="002A683D" w:rsidP="002A683D">
            <w:pPr>
              <w:spacing w:before="40" w:after="40"/>
              <w:ind w:right="397"/>
              <w:jc w:val="right"/>
              <w:rPr>
                <w:rFonts w:cs="Arial"/>
                <w:color w:val="000000"/>
                <w:sz w:val="18"/>
                <w:szCs w:val="18"/>
              </w:rPr>
            </w:pPr>
            <w:r w:rsidRPr="002A683D">
              <w:rPr>
                <w:rFonts w:cs="Arial"/>
                <w:color w:val="000000"/>
                <w:sz w:val="18"/>
                <w:szCs w:val="18"/>
              </w:rPr>
              <w:t>0.0</w:t>
            </w:r>
          </w:p>
        </w:tc>
        <w:tc>
          <w:tcPr>
            <w:tcW w:w="964" w:type="dxa"/>
            <w:tcBorders>
              <w:top w:val="nil"/>
              <w:left w:val="nil"/>
              <w:bottom w:val="nil"/>
              <w:right w:val="nil"/>
            </w:tcBorders>
            <w:shd w:val="clear" w:color="auto" w:fill="auto"/>
            <w:vAlign w:val="bottom"/>
          </w:tcPr>
          <w:p w14:paraId="12AF8A4D" w14:textId="213A4F26" w:rsidR="002A683D" w:rsidRPr="002A683D" w:rsidRDefault="002A683D" w:rsidP="002A683D">
            <w:pPr>
              <w:spacing w:before="40" w:after="40"/>
              <w:ind w:right="170"/>
              <w:jc w:val="right"/>
              <w:rPr>
                <w:rFonts w:cs="Arial"/>
                <w:color w:val="000000"/>
                <w:sz w:val="18"/>
                <w:szCs w:val="18"/>
              </w:rPr>
            </w:pPr>
            <w:r w:rsidRPr="002A683D">
              <w:rPr>
                <w:rFonts w:cs="Arial"/>
                <w:color w:val="000000"/>
                <w:sz w:val="18"/>
                <w:szCs w:val="18"/>
              </w:rPr>
              <w:t>5.7</w:t>
            </w:r>
          </w:p>
        </w:tc>
      </w:tr>
      <w:tr w:rsidR="002A683D" w:rsidRPr="008B2C65" w14:paraId="7F8CED74" w14:textId="77777777" w:rsidTr="000275DE">
        <w:trPr>
          <w:trHeight w:val="80"/>
        </w:trPr>
        <w:tc>
          <w:tcPr>
            <w:tcW w:w="1984" w:type="dxa"/>
            <w:tcBorders>
              <w:top w:val="nil"/>
              <w:left w:val="nil"/>
              <w:bottom w:val="nil"/>
              <w:right w:val="nil"/>
            </w:tcBorders>
            <w:shd w:val="clear" w:color="auto" w:fill="C7E4F3" w:themeFill="accent1" w:themeFillTint="33"/>
            <w:vAlign w:val="center"/>
          </w:tcPr>
          <w:p w14:paraId="470B8C50" w14:textId="77777777" w:rsidR="002A683D" w:rsidRPr="008B2C65" w:rsidRDefault="002A683D" w:rsidP="002A683D">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T</w:t>
            </w:r>
            <w:r>
              <w:rPr>
                <w:rFonts w:eastAsia="Times New Roman" w:cs="Arial"/>
                <w:color w:val="000000"/>
                <w:sz w:val="18"/>
                <w:szCs w:val="18"/>
                <w:lang w:eastAsia="en-AU"/>
              </w:rPr>
              <w:t>AS</w:t>
            </w:r>
          </w:p>
        </w:tc>
        <w:tc>
          <w:tcPr>
            <w:tcW w:w="1134" w:type="dxa"/>
            <w:tcBorders>
              <w:top w:val="nil"/>
              <w:left w:val="nil"/>
              <w:bottom w:val="nil"/>
              <w:right w:val="nil"/>
            </w:tcBorders>
            <w:shd w:val="clear" w:color="auto" w:fill="C7E4F3" w:themeFill="accent1" w:themeFillTint="33"/>
            <w:vAlign w:val="bottom"/>
          </w:tcPr>
          <w:p w14:paraId="2112A1D2" w14:textId="44E84091" w:rsidR="002A683D" w:rsidRPr="002A683D" w:rsidRDefault="002A683D" w:rsidP="002A683D">
            <w:pPr>
              <w:spacing w:before="40" w:after="40"/>
              <w:ind w:right="227"/>
              <w:jc w:val="right"/>
              <w:rPr>
                <w:rFonts w:eastAsia="Times New Roman" w:cs="Arial"/>
                <w:sz w:val="18"/>
                <w:szCs w:val="18"/>
                <w:lang w:eastAsia="en-AU"/>
              </w:rPr>
            </w:pPr>
            <w:r w:rsidRPr="002A683D">
              <w:rPr>
                <w:rFonts w:cs="Arial"/>
                <w:color w:val="000000"/>
                <w:sz w:val="18"/>
                <w:szCs w:val="18"/>
              </w:rPr>
              <w:t>65.3</w:t>
            </w:r>
            <w:r>
              <w:rPr>
                <w:rFonts w:cs="Arial"/>
                <w:color w:val="000000"/>
                <w:sz w:val="18"/>
                <w:szCs w:val="18"/>
              </w:rPr>
              <w:t>**</w:t>
            </w:r>
          </w:p>
        </w:tc>
        <w:tc>
          <w:tcPr>
            <w:tcW w:w="1134" w:type="dxa"/>
            <w:tcBorders>
              <w:top w:val="nil"/>
              <w:left w:val="nil"/>
              <w:bottom w:val="nil"/>
              <w:right w:val="nil"/>
            </w:tcBorders>
            <w:shd w:val="clear" w:color="auto" w:fill="C7E4F3" w:themeFill="accent1" w:themeFillTint="33"/>
            <w:vAlign w:val="bottom"/>
          </w:tcPr>
          <w:p w14:paraId="62D6B713" w14:textId="43EA2545" w:rsidR="002A683D" w:rsidRPr="002A683D" w:rsidRDefault="002A683D" w:rsidP="002A683D">
            <w:pPr>
              <w:spacing w:before="40" w:after="40"/>
              <w:ind w:right="283"/>
              <w:jc w:val="right"/>
              <w:rPr>
                <w:rFonts w:cs="Arial"/>
                <w:color w:val="000000"/>
                <w:sz w:val="18"/>
                <w:szCs w:val="18"/>
              </w:rPr>
            </w:pPr>
            <w:r w:rsidRPr="002A683D">
              <w:rPr>
                <w:rFonts w:cs="Arial"/>
                <w:color w:val="000000"/>
                <w:sz w:val="18"/>
                <w:szCs w:val="18"/>
              </w:rPr>
              <w:t>20.1</w:t>
            </w:r>
          </w:p>
        </w:tc>
        <w:tc>
          <w:tcPr>
            <w:tcW w:w="1134" w:type="dxa"/>
            <w:tcBorders>
              <w:top w:val="nil"/>
              <w:left w:val="nil"/>
              <w:bottom w:val="nil"/>
              <w:right w:val="nil"/>
            </w:tcBorders>
            <w:shd w:val="clear" w:color="auto" w:fill="C7E4F3" w:themeFill="accent1" w:themeFillTint="33"/>
            <w:vAlign w:val="bottom"/>
          </w:tcPr>
          <w:p w14:paraId="623A402C" w14:textId="08A4AE0C" w:rsidR="002A683D" w:rsidRPr="002A683D" w:rsidRDefault="002A683D" w:rsidP="002A683D">
            <w:pPr>
              <w:spacing w:before="40" w:after="40"/>
              <w:ind w:right="227"/>
              <w:jc w:val="right"/>
              <w:rPr>
                <w:rFonts w:cs="Arial"/>
                <w:color w:val="000000"/>
                <w:sz w:val="18"/>
                <w:szCs w:val="18"/>
              </w:rPr>
            </w:pPr>
            <w:r w:rsidRPr="002A683D">
              <w:rPr>
                <w:rFonts w:cs="Arial"/>
                <w:color w:val="000000"/>
                <w:sz w:val="18"/>
                <w:szCs w:val="18"/>
              </w:rPr>
              <w:t>8.3</w:t>
            </w:r>
          </w:p>
        </w:tc>
        <w:tc>
          <w:tcPr>
            <w:tcW w:w="1361" w:type="dxa"/>
            <w:tcBorders>
              <w:top w:val="nil"/>
              <w:left w:val="nil"/>
              <w:bottom w:val="nil"/>
              <w:right w:val="nil"/>
            </w:tcBorders>
            <w:shd w:val="clear" w:color="auto" w:fill="C7E4F3" w:themeFill="accent1" w:themeFillTint="33"/>
            <w:vAlign w:val="bottom"/>
          </w:tcPr>
          <w:p w14:paraId="6FBCC3E1" w14:textId="30B5BE01" w:rsidR="002A683D" w:rsidRPr="002A683D" w:rsidRDefault="002A683D" w:rsidP="002A683D">
            <w:pPr>
              <w:spacing w:before="40" w:after="40"/>
              <w:ind w:right="340"/>
              <w:jc w:val="right"/>
              <w:rPr>
                <w:rFonts w:cs="Arial"/>
                <w:color w:val="000000"/>
                <w:sz w:val="18"/>
                <w:szCs w:val="18"/>
              </w:rPr>
            </w:pPr>
            <w:r w:rsidRPr="002A683D">
              <w:rPr>
                <w:rFonts w:cs="Arial"/>
                <w:color w:val="000000"/>
                <w:sz w:val="18"/>
                <w:szCs w:val="18"/>
              </w:rPr>
              <w:t>2.2</w:t>
            </w:r>
          </w:p>
        </w:tc>
        <w:tc>
          <w:tcPr>
            <w:tcW w:w="1361" w:type="dxa"/>
            <w:tcBorders>
              <w:top w:val="nil"/>
              <w:left w:val="nil"/>
              <w:bottom w:val="nil"/>
              <w:right w:val="nil"/>
            </w:tcBorders>
            <w:shd w:val="clear" w:color="auto" w:fill="C7E4F3" w:themeFill="accent1" w:themeFillTint="33"/>
            <w:vAlign w:val="bottom"/>
          </w:tcPr>
          <w:p w14:paraId="37B37E28" w14:textId="4746F651" w:rsidR="002A683D" w:rsidRPr="002A683D" w:rsidRDefault="002A683D" w:rsidP="002A683D">
            <w:pPr>
              <w:spacing w:before="40" w:after="40"/>
              <w:ind w:right="397"/>
              <w:jc w:val="right"/>
              <w:rPr>
                <w:rFonts w:cs="Arial"/>
                <w:color w:val="000000"/>
                <w:sz w:val="18"/>
                <w:szCs w:val="18"/>
              </w:rPr>
            </w:pPr>
            <w:r w:rsidRPr="002A683D">
              <w:rPr>
                <w:rFonts w:cs="Arial"/>
                <w:color w:val="000000"/>
                <w:sz w:val="18"/>
                <w:szCs w:val="18"/>
              </w:rPr>
              <w:t>1.3</w:t>
            </w:r>
          </w:p>
        </w:tc>
        <w:tc>
          <w:tcPr>
            <w:tcW w:w="964" w:type="dxa"/>
            <w:tcBorders>
              <w:top w:val="nil"/>
              <w:left w:val="nil"/>
              <w:bottom w:val="nil"/>
              <w:right w:val="nil"/>
            </w:tcBorders>
            <w:shd w:val="clear" w:color="auto" w:fill="C7E4F3" w:themeFill="accent1" w:themeFillTint="33"/>
            <w:vAlign w:val="bottom"/>
          </w:tcPr>
          <w:p w14:paraId="7BFBA243" w14:textId="086465FC" w:rsidR="002A683D" w:rsidRPr="002A683D" w:rsidRDefault="002A683D" w:rsidP="002A683D">
            <w:pPr>
              <w:spacing w:before="40" w:after="40"/>
              <w:ind w:right="170"/>
              <w:jc w:val="right"/>
              <w:rPr>
                <w:rFonts w:cs="Arial"/>
                <w:color w:val="000000"/>
                <w:sz w:val="18"/>
                <w:szCs w:val="18"/>
              </w:rPr>
            </w:pPr>
            <w:r w:rsidRPr="002A683D">
              <w:rPr>
                <w:rFonts w:cs="Arial"/>
                <w:color w:val="000000"/>
                <w:sz w:val="18"/>
                <w:szCs w:val="18"/>
              </w:rPr>
              <w:t>2.9</w:t>
            </w:r>
          </w:p>
        </w:tc>
      </w:tr>
      <w:tr w:rsidR="002A683D" w:rsidRPr="008B2C65" w14:paraId="41736286" w14:textId="77777777" w:rsidTr="000275DE">
        <w:trPr>
          <w:trHeight w:val="80"/>
        </w:trPr>
        <w:tc>
          <w:tcPr>
            <w:tcW w:w="1984" w:type="dxa"/>
            <w:tcBorders>
              <w:top w:val="nil"/>
              <w:left w:val="nil"/>
              <w:bottom w:val="nil"/>
              <w:right w:val="nil"/>
            </w:tcBorders>
            <w:shd w:val="clear" w:color="auto" w:fill="auto"/>
            <w:vAlign w:val="center"/>
          </w:tcPr>
          <w:p w14:paraId="5C7E8AED" w14:textId="77777777" w:rsidR="002A683D" w:rsidRPr="008B2C65" w:rsidRDefault="002A683D" w:rsidP="002A683D">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WA</w:t>
            </w:r>
          </w:p>
        </w:tc>
        <w:tc>
          <w:tcPr>
            <w:tcW w:w="1134" w:type="dxa"/>
            <w:tcBorders>
              <w:top w:val="nil"/>
              <w:left w:val="nil"/>
              <w:bottom w:val="nil"/>
              <w:right w:val="nil"/>
            </w:tcBorders>
            <w:shd w:val="clear" w:color="auto" w:fill="auto"/>
            <w:vAlign w:val="bottom"/>
          </w:tcPr>
          <w:p w14:paraId="7DA495D0" w14:textId="0EA91EE2" w:rsidR="002A683D" w:rsidRPr="002A683D" w:rsidRDefault="002A683D" w:rsidP="002A683D">
            <w:pPr>
              <w:spacing w:before="40" w:after="40"/>
              <w:ind w:right="227"/>
              <w:jc w:val="right"/>
              <w:rPr>
                <w:rFonts w:eastAsia="Times New Roman" w:cs="Arial"/>
                <w:sz w:val="18"/>
                <w:szCs w:val="18"/>
                <w:lang w:eastAsia="en-AU"/>
              </w:rPr>
            </w:pPr>
            <w:r w:rsidRPr="002A683D">
              <w:rPr>
                <w:rFonts w:cs="Arial"/>
                <w:color w:val="000000"/>
                <w:sz w:val="18"/>
                <w:szCs w:val="18"/>
              </w:rPr>
              <w:t>58.2</w:t>
            </w:r>
          </w:p>
        </w:tc>
        <w:tc>
          <w:tcPr>
            <w:tcW w:w="1134" w:type="dxa"/>
            <w:tcBorders>
              <w:top w:val="nil"/>
              <w:left w:val="nil"/>
              <w:bottom w:val="nil"/>
              <w:right w:val="nil"/>
            </w:tcBorders>
            <w:vAlign w:val="bottom"/>
          </w:tcPr>
          <w:p w14:paraId="2E144619" w14:textId="09128FA2" w:rsidR="002A683D" w:rsidRPr="002A683D" w:rsidRDefault="002A683D" w:rsidP="002A683D">
            <w:pPr>
              <w:spacing w:before="40" w:after="40"/>
              <w:ind w:right="283"/>
              <w:jc w:val="right"/>
              <w:rPr>
                <w:rFonts w:cs="Arial"/>
                <w:color w:val="000000"/>
                <w:sz w:val="18"/>
                <w:szCs w:val="18"/>
              </w:rPr>
            </w:pPr>
            <w:r w:rsidRPr="002A683D">
              <w:rPr>
                <w:rFonts w:cs="Arial"/>
                <w:color w:val="000000"/>
                <w:sz w:val="18"/>
                <w:szCs w:val="18"/>
              </w:rPr>
              <w:t>28.0</w:t>
            </w:r>
          </w:p>
        </w:tc>
        <w:tc>
          <w:tcPr>
            <w:tcW w:w="1134" w:type="dxa"/>
            <w:tcBorders>
              <w:top w:val="nil"/>
              <w:left w:val="nil"/>
              <w:bottom w:val="nil"/>
              <w:right w:val="nil"/>
            </w:tcBorders>
            <w:shd w:val="clear" w:color="auto" w:fill="auto"/>
            <w:vAlign w:val="bottom"/>
          </w:tcPr>
          <w:p w14:paraId="5AD1F889" w14:textId="4AA34847" w:rsidR="002A683D" w:rsidRPr="002A683D" w:rsidRDefault="002A683D" w:rsidP="002A683D">
            <w:pPr>
              <w:spacing w:before="40" w:after="40"/>
              <w:ind w:right="227"/>
              <w:jc w:val="right"/>
              <w:rPr>
                <w:rFonts w:cs="Arial"/>
                <w:color w:val="000000"/>
                <w:sz w:val="18"/>
                <w:szCs w:val="18"/>
              </w:rPr>
            </w:pPr>
            <w:r w:rsidRPr="002A683D">
              <w:rPr>
                <w:rFonts w:cs="Arial"/>
                <w:color w:val="000000"/>
                <w:sz w:val="18"/>
                <w:szCs w:val="18"/>
              </w:rPr>
              <w:t>3.8</w:t>
            </w:r>
            <w:r>
              <w:rPr>
                <w:rFonts w:cs="Arial"/>
                <w:color w:val="000000"/>
                <w:sz w:val="18"/>
                <w:szCs w:val="18"/>
              </w:rPr>
              <w:t>*</w:t>
            </w:r>
          </w:p>
        </w:tc>
        <w:tc>
          <w:tcPr>
            <w:tcW w:w="1361" w:type="dxa"/>
            <w:tcBorders>
              <w:top w:val="nil"/>
              <w:left w:val="nil"/>
              <w:bottom w:val="nil"/>
              <w:right w:val="nil"/>
            </w:tcBorders>
            <w:vAlign w:val="bottom"/>
          </w:tcPr>
          <w:p w14:paraId="4438763D" w14:textId="1FE260AB" w:rsidR="002A683D" w:rsidRPr="002A683D" w:rsidRDefault="002A683D" w:rsidP="002A683D">
            <w:pPr>
              <w:spacing w:before="40" w:after="40"/>
              <w:ind w:right="340"/>
              <w:jc w:val="right"/>
              <w:rPr>
                <w:rFonts w:cs="Arial"/>
                <w:color w:val="000000"/>
                <w:sz w:val="18"/>
                <w:szCs w:val="18"/>
              </w:rPr>
            </w:pPr>
            <w:r w:rsidRPr="002A683D">
              <w:rPr>
                <w:rFonts w:cs="Arial"/>
                <w:color w:val="000000"/>
                <w:sz w:val="18"/>
                <w:szCs w:val="18"/>
              </w:rPr>
              <w:t>0.1</w:t>
            </w:r>
            <w:r>
              <w:rPr>
                <w:rFonts w:cs="Arial"/>
                <w:color w:val="000000"/>
                <w:sz w:val="18"/>
                <w:szCs w:val="18"/>
              </w:rPr>
              <w:t>*</w:t>
            </w:r>
          </w:p>
        </w:tc>
        <w:tc>
          <w:tcPr>
            <w:tcW w:w="1361" w:type="dxa"/>
            <w:tcBorders>
              <w:top w:val="nil"/>
              <w:left w:val="nil"/>
              <w:bottom w:val="nil"/>
              <w:right w:val="nil"/>
            </w:tcBorders>
            <w:shd w:val="clear" w:color="auto" w:fill="auto"/>
            <w:vAlign w:val="bottom"/>
          </w:tcPr>
          <w:p w14:paraId="451CCD2A" w14:textId="40448656" w:rsidR="002A683D" w:rsidRPr="002A683D" w:rsidRDefault="002A683D" w:rsidP="002A683D">
            <w:pPr>
              <w:spacing w:before="40" w:after="40"/>
              <w:ind w:right="397"/>
              <w:jc w:val="right"/>
              <w:rPr>
                <w:rFonts w:cs="Arial"/>
                <w:color w:val="000000"/>
                <w:sz w:val="18"/>
                <w:szCs w:val="18"/>
              </w:rPr>
            </w:pPr>
            <w:r w:rsidRPr="002A683D">
              <w:rPr>
                <w:rFonts w:cs="Arial"/>
                <w:color w:val="000000"/>
                <w:sz w:val="18"/>
                <w:szCs w:val="18"/>
              </w:rPr>
              <w:t>4.3</w:t>
            </w:r>
            <w:r>
              <w:rPr>
                <w:rFonts w:cs="Arial"/>
                <w:color w:val="000000"/>
                <w:sz w:val="18"/>
                <w:szCs w:val="18"/>
              </w:rPr>
              <w:t>**</w:t>
            </w:r>
          </w:p>
        </w:tc>
        <w:tc>
          <w:tcPr>
            <w:tcW w:w="964" w:type="dxa"/>
            <w:tcBorders>
              <w:top w:val="nil"/>
              <w:left w:val="nil"/>
              <w:bottom w:val="nil"/>
              <w:right w:val="nil"/>
            </w:tcBorders>
            <w:shd w:val="clear" w:color="auto" w:fill="auto"/>
            <w:vAlign w:val="bottom"/>
          </w:tcPr>
          <w:p w14:paraId="7CF79746" w14:textId="62B2880C" w:rsidR="002A683D" w:rsidRPr="002A683D" w:rsidRDefault="002A683D" w:rsidP="002A683D">
            <w:pPr>
              <w:spacing w:before="40" w:after="40"/>
              <w:ind w:right="170"/>
              <w:jc w:val="right"/>
              <w:rPr>
                <w:rFonts w:cs="Arial"/>
                <w:color w:val="000000"/>
                <w:sz w:val="18"/>
                <w:szCs w:val="18"/>
              </w:rPr>
            </w:pPr>
            <w:r w:rsidRPr="002A683D">
              <w:rPr>
                <w:rFonts w:cs="Arial"/>
                <w:color w:val="000000"/>
                <w:sz w:val="18"/>
                <w:szCs w:val="18"/>
              </w:rPr>
              <w:t>5.6</w:t>
            </w:r>
          </w:p>
        </w:tc>
      </w:tr>
      <w:tr w:rsidR="002A683D" w:rsidRPr="008B2C65" w14:paraId="11EE5194" w14:textId="77777777" w:rsidTr="000275DE">
        <w:trPr>
          <w:trHeight w:val="80"/>
        </w:trPr>
        <w:tc>
          <w:tcPr>
            <w:tcW w:w="1984" w:type="dxa"/>
            <w:tcBorders>
              <w:top w:val="nil"/>
              <w:left w:val="nil"/>
              <w:bottom w:val="nil"/>
              <w:right w:val="nil"/>
            </w:tcBorders>
            <w:shd w:val="clear" w:color="auto" w:fill="C7E4F3" w:themeFill="accent1" w:themeFillTint="33"/>
            <w:vAlign w:val="center"/>
          </w:tcPr>
          <w:p w14:paraId="02977F88" w14:textId="77777777" w:rsidR="002A683D" w:rsidRPr="008B2C65" w:rsidRDefault="002A683D" w:rsidP="002A683D">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V</w:t>
            </w:r>
            <w:r>
              <w:rPr>
                <w:rFonts w:eastAsia="Times New Roman" w:cs="Arial"/>
                <w:color w:val="000000"/>
                <w:sz w:val="18"/>
                <w:szCs w:val="18"/>
                <w:lang w:eastAsia="en-AU"/>
              </w:rPr>
              <w:t>IC</w:t>
            </w:r>
          </w:p>
        </w:tc>
        <w:tc>
          <w:tcPr>
            <w:tcW w:w="1134" w:type="dxa"/>
            <w:tcBorders>
              <w:top w:val="nil"/>
              <w:left w:val="nil"/>
              <w:bottom w:val="nil"/>
              <w:right w:val="nil"/>
            </w:tcBorders>
            <w:shd w:val="clear" w:color="auto" w:fill="C7E4F3" w:themeFill="accent1" w:themeFillTint="33"/>
            <w:vAlign w:val="bottom"/>
          </w:tcPr>
          <w:p w14:paraId="09043783" w14:textId="761A1DDB" w:rsidR="002A683D" w:rsidRPr="002A683D" w:rsidRDefault="002A683D" w:rsidP="002A683D">
            <w:pPr>
              <w:spacing w:before="40" w:after="40"/>
              <w:ind w:right="227"/>
              <w:jc w:val="right"/>
              <w:rPr>
                <w:rFonts w:eastAsia="Times New Roman" w:cs="Arial"/>
                <w:sz w:val="18"/>
                <w:szCs w:val="18"/>
                <w:lang w:eastAsia="en-AU"/>
              </w:rPr>
            </w:pPr>
            <w:r w:rsidRPr="002A683D">
              <w:rPr>
                <w:rFonts w:cs="Arial"/>
                <w:color w:val="000000"/>
                <w:sz w:val="18"/>
                <w:szCs w:val="18"/>
              </w:rPr>
              <w:t>53.0</w:t>
            </w:r>
          </w:p>
        </w:tc>
        <w:tc>
          <w:tcPr>
            <w:tcW w:w="1134" w:type="dxa"/>
            <w:tcBorders>
              <w:top w:val="nil"/>
              <w:left w:val="nil"/>
              <w:bottom w:val="nil"/>
              <w:right w:val="nil"/>
            </w:tcBorders>
            <w:shd w:val="clear" w:color="auto" w:fill="C7E4F3" w:themeFill="accent1" w:themeFillTint="33"/>
            <w:vAlign w:val="bottom"/>
          </w:tcPr>
          <w:p w14:paraId="01D24B6D" w14:textId="62F8512B" w:rsidR="002A683D" w:rsidRPr="002A683D" w:rsidRDefault="002A683D" w:rsidP="002A683D">
            <w:pPr>
              <w:spacing w:before="40" w:after="40"/>
              <w:ind w:right="283"/>
              <w:jc w:val="right"/>
              <w:rPr>
                <w:rFonts w:cs="Arial"/>
                <w:color w:val="000000"/>
                <w:sz w:val="18"/>
                <w:szCs w:val="18"/>
              </w:rPr>
            </w:pPr>
            <w:r w:rsidRPr="002A683D">
              <w:rPr>
                <w:rFonts w:cs="Arial"/>
                <w:color w:val="000000"/>
                <w:sz w:val="18"/>
                <w:szCs w:val="18"/>
              </w:rPr>
              <w:t>24.8</w:t>
            </w:r>
          </w:p>
        </w:tc>
        <w:tc>
          <w:tcPr>
            <w:tcW w:w="1134" w:type="dxa"/>
            <w:tcBorders>
              <w:top w:val="nil"/>
              <w:left w:val="nil"/>
              <w:bottom w:val="nil"/>
              <w:right w:val="nil"/>
            </w:tcBorders>
            <w:shd w:val="clear" w:color="auto" w:fill="C7E4F3" w:themeFill="accent1" w:themeFillTint="33"/>
            <w:vAlign w:val="bottom"/>
          </w:tcPr>
          <w:p w14:paraId="7BA44CDB" w14:textId="6B4ECD23" w:rsidR="002A683D" w:rsidRPr="002A683D" w:rsidRDefault="002A683D" w:rsidP="002A683D">
            <w:pPr>
              <w:spacing w:before="40" w:after="40"/>
              <w:ind w:right="227"/>
              <w:jc w:val="right"/>
              <w:rPr>
                <w:rFonts w:cs="Arial"/>
                <w:color w:val="000000"/>
                <w:sz w:val="18"/>
                <w:szCs w:val="18"/>
              </w:rPr>
            </w:pPr>
            <w:r w:rsidRPr="002A683D">
              <w:rPr>
                <w:rFonts w:cs="Arial"/>
                <w:color w:val="000000"/>
                <w:sz w:val="18"/>
                <w:szCs w:val="18"/>
              </w:rPr>
              <w:t>12.2</w:t>
            </w:r>
          </w:p>
        </w:tc>
        <w:tc>
          <w:tcPr>
            <w:tcW w:w="1361" w:type="dxa"/>
            <w:tcBorders>
              <w:top w:val="nil"/>
              <w:left w:val="nil"/>
              <w:bottom w:val="nil"/>
              <w:right w:val="nil"/>
            </w:tcBorders>
            <w:shd w:val="clear" w:color="auto" w:fill="C7E4F3" w:themeFill="accent1" w:themeFillTint="33"/>
            <w:vAlign w:val="bottom"/>
          </w:tcPr>
          <w:p w14:paraId="69256E50" w14:textId="7BF0973A" w:rsidR="002A683D" w:rsidRPr="002A683D" w:rsidRDefault="002A683D" w:rsidP="002A683D">
            <w:pPr>
              <w:spacing w:before="40" w:after="40"/>
              <w:ind w:right="340"/>
              <w:jc w:val="right"/>
              <w:rPr>
                <w:rFonts w:cs="Arial"/>
                <w:color w:val="000000"/>
                <w:sz w:val="18"/>
                <w:szCs w:val="18"/>
              </w:rPr>
            </w:pPr>
            <w:r w:rsidRPr="002A683D">
              <w:rPr>
                <w:rFonts w:cs="Arial"/>
                <w:color w:val="000000"/>
                <w:sz w:val="18"/>
                <w:szCs w:val="18"/>
              </w:rPr>
              <w:t>4.5</w:t>
            </w:r>
            <w:r>
              <w:rPr>
                <w:rFonts w:cs="Arial"/>
                <w:color w:val="000000"/>
                <w:sz w:val="18"/>
                <w:szCs w:val="18"/>
              </w:rPr>
              <w:t>**</w:t>
            </w:r>
          </w:p>
        </w:tc>
        <w:tc>
          <w:tcPr>
            <w:tcW w:w="1361" w:type="dxa"/>
            <w:tcBorders>
              <w:top w:val="nil"/>
              <w:left w:val="nil"/>
              <w:bottom w:val="nil"/>
              <w:right w:val="nil"/>
            </w:tcBorders>
            <w:shd w:val="clear" w:color="auto" w:fill="C7E4F3" w:themeFill="accent1" w:themeFillTint="33"/>
            <w:vAlign w:val="bottom"/>
          </w:tcPr>
          <w:p w14:paraId="5C05ED92" w14:textId="06C6A980" w:rsidR="002A683D" w:rsidRPr="002A683D" w:rsidRDefault="002A683D" w:rsidP="002A683D">
            <w:pPr>
              <w:spacing w:before="40" w:after="40"/>
              <w:ind w:right="397"/>
              <w:jc w:val="right"/>
              <w:rPr>
                <w:rFonts w:cs="Arial"/>
                <w:color w:val="000000"/>
                <w:sz w:val="18"/>
                <w:szCs w:val="18"/>
              </w:rPr>
            </w:pPr>
            <w:r w:rsidRPr="002A683D">
              <w:rPr>
                <w:rFonts w:cs="Arial"/>
                <w:color w:val="000000"/>
                <w:sz w:val="18"/>
                <w:szCs w:val="18"/>
              </w:rPr>
              <w:t>1.4</w:t>
            </w:r>
          </w:p>
        </w:tc>
        <w:tc>
          <w:tcPr>
            <w:tcW w:w="964" w:type="dxa"/>
            <w:tcBorders>
              <w:top w:val="nil"/>
              <w:left w:val="nil"/>
              <w:bottom w:val="nil"/>
              <w:right w:val="nil"/>
            </w:tcBorders>
            <w:shd w:val="clear" w:color="auto" w:fill="C7E4F3" w:themeFill="accent1" w:themeFillTint="33"/>
            <w:vAlign w:val="bottom"/>
          </w:tcPr>
          <w:p w14:paraId="6A77D334" w14:textId="0E613D9D" w:rsidR="002A683D" w:rsidRPr="002A683D" w:rsidRDefault="002A683D" w:rsidP="002A683D">
            <w:pPr>
              <w:spacing w:before="40" w:after="40"/>
              <w:ind w:right="170"/>
              <w:jc w:val="right"/>
              <w:rPr>
                <w:rFonts w:cs="Arial"/>
                <w:color w:val="000000"/>
                <w:sz w:val="18"/>
                <w:szCs w:val="18"/>
              </w:rPr>
            </w:pPr>
            <w:r w:rsidRPr="002A683D">
              <w:rPr>
                <w:rFonts w:cs="Arial"/>
                <w:color w:val="000000"/>
                <w:sz w:val="18"/>
                <w:szCs w:val="18"/>
              </w:rPr>
              <w:t>4.2</w:t>
            </w:r>
          </w:p>
        </w:tc>
      </w:tr>
      <w:tr w:rsidR="000275DE" w:rsidRPr="008B2C65" w14:paraId="7285742A" w14:textId="77777777" w:rsidTr="000275DE">
        <w:trPr>
          <w:trHeight w:val="80"/>
        </w:trPr>
        <w:tc>
          <w:tcPr>
            <w:tcW w:w="1984" w:type="dxa"/>
            <w:tcBorders>
              <w:top w:val="nil"/>
              <w:left w:val="nil"/>
              <w:bottom w:val="nil"/>
              <w:right w:val="nil"/>
            </w:tcBorders>
            <w:shd w:val="clear" w:color="auto" w:fill="58AEDA"/>
            <w:vAlign w:val="center"/>
            <w:hideMark/>
          </w:tcPr>
          <w:p w14:paraId="7EBC4C84" w14:textId="1A57F4BD" w:rsidR="000275DE" w:rsidRPr="008B2C65" w:rsidRDefault="0025300B" w:rsidP="002870E5">
            <w:pPr>
              <w:spacing w:before="40" w:after="40"/>
              <w:rPr>
                <w:rFonts w:eastAsia="Times New Roman" w:cs="Arial"/>
                <w:b/>
                <w:bCs/>
                <w:color w:val="000000"/>
                <w:sz w:val="18"/>
                <w:szCs w:val="18"/>
                <w:lang w:eastAsia="en-AU"/>
              </w:rPr>
            </w:pPr>
            <w:r>
              <w:rPr>
                <w:rFonts w:eastAsia="Times New Roman" w:cs="Arial"/>
                <w:b/>
                <w:bCs/>
                <w:color w:val="000000"/>
                <w:sz w:val="18"/>
                <w:szCs w:val="18"/>
                <w:lang w:eastAsia="en-AU"/>
              </w:rPr>
              <w:t>Injury/illness</w:t>
            </w:r>
            <w:r w:rsidR="000275DE" w:rsidRPr="008B2C65">
              <w:rPr>
                <w:rFonts w:eastAsia="Times New Roman" w:cs="Arial"/>
                <w:b/>
                <w:bCs/>
                <w:color w:val="000000"/>
                <w:sz w:val="18"/>
                <w:szCs w:val="18"/>
                <w:lang w:eastAsia="en-AU"/>
              </w:rPr>
              <w:t xml:space="preserve"> type </w:t>
            </w:r>
          </w:p>
        </w:tc>
        <w:tc>
          <w:tcPr>
            <w:tcW w:w="1134" w:type="dxa"/>
            <w:tcBorders>
              <w:top w:val="nil"/>
              <w:left w:val="nil"/>
              <w:bottom w:val="nil"/>
              <w:right w:val="nil"/>
            </w:tcBorders>
            <w:shd w:val="clear" w:color="auto" w:fill="58AEDA"/>
            <w:vAlign w:val="center"/>
            <w:hideMark/>
          </w:tcPr>
          <w:p w14:paraId="18D0552C" w14:textId="77777777" w:rsidR="000275DE" w:rsidRPr="00467D4A" w:rsidRDefault="000275DE" w:rsidP="002870E5">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134" w:type="dxa"/>
            <w:tcBorders>
              <w:top w:val="nil"/>
              <w:left w:val="nil"/>
              <w:bottom w:val="nil"/>
              <w:right w:val="nil"/>
            </w:tcBorders>
            <w:shd w:val="clear" w:color="auto" w:fill="58AEDA"/>
          </w:tcPr>
          <w:p w14:paraId="0B603E26" w14:textId="77777777" w:rsidR="000275DE" w:rsidRPr="00467D4A" w:rsidRDefault="000275DE" w:rsidP="000275DE">
            <w:pPr>
              <w:spacing w:before="40" w:after="40"/>
              <w:ind w:right="283"/>
              <w:jc w:val="right"/>
              <w:rPr>
                <w:rFonts w:eastAsia="Times New Roman" w:cs="Arial"/>
                <w:sz w:val="18"/>
                <w:szCs w:val="18"/>
                <w:lang w:eastAsia="en-AU"/>
              </w:rPr>
            </w:pPr>
          </w:p>
        </w:tc>
        <w:tc>
          <w:tcPr>
            <w:tcW w:w="1134" w:type="dxa"/>
            <w:tcBorders>
              <w:top w:val="nil"/>
              <w:left w:val="nil"/>
              <w:bottom w:val="nil"/>
              <w:right w:val="nil"/>
            </w:tcBorders>
            <w:shd w:val="clear" w:color="auto" w:fill="58AEDA"/>
            <w:vAlign w:val="center"/>
            <w:hideMark/>
          </w:tcPr>
          <w:p w14:paraId="063CDE06" w14:textId="77777777" w:rsidR="000275DE" w:rsidRPr="00467D4A" w:rsidRDefault="000275DE" w:rsidP="000275DE">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361" w:type="dxa"/>
            <w:tcBorders>
              <w:top w:val="nil"/>
              <w:left w:val="nil"/>
              <w:bottom w:val="nil"/>
              <w:right w:val="nil"/>
            </w:tcBorders>
            <w:shd w:val="clear" w:color="auto" w:fill="58AEDA"/>
          </w:tcPr>
          <w:p w14:paraId="681E31B7" w14:textId="77777777" w:rsidR="000275DE" w:rsidRPr="00467D4A" w:rsidRDefault="000275DE" w:rsidP="000275DE">
            <w:pPr>
              <w:spacing w:before="40" w:after="40"/>
              <w:ind w:right="340"/>
              <w:jc w:val="right"/>
              <w:rPr>
                <w:rFonts w:eastAsia="Times New Roman" w:cs="Arial"/>
                <w:sz w:val="18"/>
                <w:szCs w:val="18"/>
                <w:lang w:eastAsia="en-AU"/>
              </w:rPr>
            </w:pPr>
          </w:p>
        </w:tc>
        <w:tc>
          <w:tcPr>
            <w:tcW w:w="1361" w:type="dxa"/>
            <w:tcBorders>
              <w:top w:val="nil"/>
              <w:left w:val="nil"/>
              <w:bottom w:val="nil"/>
              <w:right w:val="nil"/>
            </w:tcBorders>
            <w:shd w:val="clear" w:color="auto" w:fill="58AEDA"/>
            <w:vAlign w:val="center"/>
            <w:hideMark/>
          </w:tcPr>
          <w:p w14:paraId="696639C1" w14:textId="77777777" w:rsidR="000275DE" w:rsidRPr="00467D4A" w:rsidRDefault="000275DE" w:rsidP="000275DE">
            <w:pPr>
              <w:spacing w:before="40" w:after="40"/>
              <w:ind w:right="397"/>
              <w:jc w:val="right"/>
              <w:rPr>
                <w:rFonts w:eastAsia="Times New Roman" w:cs="Arial"/>
                <w:sz w:val="18"/>
                <w:szCs w:val="18"/>
                <w:lang w:eastAsia="en-AU"/>
              </w:rPr>
            </w:pPr>
            <w:r w:rsidRPr="00467D4A">
              <w:rPr>
                <w:rFonts w:eastAsia="Times New Roman" w:cs="Arial"/>
                <w:sz w:val="18"/>
                <w:szCs w:val="18"/>
                <w:lang w:eastAsia="en-AU"/>
              </w:rPr>
              <w:t> </w:t>
            </w:r>
          </w:p>
        </w:tc>
        <w:tc>
          <w:tcPr>
            <w:tcW w:w="964" w:type="dxa"/>
            <w:tcBorders>
              <w:top w:val="nil"/>
              <w:left w:val="nil"/>
              <w:bottom w:val="nil"/>
              <w:right w:val="nil"/>
            </w:tcBorders>
            <w:shd w:val="clear" w:color="auto" w:fill="58AEDA"/>
            <w:vAlign w:val="center"/>
            <w:hideMark/>
          </w:tcPr>
          <w:p w14:paraId="11C2A01F" w14:textId="77777777" w:rsidR="000275DE" w:rsidRPr="00467D4A" w:rsidRDefault="000275DE" w:rsidP="000275DE">
            <w:pPr>
              <w:spacing w:before="40" w:after="40"/>
              <w:ind w:right="170"/>
              <w:jc w:val="right"/>
              <w:rPr>
                <w:rFonts w:eastAsia="Times New Roman" w:cs="Arial"/>
                <w:sz w:val="18"/>
                <w:szCs w:val="18"/>
                <w:lang w:eastAsia="en-AU"/>
              </w:rPr>
            </w:pPr>
            <w:r w:rsidRPr="00467D4A">
              <w:rPr>
                <w:rFonts w:eastAsia="Times New Roman" w:cs="Arial"/>
                <w:sz w:val="18"/>
                <w:szCs w:val="18"/>
                <w:lang w:eastAsia="en-AU"/>
              </w:rPr>
              <w:t> </w:t>
            </w:r>
          </w:p>
        </w:tc>
      </w:tr>
      <w:tr w:rsidR="002A683D" w:rsidRPr="008B2C65" w14:paraId="1ECE79FB" w14:textId="77777777" w:rsidTr="000275DE">
        <w:trPr>
          <w:trHeight w:val="80"/>
        </w:trPr>
        <w:tc>
          <w:tcPr>
            <w:tcW w:w="1984" w:type="dxa"/>
            <w:tcBorders>
              <w:top w:val="nil"/>
              <w:left w:val="nil"/>
              <w:bottom w:val="nil"/>
              <w:right w:val="nil"/>
            </w:tcBorders>
            <w:shd w:val="clear" w:color="000000" w:fill="C7E4F3"/>
            <w:vAlign w:val="center"/>
            <w:hideMark/>
          </w:tcPr>
          <w:p w14:paraId="04C6643A" w14:textId="77777777" w:rsidR="002A683D" w:rsidRPr="008B2C65" w:rsidRDefault="002A683D" w:rsidP="002A683D">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Fractures</w:t>
            </w:r>
          </w:p>
        </w:tc>
        <w:tc>
          <w:tcPr>
            <w:tcW w:w="1134" w:type="dxa"/>
            <w:tcBorders>
              <w:top w:val="nil"/>
              <w:left w:val="nil"/>
              <w:bottom w:val="nil"/>
              <w:right w:val="nil"/>
            </w:tcBorders>
            <w:shd w:val="clear" w:color="000000" w:fill="C7E4F3"/>
            <w:vAlign w:val="bottom"/>
          </w:tcPr>
          <w:p w14:paraId="49FFA703" w14:textId="636D2098" w:rsidR="002A683D" w:rsidRPr="002A683D" w:rsidRDefault="002A683D" w:rsidP="002A683D">
            <w:pPr>
              <w:spacing w:before="40" w:after="40"/>
              <w:ind w:right="227"/>
              <w:jc w:val="right"/>
              <w:rPr>
                <w:rFonts w:cs="Arial"/>
                <w:color w:val="000000"/>
                <w:sz w:val="18"/>
              </w:rPr>
            </w:pPr>
            <w:r w:rsidRPr="002A683D">
              <w:rPr>
                <w:rFonts w:cs="Arial"/>
                <w:color w:val="000000"/>
                <w:sz w:val="18"/>
              </w:rPr>
              <w:t>49.2</w:t>
            </w:r>
          </w:p>
        </w:tc>
        <w:tc>
          <w:tcPr>
            <w:tcW w:w="1134" w:type="dxa"/>
            <w:tcBorders>
              <w:top w:val="nil"/>
              <w:left w:val="nil"/>
              <w:bottom w:val="nil"/>
              <w:right w:val="nil"/>
            </w:tcBorders>
            <w:shd w:val="clear" w:color="000000" w:fill="C7E4F3"/>
            <w:vAlign w:val="bottom"/>
          </w:tcPr>
          <w:p w14:paraId="6FB702CA" w14:textId="6C8854D6" w:rsidR="002A683D" w:rsidRPr="002A683D" w:rsidRDefault="002A683D" w:rsidP="002A683D">
            <w:pPr>
              <w:spacing w:before="40" w:after="40"/>
              <w:ind w:right="283"/>
              <w:jc w:val="right"/>
              <w:rPr>
                <w:rFonts w:cs="Arial"/>
                <w:color w:val="000000"/>
                <w:sz w:val="18"/>
              </w:rPr>
            </w:pPr>
            <w:r w:rsidRPr="002A683D">
              <w:rPr>
                <w:rFonts w:cs="Arial"/>
                <w:color w:val="000000"/>
                <w:sz w:val="18"/>
              </w:rPr>
              <w:t>21.9</w:t>
            </w:r>
          </w:p>
        </w:tc>
        <w:tc>
          <w:tcPr>
            <w:tcW w:w="1134" w:type="dxa"/>
            <w:tcBorders>
              <w:top w:val="nil"/>
              <w:left w:val="nil"/>
              <w:bottom w:val="nil"/>
              <w:right w:val="nil"/>
            </w:tcBorders>
            <w:shd w:val="clear" w:color="000000" w:fill="C7E4F3"/>
            <w:vAlign w:val="bottom"/>
          </w:tcPr>
          <w:p w14:paraId="5AF30461" w14:textId="4ADFB8BE" w:rsidR="002A683D" w:rsidRPr="002A683D" w:rsidRDefault="002A683D" w:rsidP="002A683D">
            <w:pPr>
              <w:spacing w:before="40" w:after="40"/>
              <w:ind w:right="227"/>
              <w:jc w:val="right"/>
              <w:rPr>
                <w:rFonts w:cs="Arial"/>
                <w:color w:val="000000"/>
                <w:sz w:val="18"/>
              </w:rPr>
            </w:pPr>
            <w:r w:rsidRPr="002A683D">
              <w:rPr>
                <w:rFonts w:cs="Arial"/>
                <w:color w:val="000000"/>
                <w:sz w:val="18"/>
              </w:rPr>
              <w:t>19.2</w:t>
            </w:r>
            <w:r>
              <w:rPr>
                <w:rFonts w:cs="Arial"/>
                <w:color w:val="000000"/>
                <w:sz w:val="18"/>
              </w:rPr>
              <w:t>**</w:t>
            </w:r>
          </w:p>
        </w:tc>
        <w:tc>
          <w:tcPr>
            <w:tcW w:w="1361" w:type="dxa"/>
            <w:tcBorders>
              <w:top w:val="nil"/>
              <w:left w:val="nil"/>
              <w:bottom w:val="nil"/>
              <w:right w:val="nil"/>
            </w:tcBorders>
            <w:shd w:val="clear" w:color="000000" w:fill="C7E4F3"/>
            <w:vAlign w:val="bottom"/>
          </w:tcPr>
          <w:p w14:paraId="37FBE6F7" w14:textId="29984F58" w:rsidR="002A683D" w:rsidRPr="002A683D" w:rsidRDefault="002A683D" w:rsidP="002A683D">
            <w:pPr>
              <w:spacing w:before="40" w:after="40"/>
              <w:ind w:right="340"/>
              <w:jc w:val="right"/>
              <w:rPr>
                <w:rFonts w:cs="Arial"/>
                <w:color w:val="000000"/>
                <w:sz w:val="18"/>
              </w:rPr>
            </w:pPr>
            <w:r>
              <w:rPr>
                <w:rFonts w:cs="Arial"/>
                <w:color w:val="000000"/>
                <w:sz w:val="18"/>
              </w:rPr>
              <w:t>--</w:t>
            </w:r>
          </w:p>
        </w:tc>
        <w:tc>
          <w:tcPr>
            <w:tcW w:w="1361" w:type="dxa"/>
            <w:tcBorders>
              <w:top w:val="nil"/>
              <w:left w:val="nil"/>
              <w:bottom w:val="nil"/>
              <w:right w:val="nil"/>
            </w:tcBorders>
            <w:shd w:val="clear" w:color="000000" w:fill="C7E4F3"/>
            <w:vAlign w:val="bottom"/>
          </w:tcPr>
          <w:p w14:paraId="55D85085" w14:textId="21BFAE2B" w:rsidR="002A683D" w:rsidRPr="002A683D" w:rsidRDefault="002A683D" w:rsidP="002A683D">
            <w:pPr>
              <w:spacing w:before="40" w:after="40"/>
              <w:ind w:right="397"/>
              <w:jc w:val="right"/>
              <w:rPr>
                <w:rFonts w:cs="Arial"/>
                <w:color w:val="000000"/>
                <w:sz w:val="18"/>
              </w:rPr>
            </w:pPr>
            <w:r w:rsidRPr="002A683D">
              <w:rPr>
                <w:rFonts w:cs="Arial"/>
                <w:color w:val="000000"/>
                <w:sz w:val="18"/>
              </w:rPr>
              <w:t>1.7</w:t>
            </w:r>
          </w:p>
        </w:tc>
        <w:tc>
          <w:tcPr>
            <w:tcW w:w="964" w:type="dxa"/>
            <w:tcBorders>
              <w:top w:val="nil"/>
              <w:left w:val="nil"/>
              <w:bottom w:val="nil"/>
              <w:right w:val="nil"/>
            </w:tcBorders>
            <w:shd w:val="clear" w:color="000000" w:fill="C7E4F3"/>
            <w:vAlign w:val="bottom"/>
          </w:tcPr>
          <w:p w14:paraId="6695E065" w14:textId="51896224" w:rsidR="002A683D" w:rsidRPr="002A683D" w:rsidRDefault="002A683D" w:rsidP="002A683D">
            <w:pPr>
              <w:spacing w:before="40" w:after="40"/>
              <w:ind w:right="170"/>
              <w:jc w:val="right"/>
              <w:rPr>
                <w:rFonts w:cs="Arial"/>
                <w:color w:val="000000"/>
                <w:sz w:val="18"/>
              </w:rPr>
            </w:pPr>
            <w:r w:rsidRPr="002A683D">
              <w:rPr>
                <w:rFonts w:cs="Arial"/>
                <w:color w:val="000000"/>
                <w:sz w:val="18"/>
              </w:rPr>
              <w:t>8.0</w:t>
            </w:r>
          </w:p>
        </w:tc>
      </w:tr>
      <w:tr w:rsidR="002A683D" w:rsidRPr="008B2C65" w14:paraId="06970252" w14:textId="77777777" w:rsidTr="00011EAE">
        <w:trPr>
          <w:trHeight w:val="80"/>
        </w:trPr>
        <w:tc>
          <w:tcPr>
            <w:tcW w:w="1984" w:type="dxa"/>
            <w:tcBorders>
              <w:top w:val="nil"/>
              <w:left w:val="nil"/>
              <w:bottom w:val="nil"/>
              <w:right w:val="nil"/>
            </w:tcBorders>
            <w:shd w:val="clear" w:color="auto" w:fill="auto"/>
            <w:vAlign w:val="center"/>
            <w:hideMark/>
          </w:tcPr>
          <w:p w14:paraId="722A4C40" w14:textId="77777777" w:rsidR="002A683D" w:rsidRPr="008B2C65" w:rsidRDefault="002A683D" w:rsidP="002A683D">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Musculoskeletal disorders</w:t>
            </w:r>
          </w:p>
        </w:tc>
        <w:tc>
          <w:tcPr>
            <w:tcW w:w="1134" w:type="dxa"/>
            <w:tcBorders>
              <w:top w:val="nil"/>
              <w:left w:val="nil"/>
              <w:bottom w:val="nil"/>
              <w:right w:val="nil"/>
            </w:tcBorders>
            <w:shd w:val="clear" w:color="auto" w:fill="auto"/>
            <w:vAlign w:val="bottom"/>
          </w:tcPr>
          <w:p w14:paraId="5BBC2AAF" w14:textId="1E86D399" w:rsidR="002A683D" w:rsidRPr="002A683D" w:rsidRDefault="002A683D" w:rsidP="00FD3931">
            <w:pPr>
              <w:spacing w:before="40" w:after="40"/>
              <w:ind w:right="227"/>
              <w:jc w:val="right"/>
              <w:rPr>
                <w:rFonts w:cs="Arial"/>
                <w:color w:val="000000"/>
                <w:sz w:val="18"/>
              </w:rPr>
            </w:pPr>
            <w:r w:rsidRPr="002A683D">
              <w:rPr>
                <w:rFonts w:cs="Arial"/>
                <w:color w:val="000000"/>
                <w:sz w:val="18"/>
              </w:rPr>
              <w:t>55.6</w:t>
            </w:r>
          </w:p>
        </w:tc>
        <w:tc>
          <w:tcPr>
            <w:tcW w:w="1134" w:type="dxa"/>
            <w:tcBorders>
              <w:top w:val="nil"/>
              <w:left w:val="nil"/>
              <w:bottom w:val="nil"/>
              <w:right w:val="nil"/>
            </w:tcBorders>
            <w:vAlign w:val="bottom"/>
          </w:tcPr>
          <w:p w14:paraId="5CBE6A18" w14:textId="2B52A09F" w:rsidR="002A683D" w:rsidRPr="002A683D" w:rsidRDefault="002A683D" w:rsidP="00FD3931">
            <w:pPr>
              <w:spacing w:before="40" w:after="40"/>
              <w:ind w:right="283"/>
              <w:jc w:val="right"/>
              <w:rPr>
                <w:rFonts w:cs="Arial"/>
                <w:color w:val="000000"/>
                <w:sz w:val="18"/>
              </w:rPr>
            </w:pPr>
            <w:r w:rsidRPr="002A683D">
              <w:rPr>
                <w:rFonts w:cs="Arial"/>
                <w:color w:val="000000"/>
                <w:sz w:val="18"/>
              </w:rPr>
              <w:t>28.9</w:t>
            </w:r>
            <w:r>
              <w:rPr>
                <w:rFonts w:cs="Arial"/>
                <w:color w:val="000000"/>
                <w:sz w:val="18"/>
              </w:rPr>
              <w:t>**</w:t>
            </w:r>
          </w:p>
        </w:tc>
        <w:tc>
          <w:tcPr>
            <w:tcW w:w="1134" w:type="dxa"/>
            <w:tcBorders>
              <w:top w:val="nil"/>
              <w:left w:val="nil"/>
              <w:bottom w:val="nil"/>
              <w:right w:val="nil"/>
            </w:tcBorders>
            <w:shd w:val="clear" w:color="auto" w:fill="auto"/>
            <w:vAlign w:val="bottom"/>
          </w:tcPr>
          <w:p w14:paraId="0FF8F17D" w14:textId="10929095" w:rsidR="002A683D" w:rsidRPr="002A683D" w:rsidRDefault="002A683D" w:rsidP="00FD3931">
            <w:pPr>
              <w:spacing w:before="40" w:after="40"/>
              <w:ind w:right="227"/>
              <w:jc w:val="right"/>
              <w:rPr>
                <w:rFonts w:cs="Arial"/>
                <w:color w:val="000000"/>
                <w:sz w:val="18"/>
              </w:rPr>
            </w:pPr>
            <w:r w:rsidRPr="002A683D">
              <w:rPr>
                <w:rFonts w:cs="Arial"/>
                <w:color w:val="000000"/>
                <w:sz w:val="18"/>
              </w:rPr>
              <w:t>8.8</w:t>
            </w:r>
            <w:r>
              <w:rPr>
                <w:rFonts w:cs="Arial"/>
                <w:color w:val="000000"/>
                <w:sz w:val="18"/>
              </w:rPr>
              <w:t>*</w:t>
            </w:r>
          </w:p>
        </w:tc>
        <w:tc>
          <w:tcPr>
            <w:tcW w:w="1361" w:type="dxa"/>
            <w:tcBorders>
              <w:top w:val="nil"/>
              <w:left w:val="nil"/>
              <w:bottom w:val="nil"/>
              <w:right w:val="nil"/>
            </w:tcBorders>
            <w:vAlign w:val="bottom"/>
          </w:tcPr>
          <w:p w14:paraId="5C5508EC" w14:textId="476F058E" w:rsidR="002A683D" w:rsidRPr="002A683D" w:rsidRDefault="002A683D" w:rsidP="00FD3931">
            <w:pPr>
              <w:spacing w:before="40" w:after="40"/>
              <w:ind w:right="340"/>
              <w:jc w:val="right"/>
              <w:rPr>
                <w:rFonts w:cs="Arial"/>
                <w:color w:val="000000"/>
                <w:sz w:val="18"/>
              </w:rPr>
            </w:pPr>
            <w:r w:rsidRPr="002A683D">
              <w:rPr>
                <w:rFonts w:cs="Arial"/>
                <w:color w:val="000000"/>
                <w:sz w:val="18"/>
              </w:rPr>
              <w:t>0.7</w:t>
            </w:r>
            <w:r>
              <w:rPr>
                <w:rFonts w:cs="Arial"/>
                <w:color w:val="000000"/>
                <w:sz w:val="18"/>
              </w:rPr>
              <w:t>*</w:t>
            </w:r>
          </w:p>
        </w:tc>
        <w:tc>
          <w:tcPr>
            <w:tcW w:w="1361" w:type="dxa"/>
            <w:tcBorders>
              <w:top w:val="nil"/>
              <w:left w:val="nil"/>
              <w:bottom w:val="nil"/>
              <w:right w:val="nil"/>
            </w:tcBorders>
            <w:shd w:val="clear" w:color="auto" w:fill="auto"/>
            <w:vAlign w:val="bottom"/>
          </w:tcPr>
          <w:p w14:paraId="45442EA2" w14:textId="11F6385C" w:rsidR="002A683D" w:rsidRPr="002A683D" w:rsidRDefault="002A683D" w:rsidP="00FD3931">
            <w:pPr>
              <w:spacing w:before="40" w:after="40"/>
              <w:ind w:right="397"/>
              <w:jc w:val="right"/>
              <w:rPr>
                <w:rFonts w:cs="Arial"/>
                <w:color w:val="000000"/>
                <w:sz w:val="18"/>
              </w:rPr>
            </w:pPr>
            <w:r w:rsidRPr="002A683D">
              <w:rPr>
                <w:rFonts w:cs="Arial"/>
                <w:color w:val="000000"/>
                <w:sz w:val="18"/>
              </w:rPr>
              <w:t>1.1</w:t>
            </w:r>
          </w:p>
        </w:tc>
        <w:tc>
          <w:tcPr>
            <w:tcW w:w="964" w:type="dxa"/>
            <w:tcBorders>
              <w:top w:val="nil"/>
              <w:left w:val="nil"/>
              <w:bottom w:val="nil"/>
              <w:right w:val="nil"/>
            </w:tcBorders>
            <w:shd w:val="clear" w:color="auto" w:fill="auto"/>
            <w:vAlign w:val="bottom"/>
          </w:tcPr>
          <w:p w14:paraId="63BDE214" w14:textId="2DDCCC35" w:rsidR="002A683D" w:rsidRPr="002A683D" w:rsidRDefault="002A683D" w:rsidP="00FD3931">
            <w:pPr>
              <w:spacing w:before="40" w:after="40"/>
              <w:ind w:right="170"/>
              <w:jc w:val="right"/>
              <w:rPr>
                <w:rFonts w:cs="Arial"/>
                <w:color w:val="000000"/>
                <w:sz w:val="18"/>
              </w:rPr>
            </w:pPr>
            <w:r w:rsidRPr="002A683D">
              <w:rPr>
                <w:rFonts w:cs="Arial"/>
                <w:color w:val="000000"/>
                <w:sz w:val="18"/>
              </w:rPr>
              <w:t>4.9</w:t>
            </w:r>
          </w:p>
        </w:tc>
      </w:tr>
      <w:tr w:rsidR="002A683D" w:rsidRPr="008B2C65" w14:paraId="796C1340" w14:textId="77777777" w:rsidTr="000275DE">
        <w:trPr>
          <w:trHeight w:val="80"/>
        </w:trPr>
        <w:tc>
          <w:tcPr>
            <w:tcW w:w="1984" w:type="dxa"/>
            <w:tcBorders>
              <w:top w:val="nil"/>
              <w:left w:val="nil"/>
              <w:bottom w:val="nil"/>
              <w:right w:val="nil"/>
            </w:tcBorders>
            <w:shd w:val="clear" w:color="000000" w:fill="C7E4F3"/>
            <w:vAlign w:val="center"/>
            <w:hideMark/>
          </w:tcPr>
          <w:p w14:paraId="6A40AA3A" w14:textId="77777777" w:rsidR="002A683D" w:rsidRPr="008B2C65" w:rsidRDefault="002A683D" w:rsidP="002A683D">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Other trauma</w:t>
            </w:r>
          </w:p>
        </w:tc>
        <w:tc>
          <w:tcPr>
            <w:tcW w:w="1134" w:type="dxa"/>
            <w:tcBorders>
              <w:top w:val="nil"/>
              <w:left w:val="nil"/>
              <w:bottom w:val="nil"/>
              <w:right w:val="nil"/>
            </w:tcBorders>
            <w:shd w:val="clear" w:color="000000" w:fill="C7E4F3"/>
            <w:vAlign w:val="bottom"/>
          </w:tcPr>
          <w:p w14:paraId="4DCF53E1" w14:textId="22EA7092" w:rsidR="002A683D" w:rsidRPr="002A683D" w:rsidRDefault="002A683D" w:rsidP="002A683D">
            <w:pPr>
              <w:spacing w:before="40" w:after="40"/>
              <w:ind w:right="227"/>
              <w:jc w:val="right"/>
              <w:rPr>
                <w:rFonts w:cs="Arial"/>
                <w:color w:val="000000"/>
                <w:sz w:val="18"/>
              </w:rPr>
            </w:pPr>
            <w:r w:rsidRPr="002A683D">
              <w:rPr>
                <w:rFonts w:cs="Arial"/>
                <w:color w:val="000000"/>
                <w:sz w:val="18"/>
              </w:rPr>
              <w:t>64.6</w:t>
            </w:r>
            <w:r>
              <w:rPr>
                <w:rFonts w:cs="Arial"/>
                <w:color w:val="000000"/>
                <w:sz w:val="18"/>
              </w:rPr>
              <w:t>**</w:t>
            </w:r>
          </w:p>
        </w:tc>
        <w:tc>
          <w:tcPr>
            <w:tcW w:w="1134" w:type="dxa"/>
            <w:tcBorders>
              <w:top w:val="nil"/>
              <w:left w:val="nil"/>
              <w:bottom w:val="nil"/>
              <w:right w:val="nil"/>
            </w:tcBorders>
            <w:shd w:val="clear" w:color="000000" w:fill="C7E4F3"/>
            <w:vAlign w:val="bottom"/>
          </w:tcPr>
          <w:p w14:paraId="25D1AC4A" w14:textId="773E9D15" w:rsidR="002A683D" w:rsidRPr="002A683D" w:rsidRDefault="002A683D" w:rsidP="002A683D">
            <w:pPr>
              <w:spacing w:before="40" w:after="40"/>
              <w:ind w:right="283"/>
              <w:jc w:val="right"/>
              <w:rPr>
                <w:rFonts w:cs="Arial"/>
                <w:color w:val="000000"/>
                <w:sz w:val="18"/>
              </w:rPr>
            </w:pPr>
            <w:r w:rsidRPr="002A683D">
              <w:rPr>
                <w:rFonts w:cs="Arial"/>
                <w:color w:val="000000"/>
                <w:sz w:val="18"/>
              </w:rPr>
              <w:t>11.0</w:t>
            </w:r>
            <w:r>
              <w:rPr>
                <w:rFonts w:cs="Arial"/>
                <w:color w:val="000000"/>
                <w:sz w:val="18"/>
              </w:rPr>
              <w:t>*</w:t>
            </w:r>
          </w:p>
        </w:tc>
        <w:tc>
          <w:tcPr>
            <w:tcW w:w="1134" w:type="dxa"/>
            <w:tcBorders>
              <w:top w:val="nil"/>
              <w:left w:val="nil"/>
              <w:bottom w:val="nil"/>
              <w:right w:val="nil"/>
            </w:tcBorders>
            <w:shd w:val="clear" w:color="000000" w:fill="C7E4F3"/>
            <w:vAlign w:val="bottom"/>
          </w:tcPr>
          <w:p w14:paraId="77CB6CA5" w14:textId="04CEBC93" w:rsidR="002A683D" w:rsidRPr="002A683D" w:rsidRDefault="002A683D" w:rsidP="002A683D">
            <w:pPr>
              <w:spacing w:before="40" w:after="40"/>
              <w:ind w:right="227"/>
              <w:jc w:val="right"/>
              <w:rPr>
                <w:rFonts w:cs="Arial"/>
                <w:color w:val="000000"/>
                <w:sz w:val="18"/>
              </w:rPr>
            </w:pPr>
            <w:r w:rsidRPr="002A683D">
              <w:rPr>
                <w:rFonts w:cs="Arial"/>
                <w:color w:val="000000"/>
                <w:sz w:val="18"/>
              </w:rPr>
              <w:t>13.2</w:t>
            </w:r>
          </w:p>
        </w:tc>
        <w:tc>
          <w:tcPr>
            <w:tcW w:w="1361" w:type="dxa"/>
            <w:tcBorders>
              <w:top w:val="nil"/>
              <w:left w:val="nil"/>
              <w:bottom w:val="nil"/>
              <w:right w:val="nil"/>
            </w:tcBorders>
            <w:shd w:val="clear" w:color="000000" w:fill="C7E4F3"/>
            <w:vAlign w:val="bottom"/>
          </w:tcPr>
          <w:p w14:paraId="5213E702" w14:textId="0A2511AC" w:rsidR="002A683D" w:rsidRPr="002A683D" w:rsidRDefault="002A683D" w:rsidP="002A683D">
            <w:pPr>
              <w:spacing w:before="40" w:after="40"/>
              <w:ind w:right="340"/>
              <w:jc w:val="right"/>
              <w:rPr>
                <w:rFonts w:cs="Arial"/>
                <w:color w:val="000000"/>
                <w:sz w:val="18"/>
              </w:rPr>
            </w:pPr>
            <w:r w:rsidRPr="002A683D">
              <w:rPr>
                <w:rFonts w:cs="Arial"/>
                <w:color w:val="000000"/>
                <w:sz w:val="18"/>
              </w:rPr>
              <w:t>0.7</w:t>
            </w:r>
          </w:p>
        </w:tc>
        <w:tc>
          <w:tcPr>
            <w:tcW w:w="1361" w:type="dxa"/>
            <w:tcBorders>
              <w:top w:val="nil"/>
              <w:left w:val="nil"/>
              <w:bottom w:val="nil"/>
              <w:right w:val="nil"/>
            </w:tcBorders>
            <w:shd w:val="clear" w:color="000000" w:fill="C7E4F3"/>
            <w:vAlign w:val="bottom"/>
          </w:tcPr>
          <w:p w14:paraId="6092154F" w14:textId="4B23A4C9" w:rsidR="002A683D" w:rsidRPr="002A683D" w:rsidRDefault="002A683D" w:rsidP="002A683D">
            <w:pPr>
              <w:spacing w:before="40" w:after="40"/>
              <w:ind w:right="397"/>
              <w:jc w:val="right"/>
              <w:rPr>
                <w:rFonts w:cs="Arial"/>
                <w:color w:val="000000"/>
                <w:sz w:val="18"/>
              </w:rPr>
            </w:pPr>
            <w:r w:rsidRPr="002A683D">
              <w:rPr>
                <w:rFonts w:cs="Arial"/>
                <w:color w:val="000000"/>
                <w:sz w:val="18"/>
              </w:rPr>
              <w:t>2.7</w:t>
            </w:r>
          </w:p>
        </w:tc>
        <w:tc>
          <w:tcPr>
            <w:tcW w:w="964" w:type="dxa"/>
            <w:tcBorders>
              <w:top w:val="nil"/>
              <w:left w:val="nil"/>
              <w:bottom w:val="nil"/>
              <w:right w:val="nil"/>
            </w:tcBorders>
            <w:shd w:val="clear" w:color="000000" w:fill="C7E4F3"/>
            <w:vAlign w:val="bottom"/>
          </w:tcPr>
          <w:p w14:paraId="5F4872E1" w14:textId="3175A0CA" w:rsidR="002A683D" w:rsidRPr="002A683D" w:rsidRDefault="002A683D" w:rsidP="002A683D">
            <w:pPr>
              <w:spacing w:before="40" w:after="40"/>
              <w:ind w:right="170"/>
              <w:jc w:val="right"/>
              <w:rPr>
                <w:rFonts w:cs="Arial"/>
                <w:color w:val="000000"/>
                <w:sz w:val="18"/>
              </w:rPr>
            </w:pPr>
            <w:r w:rsidRPr="002A683D">
              <w:rPr>
                <w:rFonts w:cs="Arial"/>
                <w:color w:val="000000"/>
                <w:sz w:val="18"/>
              </w:rPr>
              <w:t>7.7</w:t>
            </w:r>
          </w:p>
        </w:tc>
      </w:tr>
      <w:tr w:rsidR="002A683D" w:rsidRPr="008B2C65" w14:paraId="55CE5520" w14:textId="77777777" w:rsidTr="000275DE">
        <w:trPr>
          <w:trHeight w:val="80"/>
        </w:trPr>
        <w:tc>
          <w:tcPr>
            <w:tcW w:w="1984" w:type="dxa"/>
            <w:tcBorders>
              <w:top w:val="nil"/>
              <w:left w:val="nil"/>
              <w:right w:val="nil"/>
            </w:tcBorders>
            <w:shd w:val="clear" w:color="auto" w:fill="auto"/>
            <w:vAlign w:val="center"/>
            <w:hideMark/>
          </w:tcPr>
          <w:p w14:paraId="422B8592" w14:textId="77777777" w:rsidR="002A683D" w:rsidRPr="008B2C65" w:rsidRDefault="002A683D" w:rsidP="002A683D">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Mental illness</w:t>
            </w:r>
          </w:p>
        </w:tc>
        <w:tc>
          <w:tcPr>
            <w:tcW w:w="1134" w:type="dxa"/>
            <w:tcBorders>
              <w:top w:val="nil"/>
              <w:left w:val="nil"/>
              <w:right w:val="nil"/>
            </w:tcBorders>
            <w:shd w:val="clear" w:color="auto" w:fill="auto"/>
            <w:vAlign w:val="bottom"/>
          </w:tcPr>
          <w:p w14:paraId="1AB00DAE" w14:textId="08A64332" w:rsidR="002A683D" w:rsidRPr="002A683D" w:rsidRDefault="002A683D" w:rsidP="002A683D">
            <w:pPr>
              <w:spacing w:before="40" w:after="40"/>
              <w:ind w:right="227"/>
              <w:jc w:val="right"/>
              <w:rPr>
                <w:rFonts w:cs="Arial"/>
                <w:color w:val="000000"/>
                <w:sz w:val="18"/>
              </w:rPr>
            </w:pPr>
            <w:r w:rsidRPr="002A683D">
              <w:rPr>
                <w:rFonts w:cs="Arial"/>
                <w:color w:val="000000"/>
                <w:sz w:val="18"/>
              </w:rPr>
              <w:t>59.1</w:t>
            </w:r>
          </w:p>
        </w:tc>
        <w:tc>
          <w:tcPr>
            <w:tcW w:w="1134" w:type="dxa"/>
            <w:tcBorders>
              <w:top w:val="nil"/>
              <w:left w:val="nil"/>
              <w:right w:val="nil"/>
            </w:tcBorders>
            <w:vAlign w:val="bottom"/>
          </w:tcPr>
          <w:p w14:paraId="6F09854E" w14:textId="381D1E93" w:rsidR="002A683D" w:rsidRPr="002A683D" w:rsidRDefault="002A683D" w:rsidP="002A683D">
            <w:pPr>
              <w:spacing w:before="40" w:after="40"/>
              <w:ind w:right="283"/>
              <w:jc w:val="right"/>
              <w:rPr>
                <w:rFonts w:cs="Arial"/>
                <w:color w:val="000000"/>
                <w:sz w:val="18"/>
              </w:rPr>
            </w:pPr>
            <w:r w:rsidRPr="002A683D">
              <w:rPr>
                <w:rFonts w:cs="Arial"/>
                <w:color w:val="000000"/>
                <w:sz w:val="18"/>
              </w:rPr>
              <w:t>0.1</w:t>
            </w:r>
            <w:r>
              <w:rPr>
                <w:rFonts w:cs="Arial"/>
                <w:color w:val="000000"/>
                <w:sz w:val="18"/>
              </w:rPr>
              <w:t>*</w:t>
            </w:r>
          </w:p>
        </w:tc>
        <w:tc>
          <w:tcPr>
            <w:tcW w:w="1134" w:type="dxa"/>
            <w:tcBorders>
              <w:top w:val="nil"/>
              <w:left w:val="nil"/>
              <w:right w:val="nil"/>
            </w:tcBorders>
            <w:shd w:val="clear" w:color="auto" w:fill="auto"/>
            <w:vAlign w:val="bottom"/>
          </w:tcPr>
          <w:p w14:paraId="5B4BEAE9" w14:textId="437D231D" w:rsidR="002A683D" w:rsidRPr="002A683D" w:rsidRDefault="002A683D" w:rsidP="002A683D">
            <w:pPr>
              <w:spacing w:before="40" w:after="40"/>
              <w:ind w:right="227"/>
              <w:jc w:val="right"/>
              <w:rPr>
                <w:rFonts w:cs="Arial"/>
                <w:color w:val="000000"/>
                <w:sz w:val="18"/>
              </w:rPr>
            </w:pPr>
            <w:r>
              <w:rPr>
                <w:rFonts w:cs="Arial"/>
                <w:color w:val="000000"/>
                <w:sz w:val="18"/>
              </w:rPr>
              <w:t>--</w:t>
            </w:r>
          </w:p>
        </w:tc>
        <w:tc>
          <w:tcPr>
            <w:tcW w:w="1361" w:type="dxa"/>
            <w:tcBorders>
              <w:top w:val="nil"/>
              <w:left w:val="nil"/>
              <w:right w:val="nil"/>
            </w:tcBorders>
            <w:vAlign w:val="bottom"/>
          </w:tcPr>
          <w:p w14:paraId="0A7FC3F1" w14:textId="62DA9979" w:rsidR="002A683D" w:rsidRPr="002A683D" w:rsidRDefault="002A683D" w:rsidP="002A683D">
            <w:pPr>
              <w:spacing w:before="40" w:after="40"/>
              <w:ind w:right="340"/>
              <w:jc w:val="right"/>
              <w:rPr>
                <w:rFonts w:cs="Arial"/>
                <w:color w:val="000000"/>
                <w:sz w:val="18"/>
              </w:rPr>
            </w:pPr>
            <w:r w:rsidRPr="002A683D">
              <w:rPr>
                <w:rFonts w:cs="Arial"/>
                <w:color w:val="000000"/>
                <w:sz w:val="18"/>
              </w:rPr>
              <w:t>39.1</w:t>
            </w:r>
            <w:r>
              <w:rPr>
                <w:rFonts w:cs="Arial"/>
                <w:color w:val="000000"/>
                <w:sz w:val="18"/>
              </w:rPr>
              <w:t>**</w:t>
            </w:r>
          </w:p>
        </w:tc>
        <w:tc>
          <w:tcPr>
            <w:tcW w:w="1361" w:type="dxa"/>
            <w:tcBorders>
              <w:top w:val="nil"/>
              <w:left w:val="nil"/>
              <w:right w:val="nil"/>
            </w:tcBorders>
            <w:shd w:val="clear" w:color="auto" w:fill="auto"/>
            <w:vAlign w:val="bottom"/>
          </w:tcPr>
          <w:p w14:paraId="628C991D" w14:textId="0934E2C5" w:rsidR="002A683D" w:rsidRPr="002A683D" w:rsidRDefault="002A683D" w:rsidP="002A683D">
            <w:pPr>
              <w:spacing w:before="40" w:after="40"/>
              <w:ind w:right="397"/>
              <w:jc w:val="right"/>
              <w:rPr>
                <w:rFonts w:cs="Arial"/>
                <w:color w:val="000000"/>
                <w:sz w:val="18"/>
              </w:rPr>
            </w:pPr>
            <w:r w:rsidRPr="002A683D">
              <w:rPr>
                <w:rFonts w:cs="Arial"/>
                <w:color w:val="000000"/>
                <w:sz w:val="18"/>
              </w:rPr>
              <w:t>0.2</w:t>
            </w:r>
            <w:r>
              <w:rPr>
                <w:rFonts w:cs="Arial"/>
                <w:color w:val="000000"/>
                <w:sz w:val="18"/>
              </w:rPr>
              <w:t>*</w:t>
            </w:r>
          </w:p>
        </w:tc>
        <w:tc>
          <w:tcPr>
            <w:tcW w:w="964" w:type="dxa"/>
            <w:tcBorders>
              <w:top w:val="nil"/>
              <w:left w:val="nil"/>
              <w:right w:val="nil"/>
            </w:tcBorders>
            <w:shd w:val="clear" w:color="auto" w:fill="auto"/>
            <w:vAlign w:val="bottom"/>
          </w:tcPr>
          <w:p w14:paraId="46DADFF3" w14:textId="412BE678" w:rsidR="002A683D" w:rsidRPr="002A683D" w:rsidRDefault="002A683D" w:rsidP="002A683D">
            <w:pPr>
              <w:spacing w:before="40" w:after="40"/>
              <w:ind w:right="170"/>
              <w:jc w:val="right"/>
              <w:rPr>
                <w:rFonts w:cs="Arial"/>
                <w:color w:val="000000"/>
                <w:sz w:val="18"/>
              </w:rPr>
            </w:pPr>
            <w:r w:rsidRPr="002A683D">
              <w:rPr>
                <w:rFonts w:cs="Arial"/>
                <w:color w:val="000000"/>
                <w:sz w:val="18"/>
              </w:rPr>
              <w:t>1.4</w:t>
            </w:r>
          </w:p>
        </w:tc>
      </w:tr>
      <w:tr w:rsidR="002A683D" w:rsidRPr="008B2C65" w14:paraId="1810AA7D" w14:textId="77777777" w:rsidTr="000275DE">
        <w:trPr>
          <w:trHeight w:val="80"/>
        </w:trPr>
        <w:tc>
          <w:tcPr>
            <w:tcW w:w="1984" w:type="dxa"/>
            <w:tcBorders>
              <w:top w:val="nil"/>
              <w:left w:val="nil"/>
              <w:bottom w:val="single" w:sz="4" w:space="0" w:color="1F698E" w:themeColor="accent1"/>
              <w:right w:val="nil"/>
            </w:tcBorders>
            <w:shd w:val="clear" w:color="000000" w:fill="C7E4F3"/>
            <w:vAlign w:val="center"/>
            <w:hideMark/>
          </w:tcPr>
          <w:p w14:paraId="67A4A362" w14:textId="77777777" w:rsidR="002A683D" w:rsidRPr="008B2C65" w:rsidRDefault="002A683D" w:rsidP="002A683D">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Other diseases</w:t>
            </w:r>
          </w:p>
        </w:tc>
        <w:tc>
          <w:tcPr>
            <w:tcW w:w="1134" w:type="dxa"/>
            <w:tcBorders>
              <w:top w:val="nil"/>
              <w:left w:val="nil"/>
              <w:bottom w:val="single" w:sz="4" w:space="0" w:color="1F698E" w:themeColor="accent1"/>
              <w:right w:val="nil"/>
            </w:tcBorders>
            <w:shd w:val="clear" w:color="000000" w:fill="C7E4F3"/>
            <w:vAlign w:val="bottom"/>
          </w:tcPr>
          <w:p w14:paraId="321CE2FC" w14:textId="4C35574B" w:rsidR="002A683D" w:rsidRPr="002A683D" w:rsidRDefault="002A683D" w:rsidP="002A683D">
            <w:pPr>
              <w:spacing w:before="40" w:after="40"/>
              <w:ind w:right="227"/>
              <w:jc w:val="right"/>
              <w:rPr>
                <w:rFonts w:cs="Arial"/>
                <w:color w:val="000000"/>
                <w:sz w:val="18"/>
              </w:rPr>
            </w:pPr>
            <w:r w:rsidRPr="002A683D">
              <w:rPr>
                <w:rFonts w:cs="Arial"/>
                <w:color w:val="000000"/>
                <w:sz w:val="18"/>
              </w:rPr>
              <w:t>57.5</w:t>
            </w:r>
          </w:p>
        </w:tc>
        <w:tc>
          <w:tcPr>
            <w:tcW w:w="1134" w:type="dxa"/>
            <w:tcBorders>
              <w:top w:val="nil"/>
              <w:left w:val="nil"/>
              <w:bottom w:val="single" w:sz="4" w:space="0" w:color="1F698E" w:themeColor="accent1"/>
              <w:right w:val="nil"/>
            </w:tcBorders>
            <w:shd w:val="clear" w:color="000000" w:fill="C7E4F3"/>
            <w:vAlign w:val="bottom"/>
          </w:tcPr>
          <w:p w14:paraId="193CA51B" w14:textId="502AAF43" w:rsidR="002A683D" w:rsidRPr="002A683D" w:rsidRDefault="002A683D" w:rsidP="002A683D">
            <w:pPr>
              <w:spacing w:before="40" w:after="40"/>
              <w:ind w:right="283"/>
              <w:jc w:val="right"/>
              <w:rPr>
                <w:rFonts w:cs="Arial"/>
                <w:color w:val="000000"/>
                <w:sz w:val="18"/>
              </w:rPr>
            </w:pPr>
            <w:r w:rsidRPr="002A683D">
              <w:rPr>
                <w:rFonts w:cs="Arial"/>
                <w:color w:val="000000"/>
                <w:sz w:val="18"/>
              </w:rPr>
              <w:t>5.9</w:t>
            </w:r>
            <w:r>
              <w:rPr>
                <w:rFonts w:cs="Arial"/>
                <w:color w:val="000000"/>
                <w:sz w:val="18"/>
              </w:rPr>
              <w:t>*</w:t>
            </w:r>
          </w:p>
        </w:tc>
        <w:tc>
          <w:tcPr>
            <w:tcW w:w="1134" w:type="dxa"/>
            <w:tcBorders>
              <w:top w:val="nil"/>
              <w:left w:val="nil"/>
              <w:bottom w:val="single" w:sz="4" w:space="0" w:color="1F698E" w:themeColor="accent1"/>
              <w:right w:val="nil"/>
            </w:tcBorders>
            <w:shd w:val="clear" w:color="000000" w:fill="C7E4F3"/>
            <w:vAlign w:val="bottom"/>
          </w:tcPr>
          <w:p w14:paraId="4696C231" w14:textId="561046A6" w:rsidR="002A683D" w:rsidRPr="002A683D" w:rsidRDefault="002A683D" w:rsidP="002A683D">
            <w:pPr>
              <w:spacing w:before="40" w:after="40"/>
              <w:ind w:right="227"/>
              <w:jc w:val="right"/>
              <w:rPr>
                <w:rFonts w:cs="Arial"/>
                <w:color w:val="000000"/>
                <w:sz w:val="18"/>
              </w:rPr>
            </w:pPr>
            <w:r w:rsidRPr="002A683D">
              <w:rPr>
                <w:rFonts w:cs="Arial"/>
                <w:color w:val="000000"/>
                <w:sz w:val="18"/>
              </w:rPr>
              <w:t>28.0</w:t>
            </w:r>
            <w:r>
              <w:rPr>
                <w:rFonts w:cs="Arial"/>
                <w:color w:val="000000"/>
                <w:sz w:val="18"/>
              </w:rPr>
              <w:t>**</w:t>
            </w:r>
          </w:p>
        </w:tc>
        <w:tc>
          <w:tcPr>
            <w:tcW w:w="1361" w:type="dxa"/>
            <w:tcBorders>
              <w:top w:val="nil"/>
              <w:left w:val="nil"/>
              <w:bottom w:val="single" w:sz="4" w:space="0" w:color="1F698E" w:themeColor="accent1"/>
              <w:right w:val="nil"/>
            </w:tcBorders>
            <w:shd w:val="clear" w:color="000000" w:fill="C7E4F3"/>
            <w:vAlign w:val="bottom"/>
          </w:tcPr>
          <w:p w14:paraId="20A4B349" w14:textId="3E25B3C9" w:rsidR="002A683D" w:rsidRPr="002A683D" w:rsidRDefault="002A683D" w:rsidP="002A683D">
            <w:pPr>
              <w:spacing w:before="40" w:after="40"/>
              <w:ind w:right="340"/>
              <w:jc w:val="right"/>
              <w:rPr>
                <w:rFonts w:cs="Arial"/>
                <w:color w:val="000000"/>
                <w:sz w:val="18"/>
              </w:rPr>
            </w:pPr>
            <w:r>
              <w:rPr>
                <w:rFonts w:cs="Arial"/>
                <w:color w:val="000000"/>
                <w:sz w:val="18"/>
              </w:rPr>
              <w:t>--</w:t>
            </w:r>
          </w:p>
        </w:tc>
        <w:tc>
          <w:tcPr>
            <w:tcW w:w="1361" w:type="dxa"/>
            <w:tcBorders>
              <w:top w:val="nil"/>
              <w:left w:val="nil"/>
              <w:bottom w:val="single" w:sz="4" w:space="0" w:color="1F698E" w:themeColor="accent1"/>
              <w:right w:val="nil"/>
            </w:tcBorders>
            <w:shd w:val="clear" w:color="000000" w:fill="C7E4F3"/>
            <w:vAlign w:val="bottom"/>
          </w:tcPr>
          <w:p w14:paraId="697EB70E" w14:textId="2E83DB8B" w:rsidR="002A683D" w:rsidRPr="002A683D" w:rsidRDefault="002A683D" w:rsidP="002A683D">
            <w:pPr>
              <w:spacing w:before="40" w:after="40"/>
              <w:ind w:right="397"/>
              <w:jc w:val="right"/>
              <w:rPr>
                <w:rFonts w:cs="Arial"/>
                <w:color w:val="000000"/>
                <w:sz w:val="18"/>
              </w:rPr>
            </w:pPr>
            <w:r w:rsidRPr="002A683D">
              <w:rPr>
                <w:rFonts w:cs="Arial"/>
                <w:color w:val="000000"/>
                <w:sz w:val="18"/>
              </w:rPr>
              <w:t>2.3</w:t>
            </w:r>
          </w:p>
        </w:tc>
        <w:tc>
          <w:tcPr>
            <w:tcW w:w="964" w:type="dxa"/>
            <w:tcBorders>
              <w:top w:val="nil"/>
              <w:left w:val="nil"/>
              <w:bottom w:val="single" w:sz="4" w:space="0" w:color="1F698E" w:themeColor="accent1"/>
              <w:right w:val="nil"/>
            </w:tcBorders>
            <w:shd w:val="clear" w:color="000000" w:fill="C7E4F3"/>
            <w:vAlign w:val="bottom"/>
          </w:tcPr>
          <w:p w14:paraId="3D41957D" w14:textId="138A2FED" w:rsidR="002A683D" w:rsidRPr="002A683D" w:rsidRDefault="002A683D" w:rsidP="002A683D">
            <w:pPr>
              <w:spacing w:before="40" w:after="40"/>
              <w:ind w:right="170"/>
              <w:jc w:val="right"/>
              <w:rPr>
                <w:rFonts w:cs="Arial"/>
                <w:color w:val="000000"/>
                <w:sz w:val="18"/>
              </w:rPr>
            </w:pPr>
            <w:r w:rsidRPr="002A683D">
              <w:rPr>
                <w:rFonts w:cs="Arial"/>
                <w:color w:val="000000"/>
                <w:sz w:val="18"/>
              </w:rPr>
              <w:t>6.3</w:t>
            </w:r>
          </w:p>
        </w:tc>
      </w:tr>
    </w:tbl>
    <w:p w14:paraId="37DBA1B8" w14:textId="0D51F5AF" w:rsidR="002A683D" w:rsidRPr="008F7A77" w:rsidRDefault="002A683D" w:rsidP="002A683D">
      <w:pPr>
        <w:pStyle w:val="FigureNote"/>
        <w:spacing w:before="120"/>
      </w:pPr>
      <w:r w:rsidRPr="008F7A77">
        <w:t xml:space="preserve">Base: </w:t>
      </w:r>
      <w:r w:rsidRPr="008F7A77">
        <w:tab/>
      </w:r>
      <w:r w:rsidR="007C4F25">
        <w:t>Re</w:t>
      </w:r>
      <w:r w:rsidRPr="008F7A77">
        <w:t>spondents</w:t>
      </w:r>
      <w:r w:rsidR="007C4F25">
        <w:t xml:space="preserve"> who saw at least one healthcare provider. </w:t>
      </w:r>
      <w:r w:rsidR="00AA5106">
        <w:t xml:space="preserve">Total (n=4,356), </w:t>
      </w:r>
      <w:r w:rsidRPr="008F7A77">
        <w:t>ACT (n=1</w:t>
      </w:r>
      <w:r w:rsidR="007C4F25">
        <w:t>42</w:t>
      </w:r>
      <w:r w:rsidRPr="008F7A77">
        <w:t>), Comcare (n=7</w:t>
      </w:r>
      <w:r w:rsidR="007C4F25">
        <w:t>39</w:t>
      </w:r>
      <w:r w:rsidRPr="008F7A77">
        <w:t>), NSW (n=</w:t>
      </w:r>
      <w:r>
        <w:t>8</w:t>
      </w:r>
      <w:r w:rsidR="007C4F25">
        <w:t>0</w:t>
      </w:r>
      <w:r>
        <w:t>0</w:t>
      </w:r>
      <w:r w:rsidRPr="008F7A77">
        <w:t>), NT (n=</w:t>
      </w:r>
      <w:r w:rsidR="007C4F25">
        <w:t>136</w:t>
      </w:r>
      <w:r w:rsidRPr="008F7A77">
        <w:t>), QLD (n=</w:t>
      </w:r>
      <w:r w:rsidR="007C4F25">
        <w:t>769</w:t>
      </w:r>
      <w:r w:rsidRPr="008F7A77">
        <w:t>), Seacare (n=</w:t>
      </w:r>
      <w:r>
        <w:t>5</w:t>
      </w:r>
      <w:r w:rsidR="007C4F25">
        <w:t>5</w:t>
      </w:r>
      <w:r w:rsidRPr="008F7A77">
        <w:t>), TAS (n=</w:t>
      </w:r>
      <w:r>
        <w:t>4</w:t>
      </w:r>
      <w:r w:rsidR="007C4F25">
        <w:t>6</w:t>
      </w:r>
      <w:r>
        <w:t>1</w:t>
      </w:r>
      <w:r w:rsidRPr="008F7A77">
        <w:t>), WA (n=</w:t>
      </w:r>
      <w:r w:rsidR="007C4F25">
        <w:t>479</w:t>
      </w:r>
      <w:r w:rsidRPr="008F7A77">
        <w:t>), VIC (n=</w:t>
      </w:r>
      <w:r w:rsidR="007C4F25">
        <w:t>775</w:t>
      </w:r>
      <w:r w:rsidRPr="008F7A77">
        <w:t>), Fractures (n=</w:t>
      </w:r>
      <w:r w:rsidR="007C4F25">
        <w:t>585</w:t>
      </w:r>
      <w:r w:rsidRPr="008F7A77">
        <w:t>), Musculoskeletal Disorders (n=2,</w:t>
      </w:r>
      <w:r w:rsidR="007C4F25">
        <w:t>546</w:t>
      </w:r>
      <w:r w:rsidRPr="008F7A77">
        <w:t>), Other Trauma (n=</w:t>
      </w:r>
      <w:r w:rsidR="007C4F25">
        <w:t>744</w:t>
      </w:r>
      <w:r w:rsidRPr="008F7A77">
        <w:t>), Mental Illness (n=2</w:t>
      </w:r>
      <w:r w:rsidR="007C4F25">
        <w:t>73</w:t>
      </w:r>
      <w:r w:rsidRPr="008F7A77">
        <w:t>), Other Diseases (n=</w:t>
      </w:r>
      <w:r w:rsidR="007C4F25">
        <w:t>20</w:t>
      </w:r>
      <w:r>
        <w:t>8</w:t>
      </w:r>
      <w:r w:rsidRPr="008F7A77">
        <w:t>).</w:t>
      </w:r>
    </w:p>
    <w:p w14:paraId="7FD7DD17" w14:textId="3CF8E8F9" w:rsidR="002A683D" w:rsidRPr="008F7A77" w:rsidRDefault="002A683D" w:rsidP="002A683D">
      <w:pPr>
        <w:pStyle w:val="FigureNote"/>
      </w:pPr>
      <w:r w:rsidRPr="008F7A77">
        <w:t>HL</w:t>
      </w:r>
      <w:r w:rsidR="00B32619">
        <w:t>2b</w:t>
      </w:r>
      <w:r w:rsidRPr="008F7A77">
        <w:tab/>
      </w:r>
      <w:r w:rsidR="00B32619" w:rsidRPr="008D3AAC">
        <w:rPr>
          <w:rFonts w:cs="Arial"/>
          <w:szCs w:val="16"/>
        </w:rPr>
        <w:t>Who was your MAIN healthcare provider</w:t>
      </w:r>
      <w:r w:rsidRPr="008F7A77">
        <w:t>?</w:t>
      </w:r>
    </w:p>
    <w:p w14:paraId="4A709DB0" w14:textId="5007B9C6" w:rsidR="005B19A0" w:rsidRDefault="002A683D" w:rsidP="002A683D">
      <w:pPr>
        <w:pStyle w:val="FigureNote"/>
      </w:pPr>
      <w:r w:rsidRPr="008F7A77">
        <w:t>Note:</w:t>
      </w:r>
      <w:r w:rsidRPr="008F7A77">
        <w:tab/>
        <w:t>Don’t know and Refused responses excluded from base. Asterisks indicate statistically significant difference (single asterisk (*) indicates a lower proportion; double asterisk (**) indicates</w:t>
      </w:r>
      <w:r w:rsidR="003E25AE">
        <w:t xml:space="preserve"> a higher proportion) (p-value &lt;=0.05).</w:t>
      </w:r>
    </w:p>
    <w:p w14:paraId="2E6257AF" w14:textId="77777777" w:rsidR="004027F1" w:rsidRDefault="004027F1">
      <w:pPr>
        <w:rPr>
          <w:rFonts w:eastAsiaTheme="majorEastAsia" w:cstheme="majorBidi"/>
          <w:b/>
          <w:bCs/>
          <w:color w:val="1F688D"/>
          <w:sz w:val="32"/>
          <w:szCs w:val="26"/>
        </w:rPr>
      </w:pPr>
      <w:r>
        <w:br w:type="page"/>
      </w:r>
    </w:p>
    <w:p w14:paraId="0A8875DE" w14:textId="0ACB254B" w:rsidR="005B19A0" w:rsidRDefault="00FA7A15" w:rsidP="005B19A0">
      <w:pPr>
        <w:pStyle w:val="Heading2"/>
      </w:pPr>
      <w:bookmarkStart w:id="122" w:name="_Toc528056042"/>
      <w:r>
        <w:lastRenderedPageBreak/>
        <w:t xml:space="preserve">Healthcare </w:t>
      </w:r>
      <w:r w:rsidR="00FC415A">
        <w:t>p</w:t>
      </w:r>
      <w:r>
        <w:t>rovider</w:t>
      </w:r>
      <w:r w:rsidR="005B19A0">
        <w:t xml:space="preserve"> </w:t>
      </w:r>
      <w:r w:rsidR="00FC415A">
        <w:t>c</w:t>
      </w:r>
      <w:r w:rsidR="005B19A0">
        <w:t>ommunications</w:t>
      </w:r>
      <w:bookmarkEnd w:id="122"/>
    </w:p>
    <w:p w14:paraId="16E0F110" w14:textId="62082625" w:rsidR="00300DB3" w:rsidRDefault="00300DB3" w:rsidP="00300DB3">
      <w:pPr>
        <w:pStyle w:val="Body"/>
      </w:pPr>
      <w:r>
        <w:t xml:space="preserve">Respondents who </w:t>
      </w:r>
      <w:r w:rsidR="004F6F8C">
        <w:t>reported they had</w:t>
      </w:r>
      <w:r>
        <w:t xml:space="preserve"> seen a General Practitioner (GP) for treatment of their work</w:t>
      </w:r>
      <w:r w:rsidR="00F61F8D">
        <w:noBreakHyphen/>
      </w:r>
      <w:r>
        <w:t>related injury or illness were asked</w:t>
      </w:r>
      <w:r w:rsidR="005F43BA">
        <w:t xml:space="preserve"> to indicate whether the GP had:</w:t>
      </w:r>
    </w:p>
    <w:p w14:paraId="4E8C9E7F" w14:textId="31C5D388" w:rsidR="00300DB3" w:rsidRDefault="004F6F8C" w:rsidP="004F6F8C">
      <w:pPr>
        <w:pStyle w:val="Body"/>
        <w:numPr>
          <w:ilvl w:val="0"/>
          <w:numId w:val="34"/>
        </w:numPr>
      </w:pPr>
      <w:r>
        <w:t>D</w:t>
      </w:r>
      <w:r w:rsidR="00300DB3">
        <w:t xml:space="preserve">iscussed workplace demands </w:t>
      </w:r>
    </w:p>
    <w:p w14:paraId="03A94402" w14:textId="2B4952D1" w:rsidR="00300DB3" w:rsidRDefault="004F6F8C" w:rsidP="004F6F8C">
      <w:pPr>
        <w:pStyle w:val="Body"/>
        <w:numPr>
          <w:ilvl w:val="0"/>
          <w:numId w:val="34"/>
        </w:numPr>
      </w:pPr>
      <w:r>
        <w:t>D</w:t>
      </w:r>
      <w:r w:rsidR="00300DB3">
        <w:t>iscussed the types of activities or things the worker is able to do</w:t>
      </w:r>
    </w:p>
    <w:p w14:paraId="0FA2BA5A" w14:textId="51605828" w:rsidR="00300DB3" w:rsidRDefault="004F6F8C" w:rsidP="004F6F8C">
      <w:pPr>
        <w:pStyle w:val="Body"/>
        <w:numPr>
          <w:ilvl w:val="0"/>
          <w:numId w:val="34"/>
        </w:numPr>
      </w:pPr>
      <w:r>
        <w:t>P</w:t>
      </w:r>
      <w:r w:rsidR="00300DB3">
        <w:t>rovided a date that the worker is likely to return to work</w:t>
      </w:r>
    </w:p>
    <w:p w14:paraId="70D3B5F5" w14:textId="4C9FCA7E" w:rsidR="00300DB3" w:rsidRDefault="004F6F8C" w:rsidP="004F6F8C">
      <w:pPr>
        <w:pStyle w:val="Body"/>
        <w:numPr>
          <w:ilvl w:val="0"/>
          <w:numId w:val="34"/>
        </w:numPr>
      </w:pPr>
      <w:r>
        <w:t>R</w:t>
      </w:r>
      <w:r w:rsidR="00300DB3">
        <w:t>egularly discussed progress for returning to work</w:t>
      </w:r>
    </w:p>
    <w:p w14:paraId="04F858BE" w14:textId="4A3DE13F" w:rsidR="00300DB3" w:rsidRDefault="004F6F8C" w:rsidP="004F6F8C">
      <w:pPr>
        <w:pStyle w:val="Body"/>
        <w:numPr>
          <w:ilvl w:val="0"/>
          <w:numId w:val="34"/>
        </w:numPr>
      </w:pPr>
      <w:r>
        <w:t>D</w:t>
      </w:r>
      <w:r w:rsidR="00300DB3">
        <w:t>iscussed potential bar</w:t>
      </w:r>
      <w:r>
        <w:t>riers to returning to work</w:t>
      </w:r>
    </w:p>
    <w:p w14:paraId="46711151" w14:textId="5794069F" w:rsidR="00300DB3" w:rsidRDefault="004F6F8C" w:rsidP="004F6F8C">
      <w:pPr>
        <w:pStyle w:val="Body"/>
        <w:numPr>
          <w:ilvl w:val="0"/>
          <w:numId w:val="34"/>
        </w:numPr>
      </w:pPr>
      <w:r>
        <w:t>R</w:t>
      </w:r>
      <w:r w:rsidR="00300DB3">
        <w:t>ecommende</w:t>
      </w:r>
      <w:r>
        <w:t>d activity as part of recovery</w:t>
      </w:r>
    </w:p>
    <w:p w14:paraId="62BE3B7A" w14:textId="048B2810" w:rsidR="004F6F8C" w:rsidRDefault="004F6F8C" w:rsidP="004F6F8C">
      <w:pPr>
        <w:pStyle w:val="Body"/>
      </w:pPr>
      <w:r>
        <w:t>R</w:t>
      </w:r>
      <w:r w:rsidRPr="00C35B7D">
        <w:t xml:space="preserve">espondents who </w:t>
      </w:r>
      <w:r>
        <w:t>nominated a</w:t>
      </w:r>
      <w:r w:rsidRPr="00C35B7D">
        <w:t xml:space="preserve"> healthcare provide</w:t>
      </w:r>
      <w:r>
        <w:t xml:space="preserve">r other than a GP as their main provider were </w:t>
      </w:r>
      <w:r w:rsidRPr="00C35B7D">
        <w:t xml:space="preserve">also asked to respond </w:t>
      </w:r>
      <w:r>
        <w:t xml:space="preserve">to </w:t>
      </w:r>
      <w:r w:rsidRPr="00C35B7D">
        <w:t xml:space="preserve">the same six statements in relation to their main provider. </w:t>
      </w:r>
      <w:r w:rsidR="00300DB3">
        <w:t xml:space="preserve">For each </w:t>
      </w:r>
      <w:r w:rsidR="00300DB3" w:rsidRPr="00C35B7D">
        <w:t xml:space="preserve">action the GP </w:t>
      </w:r>
      <w:r>
        <w:t xml:space="preserve">or other healthcare provider </w:t>
      </w:r>
      <w:r w:rsidR="00300DB3" w:rsidRPr="00C35B7D">
        <w:t xml:space="preserve">had performed a score of 1 was allocated. </w:t>
      </w:r>
      <w:r w:rsidRPr="00C35B7D">
        <w:t xml:space="preserve">The average </w:t>
      </w:r>
      <w:r w:rsidR="00B53A90">
        <w:t xml:space="preserve">scores for GPs and other (main) healthcare providers </w:t>
      </w:r>
      <w:r w:rsidR="00B64B1D">
        <w:t xml:space="preserve">(with a range of 0 to 6) </w:t>
      </w:r>
      <w:r w:rsidR="00B53A90">
        <w:t xml:space="preserve">are </w:t>
      </w:r>
      <w:r w:rsidRPr="00C35B7D">
        <w:t>presente</w:t>
      </w:r>
      <w:r>
        <w:t>d in</w:t>
      </w:r>
      <w:r w:rsidR="00B53A90">
        <w:t xml:space="preserve"> Figure </w:t>
      </w:r>
      <w:r w:rsidR="006C4EDE">
        <w:t>29</w:t>
      </w:r>
      <w:r w:rsidR="00F61F8D">
        <w:t xml:space="preserve"> </w:t>
      </w:r>
      <w:r w:rsidR="004027F1">
        <w:t>(overleaf)</w:t>
      </w:r>
      <w:r w:rsidR="00B53A90">
        <w:t>.</w:t>
      </w:r>
    </w:p>
    <w:p w14:paraId="421749D6" w14:textId="20FF99D6" w:rsidR="00B64B1D" w:rsidRDefault="00B64B1D" w:rsidP="004F6F8C">
      <w:pPr>
        <w:pStyle w:val="Body"/>
      </w:pPr>
      <w:r>
        <w:t>Overall, other healthcare providers (</w:t>
      </w:r>
      <w:r w:rsidR="00BE20F5">
        <w:t>5.0</w:t>
      </w:r>
      <w:r>
        <w:t xml:space="preserve">) scored higher than GPs (4.3). This </w:t>
      </w:r>
      <w:r w:rsidR="000F6B4C">
        <w:t>pattern was evident (to</w:t>
      </w:r>
      <w:r w:rsidR="00F61F8D">
        <w:t> </w:t>
      </w:r>
      <w:r w:rsidR="000F6B4C">
        <w:t>varying degrees) i</w:t>
      </w:r>
      <w:r>
        <w:t>n all jurisdiction</w:t>
      </w:r>
      <w:r w:rsidR="000F6B4C">
        <w:t xml:space="preserve"> result</w:t>
      </w:r>
      <w:r>
        <w:t xml:space="preserve">s and for all </w:t>
      </w:r>
      <w:r w:rsidR="0025300B">
        <w:t>injury/illness</w:t>
      </w:r>
      <w:r>
        <w:t xml:space="preserve"> types.</w:t>
      </w:r>
    </w:p>
    <w:p w14:paraId="08897E5A" w14:textId="78F1CFEF" w:rsidR="004027F1" w:rsidRDefault="00B64B1D" w:rsidP="00B64B1D">
      <w:pPr>
        <w:pStyle w:val="Body"/>
      </w:pPr>
      <w:r w:rsidRPr="00C35B7D">
        <w:t xml:space="preserve">Several jurisdictions had </w:t>
      </w:r>
      <w:r>
        <w:t xml:space="preserve">a </w:t>
      </w:r>
      <w:r w:rsidRPr="00C35B7D">
        <w:t>significantly higher average GP communications score</w:t>
      </w:r>
      <w:r>
        <w:t xml:space="preserve"> – ACT (5.0), </w:t>
      </w:r>
      <w:r w:rsidRPr="00C35B7D">
        <w:t>Tasmania</w:t>
      </w:r>
      <w:r w:rsidR="004027F1">
        <w:t xml:space="preserve"> (4.6), </w:t>
      </w:r>
      <w:r w:rsidRPr="00C35B7D">
        <w:t xml:space="preserve">NSW </w:t>
      </w:r>
      <w:r w:rsidR="004027F1">
        <w:t xml:space="preserve">(4.6) </w:t>
      </w:r>
      <w:r w:rsidRPr="00C35B7D">
        <w:t>and C</w:t>
      </w:r>
      <w:r w:rsidR="004027F1">
        <w:t xml:space="preserve">omcare (4.5) </w:t>
      </w:r>
      <w:r w:rsidRPr="00C35B7D">
        <w:t>while Queensland was significantly lower</w:t>
      </w:r>
      <w:r w:rsidR="004027F1">
        <w:t xml:space="preserve"> with an average of 3.9 positive communications from GPs</w:t>
      </w:r>
      <w:r w:rsidRPr="00C35B7D">
        <w:t>.</w:t>
      </w:r>
      <w:r w:rsidR="004027F1">
        <w:t xml:space="preserve"> </w:t>
      </w:r>
      <w:r>
        <w:t xml:space="preserve">No </w:t>
      </w:r>
      <w:r w:rsidR="004027F1">
        <w:t xml:space="preserve">statistically </w:t>
      </w:r>
      <w:r>
        <w:t>significant differences were observed between jurisdi</w:t>
      </w:r>
      <w:r w:rsidR="004027F1">
        <w:t>ctions for the average score for other main healthcare providers.</w:t>
      </w:r>
    </w:p>
    <w:p w14:paraId="7A64FB6B" w14:textId="7C98EA95" w:rsidR="00B64B1D" w:rsidRDefault="004027F1" w:rsidP="00B64B1D">
      <w:pPr>
        <w:pStyle w:val="Body"/>
      </w:pPr>
      <w:r>
        <w:t xml:space="preserve">Differences were also observed between </w:t>
      </w:r>
      <w:r w:rsidR="0025300B">
        <w:t>injury/illness</w:t>
      </w:r>
      <w:r>
        <w:t xml:space="preserve"> type sub-groups. Those who experienced mental illness (4.7) or musculoskeletal disorders (4.5) reported a significantly higher average number of positive communications from their GP, while those who experienced other trauma (4.0) reported a significantly lower average.</w:t>
      </w:r>
      <w:r w:rsidR="000F6B4C">
        <w:t xml:space="preserve"> No statistically significant differences were observed between </w:t>
      </w:r>
      <w:r w:rsidR="0025300B">
        <w:t>injury/illness</w:t>
      </w:r>
      <w:r w:rsidR="000F6B4C">
        <w:t xml:space="preserve"> type sub-groups for the average score for other main healthcare providers.</w:t>
      </w:r>
    </w:p>
    <w:p w14:paraId="623AF4B8" w14:textId="77777777" w:rsidR="004027F1" w:rsidRDefault="004027F1">
      <w:pPr>
        <w:rPr>
          <w:rFonts w:eastAsia="Times New Roman" w:cs="Arial"/>
          <w:b/>
          <w:bCs/>
          <w:color w:val="1F688D"/>
          <w:szCs w:val="18"/>
        </w:rPr>
      </w:pPr>
      <w:r>
        <w:br w:type="page"/>
      </w:r>
    </w:p>
    <w:p w14:paraId="054FF492" w14:textId="78E2EAA9" w:rsidR="004F6F8C" w:rsidRDefault="004F6F8C" w:rsidP="004F6F8C">
      <w:pPr>
        <w:pStyle w:val="Caption"/>
      </w:pPr>
      <w:bookmarkStart w:id="123" w:name="_Toc528056596"/>
      <w:r>
        <w:lastRenderedPageBreak/>
        <w:t xml:space="preserve">Figure </w:t>
      </w:r>
      <w:r w:rsidR="006F2BDD">
        <w:rPr>
          <w:noProof/>
        </w:rPr>
        <w:fldChar w:fldCharType="begin"/>
      </w:r>
      <w:r w:rsidR="006F2BDD">
        <w:rPr>
          <w:noProof/>
        </w:rPr>
        <w:instrText xml:space="preserve"> SEQ Figure \* ARABIC </w:instrText>
      </w:r>
      <w:r w:rsidR="006F2BDD">
        <w:rPr>
          <w:noProof/>
        </w:rPr>
        <w:fldChar w:fldCharType="separate"/>
      </w:r>
      <w:r w:rsidR="00B9340A">
        <w:rPr>
          <w:noProof/>
        </w:rPr>
        <w:t>29</w:t>
      </w:r>
      <w:r w:rsidR="006F2BDD">
        <w:rPr>
          <w:noProof/>
        </w:rPr>
        <w:fldChar w:fldCharType="end"/>
      </w:r>
      <w:r w:rsidR="00E704B8">
        <w:tab/>
        <w:t>GP and Main healthcare provider communications – 2018 (</w:t>
      </w:r>
      <w:r w:rsidR="00FD3931">
        <w:t>a</w:t>
      </w:r>
      <w:r w:rsidR="00E704B8">
        <w:t>verage positive communications)</w:t>
      </w:r>
      <w:bookmarkEnd w:id="123"/>
    </w:p>
    <w:p w14:paraId="66C04AAD" w14:textId="614FC5DB" w:rsidR="004F6F8C" w:rsidRPr="004F6F8C" w:rsidRDefault="00B53A90" w:rsidP="004F6F8C">
      <w:pPr>
        <w:pStyle w:val="Body"/>
      </w:pPr>
      <w:r>
        <w:rPr>
          <w:noProof/>
          <w:color w:val="FF0000"/>
          <w:lang w:eastAsia="en-AU"/>
        </w:rPr>
        <w:drawing>
          <wp:inline distT="0" distB="0" distL="0" distR="0" wp14:anchorId="4C663BCC" wp14:editId="74F6F36A">
            <wp:extent cx="5759450" cy="4680000"/>
            <wp:effectExtent l="0" t="0" r="12700" b="6350"/>
            <wp:docPr id="201" name="Chart 201" descr="This chart presents the average positive communications reported by workers for their GP and main healthcare provider, by jurisdiction and injury/illness type. Discussion of the findings is above the table."/>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C5BFCF4" w14:textId="726CC06C" w:rsidR="004027F1" w:rsidRPr="008F7A77" w:rsidRDefault="004027F1" w:rsidP="004027F1">
      <w:pPr>
        <w:pStyle w:val="FigureNote"/>
        <w:spacing w:before="120"/>
      </w:pPr>
      <w:r w:rsidRPr="008F7A77">
        <w:t xml:space="preserve">Base: </w:t>
      </w:r>
      <w:r w:rsidRPr="008F7A77">
        <w:tab/>
      </w:r>
      <w:r>
        <w:t>Re</w:t>
      </w:r>
      <w:r w:rsidRPr="008F7A77">
        <w:t>spondents</w:t>
      </w:r>
      <w:r>
        <w:t xml:space="preserve"> who saw a</w:t>
      </w:r>
      <w:r w:rsidR="00130C5F">
        <w:t xml:space="preserve"> GP</w:t>
      </w:r>
      <w:r>
        <w:t>.</w:t>
      </w:r>
      <w:r w:rsidR="00AA5106">
        <w:t xml:space="preserve"> Total (n=3,872),</w:t>
      </w:r>
      <w:r>
        <w:t xml:space="preserve"> </w:t>
      </w:r>
      <w:r w:rsidRPr="008F7A77">
        <w:t>ACT (n=1</w:t>
      </w:r>
      <w:r>
        <w:t>2</w:t>
      </w:r>
      <w:r w:rsidR="00130C5F">
        <w:t>8</w:t>
      </w:r>
      <w:r w:rsidRPr="008F7A77">
        <w:t>), Comcare (n=</w:t>
      </w:r>
      <w:r w:rsidR="00130C5F">
        <w:t>650</w:t>
      </w:r>
      <w:r w:rsidRPr="008F7A77">
        <w:t>), NSW (n=</w:t>
      </w:r>
      <w:r w:rsidR="00130C5F">
        <w:t>729</w:t>
      </w:r>
      <w:r w:rsidRPr="008F7A77">
        <w:t>), NT (n=</w:t>
      </w:r>
      <w:r w:rsidR="00130C5F">
        <w:t>109</w:t>
      </w:r>
      <w:r w:rsidRPr="008F7A77">
        <w:t>), QLD (n=</w:t>
      </w:r>
      <w:r w:rsidR="00130C5F">
        <w:t>677</w:t>
      </w:r>
      <w:r w:rsidRPr="008F7A77">
        <w:t>), Seacare (n=</w:t>
      </w:r>
      <w:r>
        <w:t>5</w:t>
      </w:r>
      <w:r w:rsidR="00130C5F">
        <w:t>3</w:t>
      </w:r>
      <w:r w:rsidRPr="008F7A77">
        <w:t>), TAS (n=</w:t>
      </w:r>
      <w:r>
        <w:t>4</w:t>
      </w:r>
      <w:r w:rsidR="00130C5F">
        <w:t>23</w:t>
      </w:r>
      <w:r w:rsidRPr="008F7A77">
        <w:t>), WA (n=</w:t>
      </w:r>
      <w:r>
        <w:t>4</w:t>
      </w:r>
      <w:r w:rsidR="00130C5F">
        <w:t>17</w:t>
      </w:r>
      <w:r w:rsidRPr="008F7A77">
        <w:t>), VIC (n=</w:t>
      </w:r>
      <w:r w:rsidR="00130C5F">
        <w:t>686</w:t>
      </w:r>
      <w:r w:rsidRPr="008F7A77">
        <w:t>), Fractures (n=</w:t>
      </w:r>
      <w:r>
        <w:t>5</w:t>
      </w:r>
      <w:r w:rsidR="00130C5F">
        <w:t>02</w:t>
      </w:r>
      <w:r w:rsidRPr="008F7A77">
        <w:t>), Musculoskeletal Disorders (n=2,</w:t>
      </w:r>
      <w:r w:rsidR="00130C5F">
        <w:t>304</w:t>
      </w:r>
      <w:r w:rsidRPr="008F7A77">
        <w:t>), Other Trauma (n=</w:t>
      </w:r>
      <w:r w:rsidR="00130C5F">
        <w:t>628</w:t>
      </w:r>
      <w:r w:rsidRPr="008F7A77">
        <w:t>), Mental Illness (n=2</w:t>
      </w:r>
      <w:r w:rsidR="00130C5F">
        <w:t>53</w:t>
      </w:r>
      <w:r w:rsidRPr="008F7A77">
        <w:t>), Other Diseases (n=</w:t>
      </w:r>
      <w:r w:rsidR="00130C5F">
        <w:t>1</w:t>
      </w:r>
      <w:r>
        <w:t>8</w:t>
      </w:r>
      <w:r w:rsidR="00130C5F">
        <w:t>5</w:t>
      </w:r>
      <w:r w:rsidRPr="008F7A77">
        <w:t>).</w:t>
      </w:r>
    </w:p>
    <w:p w14:paraId="3003F0DC" w14:textId="0670B526" w:rsidR="004027F1" w:rsidRDefault="004027F1" w:rsidP="004027F1">
      <w:pPr>
        <w:pStyle w:val="FigureNote"/>
      </w:pPr>
      <w:r w:rsidRPr="008F7A77">
        <w:t>HL</w:t>
      </w:r>
      <w:r w:rsidR="00130C5F">
        <w:t>3a</w:t>
      </w:r>
      <w:r w:rsidRPr="008F7A77">
        <w:tab/>
      </w:r>
      <w:r w:rsidR="00130C5F" w:rsidRPr="00130C5F">
        <w:t>Has your GP</w:t>
      </w:r>
      <w:r w:rsidR="00130C5F">
        <w:t>…</w:t>
      </w:r>
      <w:r w:rsidRPr="008F7A77">
        <w:t>?</w:t>
      </w:r>
    </w:p>
    <w:p w14:paraId="7A147323" w14:textId="72847707" w:rsidR="00130C5F" w:rsidRPr="008F7A77" w:rsidRDefault="00130C5F" w:rsidP="00130C5F">
      <w:pPr>
        <w:pStyle w:val="FigureNote"/>
        <w:spacing w:before="120"/>
      </w:pPr>
      <w:r w:rsidRPr="008F7A77">
        <w:t xml:space="preserve">Base: </w:t>
      </w:r>
      <w:r w:rsidRPr="008F7A77">
        <w:tab/>
      </w:r>
      <w:r>
        <w:t>Re</w:t>
      </w:r>
      <w:r w:rsidRPr="008F7A77">
        <w:t>spondents</w:t>
      </w:r>
      <w:r>
        <w:t xml:space="preserve"> who </w:t>
      </w:r>
      <w:r w:rsidR="000F6B4C">
        <w:t>nominated a healthcare provider other than a GP as their main provider</w:t>
      </w:r>
      <w:r>
        <w:t xml:space="preserve">. </w:t>
      </w:r>
      <w:r w:rsidRPr="008F7A77">
        <w:t>ACT (n=</w:t>
      </w:r>
      <w:r w:rsidR="000F6B4C">
        <w:t>43</w:t>
      </w:r>
      <w:r w:rsidRPr="008F7A77">
        <w:t>), Comcare (n=</w:t>
      </w:r>
      <w:r w:rsidR="000F6B4C">
        <w:t>309</w:t>
      </w:r>
      <w:r w:rsidRPr="008F7A77">
        <w:t>), NSW (n=</w:t>
      </w:r>
      <w:r w:rsidR="000F6B4C">
        <w:t>308</w:t>
      </w:r>
      <w:r w:rsidRPr="008F7A77">
        <w:t>), NT (n=</w:t>
      </w:r>
      <w:r w:rsidR="000F6B4C">
        <w:t>6</w:t>
      </w:r>
      <w:r>
        <w:t>9</w:t>
      </w:r>
      <w:r w:rsidRPr="008F7A77">
        <w:t>), QLD (n=</w:t>
      </w:r>
      <w:r w:rsidR="000F6B4C">
        <w:t>383</w:t>
      </w:r>
      <w:r w:rsidRPr="008F7A77">
        <w:t>), Seacare (n=</w:t>
      </w:r>
      <w:r w:rsidR="000F6B4C">
        <w:t>30</w:t>
      </w:r>
      <w:r w:rsidRPr="008F7A77">
        <w:t>), TAS (n=</w:t>
      </w:r>
      <w:r w:rsidR="000F6B4C">
        <w:t>150</w:t>
      </w:r>
      <w:r w:rsidRPr="008F7A77">
        <w:t>), WA (n=</w:t>
      </w:r>
      <w:r w:rsidR="000F6B4C">
        <w:t>205</w:t>
      </w:r>
      <w:r w:rsidRPr="008F7A77">
        <w:t>), VIC (n=</w:t>
      </w:r>
      <w:r w:rsidR="000F6B4C">
        <w:t>365</w:t>
      </w:r>
      <w:r w:rsidRPr="008F7A77">
        <w:t>), Fractures (n=</w:t>
      </w:r>
      <w:r w:rsidR="000F6B4C">
        <w:t>286</w:t>
      </w:r>
      <w:r w:rsidRPr="008F7A77">
        <w:t>), Musculoskeletal Disorders (n=</w:t>
      </w:r>
      <w:r w:rsidR="000F6B4C">
        <w:t>1,107</w:t>
      </w:r>
      <w:r w:rsidRPr="008F7A77">
        <w:t>), Other Trauma (n=</w:t>
      </w:r>
      <w:r w:rsidR="000F6B4C">
        <w:t>294</w:t>
      </w:r>
      <w:r w:rsidRPr="008F7A77">
        <w:t>), Mental Illness (n=</w:t>
      </w:r>
      <w:r w:rsidR="000F6B4C">
        <w:t>92</w:t>
      </w:r>
      <w:r w:rsidRPr="008F7A77">
        <w:t>), Other Diseases (n=</w:t>
      </w:r>
      <w:r w:rsidR="000F6B4C">
        <w:t>83</w:t>
      </w:r>
      <w:r w:rsidRPr="008F7A77">
        <w:t>).</w:t>
      </w:r>
    </w:p>
    <w:p w14:paraId="7D91FB46" w14:textId="156D75B8" w:rsidR="00130C5F" w:rsidRPr="008F7A77" w:rsidRDefault="00130C5F" w:rsidP="00130C5F">
      <w:pPr>
        <w:pStyle w:val="FigureNote"/>
      </w:pPr>
      <w:r w:rsidRPr="008F7A77">
        <w:t>HL</w:t>
      </w:r>
      <w:r>
        <w:t>3a</w:t>
      </w:r>
      <w:r w:rsidRPr="008F7A77">
        <w:tab/>
      </w:r>
      <w:r w:rsidR="000F6B4C" w:rsidRPr="000F6B4C">
        <w:t>Has your main healthcare provide</w:t>
      </w:r>
      <w:r w:rsidR="000F6B4C">
        <w:t>r</w:t>
      </w:r>
      <w:r>
        <w:t>…</w:t>
      </w:r>
      <w:r w:rsidRPr="008F7A77">
        <w:t>?</w:t>
      </w:r>
    </w:p>
    <w:p w14:paraId="0D41AE5E" w14:textId="4D3610FB" w:rsidR="00B32619" w:rsidRDefault="004027F1" w:rsidP="004027F1">
      <w:pPr>
        <w:pStyle w:val="FigureNote"/>
      </w:pPr>
      <w:r w:rsidRPr="008F7A77">
        <w:t>Note:</w:t>
      </w:r>
      <w:r w:rsidRPr="008F7A77">
        <w:tab/>
        <w:t>Don’t know and Refused responses excluded from base. Asterisks indicate statistically significant difference (single asterisk (*) indicates a lower proportion; double asterisk (**)</w:t>
      </w:r>
      <w:r w:rsidR="003E25AE">
        <w:t xml:space="preserve"> indicates a higher proportion) (p-value &lt;=0.05).</w:t>
      </w:r>
    </w:p>
    <w:p w14:paraId="164EB0EE" w14:textId="584C7748" w:rsidR="004027F1" w:rsidRDefault="004027F1" w:rsidP="004027F1">
      <w:pPr>
        <w:pStyle w:val="FigureNote"/>
      </w:pPr>
    </w:p>
    <w:p w14:paraId="0888D722" w14:textId="77777777" w:rsidR="00FD3931" w:rsidRDefault="00FD3931" w:rsidP="004027F1">
      <w:pPr>
        <w:pStyle w:val="FigureNote"/>
      </w:pPr>
    </w:p>
    <w:p w14:paraId="2BCB0326" w14:textId="77777777" w:rsidR="00B32619" w:rsidRDefault="00B32619" w:rsidP="00B32619">
      <w:pPr>
        <w:pStyle w:val="Heading2"/>
        <w:spacing w:before="0"/>
        <w:ind w:left="794" w:hanging="794"/>
      </w:pPr>
      <w:bookmarkStart w:id="124" w:name="_Toc528056043"/>
      <w:r>
        <w:t>Stressful interactions (with healthcare provider)</w:t>
      </w:r>
      <w:bookmarkEnd w:id="124"/>
    </w:p>
    <w:p w14:paraId="41DAAB88" w14:textId="08BD6191" w:rsidR="00E6590C" w:rsidRPr="003B73B7" w:rsidRDefault="003B73B7" w:rsidP="00E6590C">
      <w:pPr>
        <w:pStyle w:val="Body"/>
      </w:pPr>
      <w:r>
        <w:t>R</w:t>
      </w:r>
      <w:r w:rsidR="00B32619">
        <w:t xml:space="preserve">espondents were asked to rate how stressful their interactions with </w:t>
      </w:r>
      <w:r>
        <w:t xml:space="preserve">healthcare providers </w:t>
      </w:r>
      <w:r w:rsidR="00B32619">
        <w:t>were</w:t>
      </w:r>
      <w:r>
        <w:t xml:space="preserve">, using </w:t>
      </w:r>
      <w:r w:rsidR="00B32619">
        <w:t xml:space="preserve">a five-point scale from ‘Extremely stressful’ to ‘Not at all stressful’. As shown in </w:t>
      </w:r>
      <w:r>
        <w:t>Figure 3</w:t>
      </w:r>
      <w:r w:rsidR="007F3FC9">
        <w:t>0 (overleaf)</w:t>
      </w:r>
      <w:r w:rsidR="00E6590C" w:rsidRPr="007F3FC9">
        <w:t>, a</w:t>
      </w:r>
      <w:r w:rsidR="00626857">
        <w:t> </w:t>
      </w:r>
      <w:r w:rsidR="00E6590C" w:rsidRPr="007F3FC9">
        <w:t>low</w:t>
      </w:r>
      <w:r w:rsidR="00E6590C" w:rsidRPr="00E6590C">
        <w:rPr>
          <w:color w:val="FF0000"/>
        </w:rPr>
        <w:t xml:space="preserve"> </w:t>
      </w:r>
      <w:r w:rsidR="00E6590C" w:rsidRPr="003B73B7">
        <w:t>proportion (11.</w:t>
      </w:r>
      <w:r w:rsidRPr="003B73B7">
        <w:t>0</w:t>
      </w:r>
      <w:r w:rsidR="00E6590C" w:rsidRPr="003B73B7">
        <w:t xml:space="preserve">%) of workers </w:t>
      </w:r>
      <w:r w:rsidRPr="003B73B7">
        <w:t xml:space="preserve">overall reported feeling that their interactions with healthcare providers were </w:t>
      </w:r>
      <w:r w:rsidR="00E6590C" w:rsidRPr="003B73B7">
        <w:t>stressful.</w:t>
      </w:r>
    </w:p>
    <w:p w14:paraId="7CF36123" w14:textId="0C5CB880" w:rsidR="00E6590C" w:rsidRPr="003B73B7" w:rsidRDefault="00E6590C" w:rsidP="00E6590C">
      <w:pPr>
        <w:pStyle w:val="Body"/>
      </w:pPr>
      <w:r w:rsidRPr="003B73B7">
        <w:t>Th</w:t>
      </w:r>
      <w:r w:rsidR="003B73B7" w:rsidRPr="003B73B7">
        <w:t xml:space="preserve">is feeling was largely consistent across jurisdictions with no </w:t>
      </w:r>
      <w:r w:rsidRPr="003B73B7">
        <w:t>statis</w:t>
      </w:r>
      <w:r w:rsidR="003B73B7" w:rsidRPr="003B73B7">
        <w:t xml:space="preserve">tically significant differences. Indicatively, it appears that </w:t>
      </w:r>
      <w:r w:rsidRPr="003B73B7">
        <w:t xml:space="preserve">workers from </w:t>
      </w:r>
      <w:r w:rsidR="003B73B7" w:rsidRPr="003B73B7">
        <w:t xml:space="preserve">Seacare were less </w:t>
      </w:r>
      <w:r w:rsidRPr="003B73B7">
        <w:t>likely to f</w:t>
      </w:r>
      <w:r w:rsidR="003B73B7" w:rsidRPr="003B73B7">
        <w:t>in</w:t>
      </w:r>
      <w:r w:rsidRPr="003B73B7">
        <w:t>d interactions with</w:t>
      </w:r>
      <w:r w:rsidR="003B73B7" w:rsidRPr="003B73B7">
        <w:t xml:space="preserve"> healthcare providers</w:t>
      </w:r>
      <w:r w:rsidRPr="003B73B7">
        <w:t xml:space="preserve"> stressful</w:t>
      </w:r>
      <w:r w:rsidR="003B73B7" w:rsidRPr="003B73B7">
        <w:t>, however the low sample size for Seacare means these results should be read with caution</w:t>
      </w:r>
      <w:r w:rsidRPr="003B73B7">
        <w:t>.</w:t>
      </w:r>
    </w:p>
    <w:p w14:paraId="1FE268AA" w14:textId="5F762748" w:rsidR="00E6590C" w:rsidRPr="003B73B7" w:rsidRDefault="00E6590C" w:rsidP="00E6590C">
      <w:pPr>
        <w:pStyle w:val="Body"/>
      </w:pPr>
      <w:r w:rsidRPr="003B73B7">
        <w:lastRenderedPageBreak/>
        <w:t xml:space="preserve">A clear difference </w:t>
      </w:r>
      <w:r w:rsidR="003B73B7" w:rsidRPr="003B73B7">
        <w:t xml:space="preserve">was </w:t>
      </w:r>
      <w:r w:rsidRPr="003B73B7">
        <w:t xml:space="preserve">evident within the </w:t>
      </w:r>
      <w:r w:rsidR="0025300B">
        <w:t>injury/illness</w:t>
      </w:r>
      <w:r w:rsidRPr="003B73B7">
        <w:t xml:space="preserve"> type sub-groups. Those who experienced mental illness were significantly more likely to have found </w:t>
      </w:r>
      <w:r w:rsidR="003B73B7" w:rsidRPr="003B73B7">
        <w:t xml:space="preserve">their </w:t>
      </w:r>
      <w:r w:rsidRPr="003B73B7">
        <w:t xml:space="preserve">interactions with </w:t>
      </w:r>
      <w:r w:rsidR="003B73B7" w:rsidRPr="003B73B7">
        <w:t>healthcare providers</w:t>
      </w:r>
      <w:r w:rsidRPr="003B73B7">
        <w:t xml:space="preserve"> stressful</w:t>
      </w:r>
      <w:r w:rsidR="003B73B7" w:rsidRPr="003B73B7">
        <w:t>, compared to those with other types of injury/illness</w:t>
      </w:r>
      <w:r w:rsidRPr="003B73B7">
        <w:t>. A quarter (25.</w:t>
      </w:r>
      <w:r w:rsidR="003B73B7" w:rsidRPr="003B73B7">
        <w:t>4</w:t>
      </w:r>
      <w:r w:rsidRPr="003B73B7">
        <w:t>%) of this cohort reported finding their</w:t>
      </w:r>
      <w:r w:rsidR="003B73B7" w:rsidRPr="003B73B7">
        <w:t xml:space="preserve"> healthcare provider </w:t>
      </w:r>
      <w:r w:rsidRPr="003B73B7">
        <w:t>interactions stressful, more than any other sub-group.</w:t>
      </w:r>
    </w:p>
    <w:p w14:paraId="68602DC8" w14:textId="6F127683" w:rsidR="006F6F27" w:rsidRDefault="006F6F27" w:rsidP="006F6F27">
      <w:pPr>
        <w:pStyle w:val="Caption"/>
      </w:pPr>
      <w:bookmarkStart w:id="125" w:name="_Toc528056597"/>
      <w:r>
        <w:t xml:space="preserve">Figure </w:t>
      </w:r>
      <w:r w:rsidR="006F2BDD">
        <w:rPr>
          <w:noProof/>
        </w:rPr>
        <w:fldChar w:fldCharType="begin"/>
      </w:r>
      <w:r w:rsidR="006F2BDD">
        <w:rPr>
          <w:noProof/>
        </w:rPr>
        <w:instrText xml:space="preserve"> SEQ Figure \* ARABIC </w:instrText>
      </w:r>
      <w:r w:rsidR="006F2BDD">
        <w:rPr>
          <w:noProof/>
        </w:rPr>
        <w:fldChar w:fldCharType="separate"/>
      </w:r>
      <w:r w:rsidR="00B9340A">
        <w:rPr>
          <w:noProof/>
        </w:rPr>
        <w:t>30</w:t>
      </w:r>
      <w:r w:rsidR="006F2BDD">
        <w:rPr>
          <w:noProof/>
        </w:rPr>
        <w:fldChar w:fldCharType="end"/>
      </w:r>
      <w:r>
        <w:tab/>
        <w:t xml:space="preserve">Stressful interactions with healthcare provider, by jurisdiction and </w:t>
      </w:r>
      <w:r w:rsidR="0025300B">
        <w:t>injury/illness</w:t>
      </w:r>
      <w:r>
        <w:t xml:space="preserve"> type – 2018 (% Extremely stressful / Quite a bit stressful)</w:t>
      </w:r>
      <w:bookmarkEnd w:id="125"/>
    </w:p>
    <w:p w14:paraId="57B2AA81" w14:textId="7C440DEC" w:rsidR="006F6F27" w:rsidRPr="006F6F27" w:rsidRDefault="006F6F27" w:rsidP="006F6F27">
      <w:pPr>
        <w:pStyle w:val="Body"/>
      </w:pPr>
      <w:r>
        <w:rPr>
          <w:noProof/>
          <w:color w:val="FF0000"/>
          <w:lang w:eastAsia="en-AU"/>
        </w:rPr>
        <w:drawing>
          <wp:inline distT="0" distB="0" distL="0" distR="0" wp14:anchorId="59D708A0" wp14:editId="612DBA27">
            <wp:extent cx="5759450" cy="3599815"/>
            <wp:effectExtent l="0" t="0" r="12700" b="635"/>
            <wp:docPr id="202" name="Chart 202" descr="This table presents the proportion of respondents who reported their interactions with their healthcare providers was extremely stressful or quite a bit stressful. Discussion of the findings is above th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43C71CF" w14:textId="23A343A8" w:rsidR="006F6F27" w:rsidRPr="008F7A77" w:rsidRDefault="006F6F27" w:rsidP="006F6F27">
      <w:pPr>
        <w:pStyle w:val="FigureNote"/>
        <w:spacing w:before="120"/>
      </w:pPr>
      <w:r w:rsidRPr="008F7A77">
        <w:t xml:space="preserve">Base: </w:t>
      </w:r>
      <w:r w:rsidRPr="008F7A77">
        <w:tab/>
      </w:r>
      <w:r>
        <w:t>Re</w:t>
      </w:r>
      <w:r w:rsidRPr="008F7A77">
        <w:t>spondents</w:t>
      </w:r>
      <w:r>
        <w:t xml:space="preserve"> who </w:t>
      </w:r>
      <w:r w:rsidR="005F2128">
        <w:t>saw any</w:t>
      </w:r>
      <w:r>
        <w:t xml:space="preserve"> healthcare provider. </w:t>
      </w:r>
      <w:r w:rsidR="004F5A9B">
        <w:t xml:space="preserve">Total (n=4,528), </w:t>
      </w:r>
      <w:r w:rsidRPr="008F7A77">
        <w:t>ACT (n=</w:t>
      </w:r>
      <w:r w:rsidR="005F2128">
        <w:t>149</w:t>
      </w:r>
      <w:r w:rsidRPr="008F7A77">
        <w:t>), Comcare (n=</w:t>
      </w:r>
      <w:r w:rsidR="005F2128">
        <w:t>761</w:t>
      </w:r>
      <w:r w:rsidRPr="008F7A77">
        <w:t>), NSW (n=</w:t>
      </w:r>
      <w:r>
        <w:t>8</w:t>
      </w:r>
      <w:r w:rsidR="005F2128">
        <w:t>53</w:t>
      </w:r>
      <w:r w:rsidRPr="008F7A77">
        <w:t>), NT (n=</w:t>
      </w:r>
      <w:r w:rsidR="005F2128">
        <w:t>148</w:t>
      </w:r>
      <w:r w:rsidRPr="008F7A77">
        <w:t>), QLD (n=</w:t>
      </w:r>
      <w:r w:rsidR="005F2128">
        <w:t>793</w:t>
      </w:r>
      <w:r w:rsidRPr="008F7A77">
        <w:t>), Seacare (n=</w:t>
      </w:r>
      <w:r w:rsidR="005F2128">
        <w:t>57</w:t>
      </w:r>
      <w:r w:rsidRPr="008F7A77">
        <w:t>), TAS (n=</w:t>
      </w:r>
      <w:r w:rsidR="005F2128">
        <w:t>472</w:t>
      </w:r>
      <w:r w:rsidRPr="008F7A77">
        <w:t>), WA (n=</w:t>
      </w:r>
      <w:r w:rsidR="005F2128">
        <w:t>503</w:t>
      </w:r>
      <w:r w:rsidRPr="008F7A77">
        <w:t>), VIC (n=</w:t>
      </w:r>
      <w:r w:rsidR="005F2128">
        <w:t>792</w:t>
      </w:r>
      <w:r w:rsidRPr="008F7A77">
        <w:t>), Fractures (n=</w:t>
      </w:r>
      <w:r>
        <w:t>6</w:t>
      </w:r>
      <w:r w:rsidR="005F2128">
        <w:t>23</w:t>
      </w:r>
      <w:r w:rsidRPr="008F7A77">
        <w:t>), Musculoskeletal Disorders (n=</w:t>
      </w:r>
      <w:r w:rsidR="005F2128">
        <w:t>2,641</w:t>
      </w:r>
      <w:r w:rsidRPr="008F7A77">
        <w:t>), Other Trauma (n=</w:t>
      </w:r>
      <w:r w:rsidR="005F2128">
        <w:t>772</w:t>
      </w:r>
      <w:r w:rsidRPr="008F7A77">
        <w:t>), Mental Illness (n=</w:t>
      </w:r>
      <w:r w:rsidR="005F2128">
        <w:t>275</w:t>
      </w:r>
      <w:r w:rsidRPr="008F7A77">
        <w:t>), Other Diseases (n=</w:t>
      </w:r>
      <w:r w:rsidR="005F2128">
        <w:t>217</w:t>
      </w:r>
      <w:r w:rsidRPr="008F7A77">
        <w:t>).</w:t>
      </w:r>
    </w:p>
    <w:p w14:paraId="6DE6BFFA" w14:textId="35E6DE94" w:rsidR="006F6F27" w:rsidRPr="008F7A77" w:rsidRDefault="006F6F27" w:rsidP="006F6F27">
      <w:pPr>
        <w:pStyle w:val="FigureNote"/>
      </w:pPr>
      <w:r w:rsidRPr="008F7A77">
        <w:t>HL</w:t>
      </w:r>
      <w:r w:rsidR="005F2128">
        <w:t>4</w:t>
      </w:r>
      <w:r w:rsidRPr="008F7A77">
        <w:tab/>
      </w:r>
      <w:r w:rsidR="005F2128" w:rsidRPr="00AE1C37">
        <w:rPr>
          <w:rFonts w:cs="Arial"/>
          <w:szCs w:val="16"/>
        </w:rPr>
        <w:t xml:space="preserve">Thinking about </w:t>
      </w:r>
      <w:r w:rsidR="005F2128" w:rsidRPr="00AE1C37">
        <w:rPr>
          <w:rFonts w:cs="Arial"/>
          <w:b/>
          <w:szCs w:val="16"/>
        </w:rPr>
        <w:t>all</w:t>
      </w:r>
      <w:r w:rsidR="005F2128" w:rsidRPr="00AE1C37">
        <w:rPr>
          <w:rFonts w:cs="Arial"/>
          <w:szCs w:val="16"/>
        </w:rPr>
        <w:t xml:space="preserve"> the healthcare providers you have seen, to what extent have your interactions with your healthcare provider(s) been stressful or not stressful</w:t>
      </w:r>
      <w:r w:rsidRPr="008F7A77">
        <w:t>?</w:t>
      </w:r>
    </w:p>
    <w:p w14:paraId="485FD959" w14:textId="2E363E8F" w:rsidR="006F6F27" w:rsidRDefault="006F6F27" w:rsidP="006F6F27">
      <w:pPr>
        <w:pStyle w:val="FigureNote"/>
      </w:pPr>
      <w:r w:rsidRPr="008F7A77">
        <w:t>Note:</w:t>
      </w:r>
      <w:r w:rsidRPr="008F7A77">
        <w:tab/>
        <w:t>Don’t know and Refused responses excluded from base. Asterisks indicate statistically significant difference (single asterisk (*) indicates a lower proportion; double asterisk (**)</w:t>
      </w:r>
      <w:r w:rsidR="003E25AE">
        <w:t xml:space="preserve"> indicates a higher proportion) (p-value &lt;=0.05).</w:t>
      </w:r>
    </w:p>
    <w:p w14:paraId="2324C4D7" w14:textId="5C1EC19E" w:rsidR="006F6F27" w:rsidRDefault="006F6F27">
      <w:pPr>
        <w:rPr>
          <w:rFonts w:eastAsia="Times New Roman" w:cs="Times New Roman"/>
          <w:szCs w:val="20"/>
        </w:rPr>
      </w:pPr>
    </w:p>
    <w:p w14:paraId="7FF29952" w14:textId="77777777" w:rsidR="006F6F27" w:rsidRDefault="006F6F27" w:rsidP="004046A8">
      <w:pPr>
        <w:pStyle w:val="Body"/>
        <w:sectPr w:rsidR="006F6F27" w:rsidSect="008E6918">
          <w:pgSz w:w="11906" w:h="16838" w:code="9"/>
          <w:pgMar w:top="1418" w:right="1418" w:bottom="1134" w:left="1418" w:header="567" w:footer="567" w:gutter="0"/>
          <w:pgNumType w:start="1"/>
          <w:cols w:space="708"/>
          <w:docGrid w:linePitch="360"/>
        </w:sectPr>
      </w:pPr>
    </w:p>
    <w:p w14:paraId="3E5DB85B" w14:textId="325DEA6A" w:rsidR="00CD39CA" w:rsidRDefault="00CD39CA" w:rsidP="00CD39CA">
      <w:pPr>
        <w:pStyle w:val="Heading1"/>
      </w:pPr>
      <w:bookmarkStart w:id="126" w:name="_Toc528056044"/>
      <w:r>
        <w:lastRenderedPageBreak/>
        <w:t>Compensation System Domain Measures</w:t>
      </w:r>
      <w:bookmarkEnd w:id="126"/>
    </w:p>
    <w:p w14:paraId="521A32E9" w14:textId="129832B8" w:rsidR="00CD39CA" w:rsidRDefault="003C4BE6" w:rsidP="00CD39CA">
      <w:pPr>
        <w:pStyle w:val="Body"/>
        <w:rPr>
          <w:rFonts w:cs="Arial"/>
        </w:rPr>
      </w:pPr>
      <w:r>
        <w:t>This section presents findings for new survey items related to the l</w:t>
      </w:r>
      <w:r>
        <w:rPr>
          <w:rFonts w:cs="Arial"/>
        </w:rPr>
        <w:t>egislative and insurance (workers’ compensation) system domain.</w:t>
      </w:r>
      <w:r w:rsidR="0037285E">
        <w:rPr>
          <w:rFonts w:cs="Arial"/>
        </w:rPr>
        <w:t xml:space="preserve"> In the model (see Section 1.5) this </w:t>
      </w:r>
      <w:r w:rsidR="0037285E">
        <w:t>domain includes a variety of parties in the return to work process including claims agents, insurers, regulatory authorities</w:t>
      </w:r>
      <w:r w:rsidR="004D7BB3">
        <w:t>,</w:t>
      </w:r>
      <w:r w:rsidR="0037285E">
        <w:t xml:space="preserve"> and other government and non-government agencies. Within the 2018 NRTWS the emphasis of measures for this domain were on claims agents and insurers.</w:t>
      </w:r>
    </w:p>
    <w:p w14:paraId="2FD0C681" w14:textId="283F702A" w:rsidR="003C4BE6" w:rsidRDefault="003C4BE6" w:rsidP="005755C8">
      <w:pPr>
        <w:pStyle w:val="Heading2"/>
      </w:pPr>
      <w:bookmarkStart w:id="127" w:name="_Toc528056045"/>
      <w:r>
        <w:t xml:space="preserve">Navigation </w:t>
      </w:r>
      <w:r w:rsidR="00FC415A">
        <w:t>s</w:t>
      </w:r>
      <w:r>
        <w:t>upport</w:t>
      </w:r>
      <w:bookmarkEnd w:id="127"/>
    </w:p>
    <w:p w14:paraId="08743BD3" w14:textId="24BECEBB" w:rsidR="00693C67" w:rsidRDefault="00E43C7C" w:rsidP="00CD39CA">
      <w:pPr>
        <w:pStyle w:val="Body"/>
        <w:rPr>
          <w:rFonts w:cs="Arial"/>
        </w:rPr>
      </w:pPr>
      <w:r>
        <w:rPr>
          <w:rFonts w:cs="Arial"/>
        </w:rPr>
        <w:t xml:space="preserve">The process of lodging a workers’ compensation claim can be complex – a lot </w:t>
      </w:r>
      <w:r w:rsidR="00247DCD">
        <w:rPr>
          <w:rFonts w:cs="Arial"/>
        </w:rPr>
        <w:t xml:space="preserve">of </w:t>
      </w:r>
      <w:r>
        <w:rPr>
          <w:rFonts w:cs="Arial"/>
        </w:rPr>
        <w:t xml:space="preserve">information needs to be provided and paperwork completed. That this </w:t>
      </w:r>
      <w:r w:rsidR="00816809">
        <w:rPr>
          <w:rFonts w:cs="Arial"/>
        </w:rPr>
        <w:t xml:space="preserve">comes at a time when someone has experienced an injury or illness can compound the </w:t>
      </w:r>
      <w:r w:rsidR="00247DCD">
        <w:rPr>
          <w:rFonts w:cs="Arial"/>
        </w:rPr>
        <w:t>complexity of the task</w:t>
      </w:r>
      <w:r w:rsidR="00816809">
        <w:rPr>
          <w:rFonts w:cs="Arial"/>
        </w:rPr>
        <w:t>. The 2018 NRTWS asked respondents about any support they had in navigating the workers’ compensation claim process.</w:t>
      </w:r>
    </w:p>
    <w:p w14:paraId="3AF5DF65" w14:textId="6CD65502" w:rsidR="00816809" w:rsidRDefault="00693C67" w:rsidP="00CD39CA">
      <w:pPr>
        <w:pStyle w:val="Body"/>
        <w:rPr>
          <w:rFonts w:cs="Arial"/>
        </w:rPr>
      </w:pPr>
      <w:r>
        <w:rPr>
          <w:rFonts w:cs="Arial"/>
        </w:rPr>
        <w:t xml:space="preserve">As shown in </w:t>
      </w:r>
      <w:r w:rsidR="009851F6">
        <w:t xml:space="preserve">Figure </w:t>
      </w:r>
      <w:r w:rsidR="007F3FC9">
        <w:rPr>
          <w:noProof/>
        </w:rPr>
        <w:t>31</w:t>
      </w:r>
      <w:r>
        <w:rPr>
          <w:rFonts w:cs="Arial"/>
        </w:rPr>
        <w:t xml:space="preserve">, </w:t>
      </w:r>
      <w:r w:rsidR="00816809">
        <w:rPr>
          <w:rFonts w:cs="Arial"/>
        </w:rPr>
        <w:t xml:space="preserve">around two-in-five workers </w:t>
      </w:r>
      <w:r>
        <w:rPr>
          <w:rFonts w:cs="Arial"/>
        </w:rPr>
        <w:t xml:space="preserve">overall </w:t>
      </w:r>
      <w:r w:rsidR="00816809">
        <w:rPr>
          <w:rFonts w:cs="Arial"/>
        </w:rPr>
        <w:t>reported needing support to navigate the workers’ compensation claim process. A significantly higher proportion of workers from</w:t>
      </w:r>
      <w:r w:rsidR="007F3FC9">
        <w:rPr>
          <w:rFonts w:cs="Arial"/>
        </w:rPr>
        <w:t xml:space="preserve"> the </w:t>
      </w:r>
      <w:r w:rsidR="00816809">
        <w:rPr>
          <w:rFonts w:cs="Arial"/>
        </w:rPr>
        <w:t>N</w:t>
      </w:r>
      <w:r w:rsidR="007F3FC9">
        <w:rPr>
          <w:rFonts w:cs="Arial"/>
        </w:rPr>
        <w:t xml:space="preserve">orthern </w:t>
      </w:r>
      <w:r w:rsidR="00816809">
        <w:rPr>
          <w:rFonts w:cs="Arial"/>
        </w:rPr>
        <w:t>T</w:t>
      </w:r>
      <w:r w:rsidR="007F3FC9">
        <w:rPr>
          <w:rFonts w:cs="Arial"/>
        </w:rPr>
        <w:t>erritory</w:t>
      </w:r>
      <w:r w:rsidR="00816809">
        <w:rPr>
          <w:rFonts w:cs="Arial"/>
        </w:rPr>
        <w:t xml:space="preserve"> (55.3%) and Victoria (46.6%) needed support. No significant differences in needing support were </w:t>
      </w:r>
      <w:r>
        <w:rPr>
          <w:rFonts w:cs="Arial"/>
        </w:rPr>
        <w:t xml:space="preserve">found between </w:t>
      </w:r>
      <w:r w:rsidR="0025300B">
        <w:rPr>
          <w:rFonts w:cs="Arial"/>
        </w:rPr>
        <w:t>injury/illness</w:t>
      </w:r>
      <w:r w:rsidR="00816809">
        <w:rPr>
          <w:rFonts w:cs="Arial"/>
        </w:rPr>
        <w:t xml:space="preserve"> type or claim duration</w:t>
      </w:r>
      <w:r>
        <w:rPr>
          <w:rFonts w:cs="Arial"/>
        </w:rPr>
        <w:t xml:space="preserve"> sub-groups</w:t>
      </w:r>
      <w:r w:rsidR="00816809">
        <w:rPr>
          <w:rFonts w:cs="Arial"/>
        </w:rPr>
        <w:t>.</w:t>
      </w:r>
    </w:p>
    <w:p w14:paraId="781D0ED0" w14:textId="0A6A8462" w:rsidR="00816809" w:rsidRDefault="00816809" w:rsidP="00D0461D">
      <w:pPr>
        <w:pStyle w:val="Caption"/>
      </w:pPr>
      <w:bookmarkStart w:id="128" w:name="_Ref524081909"/>
      <w:bookmarkStart w:id="129" w:name="_Toc528056598"/>
      <w:r>
        <w:t xml:space="preserve">Figure </w:t>
      </w:r>
      <w:r w:rsidR="006A2841">
        <w:rPr>
          <w:noProof/>
        </w:rPr>
        <w:fldChar w:fldCharType="begin"/>
      </w:r>
      <w:r w:rsidR="006A2841">
        <w:rPr>
          <w:noProof/>
        </w:rPr>
        <w:instrText xml:space="preserve"> SEQ Figure \* ARABIC </w:instrText>
      </w:r>
      <w:r w:rsidR="006A2841">
        <w:rPr>
          <w:noProof/>
        </w:rPr>
        <w:fldChar w:fldCharType="separate"/>
      </w:r>
      <w:r w:rsidR="00B9340A">
        <w:rPr>
          <w:noProof/>
        </w:rPr>
        <w:t>31</w:t>
      </w:r>
      <w:r w:rsidR="006A2841">
        <w:rPr>
          <w:noProof/>
        </w:rPr>
        <w:fldChar w:fldCharType="end"/>
      </w:r>
      <w:bookmarkEnd w:id="128"/>
      <w:r>
        <w:tab/>
        <w:t>Navigation support needed (%</w:t>
      </w:r>
      <w:r w:rsidR="008123D3">
        <w:t xml:space="preserve"> </w:t>
      </w:r>
      <w:r w:rsidR="004D4F1C">
        <w:t>y</w:t>
      </w:r>
      <w:r>
        <w:t>es)</w:t>
      </w:r>
      <w:bookmarkEnd w:id="129"/>
    </w:p>
    <w:p w14:paraId="700D4D26" w14:textId="720AB176" w:rsidR="00816809" w:rsidRPr="00816809" w:rsidRDefault="00FD3931" w:rsidP="00816809">
      <w:pPr>
        <w:pStyle w:val="Body"/>
      </w:pPr>
      <w:r>
        <w:rPr>
          <w:noProof/>
          <w:lang w:eastAsia="en-AU"/>
        </w:rPr>
        <w:drawing>
          <wp:inline distT="0" distB="0" distL="0" distR="0" wp14:anchorId="271723E3" wp14:editId="31ABF371">
            <wp:extent cx="5759450" cy="3781425"/>
            <wp:effectExtent l="0" t="0" r="12700" b="9525"/>
            <wp:docPr id="218" name="Chart 218" descr="This chart presents the proportion of respondents who reported requiring support in navigating the process of lodging a workers' compensation claim by jurisdiction, injury/illness types and claim duration. Discussion of the findings is above th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748BE47" w14:textId="406C770A" w:rsidR="00816809" w:rsidRPr="00D17E58" w:rsidRDefault="00816809" w:rsidP="00B369C9">
      <w:pPr>
        <w:pStyle w:val="FigureNote"/>
      </w:pPr>
      <w:r>
        <w:t>Base</w:t>
      </w:r>
      <w:r>
        <w:tab/>
        <w:t>All respondents, 2018.</w:t>
      </w:r>
      <w:r w:rsidR="00C35B7D">
        <w:t xml:space="preserve"> </w:t>
      </w:r>
      <w:r>
        <w:t>Total (4,507), ACT (</w:t>
      </w:r>
      <w:r w:rsidR="00693C67">
        <w:t>143</w:t>
      </w:r>
      <w:r>
        <w:t>), Comcare (</w:t>
      </w:r>
      <w:r w:rsidR="00693C67">
        <w:t>755</w:t>
      </w:r>
      <w:r>
        <w:t>), NSW (</w:t>
      </w:r>
      <w:r w:rsidR="00693C67">
        <w:t>846</w:t>
      </w:r>
      <w:r>
        <w:t>), NT (1</w:t>
      </w:r>
      <w:r w:rsidR="00693C67">
        <w:t>48</w:t>
      </w:r>
      <w:r>
        <w:t xml:space="preserve">), </w:t>
      </w:r>
      <w:r w:rsidR="008E2E1A">
        <w:t xml:space="preserve">QLD </w:t>
      </w:r>
      <w:r>
        <w:t>(</w:t>
      </w:r>
      <w:r w:rsidR="00693C67">
        <w:t>797</w:t>
      </w:r>
      <w:r>
        <w:t>), Seacare (</w:t>
      </w:r>
      <w:r w:rsidR="00693C67">
        <w:t>56</w:t>
      </w:r>
      <w:r>
        <w:t xml:space="preserve">), </w:t>
      </w:r>
      <w:r w:rsidR="008E2E1A">
        <w:t xml:space="preserve">TAS </w:t>
      </w:r>
      <w:r>
        <w:t>(</w:t>
      </w:r>
      <w:r w:rsidR="00693C67">
        <w:t>472</w:t>
      </w:r>
      <w:r>
        <w:t>), WA (</w:t>
      </w:r>
      <w:r w:rsidR="00693C67">
        <w:t>503</w:t>
      </w:r>
      <w:r>
        <w:t>), V</w:t>
      </w:r>
      <w:r w:rsidR="005B3A7F">
        <w:t>IC</w:t>
      </w:r>
      <w:r>
        <w:t xml:space="preserve"> (</w:t>
      </w:r>
      <w:r w:rsidR="00693C67">
        <w:t>787</w:t>
      </w:r>
      <w:r>
        <w:t>). Fractures (</w:t>
      </w:r>
      <w:r w:rsidR="00693C67">
        <w:t>61</w:t>
      </w:r>
      <w:r>
        <w:t>4), Musculoskeletal Disorders (</w:t>
      </w:r>
      <w:r w:rsidR="00693C67">
        <w:t>2,628</w:t>
      </w:r>
      <w:r>
        <w:t>), Other Trauma (</w:t>
      </w:r>
      <w:r w:rsidR="00693C67">
        <w:t>774</w:t>
      </w:r>
      <w:r>
        <w:t>), Mental Illness (</w:t>
      </w:r>
      <w:r w:rsidR="00693C67">
        <w:t>281), Other Diseases (210</w:t>
      </w:r>
      <w:r>
        <w:t>).</w:t>
      </w:r>
      <w:r w:rsidR="00693C67">
        <w:t xml:space="preserve"> &lt;180 days (272), 181-270 days (1,828), 271-365 days (705), 366-730 days (1,406), &gt;730 days (296).</w:t>
      </w:r>
    </w:p>
    <w:p w14:paraId="1CB891B9" w14:textId="3E87F69D" w:rsidR="00816809" w:rsidRDefault="00693C67" w:rsidP="00B369C9">
      <w:pPr>
        <w:pStyle w:val="FigureNote"/>
      </w:pPr>
      <w:r>
        <w:t>WC6</w:t>
      </w:r>
      <w:r w:rsidR="00816809" w:rsidRPr="00D17E58">
        <w:tab/>
      </w:r>
      <w:r w:rsidRPr="00693C67">
        <w:t>Have you needed someone to help you navigate the workers compensation claim process</w:t>
      </w:r>
      <w:r w:rsidR="00816809" w:rsidRPr="00D17E58">
        <w:t>?</w:t>
      </w:r>
    </w:p>
    <w:p w14:paraId="1AE362D0" w14:textId="1E6AE909" w:rsidR="00E43C7C" w:rsidRPr="006A6E36" w:rsidRDefault="00816809" w:rsidP="00B369C9">
      <w:pPr>
        <w:pStyle w:val="FigureNote"/>
      </w:pPr>
      <w:r>
        <w:t>Note</w:t>
      </w:r>
      <w:r>
        <w:tab/>
        <w:t xml:space="preserve">Don’t know and Refused responses excluded from base. </w:t>
      </w:r>
      <w:r w:rsidRPr="00CB12E8">
        <w:t xml:space="preserve">Asterisks indicate statistically significant difference (single asterisk </w:t>
      </w:r>
      <w:r w:rsidRPr="006A6E36">
        <w:t>(*) indicates a lower proportion; double asterisk (**) indicates a higher proportion.</w:t>
      </w:r>
    </w:p>
    <w:p w14:paraId="29CE8849" w14:textId="01F9C474" w:rsidR="003C4BE6" w:rsidRDefault="003C4BE6" w:rsidP="003C4BE6">
      <w:pPr>
        <w:pStyle w:val="Heading3"/>
      </w:pPr>
      <w:bookmarkStart w:id="130" w:name="_Toc526426461"/>
      <w:bookmarkStart w:id="131" w:name="_Toc526235329"/>
      <w:bookmarkStart w:id="132" w:name="_Toc526235621"/>
      <w:bookmarkStart w:id="133" w:name="_Toc528056046"/>
      <w:bookmarkEnd w:id="130"/>
      <w:bookmarkEnd w:id="131"/>
      <w:bookmarkEnd w:id="132"/>
      <w:r>
        <w:lastRenderedPageBreak/>
        <w:t xml:space="preserve">Source of </w:t>
      </w:r>
      <w:r w:rsidR="00FC415A">
        <w:t>s</w:t>
      </w:r>
      <w:r>
        <w:t>upport</w:t>
      </w:r>
      <w:bookmarkEnd w:id="133"/>
    </w:p>
    <w:p w14:paraId="79A33728" w14:textId="64549B57" w:rsidR="003C4BE6" w:rsidRDefault="00AE0C50" w:rsidP="00CD39CA">
      <w:pPr>
        <w:pStyle w:val="Body"/>
        <w:rPr>
          <w:rFonts w:cs="Arial"/>
        </w:rPr>
      </w:pPr>
      <w:r>
        <w:rPr>
          <w:rFonts w:cs="Arial"/>
        </w:rPr>
        <w:t>Those who reported needing support to help them navigate the workers’ compensation claim process were asked to indicate where they sourced support.</w:t>
      </w:r>
      <w:r w:rsidR="009851F6">
        <w:rPr>
          <w:rFonts w:cs="Arial"/>
        </w:rPr>
        <w:t xml:space="preserve"> </w:t>
      </w:r>
      <w:r w:rsidR="009851F6">
        <w:t xml:space="preserve">Table </w:t>
      </w:r>
      <w:r w:rsidR="008B78D6">
        <w:rPr>
          <w:noProof/>
        </w:rPr>
        <w:t>10</w:t>
      </w:r>
      <w:r w:rsidR="009851F6">
        <w:rPr>
          <w:rFonts w:cs="Arial"/>
        </w:rPr>
        <w:t xml:space="preserve"> </w:t>
      </w:r>
      <w:r w:rsidR="0041100F">
        <w:rPr>
          <w:rFonts w:cs="Arial"/>
        </w:rPr>
        <w:t>shows the sources of support overall</w:t>
      </w:r>
      <w:r w:rsidR="004D7BB3">
        <w:rPr>
          <w:rFonts w:cs="Arial"/>
        </w:rPr>
        <w:t>,</w:t>
      </w:r>
      <w:r w:rsidR="0041100F">
        <w:rPr>
          <w:rFonts w:cs="Arial"/>
        </w:rPr>
        <w:t xml:space="preserve"> by</w:t>
      </w:r>
      <w:r w:rsidR="00626857">
        <w:rPr>
          <w:rFonts w:cs="Arial"/>
        </w:rPr>
        <w:t> </w:t>
      </w:r>
      <w:r w:rsidR="0041100F">
        <w:rPr>
          <w:rFonts w:cs="Arial"/>
        </w:rPr>
        <w:t>jurisdiction and claim duration.</w:t>
      </w:r>
    </w:p>
    <w:p w14:paraId="5F541DCF" w14:textId="59330261" w:rsidR="0041100F" w:rsidRDefault="00142D0E" w:rsidP="00CD39CA">
      <w:pPr>
        <w:pStyle w:val="Body"/>
        <w:rPr>
          <w:rFonts w:cs="Arial"/>
        </w:rPr>
      </w:pPr>
      <w:r>
        <w:rPr>
          <w:rFonts w:cs="Arial"/>
        </w:rPr>
        <w:t xml:space="preserve">Employers and colleagues of workers are by far the </w:t>
      </w:r>
      <w:r w:rsidR="0095219A">
        <w:rPr>
          <w:rFonts w:cs="Arial"/>
        </w:rPr>
        <w:t xml:space="preserve">greatest source of support. More than half (52.4%) of respondents </w:t>
      </w:r>
      <w:r w:rsidR="00647C85">
        <w:rPr>
          <w:rFonts w:cs="Arial"/>
        </w:rPr>
        <w:t xml:space="preserve">who needed help </w:t>
      </w:r>
      <w:r w:rsidR="0095219A">
        <w:rPr>
          <w:rFonts w:cs="Arial"/>
        </w:rPr>
        <w:t>report</w:t>
      </w:r>
      <w:r w:rsidR="00647C85">
        <w:rPr>
          <w:rFonts w:cs="Arial"/>
        </w:rPr>
        <w:t>ed</w:t>
      </w:r>
      <w:r w:rsidR="0095219A">
        <w:rPr>
          <w:rFonts w:cs="Arial"/>
        </w:rPr>
        <w:t xml:space="preserve"> they had received help from their employer or colleague. While the proportion who received help from employers or colleagues varied by sub-group, this was the </w:t>
      </w:r>
      <w:r w:rsidR="004D7BB3">
        <w:rPr>
          <w:rFonts w:cs="Arial"/>
        </w:rPr>
        <w:t xml:space="preserve">main </w:t>
      </w:r>
      <w:r w:rsidR="0095219A">
        <w:rPr>
          <w:rFonts w:cs="Arial"/>
        </w:rPr>
        <w:t>source of support for all cohorts.</w:t>
      </w:r>
    </w:p>
    <w:p w14:paraId="31EFB23B" w14:textId="33ABA068" w:rsidR="0095219A" w:rsidRDefault="00F61F8D" w:rsidP="00CD39CA">
      <w:pPr>
        <w:pStyle w:val="Body"/>
        <w:rPr>
          <w:rFonts w:cs="Arial"/>
        </w:rPr>
      </w:pPr>
      <w:r>
        <w:rPr>
          <w:rFonts w:cs="Arial"/>
        </w:rPr>
        <w:t>L</w:t>
      </w:r>
      <w:r w:rsidR="0095219A">
        <w:rPr>
          <w:rFonts w:cs="Arial"/>
        </w:rPr>
        <w:t>ittle significant variation in sources of support was observed between sub-groups. No statistically significant differences were evident between jurisdiction</w:t>
      </w:r>
      <w:r w:rsidR="00DC04D2">
        <w:rPr>
          <w:rFonts w:cs="Arial"/>
        </w:rPr>
        <w:t xml:space="preserve">s or </w:t>
      </w:r>
      <w:r w:rsidR="0025300B">
        <w:rPr>
          <w:rFonts w:cs="Arial"/>
        </w:rPr>
        <w:t>injury/illness</w:t>
      </w:r>
      <w:r w:rsidR="00DC04D2">
        <w:rPr>
          <w:rFonts w:cs="Arial"/>
        </w:rPr>
        <w:t xml:space="preserve"> type sub-groups</w:t>
      </w:r>
      <w:r w:rsidR="0095219A">
        <w:rPr>
          <w:rFonts w:cs="Arial"/>
        </w:rPr>
        <w:t>. A</w:t>
      </w:r>
      <w:r>
        <w:rPr>
          <w:rFonts w:cs="Arial"/>
        </w:rPr>
        <w:t> </w:t>
      </w:r>
      <w:r w:rsidR="0095219A">
        <w:rPr>
          <w:rFonts w:cs="Arial"/>
        </w:rPr>
        <w:t>difference was observed based on claim duration</w:t>
      </w:r>
      <w:r w:rsidR="00DC04D2">
        <w:rPr>
          <w:rFonts w:cs="Arial"/>
        </w:rPr>
        <w:t xml:space="preserve"> – h</w:t>
      </w:r>
      <w:r w:rsidR="0095219A">
        <w:rPr>
          <w:rFonts w:cs="Arial"/>
        </w:rPr>
        <w:t>elp from lawyers or legal advice was significantly less likely for claims of shorter duration (less than 270 days) and significantly higher for claims of longer duration (730 days or more).</w:t>
      </w:r>
    </w:p>
    <w:p w14:paraId="2F0B9B14" w14:textId="5AD78990" w:rsidR="0041100F" w:rsidRDefault="004374ED" w:rsidP="00D0461D">
      <w:pPr>
        <w:pStyle w:val="Caption"/>
      </w:pPr>
      <w:bookmarkStart w:id="134" w:name="_Ref524362945"/>
      <w:bookmarkStart w:id="135" w:name="_Toc528056609"/>
      <w:r>
        <w:t xml:space="preserve">Table </w:t>
      </w:r>
      <w:r w:rsidR="006A2841">
        <w:rPr>
          <w:noProof/>
        </w:rPr>
        <w:fldChar w:fldCharType="begin"/>
      </w:r>
      <w:r w:rsidR="006A2841">
        <w:rPr>
          <w:noProof/>
        </w:rPr>
        <w:instrText xml:space="preserve"> SEQ Table \* ARABIC </w:instrText>
      </w:r>
      <w:r w:rsidR="006A2841">
        <w:rPr>
          <w:noProof/>
        </w:rPr>
        <w:fldChar w:fldCharType="separate"/>
      </w:r>
      <w:r w:rsidR="00B9340A">
        <w:rPr>
          <w:noProof/>
        </w:rPr>
        <w:t>10</w:t>
      </w:r>
      <w:r w:rsidR="006A2841">
        <w:rPr>
          <w:noProof/>
        </w:rPr>
        <w:fldChar w:fldCharType="end"/>
      </w:r>
      <w:bookmarkEnd w:id="134"/>
      <w:r w:rsidR="0041100F">
        <w:tab/>
        <w:t xml:space="preserve">Sources of </w:t>
      </w:r>
      <w:r w:rsidR="004D4F1C">
        <w:t>s</w:t>
      </w:r>
      <w:r w:rsidR="0041100F">
        <w:t>upport (navigating the workers’ compensation claim process) (%)</w:t>
      </w:r>
      <w:bookmarkEnd w:id="135"/>
    </w:p>
    <w:tbl>
      <w:tblPr>
        <w:tblStyle w:val="SRC1"/>
        <w:tblW w:w="9063" w:type="dxa"/>
        <w:tblLook w:val="04A0" w:firstRow="1" w:lastRow="0" w:firstColumn="1" w:lastColumn="0" w:noHBand="0" w:noVBand="1"/>
        <w:tblDescription w:val="This table presents the proportion of respondents reporting the sources of support they used in navigating the workers’ compensation claim process, by jursidiction, injury/illness type and claim duration. The findings are discussed above the table."/>
      </w:tblPr>
      <w:tblGrid>
        <w:gridCol w:w="1928"/>
        <w:gridCol w:w="1247"/>
        <w:gridCol w:w="907"/>
        <w:gridCol w:w="1014"/>
        <w:gridCol w:w="849"/>
        <w:gridCol w:w="1304"/>
        <w:gridCol w:w="907"/>
        <w:gridCol w:w="907"/>
      </w:tblGrid>
      <w:tr w:rsidR="006A6E36" w:rsidRPr="0017689E" w14:paraId="7D95EC6D" w14:textId="77777777" w:rsidTr="00916DD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928" w:type="dxa"/>
          </w:tcPr>
          <w:p w14:paraId="0DF3C44D" w14:textId="3E390851" w:rsidR="00926CEE" w:rsidRPr="0017689E" w:rsidRDefault="00926CEE" w:rsidP="00053877">
            <w:pPr>
              <w:pStyle w:val="Body"/>
              <w:spacing w:before="60" w:after="60"/>
              <w:rPr>
                <w:sz w:val="18"/>
              </w:rPr>
            </w:pPr>
          </w:p>
        </w:tc>
        <w:tc>
          <w:tcPr>
            <w:tcW w:w="1247" w:type="dxa"/>
          </w:tcPr>
          <w:p w14:paraId="5BBE69BB" w14:textId="03BFDE0E" w:rsidR="00926CEE" w:rsidRPr="0017689E" w:rsidRDefault="00926CEE" w:rsidP="00053877">
            <w:pPr>
              <w:pStyle w:val="Body"/>
              <w:spacing w:before="60" w:after="60"/>
              <w:jc w:val="center"/>
              <w:cnfStyle w:val="100000000000" w:firstRow="1" w:lastRow="0" w:firstColumn="0" w:lastColumn="0" w:oddVBand="0" w:evenVBand="0" w:oddHBand="0" w:evenHBand="0" w:firstRowFirstColumn="0" w:firstRowLastColumn="0" w:lastRowFirstColumn="0" w:lastRowLastColumn="0"/>
              <w:rPr>
                <w:sz w:val="18"/>
              </w:rPr>
            </w:pPr>
            <w:r>
              <w:rPr>
                <w:sz w:val="18"/>
              </w:rPr>
              <w:t>Employer</w:t>
            </w:r>
            <w:r w:rsidR="009F152C">
              <w:rPr>
                <w:sz w:val="18"/>
              </w:rPr>
              <w:t>/</w:t>
            </w:r>
            <w:r w:rsidR="006A6E36">
              <w:rPr>
                <w:sz w:val="18"/>
              </w:rPr>
              <w:t xml:space="preserve"> </w:t>
            </w:r>
            <w:r>
              <w:rPr>
                <w:sz w:val="18"/>
              </w:rPr>
              <w:t>Colleague</w:t>
            </w:r>
          </w:p>
        </w:tc>
        <w:tc>
          <w:tcPr>
            <w:tcW w:w="907" w:type="dxa"/>
          </w:tcPr>
          <w:p w14:paraId="21E0336C" w14:textId="0CD3C513" w:rsidR="00DF3FDF" w:rsidRDefault="00926CEE" w:rsidP="00053877">
            <w:pPr>
              <w:pStyle w:val="Body"/>
              <w:spacing w:before="60" w:after="60"/>
              <w:jc w:val="center"/>
              <w:cnfStyle w:val="100000000000" w:firstRow="1" w:lastRow="0" w:firstColumn="0" w:lastColumn="0" w:oddVBand="0" w:evenVBand="0" w:oddHBand="0" w:evenHBand="0" w:firstRowFirstColumn="0" w:firstRowLastColumn="0" w:lastRowFirstColumn="0" w:lastRowLastColumn="0"/>
              <w:rPr>
                <w:sz w:val="18"/>
              </w:rPr>
            </w:pPr>
            <w:r>
              <w:rPr>
                <w:sz w:val="18"/>
              </w:rPr>
              <w:t>Family/</w:t>
            </w:r>
          </w:p>
          <w:p w14:paraId="13CD4B09" w14:textId="333C2A57" w:rsidR="00926CEE" w:rsidRDefault="00926CEE" w:rsidP="00053877">
            <w:pPr>
              <w:pStyle w:val="Body"/>
              <w:spacing w:before="60" w:after="60"/>
              <w:jc w:val="center"/>
              <w:cnfStyle w:val="100000000000" w:firstRow="1" w:lastRow="0" w:firstColumn="0" w:lastColumn="0" w:oddVBand="0" w:evenVBand="0" w:oddHBand="0" w:evenHBand="0" w:firstRowFirstColumn="0" w:firstRowLastColumn="0" w:lastRowFirstColumn="0" w:lastRowLastColumn="0"/>
              <w:rPr>
                <w:sz w:val="18"/>
              </w:rPr>
            </w:pPr>
            <w:r>
              <w:rPr>
                <w:sz w:val="18"/>
              </w:rPr>
              <w:t>Friends</w:t>
            </w:r>
          </w:p>
        </w:tc>
        <w:tc>
          <w:tcPr>
            <w:tcW w:w="1014" w:type="dxa"/>
          </w:tcPr>
          <w:p w14:paraId="07D9C8D7" w14:textId="26312D8A" w:rsidR="00DF3FDF" w:rsidRDefault="00926CEE" w:rsidP="009F152C">
            <w:pPr>
              <w:pStyle w:val="Body"/>
              <w:spacing w:before="60" w:after="60"/>
              <w:jc w:val="center"/>
              <w:cnfStyle w:val="100000000000" w:firstRow="1" w:lastRow="0" w:firstColumn="0" w:lastColumn="0" w:oddVBand="0" w:evenVBand="0" w:oddHBand="0" w:evenHBand="0" w:firstRowFirstColumn="0" w:firstRowLastColumn="0" w:lastRowFirstColumn="0" w:lastRowLastColumn="0"/>
              <w:rPr>
                <w:sz w:val="18"/>
              </w:rPr>
            </w:pPr>
            <w:r>
              <w:rPr>
                <w:sz w:val="18"/>
              </w:rPr>
              <w:t>Lawyer/</w:t>
            </w:r>
          </w:p>
          <w:p w14:paraId="001BC4A4" w14:textId="47ACCA1E" w:rsidR="00926CEE" w:rsidRDefault="00926CEE" w:rsidP="009F152C">
            <w:pPr>
              <w:pStyle w:val="Body"/>
              <w:spacing w:before="60" w:after="60"/>
              <w:jc w:val="center"/>
              <w:cnfStyle w:val="100000000000" w:firstRow="1" w:lastRow="0" w:firstColumn="0" w:lastColumn="0" w:oddVBand="0" w:evenVBand="0" w:oddHBand="0" w:evenHBand="0" w:firstRowFirstColumn="0" w:firstRowLastColumn="0" w:lastRowFirstColumn="0" w:lastRowLastColumn="0"/>
              <w:rPr>
                <w:sz w:val="18"/>
              </w:rPr>
            </w:pPr>
            <w:r>
              <w:rPr>
                <w:sz w:val="18"/>
              </w:rPr>
              <w:t>Legal Advice</w:t>
            </w:r>
          </w:p>
        </w:tc>
        <w:tc>
          <w:tcPr>
            <w:tcW w:w="849" w:type="dxa"/>
          </w:tcPr>
          <w:p w14:paraId="04CC90B8" w14:textId="33FE46C1" w:rsidR="00926CEE" w:rsidRDefault="00926CEE" w:rsidP="00053877">
            <w:pPr>
              <w:pStyle w:val="Body"/>
              <w:spacing w:before="60" w:after="60"/>
              <w:jc w:val="center"/>
              <w:cnfStyle w:val="100000000000" w:firstRow="1" w:lastRow="0" w:firstColumn="0" w:lastColumn="0" w:oddVBand="0" w:evenVBand="0" w:oddHBand="0" w:evenHBand="0" w:firstRowFirstColumn="0" w:firstRowLastColumn="0" w:lastRowFirstColumn="0" w:lastRowLastColumn="0"/>
              <w:rPr>
                <w:sz w:val="18"/>
              </w:rPr>
            </w:pPr>
            <w:r>
              <w:rPr>
                <w:sz w:val="18"/>
              </w:rPr>
              <w:t>Insurer</w:t>
            </w:r>
          </w:p>
        </w:tc>
        <w:tc>
          <w:tcPr>
            <w:tcW w:w="1304" w:type="dxa"/>
          </w:tcPr>
          <w:p w14:paraId="65F11579" w14:textId="29EA1541" w:rsidR="00926CEE" w:rsidRDefault="00926CEE" w:rsidP="00053877">
            <w:pPr>
              <w:pStyle w:val="Body"/>
              <w:spacing w:before="60" w:after="60"/>
              <w:jc w:val="center"/>
              <w:cnfStyle w:val="100000000000" w:firstRow="1" w:lastRow="0" w:firstColumn="0" w:lastColumn="0" w:oddVBand="0" w:evenVBand="0" w:oddHBand="0" w:evenHBand="0" w:firstRowFirstColumn="0" w:firstRowLastColumn="0" w:lastRowFirstColumn="0" w:lastRowLastColumn="0"/>
              <w:rPr>
                <w:sz w:val="18"/>
              </w:rPr>
            </w:pPr>
            <w:r>
              <w:rPr>
                <w:sz w:val="18"/>
              </w:rPr>
              <w:t>Health Professional</w:t>
            </w:r>
          </w:p>
        </w:tc>
        <w:tc>
          <w:tcPr>
            <w:tcW w:w="907" w:type="dxa"/>
          </w:tcPr>
          <w:p w14:paraId="43F17006" w14:textId="1A847109" w:rsidR="00926CEE" w:rsidRDefault="00926CEE" w:rsidP="00053877">
            <w:pPr>
              <w:pStyle w:val="Body"/>
              <w:spacing w:before="60" w:after="60"/>
              <w:jc w:val="center"/>
              <w:cnfStyle w:val="100000000000" w:firstRow="1" w:lastRow="0" w:firstColumn="0" w:lastColumn="0" w:oddVBand="0" w:evenVBand="0" w:oddHBand="0" w:evenHBand="0" w:firstRowFirstColumn="0" w:firstRowLastColumn="0" w:lastRowFirstColumn="0" w:lastRowLastColumn="0"/>
              <w:rPr>
                <w:sz w:val="18"/>
              </w:rPr>
            </w:pPr>
            <w:r>
              <w:rPr>
                <w:sz w:val="18"/>
              </w:rPr>
              <w:t>Union</w:t>
            </w:r>
          </w:p>
        </w:tc>
        <w:tc>
          <w:tcPr>
            <w:tcW w:w="907" w:type="dxa"/>
          </w:tcPr>
          <w:p w14:paraId="32EB07C5" w14:textId="238D31E1" w:rsidR="00926CEE" w:rsidRPr="0017689E" w:rsidRDefault="00926CEE" w:rsidP="00053877">
            <w:pPr>
              <w:pStyle w:val="Body"/>
              <w:spacing w:before="60" w:after="60"/>
              <w:jc w:val="center"/>
              <w:cnfStyle w:val="100000000000" w:firstRow="1" w:lastRow="0" w:firstColumn="0" w:lastColumn="0" w:oddVBand="0" w:evenVBand="0" w:oddHBand="0" w:evenHBand="0" w:firstRowFirstColumn="0" w:firstRowLastColumn="0" w:lastRowFirstColumn="0" w:lastRowLastColumn="0"/>
              <w:rPr>
                <w:sz w:val="18"/>
              </w:rPr>
            </w:pPr>
            <w:r>
              <w:rPr>
                <w:sz w:val="18"/>
              </w:rPr>
              <w:t>Other</w:t>
            </w:r>
          </w:p>
        </w:tc>
      </w:tr>
      <w:tr w:rsidR="007B0567" w:rsidRPr="007B0567" w14:paraId="5B488654" w14:textId="77777777" w:rsidTr="00916DD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1928" w:type="dxa"/>
            <w:shd w:val="clear" w:color="auto" w:fill="auto"/>
          </w:tcPr>
          <w:p w14:paraId="7B9C05F5" w14:textId="4C1E35E7" w:rsidR="00926CEE" w:rsidRPr="00916DD7" w:rsidRDefault="00926CEE" w:rsidP="000167D4">
            <w:pPr>
              <w:pStyle w:val="Body"/>
              <w:spacing w:before="0" w:after="0" w:line="240" w:lineRule="auto"/>
              <w:rPr>
                <w:rFonts w:cs="Arial"/>
                <w:color w:val="auto"/>
                <w:sz w:val="18"/>
                <w:szCs w:val="18"/>
              </w:rPr>
            </w:pPr>
            <w:r w:rsidRPr="00916DD7">
              <w:rPr>
                <w:rFonts w:cs="Arial"/>
                <w:color w:val="auto"/>
                <w:sz w:val="18"/>
                <w:szCs w:val="18"/>
              </w:rPr>
              <w:t>Total</w:t>
            </w:r>
          </w:p>
        </w:tc>
        <w:tc>
          <w:tcPr>
            <w:tcW w:w="1247" w:type="dxa"/>
            <w:shd w:val="clear" w:color="auto" w:fill="auto"/>
          </w:tcPr>
          <w:p w14:paraId="2B9D8BA8" w14:textId="4EC97641" w:rsidR="00926CEE" w:rsidRPr="00916DD7" w:rsidRDefault="00926CEE" w:rsidP="006A6E36">
            <w:pPr>
              <w:pStyle w:val="Body"/>
              <w:spacing w:before="0" w:after="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sidRPr="00916DD7">
              <w:rPr>
                <w:rFonts w:cs="Arial"/>
                <w:bCs/>
                <w:color w:val="auto"/>
                <w:sz w:val="18"/>
                <w:szCs w:val="18"/>
              </w:rPr>
              <w:t>52.4</w:t>
            </w:r>
          </w:p>
        </w:tc>
        <w:tc>
          <w:tcPr>
            <w:tcW w:w="907" w:type="dxa"/>
            <w:shd w:val="clear" w:color="auto" w:fill="auto"/>
          </w:tcPr>
          <w:p w14:paraId="16DFACF5" w14:textId="21CA872D" w:rsidR="00926CEE" w:rsidRPr="00916DD7" w:rsidRDefault="00926CEE"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sidRPr="00916DD7">
              <w:rPr>
                <w:rFonts w:cs="Arial"/>
                <w:bCs/>
                <w:color w:val="auto"/>
                <w:sz w:val="18"/>
                <w:szCs w:val="18"/>
              </w:rPr>
              <w:t>16.4</w:t>
            </w:r>
          </w:p>
        </w:tc>
        <w:tc>
          <w:tcPr>
            <w:tcW w:w="1014" w:type="dxa"/>
            <w:shd w:val="clear" w:color="auto" w:fill="auto"/>
          </w:tcPr>
          <w:p w14:paraId="522BB3AE" w14:textId="71B08630" w:rsidR="00926CEE" w:rsidRPr="00916DD7" w:rsidRDefault="00926CEE" w:rsidP="009630C0">
            <w:pPr>
              <w:pStyle w:val="Body"/>
              <w:spacing w:before="0" w:after="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sidRPr="00916DD7">
              <w:rPr>
                <w:rFonts w:cs="Arial"/>
                <w:bCs/>
                <w:color w:val="auto"/>
                <w:sz w:val="18"/>
                <w:szCs w:val="18"/>
              </w:rPr>
              <w:t>11.3</w:t>
            </w:r>
          </w:p>
        </w:tc>
        <w:tc>
          <w:tcPr>
            <w:tcW w:w="849" w:type="dxa"/>
            <w:shd w:val="clear" w:color="auto" w:fill="auto"/>
          </w:tcPr>
          <w:p w14:paraId="30617E90" w14:textId="1C18CC29" w:rsidR="00926CEE" w:rsidRPr="00916DD7" w:rsidRDefault="00926CEE" w:rsidP="00D0461D">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sidRPr="00916DD7">
              <w:rPr>
                <w:rFonts w:cs="Arial"/>
                <w:bCs/>
                <w:color w:val="auto"/>
                <w:sz w:val="18"/>
                <w:szCs w:val="18"/>
              </w:rPr>
              <w:t>18.5</w:t>
            </w:r>
          </w:p>
        </w:tc>
        <w:tc>
          <w:tcPr>
            <w:tcW w:w="1304" w:type="dxa"/>
            <w:shd w:val="clear" w:color="auto" w:fill="auto"/>
          </w:tcPr>
          <w:p w14:paraId="42F73312" w14:textId="7E5D09F2" w:rsidR="00926CEE" w:rsidRPr="00916DD7" w:rsidRDefault="00926CEE" w:rsidP="009630C0">
            <w:pPr>
              <w:pStyle w:val="Body"/>
              <w:spacing w:before="0" w:after="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sidRPr="00916DD7">
              <w:rPr>
                <w:rFonts w:cs="Arial"/>
                <w:bCs/>
                <w:color w:val="auto"/>
                <w:sz w:val="18"/>
                <w:szCs w:val="18"/>
              </w:rPr>
              <w:t>11.7</w:t>
            </w:r>
          </w:p>
        </w:tc>
        <w:tc>
          <w:tcPr>
            <w:tcW w:w="907" w:type="dxa"/>
            <w:shd w:val="clear" w:color="auto" w:fill="auto"/>
          </w:tcPr>
          <w:p w14:paraId="1FD363B7" w14:textId="52538CF0" w:rsidR="00926CEE" w:rsidRPr="00916DD7" w:rsidRDefault="00926CEE"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sidRPr="00916DD7">
              <w:rPr>
                <w:rFonts w:cs="Arial"/>
                <w:bCs/>
                <w:color w:val="auto"/>
                <w:sz w:val="18"/>
                <w:szCs w:val="18"/>
              </w:rPr>
              <w:t>3.5</w:t>
            </w:r>
          </w:p>
        </w:tc>
        <w:tc>
          <w:tcPr>
            <w:tcW w:w="907" w:type="dxa"/>
            <w:shd w:val="clear" w:color="auto" w:fill="auto"/>
          </w:tcPr>
          <w:p w14:paraId="5603650D" w14:textId="6A52AF1F" w:rsidR="00926CEE" w:rsidRPr="00916DD7" w:rsidRDefault="00926CEE"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sidRPr="00916DD7">
              <w:rPr>
                <w:rFonts w:cs="Arial"/>
                <w:bCs/>
                <w:color w:val="auto"/>
                <w:sz w:val="18"/>
                <w:szCs w:val="18"/>
              </w:rPr>
              <w:t>5.7</w:t>
            </w:r>
          </w:p>
        </w:tc>
      </w:tr>
      <w:tr w:rsidR="00A02CD2" w:rsidRPr="00A02CD2" w14:paraId="3CCAA574" w14:textId="77777777" w:rsidTr="007B056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1928" w:type="dxa"/>
            <w:shd w:val="clear" w:color="auto" w:fill="58AFDA" w:themeFill="accent1" w:themeFillTint="99"/>
          </w:tcPr>
          <w:p w14:paraId="11580174" w14:textId="77777777" w:rsidR="00926CEE" w:rsidRPr="00916DD7" w:rsidRDefault="00926CEE" w:rsidP="000167D4">
            <w:pPr>
              <w:pStyle w:val="Body"/>
              <w:spacing w:before="0" w:after="0" w:line="240" w:lineRule="auto"/>
              <w:rPr>
                <w:rFonts w:cs="Arial"/>
                <w:color w:val="auto"/>
                <w:sz w:val="18"/>
                <w:szCs w:val="18"/>
              </w:rPr>
            </w:pPr>
            <w:r w:rsidRPr="00916DD7">
              <w:rPr>
                <w:rFonts w:cs="Arial"/>
                <w:color w:val="auto"/>
                <w:sz w:val="18"/>
                <w:szCs w:val="18"/>
              </w:rPr>
              <w:t>Jurisdiction</w:t>
            </w:r>
          </w:p>
        </w:tc>
        <w:tc>
          <w:tcPr>
            <w:tcW w:w="1247" w:type="dxa"/>
            <w:shd w:val="clear" w:color="auto" w:fill="58AFDA" w:themeFill="accent1" w:themeFillTint="99"/>
          </w:tcPr>
          <w:p w14:paraId="783C6F9E" w14:textId="77777777" w:rsidR="00926CEE" w:rsidRPr="00916DD7" w:rsidRDefault="00926CEE" w:rsidP="006A6E36">
            <w:pPr>
              <w:pStyle w:val="Body"/>
              <w:spacing w:before="0" w:after="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p>
        </w:tc>
        <w:tc>
          <w:tcPr>
            <w:tcW w:w="907" w:type="dxa"/>
            <w:shd w:val="clear" w:color="auto" w:fill="58AFDA" w:themeFill="accent1" w:themeFillTint="99"/>
          </w:tcPr>
          <w:p w14:paraId="26684AF9" w14:textId="77777777" w:rsidR="00926CEE" w:rsidRPr="00916DD7" w:rsidRDefault="00926CEE"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p>
        </w:tc>
        <w:tc>
          <w:tcPr>
            <w:tcW w:w="1014" w:type="dxa"/>
            <w:shd w:val="clear" w:color="auto" w:fill="58AFDA" w:themeFill="accent1" w:themeFillTint="99"/>
          </w:tcPr>
          <w:p w14:paraId="14A1D52F" w14:textId="5F5612D6" w:rsidR="00926CEE" w:rsidRPr="00916DD7" w:rsidRDefault="00926CEE" w:rsidP="009630C0">
            <w:pPr>
              <w:pStyle w:val="Body"/>
              <w:spacing w:before="0" w:after="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p>
        </w:tc>
        <w:tc>
          <w:tcPr>
            <w:tcW w:w="849" w:type="dxa"/>
            <w:shd w:val="clear" w:color="auto" w:fill="58AFDA" w:themeFill="accent1" w:themeFillTint="99"/>
          </w:tcPr>
          <w:p w14:paraId="77D45023" w14:textId="77777777" w:rsidR="00926CEE" w:rsidRPr="00916DD7" w:rsidRDefault="00926CEE" w:rsidP="00D0461D">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p>
        </w:tc>
        <w:tc>
          <w:tcPr>
            <w:tcW w:w="1304" w:type="dxa"/>
            <w:shd w:val="clear" w:color="auto" w:fill="58AFDA" w:themeFill="accent1" w:themeFillTint="99"/>
          </w:tcPr>
          <w:p w14:paraId="61163899" w14:textId="77777777" w:rsidR="00926CEE" w:rsidRPr="00916DD7" w:rsidRDefault="00926CEE" w:rsidP="009630C0">
            <w:pPr>
              <w:pStyle w:val="Body"/>
              <w:spacing w:before="0" w:after="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p>
        </w:tc>
        <w:tc>
          <w:tcPr>
            <w:tcW w:w="907" w:type="dxa"/>
            <w:shd w:val="clear" w:color="auto" w:fill="58AFDA" w:themeFill="accent1" w:themeFillTint="99"/>
          </w:tcPr>
          <w:p w14:paraId="75CCBDED" w14:textId="206F18C6" w:rsidR="00926CEE" w:rsidRPr="00916DD7" w:rsidRDefault="00926CEE"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p>
        </w:tc>
        <w:tc>
          <w:tcPr>
            <w:tcW w:w="907" w:type="dxa"/>
            <w:shd w:val="clear" w:color="auto" w:fill="58AFDA" w:themeFill="accent1" w:themeFillTint="99"/>
          </w:tcPr>
          <w:p w14:paraId="4192EE3E" w14:textId="75FFEA4F" w:rsidR="00926CEE" w:rsidRPr="00916DD7" w:rsidRDefault="00926CEE"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p>
        </w:tc>
      </w:tr>
      <w:tr w:rsidR="0077036B" w:rsidRPr="0017689E" w14:paraId="4CF4423C" w14:textId="77777777" w:rsidTr="00916DD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1928" w:type="dxa"/>
            <w:shd w:val="clear" w:color="auto" w:fill="C7E4F3" w:themeFill="accent1" w:themeFillTint="33"/>
          </w:tcPr>
          <w:p w14:paraId="453A2051" w14:textId="77777777" w:rsidR="00926CEE" w:rsidRPr="00916DD7" w:rsidRDefault="00926CEE" w:rsidP="00DC04D2">
            <w:pPr>
              <w:pStyle w:val="Body"/>
              <w:spacing w:before="0" w:after="0" w:line="240" w:lineRule="auto"/>
              <w:ind w:left="113"/>
              <w:rPr>
                <w:rFonts w:cs="Arial"/>
                <w:b w:val="0"/>
                <w:sz w:val="18"/>
                <w:szCs w:val="18"/>
              </w:rPr>
            </w:pPr>
            <w:r w:rsidRPr="00916DD7">
              <w:rPr>
                <w:rFonts w:cs="Arial"/>
                <w:b w:val="0"/>
                <w:color w:val="000000"/>
                <w:sz w:val="18"/>
                <w:szCs w:val="18"/>
                <w:lang w:eastAsia="en-AU"/>
              </w:rPr>
              <w:t>ACT</w:t>
            </w:r>
          </w:p>
        </w:tc>
        <w:tc>
          <w:tcPr>
            <w:tcW w:w="1247" w:type="dxa"/>
            <w:shd w:val="clear" w:color="auto" w:fill="C7E4F3" w:themeFill="accent1" w:themeFillTint="33"/>
          </w:tcPr>
          <w:p w14:paraId="61F6A0B6" w14:textId="329ED016" w:rsidR="00926CEE" w:rsidRPr="00916DD7" w:rsidRDefault="00926CEE" w:rsidP="006A6E36">
            <w:pPr>
              <w:pStyle w:val="Body"/>
              <w:spacing w:before="0" w:after="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49.0</w:t>
            </w:r>
          </w:p>
        </w:tc>
        <w:tc>
          <w:tcPr>
            <w:tcW w:w="907" w:type="dxa"/>
            <w:shd w:val="clear" w:color="auto" w:fill="C7E4F3" w:themeFill="accent1" w:themeFillTint="33"/>
          </w:tcPr>
          <w:p w14:paraId="469984C1" w14:textId="11A1B529" w:rsidR="00926CEE" w:rsidRPr="00916DD7" w:rsidRDefault="00926CEE"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15.9</w:t>
            </w:r>
          </w:p>
        </w:tc>
        <w:tc>
          <w:tcPr>
            <w:tcW w:w="1014" w:type="dxa"/>
            <w:shd w:val="clear" w:color="auto" w:fill="C7E4F3" w:themeFill="accent1" w:themeFillTint="33"/>
          </w:tcPr>
          <w:p w14:paraId="778E38FF" w14:textId="03AF9F38" w:rsidR="00926CEE" w:rsidRPr="00916DD7" w:rsidRDefault="00926CEE" w:rsidP="009630C0">
            <w:pPr>
              <w:pStyle w:val="Body"/>
              <w:spacing w:before="0" w:after="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21.5</w:t>
            </w:r>
          </w:p>
        </w:tc>
        <w:tc>
          <w:tcPr>
            <w:tcW w:w="849" w:type="dxa"/>
            <w:shd w:val="clear" w:color="auto" w:fill="C7E4F3" w:themeFill="accent1" w:themeFillTint="33"/>
          </w:tcPr>
          <w:p w14:paraId="2A31E5D8" w14:textId="037BD91A" w:rsidR="00926CEE" w:rsidRPr="00916DD7" w:rsidRDefault="00926CEE" w:rsidP="00D0461D">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20.1</w:t>
            </w:r>
          </w:p>
        </w:tc>
        <w:tc>
          <w:tcPr>
            <w:tcW w:w="1304" w:type="dxa"/>
            <w:shd w:val="clear" w:color="auto" w:fill="C7E4F3" w:themeFill="accent1" w:themeFillTint="33"/>
          </w:tcPr>
          <w:p w14:paraId="31E5F318" w14:textId="41445EF0" w:rsidR="00926CEE" w:rsidRPr="00916DD7" w:rsidRDefault="00926CEE" w:rsidP="009630C0">
            <w:pPr>
              <w:pStyle w:val="Body"/>
              <w:spacing w:before="0" w:after="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5.1</w:t>
            </w:r>
          </w:p>
        </w:tc>
        <w:tc>
          <w:tcPr>
            <w:tcW w:w="907" w:type="dxa"/>
            <w:shd w:val="clear" w:color="auto" w:fill="C7E4F3" w:themeFill="accent1" w:themeFillTint="33"/>
          </w:tcPr>
          <w:p w14:paraId="54245C8D" w14:textId="76FAE245" w:rsidR="00926CEE" w:rsidRPr="00916DD7" w:rsidRDefault="00926CEE"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0.8</w:t>
            </w:r>
          </w:p>
        </w:tc>
        <w:tc>
          <w:tcPr>
            <w:tcW w:w="907" w:type="dxa"/>
            <w:shd w:val="clear" w:color="auto" w:fill="C7E4F3" w:themeFill="accent1" w:themeFillTint="33"/>
          </w:tcPr>
          <w:p w14:paraId="4D80456D" w14:textId="11C75D0B" w:rsidR="00926CEE" w:rsidRPr="00916DD7" w:rsidRDefault="00926CEE"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3.8</w:t>
            </w:r>
          </w:p>
        </w:tc>
      </w:tr>
      <w:tr w:rsidR="007B0567" w:rsidRPr="0017689E" w14:paraId="1EBE2AFE" w14:textId="77777777" w:rsidTr="00916DD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1928" w:type="dxa"/>
            <w:shd w:val="clear" w:color="auto" w:fill="auto"/>
          </w:tcPr>
          <w:p w14:paraId="519DD741" w14:textId="41E9133D" w:rsidR="00926CEE" w:rsidRPr="00916DD7" w:rsidRDefault="00926CEE" w:rsidP="00DC04D2">
            <w:pPr>
              <w:pStyle w:val="Body"/>
              <w:spacing w:before="0" w:after="0" w:line="240" w:lineRule="auto"/>
              <w:ind w:left="113"/>
              <w:rPr>
                <w:rFonts w:cs="Arial"/>
                <w:b w:val="0"/>
                <w:sz w:val="18"/>
                <w:szCs w:val="18"/>
              </w:rPr>
            </w:pPr>
            <w:r w:rsidRPr="00916DD7">
              <w:rPr>
                <w:rFonts w:cs="Arial"/>
                <w:b w:val="0"/>
                <w:color w:val="000000"/>
                <w:sz w:val="18"/>
                <w:szCs w:val="18"/>
                <w:lang w:eastAsia="en-AU"/>
              </w:rPr>
              <w:t>Comcare</w:t>
            </w:r>
          </w:p>
        </w:tc>
        <w:tc>
          <w:tcPr>
            <w:tcW w:w="1247" w:type="dxa"/>
            <w:shd w:val="clear" w:color="auto" w:fill="auto"/>
          </w:tcPr>
          <w:p w14:paraId="2F57C230" w14:textId="284918BC" w:rsidR="00926CEE" w:rsidRPr="00916DD7" w:rsidRDefault="00926CEE" w:rsidP="006A6E36">
            <w:pPr>
              <w:pStyle w:val="Body"/>
              <w:spacing w:before="0" w:after="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59.5</w:t>
            </w:r>
          </w:p>
        </w:tc>
        <w:tc>
          <w:tcPr>
            <w:tcW w:w="907" w:type="dxa"/>
            <w:shd w:val="clear" w:color="auto" w:fill="auto"/>
          </w:tcPr>
          <w:p w14:paraId="6C1D2862" w14:textId="17469E72" w:rsidR="00926CEE" w:rsidRPr="00916DD7" w:rsidRDefault="00926CEE"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10.0</w:t>
            </w:r>
          </w:p>
        </w:tc>
        <w:tc>
          <w:tcPr>
            <w:tcW w:w="1014" w:type="dxa"/>
            <w:shd w:val="clear" w:color="auto" w:fill="auto"/>
          </w:tcPr>
          <w:p w14:paraId="3A4F7C90" w14:textId="0B392D18" w:rsidR="00926CEE" w:rsidRPr="00916DD7" w:rsidRDefault="00926CEE" w:rsidP="009630C0">
            <w:pPr>
              <w:pStyle w:val="Body"/>
              <w:spacing w:before="0" w:after="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9.3</w:t>
            </w:r>
          </w:p>
        </w:tc>
        <w:tc>
          <w:tcPr>
            <w:tcW w:w="849" w:type="dxa"/>
            <w:shd w:val="clear" w:color="auto" w:fill="auto"/>
          </w:tcPr>
          <w:p w14:paraId="01AC7D8A" w14:textId="2B83B59B" w:rsidR="00926CEE" w:rsidRPr="00916DD7" w:rsidRDefault="00926CEE" w:rsidP="00D0461D">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18.3</w:t>
            </w:r>
          </w:p>
        </w:tc>
        <w:tc>
          <w:tcPr>
            <w:tcW w:w="1304" w:type="dxa"/>
            <w:shd w:val="clear" w:color="auto" w:fill="auto"/>
          </w:tcPr>
          <w:p w14:paraId="201CF312" w14:textId="76DAC483" w:rsidR="00926CEE" w:rsidRPr="00916DD7" w:rsidRDefault="00926CEE" w:rsidP="009630C0">
            <w:pPr>
              <w:pStyle w:val="Body"/>
              <w:spacing w:before="0" w:after="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6.3</w:t>
            </w:r>
          </w:p>
        </w:tc>
        <w:tc>
          <w:tcPr>
            <w:tcW w:w="907" w:type="dxa"/>
            <w:shd w:val="clear" w:color="auto" w:fill="auto"/>
          </w:tcPr>
          <w:p w14:paraId="0F9A318C" w14:textId="41B1C130" w:rsidR="00926CEE" w:rsidRPr="00916DD7" w:rsidRDefault="00926CEE"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6.9</w:t>
            </w:r>
          </w:p>
        </w:tc>
        <w:tc>
          <w:tcPr>
            <w:tcW w:w="907" w:type="dxa"/>
            <w:shd w:val="clear" w:color="auto" w:fill="auto"/>
          </w:tcPr>
          <w:p w14:paraId="54C182A7" w14:textId="5B4D21FB" w:rsidR="00926CEE" w:rsidRPr="00916DD7" w:rsidRDefault="00926CEE"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4.7</w:t>
            </w:r>
          </w:p>
        </w:tc>
      </w:tr>
      <w:tr w:rsidR="0077036B" w:rsidRPr="0017689E" w14:paraId="29AB617A" w14:textId="77777777" w:rsidTr="00916DD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1928" w:type="dxa"/>
            <w:shd w:val="clear" w:color="auto" w:fill="C7E4F3" w:themeFill="accent1" w:themeFillTint="33"/>
          </w:tcPr>
          <w:p w14:paraId="00842273" w14:textId="11E86869" w:rsidR="00926CEE" w:rsidRPr="00916DD7" w:rsidRDefault="00926CEE" w:rsidP="00DC04D2">
            <w:pPr>
              <w:pStyle w:val="Body"/>
              <w:spacing w:before="0" w:after="0" w:line="240" w:lineRule="auto"/>
              <w:ind w:left="113"/>
              <w:rPr>
                <w:rFonts w:cs="Arial"/>
                <w:b w:val="0"/>
                <w:sz w:val="18"/>
                <w:szCs w:val="18"/>
              </w:rPr>
            </w:pPr>
            <w:r w:rsidRPr="00916DD7">
              <w:rPr>
                <w:rFonts w:cs="Arial"/>
                <w:b w:val="0"/>
                <w:color w:val="000000"/>
                <w:sz w:val="18"/>
                <w:szCs w:val="18"/>
                <w:lang w:eastAsia="en-AU"/>
              </w:rPr>
              <w:t>NS</w:t>
            </w:r>
            <w:r w:rsidR="00CF0EF0" w:rsidRPr="00916DD7">
              <w:rPr>
                <w:rFonts w:cs="Arial"/>
                <w:b w:val="0"/>
                <w:color w:val="000000"/>
                <w:sz w:val="18"/>
                <w:szCs w:val="18"/>
                <w:lang w:eastAsia="en-AU"/>
              </w:rPr>
              <w:t>W</w:t>
            </w:r>
          </w:p>
        </w:tc>
        <w:tc>
          <w:tcPr>
            <w:tcW w:w="1247" w:type="dxa"/>
            <w:shd w:val="clear" w:color="auto" w:fill="C7E4F3" w:themeFill="accent1" w:themeFillTint="33"/>
          </w:tcPr>
          <w:p w14:paraId="682A56E3" w14:textId="391D8854" w:rsidR="00926CEE" w:rsidRPr="00916DD7" w:rsidRDefault="00926CEE" w:rsidP="006A6E36">
            <w:pPr>
              <w:pStyle w:val="Body"/>
              <w:spacing w:before="0" w:after="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50.7</w:t>
            </w:r>
          </w:p>
        </w:tc>
        <w:tc>
          <w:tcPr>
            <w:tcW w:w="907" w:type="dxa"/>
            <w:shd w:val="clear" w:color="auto" w:fill="C7E4F3" w:themeFill="accent1" w:themeFillTint="33"/>
          </w:tcPr>
          <w:p w14:paraId="4CD822AD" w14:textId="3D03D8CE" w:rsidR="00926CEE" w:rsidRPr="00916DD7" w:rsidRDefault="00926CEE"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13.7</w:t>
            </w:r>
          </w:p>
        </w:tc>
        <w:tc>
          <w:tcPr>
            <w:tcW w:w="1014" w:type="dxa"/>
            <w:shd w:val="clear" w:color="auto" w:fill="C7E4F3" w:themeFill="accent1" w:themeFillTint="33"/>
          </w:tcPr>
          <w:p w14:paraId="0DF6DAAE" w14:textId="57A12BF4" w:rsidR="00926CEE" w:rsidRPr="00916DD7" w:rsidRDefault="00926CEE" w:rsidP="009630C0">
            <w:pPr>
              <w:pStyle w:val="Body"/>
              <w:spacing w:before="0" w:after="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9.6</w:t>
            </w:r>
          </w:p>
        </w:tc>
        <w:tc>
          <w:tcPr>
            <w:tcW w:w="849" w:type="dxa"/>
            <w:shd w:val="clear" w:color="auto" w:fill="C7E4F3" w:themeFill="accent1" w:themeFillTint="33"/>
          </w:tcPr>
          <w:p w14:paraId="58C5D8CC" w14:textId="5D2016AA" w:rsidR="00926CEE" w:rsidRPr="00916DD7" w:rsidRDefault="00926CEE" w:rsidP="00D0461D">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24.6</w:t>
            </w:r>
          </w:p>
        </w:tc>
        <w:tc>
          <w:tcPr>
            <w:tcW w:w="1304" w:type="dxa"/>
            <w:shd w:val="clear" w:color="auto" w:fill="C7E4F3" w:themeFill="accent1" w:themeFillTint="33"/>
          </w:tcPr>
          <w:p w14:paraId="1FF055D4" w14:textId="33126E98" w:rsidR="00926CEE" w:rsidRPr="00916DD7" w:rsidRDefault="00926CEE" w:rsidP="009630C0">
            <w:pPr>
              <w:pStyle w:val="Body"/>
              <w:spacing w:before="0" w:after="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14.9</w:t>
            </w:r>
          </w:p>
        </w:tc>
        <w:tc>
          <w:tcPr>
            <w:tcW w:w="907" w:type="dxa"/>
            <w:shd w:val="clear" w:color="auto" w:fill="C7E4F3" w:themeFill="accent1" w:themeFillTint="33"/>
          </w:tcPr>
          <w:p w14:paraId="1AEBC97A" w14:textId="65299A34" w:rsidR="00926CEE" w:rsidRPr="00916DD7" w:rsidRDefault="00926CEE"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1.6</w:t>
            </w:r>
          </w:p>
        </w:tc>
        <w:tc>
          <w:tcPr>
            <w:tcW w:w="907" w:type="dxa"/>
            <w:shd w:val="clear" w:color="auto" w:fill="C7E4F3" w:themeFill="accent1" w:themeFillTint="33"/>
          </w:tcPr>
          <w:p w14:paraId="3B543CC0" w14:textId="080DA6B1" w:rsidR="00926CEE" w:rsidRPr="00916DD7" w:rsidRDefault="00926CEE"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8.6</w:t>
            </w:r>
          </w:p>
        </w:tc>
      </w:tr>
      <w:tr w:rsidR="007B0567" w:rsidRPr="0017689E" w14:paraId="051F532A" w14:textId="77777777" w:rsidTr="00916DD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1928" w:type="dxa"/>
            <w:shd w:val="clear" w:color="auto" w:fill="auto"/>
          </w:tcPr>
          <w:p w14:paraId="2EC742FD" w14:textId="3833ABA4" w:rsidR="00926CEE" w:rsidRPr="00916DD7" w:rsidRDefault="00E85B08" w:rsidP="00DC04D2">
            <w:pPr>
              <w:pStyle w:val="Body"/>
              <w:spacing w:before="0" w:after="0" w:line="240" w:lineRule="auto"/>
              <w:ind w:left="113"/>
              <w:rPr>
                <w:rFonts w:cs="Arial"/>
                <w:b w:val="0"/>
                <w:sz w:val="18"/>
                <w:szCs w:val="18"/>
              </w:rPr>
            </w:pPr>
            <w:r w:rsidRPr="00916DD7">
              <w:rPr>
                <w:rFonts w:cs="Arial"/>
                <w:b w:val="0"/>
                <w:color w:val="000000"/>
                <w:sz w:val="18"/>
                <w:szCs w:val="18"/>
                <w:lang w:eastAsia="en-AU"/>
              </w:rPr>
              <w:t>NT</w:t>
            </w:r>
          </w:p>
        </w:tc>
        <w:tc>
          <w:tcPr>
            <w:tcW w:w="1247" w:type="dxa"/>
            <w:shd w:val="clear" w:color="auto" w:fill="auto"/>
          </w:tcPr>
          <w:p w14:paraId="2D61AA32" w14:textId="0EC09A10" w:rsidR="00926CEE" w:rsidRPr="00916DD7" w:rsidRDefault="00926CEE" w:rsidP="006A6E36">
            <w:pPr>
              <w:pStyle w:val="Body"/>
              <w:spacing w:before="0" w:after="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56.2</w:t>
            </w:r>
          </w:p>
        </w:tc>
        <w:tc>
          <w:tcPr>
            <w:tcW w:w="907" w:type="dxa"/>
            <w:shd w:val="clear" w:color="auto" w:fill="auto"/>
          </w:tcPr>
          <w:p w14:paraId="7E093622" w14:textId="0DE30F6A" w:rsidR="00926CEE" w:rsidRPr="00916DD7" w:rsidRDefault="00926CEE"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14.3</w:t>
            </w:r>
          </w:p>
        </w:tc>
        <w:tc>
          <w:tcPr>
            <w:tcW w:w="1014" w:type="dxa"/>
            <w:shd w:val="clear" w:color="auto" w:fill="auto"/>
          </w:tcPr>
          <w:p w14:paraId="1583E831" w14:textId="5AD30071" w:rsidR="00926CEE" w:rsidRPr="00916DD7" w:rsidRDefault="00926CEE" w:rsidP="009630C0">
            <w:pPr>
              <w:pStyle w:val="Body"/>
              <w:spacing w:before="0" w:after="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9.7</w:t>
            </w:r>
          </w:p>
        </w:tc>
        <w:tc>
          <w:tcPr>
            <w:tcW w:w="849" w:type="dxa"/>
            <w:shd w:val="clear" w:color="auto" w:fill="auto"/>
          </w:tcPr>
          <w:p w14:paraId="5BB84422" w14:textId="6BC4CBF6" w:rsidR="00926CEE" w:rsidRPr="00916DD7" w:rsidRDefault="00926CEE" w:rsidP="00D0461D">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22.5</w:t>
            </w:r>
          </w:p>
        </w:tc>
        <w:tc>
          <w:tcPr>
            <w:tcW w:w="1304" w:type="dxa"/>
            <w:shd w:val="clear" w:color="auto" w:fill="auto"/>
          </w:tcPr>
          <w:p w14:paraId="0498E546" w14:textId="77D17F32" w:rsidR="00926CEE" w:rsidRPr="00916DD7" w:rsidRDefault="00926CEE" w:rsidP="009630C0">
            <w:pPr>
              <w:pStyle w:val="Body"/>
              <w:spacing w:before="0" w:after="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4.6</w:t>
            </w:r>
          </w:p>
        </w:tc>
        <w:tc>
          <w:tcPr>
            <w:tcW w:w="907" w:type="dxa"/>
            <w:shd w:val="clear" w:color="auto" w:fill="auto"/>
          </w:tcPr>
          <w:p w14:paraId="3FB25B90" w14:textId="3B09917B" w:rsidR="00926CEE" w:rsidRPr="00916DD7" w:rsidRDefault="00926CEE"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8.7</w:t>
            </w:r>
          </w:p>
        </w:tc>
        <w:tc>
          <w:tcPr>
            <w:tcW w:w="907" w:type="dxa"/>
            <w:shd w:val="clear" w:color="auto" w:fill="auto"/>
          </w:tcPr>
          <w:p w14:paraId="16CB022E" w14:textId="791F004F" w:rsidR="00926CEE" w:rsidRPr="00916DD7" w:rsidRDefault="00926CEE"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5.4</w:t>
            </w:r>
          </w:p>
        </w:tc>
      </w:tr>
      <w:tr w:rsidR="0077036B" w:rsidRPr="0017689E" w14:paraId="1D22A7AF" w14:textId="77777777" w:rsidTr="00916DD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1928" w:type="dxa"/>
            <w:shd w:val="clear" w:color="auto" w:fill="C7E4F3" w:themeFill="accent1" w:themeFillTint="33"/>
          </w:tcPr>
          <w:p w14:paraId="1DC62B6E" w14:textId="2528C7B9" w:rsidR="00926CEE" w:rsidRPr="00916DD7" w:rsidRDefault="00E85B08" w:rsidP="00DC04D2">
            <w:pPr>
              <w:pStyle w:val="Body"/>
              <w:spacing w:before="0" w:after="0" w:line="240" w:lineRule="auto"/>
              <w:ind w:left="113"/>
              <w:rPr>
                <w:rFonts w:cs="Arial"/>
                <w:b w:val="0"/>
                <w:sz w:val="18"/>
                <w:szCs w:val="18"/>
              </w:rPr>
            </w:pPr>
            <w:r w:rsidRPr="00916DD7">
              <w:rPr>
                <w:rFonts w:cs="Arial"/>
                <w:b w:val="0"/>
                <w:color w:val="000000"/>
                <w:sz w:val="18"/>
                <w:szCs w:val="18"/>
                <w:lang w:eastAsia="en-AU"/>
              </w:rPr>
              <w:t>Q</w:t>
            </w:r>
            <w:r w:rsidR="00DC04D2" w:rsidRPr="00916DD7">
              <w:rPr>
                <w:rFonts w:cs="Arial"/>
                <w:b w:val="0"/>
                <w:color w:val="000000"/>
                <w:sz w:val="18"/>
                <w:szCs w:val="18"/>
                <w:lang w:eastAsia="en-AU"/>
              </w:rPr>
              <w:t>LD</w:t>
            </w:r>
          </w:p>
        </w:tc>
        <w:tc>
          <w:tcPr>
            <w:tcW w:w="1247" w:type="dxa"/>
            <w:shd w:val="clear" w:color="auto" w:fill="C7E4F3" w:themeFill="accent1" w:themeFillTint="33"/>
          </w:tcPr>
          <w:p w14:paraId="567CE524" w14:textId="355BD4BB" w:rsidR="00926CEE" w:rsidRPr="00916DD7" w:rsidRDefault="00926CEE" w:rsidP="006A6E36">
            <w:pPr>
              <w:pStyle w:val="Body"/>
              <w:spacing w:before="0" w:after="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50.2</w:t>
            </w:r>
          </w:p>
        </w:tc>
        <w:tc>
          <w:tcPr>
            <w:tcW w:w="907" w:type="dxa"/>
            <w:shd w:val="clear" w:color="auto" w:fill="C7E4F3" w:themeFill="accent1" w:themeFillTint="33"/>
          </w:tcPr>
          <w:p w14:paraId="2AEB6818" w14:textId="1EFCD17E" w:rsidR="00926CEE" w:rsidRPr="00916DD7" w:rsidRDefault="00926CEE"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18.3</w:t>
            </w:r>
          </w:p>
        </w:tc>
        <w:tc>
          <w:tcPr>
            <w:tcW w:w="1014" w:type="dxa"/>
            <w:shd w:val="clear" w:color="auto" w:fill="C7E4F3" w:themeFill="accent1" w:themeFillTint="33"/>
          </w:tcPr>
          <w:p w14:paraId="48BE0945" w14:textId="63FD9428" w:rsidR="00926CEE" w:rsidRPr="00916DD7" w:rsidRDefault="00926CEE" w:rsidP="009630C0">
            <w:pPr>
              <w:pStyle w:val="Body"/>
              <w:spacing w:before="0" w:after="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11.6</w:t>
            </w:r>
          </w:p>
        </w:tc>
        <w:tc>
          <w:tcPr>
            <w:tcW w:w="849" w:type="dxa"/>
            <w:shd w:val="clear" w:color="auto" w:fill="C7E4F3" w:themeFill="accent1" w:themeFillTint="33"/>
          </w:tcPr>
          <w:p w14:paraId="64FBF0BF" w14:textId="1229A404" w:rsidR="00926CEE" w:rsidRPr="00916DD7" w:rsidRDefault="00926CEE" w:rsidP="00D0461D">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13.5</w:t>
            </w:r>
          </w:p>
        </w:tc>
        <w:tc>
          <w:tcPr>
            <w:tcW w:w="1304" w:type="dxa"/>
            <w:shd w:val="clear" w:color="auto" w:fill="C7E4F3" w:themeFill="accent1" w:themeFillTint="33"/>
          </w:tcPr>
          <w:p w14:paraId="3A85A237" w14:textId="6285ECFE" w:rsidR="00926CEE" w:rsidRPr="00916DD7" w:rsidRDefault="00926CEE" w:rsidP="009630C0">
            <w:pPr>
              <w:pStyle w:val="Body"/>
              <w:spacing w:before="0" w:after="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10.8</w:t>
            </w:r>
          </w:p>
        </w:tc>
        <w:tc>
          <w:tcPr>
            <w:tcW w:w="907" w:type="dxa"/>
            <w:shd w:val="clear" w:color="auto" w:fill="C7E4F3" w:themeFill="accent1" w:themeFillTint="33"/>
          </w:tcPr>
          <w:p w14:paraId="25B70EA6" w14:textId="46E1A750" w:rsidR="00926CEE" w:rsidRPr="00916DD7" w:rsidRDefault="00926CEE"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6.3</w:t>
            </w:r>
          </w:p>
        </w:tc>
        <w:tc>
          <w:tcPr>
            <w:tcW w:w="907" w:type="dxa"/>
            <w:shd w:val="clear" w:color="auto" w:fill="C7E4F3" w:themeFill="accent1" w:themeFillTint="33"/>
          </w:tcPr>
          <w:p w14:paraId="106F692D" w14:textId="59DC7623" w:rsidR="00926CEE" w:rsidRPr="00916DD7" w:rsidRDefault="00926CEE"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2.8</w:t>
            </w:r>
          </w:p>
        </w:tc>
      </w:tr>
      <w:tr w:rsidR="007B0567" w:rsidRPr="0017689E" w14:paraId="337D9FFC" w14:textId="77777777" w:rsidTr="00916DD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1928" w:type="dxa"/>
            <w:shd w:val="clear" w:color="auto" w:fill="auto"/>
          </w:tcPr>
          <w:p w14:paraId="5587B13A" w14:textId="64789166" w:rsidR="00926CEE" w:rsidRPr="00916DD7" w:rsidRDefault="00926CEE" w:rsidP="00DC04D2">
            <w:pPr>
              <w:pStyle w:val="Body"/>
              <w:spacing w:before="0" w:after="0" w:line="240" w:lineRule="auto"/>
              <w:ind w:left="113"/>
              <w:rPr>
                <w:rFonts w:cs="Arial"/>
                <w:b w:val="0"/>
                <w:sz w:val="18"/>
                <w:szCs w:val="18"/>
              </w:rPr>
            </w:pPr>
            <w:r w:rsidRPr="00916DD7">
              <w:rPr>
                <w:rFonts w:cs="Arial"/>
                <w:b w:val="0"/>
                <w:color w:val="000000"/>
                <w:sz w:val="18"/>
                <w:szCs w:val="18"/>
                <w:lang w:eastAsia="en-AU"/>
              </w:rPr>
              <w:t>Seacare</w:t>
            </w:r>
          </w:p>
        </w:tc>
        <w:tc>
          <w:tcPr>
            <w:tcW w:w="1247" w:type="dxa"/>
            <w:shd w:val="clear" w:color="auto" w:fill="auto"/>
          </w:tcPr>
          <w:p w14:paraId="51A6D0F1" w14:textId="79AD00E4" w:rsidR="00926CEE" w:rsidRPr="00916DD7" w:rsidRDefault="00926CEE" w:rsidP="006A6E36">
            <w:pPr>
              <w:pStyle w:val="Body"/>
              <w:spacing w:before="0" w:after="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46.0</w:t>
            </w:r>
          </w:p>
        </w:tc>
        <w:tc>
          <w:tcPr>
            <w:tcW w:w="907" w:type="dxa"/>
            <w:shd w:val="clear" w:color="auto" w:fill="auto"/>
          </w:tcPr>
          <w:p w14:paraId="731825FF" w14:textId="7D082568" w:rsidR="00926CEE" w:rsidRPr="00916DD7" w:rsidRDefault="00926CEE"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5.1</w:t>
            </w:r>
          </w:p>
        </w:tc>
        <w:tc>
          <w:tcPr>
            <w:tcW w:w="1014" w:type="dxa"/>
            <w:shd w:val="clear" w:color="auto" w:fill="auto"/>
          </w:tcPr>
          <w:p w14:paraId="026B5B62" w14:textId="3C900D47" w:rsidR="00926CEE" w:rsidRPr="00916DD7" w:rsidRDefault="00926CEE" w:rsidP="009630C0">
            <w:pPr>
              <w:pStyle w:val="Body"/>
              <w:spacing w:before="0" w:after="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21.7</w:t>
            </w:r>
          </w:p>
        </w:tc>
        <w:tc>
          <w:tcPr>
            <w:tcW w:w="849" w:type="dxa"/>
            <w:shd w:val="clear" w:color="auto" w:fill="auto"/>
          </w:tcPr>
          <w:p w14:paraId="7D6C0D19" w14:textId="7D5A386D" w:rsidR="00926CEE" w:rsidRPr="00916DD7" w:rsidRDefault="00926CEE" w:rsidP="00D0461D">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5.1</w:t>
            </w:r>
          </w:p>
        </w:tc>
        <w:tc>
          <w:tcPr>
            <w:tcW w:w="1304" w:type="dxa"/>
            <w:shd w:val="clear" w:color="auto" w:fill="auto"/>
          </w:tcPr>
          <w:p w14:paraId="0AD76D35" w14:textId="0933B36C" w:rsidR="00926CEE" w:rsidRPr="00916DD7" w:rsidRDefault="00926CEE" w:rsidP="009630C0">
            <w:pPr>
              <w:pStyle w:val="Body"/>
              <w:spacing w:before="0" w:after="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15.4</w:t>
            </w:r>
          </w:p>
        </w:tc>
        <w:tc>
          <w:tcPr>
            <w:tcW w:w="907" w:type="dxa"/>
            <w:shd w:val="clear" w:color="auto" w:fill="auto"/>
          </w:tcPr>
          <w:p w14:paraId="402EC9C4" w14:textId="1F76F999" w:rsidR="00926CEE" w:rsidRPr="00916DD7" w:rsidRDefault="00926CEE"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22.2</w:t>
            </w:r>
          </w:p>
        </w:tc>
        <w:tc>
          <w:tcPr>
            <w:tcW w:w="907" w:type="dxa"/>
            <w:shd w:val="clear" w:color="auto" w:fill="auto"/>
          </w:tcPr>
          <w:p w14:paraId="07AA8359" w14:textId="32522160" w:rsidR="00926CEE" w:rsidRPr="00916DD7" w:rsidRDefault="00926CEE"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10.1</w:t>
            </w:r>
          </w:p>
        </w:tc>
      </w:tr>
      <w:tr w:rsidR="0077036B" w:rsidRPr="0017689E" w14:paraId="56145F60" w14:textId="77777777" w:rsidTr="00916DD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1928" w:type="dxa"/>
            <w:shd w:val="clear" w:color="auto" w:fill="C7E4F3" w:themeFill="accent1" w:themeFillTint="33"/>
          </w:tcPr>
          <w:p w14:paraId="756F584A" w14:textId="1E379826" w:rsidR="00926CEE" w:rsidRPr="00916DD7" w:rsidRDefault="00DC04D2" w:rsidP="00DC04D2">
            <w:pPr>
              <w:pStyle w:val="Body"/>
              <w:spacing w:before="0" w:after="0" w:line="240" w:lineRule="auto"/>
              <w:ind w:left="113"/>
              <w:rPr>
                <w:rFonts w:cs="Arial"/>
                <w:b w:val="0"/>
                <w:sz w:val="18"/>
                <w:szCs w:val="18"/>
              </w:rPr>
            </w:pPr>
            <w:r w:rsidRPr="00916DD7">
              <w:rPr>
                <w:rFonts w:cs="Arial"/>
                <w:b w:val="0"/>
                <w:color w:val="000000"/>
                <w:sz w:val="18"/>
                <w:szCs w:val="18"/>
                <w:lang w:eastAsia="en-AU"/>
              </w:rPr>
              <w:t>TAS</w:t>
            </w:r>
          </w:p>
        </w:tc>
        <w:tc>
          <w:tcPr>
            <w:tcW w:w="1247" w:type="dxa"/>
            <w:shd w:val="clear" w:color="auto" w:fill="C7E4F3" w:themeFill="accent1" w:themeFillTint="33"/>
          </w:tcPr>
          <w:p w14:paraId="4B9B159A" w14:textId="13D71B99" w:rsidR="00926CEE" w:rsidRPr="00916DD7" w:rsidRDefault="00926CEE" w:rsidP="006A6E36">
            <w:pPr>
              <w:pStyle w:val="Body"/>
              <w:spacing w:before="0" w:after="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40.5</w:t>
            </w:r>
          </w:p>
        </w:tc>
        <w:tc>
          <w:tcPr>
            <w:tcW w:w="907" w:type="dxa"/>
            <w:shd w:val="clear" w:color="auto" w:fill="C7E4F3" w:themeFill="accent1" w:themeFillTint="33"/>
          </w:tcPr>
          <w:p w14:paraId="60293645" w14:textId="3E4A6724" w:rsidR="00926CEE" w:rsidRPr="00916DD7" w:rsidRDefault="00926CEE"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18.5</w:t>
            </w:r>
          </w:p>
        </w:tc>
        <w:tc>
          <w:tcPr>
            <w:tcW w:w="1014" w:type="dxa"/>
            <w:shd w:val="clear" w:color="auto" w:fill="C7E4F3" w:themeFill="accent1" w:themeFillTint="33"/>
          </w:tcPr>
          <w:p w14:paraId="0F5F9B46" w14:textId="4763B083" w:rsidR="00926CEE" w:rsidRPr="00916DD7" w:rsidRDefault="00926CEE" w:rsidP="009630C0">
            <w:pPr>
              <w:pStyle w:val="Body"/>
              <w:spacing w:before="0" w:after="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16.1</w:t>
            </w:r>
          </w:p>
        </w:tc>
        <w:tc>
          <w:tcPr>
            <w:tcW w:w="849" w:type="dxa"/>
            <w:shd w:val="clear" w:color="auto" w:fill="C7E4F3" w:themeFill="accent1" w:themeFillTint="33"/>
          </w:tcPr>
          <w:p w14:paraId="5E276394" w14:textId="567762A9" w:rsidR="00926CEE" w:rsidRPr="00916DD7" w:rsidRDefault="00926CEE" w:rsidP="00D0461D">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25.3</w:t>
            </w:r>
          </w:p>
        </w:tc>
        <w:tc>
          <w:tcPr>
            <w:tcW w:w="1304" w:type="dxa"/>
            <w:shd w:val="clear" w:color="auto" w:fill="C7E4F3" w:themeFill="accent1" w:themeFillTint="33"/>
          </w:tcPr>
          <w:p w14:paraId="664A21D3" w14:textId="3D10DBC4" w:rsidR="00926CEE" w:rsidRPr="00916DD7" w:rsidRDefault="00926CEE" w:rsidP="009630C0">
            <w:pPr>
              <w:pStyle w:val="Body"/>
              <w:spacing w:before="0" w:after="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7.4</w:t>
            </w:r>
          </w:p>
        </w:tc>
        <w:tc>
          <w:tcPr>
            <w:tcW w:w="907" w:type="dxa"/>
            <w:shd w:val="clear" w:color="auto" w:fill="C7E4F3" w:themeFill="accent1" w:themeFillTint="33"/>
          </w:tcPr>
          <w:p w14:paraId="261E2519" w14:textId="4ACBB708" w:rsidR="00926CEE" w:rsidRPr="00916DD7" w:rsidRDefault="00926CEE"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5.6</w:t>
            </w:r>
          </w:p>
        </w:tc>
        <w:tc>
          <w:tcPr>
            <w:tcW w:w="907" w:type="dxa"/>
            <w:shd w:val="clear" w:color="auto" w:fill="C7E4F3" w:themeFill="accent1" w:themeFillTint="33"/>
          </w:tcPr>
          <w:p w14:paraId="1798A591" w14:textId="04399D07" w:rsidR="00926CEE" w:rsidRPr="00916DD7" w:rsidRDefault="00926CEE"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9.3</w:t>
            </w:r>
          </w:p>
        </w:tc>
      </w:tr>
      <w:tr w:rsidR="007B0567" w:rsidRPr="0017689E" w14:paraId="4D8134A6" w14:textId="77777777" w:rsidTr="00916DD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1928" w:type="dxa"/>
            <w:shd w:val="clear" w:color="auto" w:fill="auto"/>
          </w:tcPr>
          <w:p w14:paraId="669BCC73" w14:textId="0A3E41D5" w:rsidR="00926CEE" w:rsidRPr="00916DD7" w:rsidRDefault="00CF0EF0" w:rsidP="00DC04D2">
            <w:pPr>
              <w:pStyle w:val="Body"/>
              <w:spacing w:before="0" w:after="0" w:line="240" w:lineRule="auto"/>
              <w:ind w:left="113"/>
              <w:rPr>
                <w:rFonts w:cs="Arial"/>
                <w:b w:val="0"/>
                <w:sz w:val="18"/>
                <w:szCs w:val="18"/>
              </w:rPr>
            </w:pPr>
            <w:r w:rsidRPr="00916DD7">
              <w:rPr>
                <w:rFonts w:cs="Arial"/>
                <w:b w:val="0"/>
                <w:color w:val="000000"/>
                <w:sz w:val="18"/>
                <w:szCs w:val="18"/>
                <w:lang w:eastAsia="en-AU"/>
              </w:rPr>
              <w:t>WA</w:t>
            </w:r>
          </w:p>
        </w:tc>
        <w:tc>
          <w:tcPr>
            <w:tcW w:w="1247" w:type="dxa"/>
            <w:shd w:val="clear" w:color="auto" w:fill="auto"/>
          </w:tcPr>
          <w:p w14:paraId="01FF4B2C" w14:textId="3149D755" w:rsidR="00926CEE" w:rsidRPr="00916DD7" w:rsidRDefault="00926CEE" w:rsidP="006A6E36">
            <w:pPr>
              <w:pStyle w:val="Body"/>
              <w:spacing w:before="0" w:after="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62.6</w:t>
            </w:r>
          </w:p>
        </w:tc>
        <w:tc>
          <w:tcPr>
            <w:tcW w:w="907" w:type="dxa"/>
            <w:shd w:val="clear" w:color="auto" w:fill="auto"/>
          </w:tcPr>
          <w:p w14:paraId="1F9E61C0" w14:textId="78D69DC9" w:rsidR="00926CEE" w:rsidRPr="00916DD7" w:rsidRDefault="00926CEE"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14.0</w:t>
            </w:r>
          </w:p>
        </w:tc>
        <w:tc>
          <w:tcPr>
            <w:tcW w:w="1014" w:type="dxa"/>
            <w:shd w:val="clear" w:color="auto" w:fill="auto"/>
          </w:tcPr>
          <w:p w14:paraId="32CB1B78" w14:textId="5C7013EA" w:rsidR="00926CEE" w:rsidRPr="00916DD7" w:rsidRDefault="00926CEE" w:rsidP="009630C0">
            <w:pPr>
              <w:pStyle w:val="Body"/>
              <w:spacing w:before="0" w:after="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11.1</w:t>
            </w:r>
          </w:p>
        </w:tc>
        <w:tc>
          <w:tcPr>
            <w:tcW w:w="849" w:type="dxa"/>
            <w:shd w:val="clear" w:color="auto" w:fill="auto"/>
          </w:tcPr>
          <w:p w14:paraId="075E7852" w14:textId="52B8E76D" w:rsidR="00926CEE" w:rsidRPr="00916DD7" w:rsidRDefault="00926CEE" w:rsidP="00D0461D">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13.8</w:t>
            </w:r>
          </w:p>
        </w:tc>
        <w:tc>
          <w:tcPr>
            <w:tcW w:w="1304" w:type="dxa"/>
            <w:shd w:val="clear" w:color="auto" w:fill="auto"/>
          </w:tcPr>
          <w:p w14:paraId="40151883" w14:textId="1A931E43" w:rsidR="00926CEE" w:rsidRPr="00916DD7" w:rsidRDefault="00926CEE" w:rsidP="009630C0">
            <w:pPr>
              <w:pStyle w:val="Body"/>
              <w:spacing w:before="0" w:after="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9.2</w:t>
            </w:r>
          </w:p>
        </w:tc>
        <w:tc>
          <w:tcPr>
            <w:tcW w:w="907" w:type="dxa"/>
            <w:shd w:val="clear" w:color="auto" w:fill="auto"/>
          </w:tcPr>
          <w:p w14:paraId="2E569058" w14:textId="18FCA5C4" w:rsidR="00926CEE" w:rsidRPr="00916DD7" w:rsidRDefault="00926CEE"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1.2</w:t>
            </w:r>
          </w:p>
        </w:tc>
        <w:tc>
          <w:tcPr>
            <w:tcW w:w="907" w:type="dxa"/>
            <w:shd w:val="clear" w:color="auto" w:fill="auto"/>
          </w:tcPr>
          <w:p w14:paraId="39F37FF9" w14:textId="2F70173D" w:rsidR="00926CEE" w:rsidRPr="00916DD7" w:rsidRDefault="00926CEE"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5.1</w:t>
            </w:r>
          </w:p>
        </w:tc>
      </w:tr>
      <w:tr w:rsidR="0077036B" w:rsidRPr="0017689E" w14:paraId="19097B90" w14:textId="77777777" w:rsidTr="00916DD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1928" w:type="dxa"/>
            <w:shd w:val="clear" w:color="auto" w:fill="C7E4F3" w:themeFill="accent1" w:themeFillTint="33"/>
          </w:tcPr>
          <w:p w14:paraId="25741B2E" w14:textId="712A11AD" w:rsidR="00926CEE" w:rsidRPr="00916DD7" w:rsidRDefault="00E85B08" w:rsidP="00DC04D2">
            <w:pPr>
              <w:pStyle w:val="Body"/>
              <w:spacing w:before="0" w:after="0" w:line="240" w:lineRule="auto"/>
              <w:ind w:left="113"/>
              <w:rPr>
                <w:rFonts w:cs="Arial"/>
                <w:b w:val="0"/>
                <w:color w:val="000000"/>
                <w:sz w:val="18"/>
                <w:szCs w:val="18"/>
                <w:lang w:eastAsia="en-AU"/>
              </w:rPr>
            </w:pPr>
            <w:r w:rsidRPr="00916DD7">
              <w:rPr>
                <w:rFonts w:cs="Arial"/>
                <w:b w:val="0"/>
                <w:color w:val="000000"/>
                <w:sz w:val="18"/>
                <w:szCs w:val="18"/>
                <w:lang w:eastAsia="en-AU"/>
              </w:rPr>
              <w:t>V</w:t>
            </w:r>
            <w:r w:rsidR="00DC04D2" w:rsidRPr="00916DD7">
              <w:rPr>
                <w:rFonts w:cs="Arial"/>
                <w:b w:val="0"/>
                <w:color w:val="000000"/>
                <w:sz w:val="18"/>
                <w:szCs w:val="18"/>
                <w:lang w:eastAsia="en-AU"/>
              </w:rPr>
              <w:t>IC</w:t>
            </w:r>
          </w:p>
        </w:tc>
        <w:tc>
          <w:tcPr>
            <w:tcW w:w="1247" w:type="dxa"/>
            <w:shd w:val="clear" w:color="auto" w:fill="C7E4F3" w:themeFill="accent1" w:themeFillTint="33"/>
          </w:tcPr>
          <w:p w14:paraId="72436DB4" w14:textId="7A383A20" w:rsidR="00926CEE" w:rsidRPr="00916DD7" w:rsidRDefault="00926CEE" w:rsidP="006A6E36">
            <w:pPr>
              <w:pStyle w:val="Body"/>
              <w:spacing w:before="0" w:after="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51.8</w:t>
            </w:r>
          </w:p>
        </w:tc>
        <w:tc>
          <w:tcPr>
            <w:tcW w:w="907" w:type="dxa"/>
            <w:shd w:val="clear" w:color="auto" w:fill="C7E4F3" w:themeFill="accent1" w:themeFillTint="33"/>
          </w:tcPr>
          <w:p w14:paraId="1FD482DC" w14:textId="5A1ADBF4" w:rsidR="00926CEE" w:rsidRPr="00916DD7" w:rsidRDefault="00926CEE"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21.0</w:t>
            </w:r>
          </w:p>
        </w:tc>
        <w:tc>
          <w:tcPr>
            <w:tcW w:w="1014" w:type="dxa"/>
            <w:shd w:val="clear" w:color="auto" w:fill="C7E4F3" w:themeFill="accent1" w:themeFillTint="33"/>
          </w:tcPr>
          <w:p w14:paraId="259DE10D" w14:textId="53750312" w:rsidR="00926CEE" w:rsidRPr="00916DD7" w:rsidRDefault="00926CEE" w:rsidP="009630C0">
            <w:pPr>
              <w:pStyle w:val="Body"/>
              <w:spacing w:before="0" w:after="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13.3</w:t>
            </w:r>
          </w:p>
        </w:tc>
        <w:tc>
          <w:tcPr>
            <w:tcW w:w="849" w:type="dxa"/>
            <w:shd w:val="clear" w:color="auto" w:fill="C7E4F3" w:themeFill="accent1" w:themeFillTint="33"/>
          </w:tcPr>
          <w:p w14:paraId="34CF77E1" w14:textId="4B03A4CD" w:rsidR="00926CEE" w:rsidRPr="00916DD7" w:rsidRDefault="00926CEE" w:rsidP="00D0461D">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15.6</w:t>
            </w:r>
          </w:p>
        </w:tc>
        <w:tc>
          <w:tcPr>
            <w:tcW w:w="1304" w:type="dxa"/>
            <w:shd w:val="clear" w:color="auto" w:fill="C7E4F3" w:themeFill="accent1" w:themeFillTint="33"/>
          </w:tcPr>
          <w:p w14:paraId="1237A2DD" w14:textId="65D62F73" w:rsidR="00926CEE" w:rsidRPr="00916DD7" w:rsidRDefault="00926CEE" w:rsidP="009630C0">
            <w:pPr>
              <w:pStyle w:val="Body"/>
              <w:spacing w:before="0" w:after="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10.3</w:t>
            </w:r>
          </w:p>
        </w:tc>
        <w:tc>
          <w:tcPr>
            <w:tcW w:w="907" w:type="dxa"/>
            <w:shd w:val="clear" w:color="auto" w:fill="C7E4F3" w:themeFill="accent1" w:themeFillTint="33"/>
          </w:tcPr>
          <w:p w14:paraId="1636C982" w14:textId="64E74CF4" w:rsidR="00926CEE" w:rsidRPr="00916DD7" w:rsidRDefault="00926CEE"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4.7</w:t>
            </w:r>
          </w:p>
        </w:tc>
        <w:tc>
          <w:tcPr>
            <w:tcW w:w="907" w:type="dxa"/>
            <w:shd w:val="clear" w:color="auto" w:fill="C7E4F3" w:themeFill="accent1" w:themeFillTint="33"/>
          </w:tcPr>
          <w:p w14:paraId="4EDD40BD" w14:textId="1880285A" w:rsidR="00926CEE" w:rsidRPr="00916DD7" w:rsidRDefault="00926CEE"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916DD7">
              <w:rPr>
                <w:rFonts w:cs="Arial"/>
                <w:b w:val="0"/>
                <w:color w:val="000000"/>
                <w:sz w:val="18"/>
                <w:szCs w:val="18"/>
              </w:rPr>
              <w:t>4.5</w:t>
            </w:r>
          </w:p>
        </w:tc>
      </w:tr>
      <w:tr w:rsidR="007B0567" w:rsidRPr="007B0567" w14:paraId="3AFFD6DF" w14:textId="77777777" w:rsidTr="007B056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1928" w:type="dxa"/>
            <w:shd w:val="clear" w:color="auto" w:fill="58AFDA" w:themeFill="accent1" w:themeFillTint="99"/>
          </w:tcPr>
          <w:p w14:paraId="4445905A" w14:textId="72EED6E9" w:rsidR="00DC04D2" w:rsidRPr="00916DD7" w:rsidRDefault="0025300B" w:rsidP="00DC04D2">
            <w:pPr>
              <w:pStyle w:val="Body"/>
              <w:spacing w:before="0" w:after="0" w:line="240" w:lineRule="auto"/>
              <w:rPr>
                <w:rFonts w:cs="Arial"/>
                <w:color w:val="auto"/>
                <w:sz w:val="18"/>
                <w:szCs w:val="18"/>
                <w:lang w:eastAsia="en-AU"/>
              </w:rPr>
            </w:pPr>
            <w:r w:rsidRPr="00916DD7">
              <w:rPr>
                <w:rFonts w:cs="Arial"/>
                <w:color w:val="auto"/>
                <w:sz w:val="18"/>
                <w:szCs w:val="18"/>
                <w:lang w:eastAsia="en-AU"/>
              </w:rPr>
              <w:t>Injury/illness</w:t>
            </w:r>
            <w:r w:rsidR="00DC04D2" w:rsidRPr="00916DD7">
              <w:rPr>
                <w:rFonts w:cs="Arial"/>
                <w:color w:val="auto"/>
                <w:sz w:val="18"/>
                <w:szCs w:val="18"/>
                <w:lang w:eastAsia="en-AU"/>
              </w:rPr>
              <w:t xml:space="preserve"> type</w:t>
            </w:r>
          </w:p>
        </w:tc>
        <w:tc>
          <w:tcPr>
            <w:tcW w:w="1247" w:type="dxa"/>
            <w:shd w:val="clear" w:color="auto" w:fill="58AFDA" w:themeFill="accent1" w:themeFillTint="99"/>
          </w:tcPr>
          <w:p w14:paraId="3BBF9E85" w14:textId="77777777" w:rsidR="00DC04D2" w:rsidRPr="00916DD7" w:rsidRDefault="00DC04D2" w:rsidP="006A6E36">
            <w:pPr>
              <w:pStyle w:val="Body"/>
              <w:spacing w:before="0" w:after="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p>
        </w:tc>
        <w:tc>
          <w:tcPr>
            <w:tcW w:w="907" w:type="dxa"/>
            <w:shd w:val="clear" w:color="auto" w:fill="58AFDA" w:themeFill="accent1" w:themeFillTint="99"/>
          </w:tcPr>
          <w:p w14:paraId="41311548" w14:textId="77777777" w:rsidR="00DC04D2" w:rsidRPr="00916DD7" w:rsidRDefault="00DC04D2"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p>
        </w:tc>
        <w:tc>
          <w:tcPr>
            <w:tcW w:w="1014" w:type="dxa"/>
            <w:shd w:val="clear" w:color="auto" w:fill="58AFDA" w:themeFill="accent1" w:themeFillTint="99"/>
          </w:tcPr>
          <w:p w14:paraId="130A3124" w14:textId="77777777" w:rsidR="00DC04D2" w:rsidRPr="00916DD7" w:rsidRDefault="00DC04D2" w:rsidP="009630C0">
            <w:pPr>
              <w:pStyle w:val="Body"/>
              <w:spacing w:before="0" w:after="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p>
        </w:tc>
        <w:tc>
          <w:tcPr>
            <w:tcW w:w="849" w:type="dxa"/>
            <w:shd w:val="clear" w:color="auto" w:fill="58AFDA" w:themeFill="accent1" w:themeFillTint="99"/>
          </w:tcPr>
          <w:p w14:paraId="090BFE95" w14:textId="77777777" w:rsidR="00DC04D2" w:rsidRPr="00916DD7" w:rsidRDefault="00DC04D2" w:rsidP="00D0461D">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p>
        </w:tc>
        <w:tc>
          <w:tcPr>
            <w:tcW w:w="1304" w:type="dxa"/>
            <w:shd w:val="clear" w:color="auto" w:fill="58AFDA" w:themeFill="accent1" w:themeFillTint="99"/>
          </w:tcPr>
          <w:p w14:paraId="2C325F11" w14:textId="77777777" w:rsidR="00DC04D2" w:rsidRPr="00916DD7" w:rsidRDefault="00DC04D2" w:rsidP="009630C0">
            <w:pPr>
              <w:pStyle w:val="Body"/>
              <w:spacing w:before="0" w:after="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p>
        </w:tc>
        <w:tc>
          <w:tcPr>
            <w:tcW w:w="907" w:type="dxa"/>
            <w:shd w:val="clear" w:color="auto" w:fill="58AFDA" w:themeFill="accent1" w:themeFillTint="99"/>
          </w:tcPr>
          <w:p w14:paraId="2375C6D9" w14:textId="77777777" w:rsidR="00DC04D2" w:rsidRPr="00916DD7" w:rsidRDefault="00DC04D2"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p>
        </w:tc>
        <w:tc>
          <w:tcPr>
            <w:tcW w:w="907" w:type="dxa"/>
            <w:shd w:val="clear" w:color="auto" w:fill="58AFDA" w:themeFill="accent1" w:themeFillTint="99"/>
          </w:tcPr>
          <w:p w14:paraId="785A4B18" w14:textId="77777777" w:rsidR="00DC04D2" w:rsidRPr="00916DD7" w:rsidRDefault="00DC04D2"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p>
        </w:tc>
      </w:tr>
      <w:tr w:rsidR="0077036B" w:rsidRPr="0017689E" w14:paraId="137E6CB2" w14:textId="77777777" w:rsidTr="00916DD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1928" w:type="dxa"/>
            <w:shd w:val="clear" w:color="auto" w:fill="C7E4F3" w:themeFill="accent1" w:themeFillTint="33"/>
          </w:tcPr>
          <w:p w14:paraId="777A95B8" w14:textId="4FE76803" w:rsidR="006A6E36" w:rsidRPr="00916DD7" w:rsidRDefault="006A6E36" w:rsidP="006A6E36">
            <w:pPr>
              <w:pStyle w:val="Body"/>
              <w:spacing w:before="0" w:after="0" w:line="240" w:lineRule="auto"/>
              <w:ind w:left="113"/>
              <w:rPr>
                <w:rFonts w:cs="Arial"/>
                <w:b w:val="0"/>
                <w:color w:val="000000"/>
                <w:sz w:val="18"/>
                <w:szCs w:val="18"/>
                <w:lang w:eastAsia="en-AU"/>
              </w:rPr>
            </w:pPr>
            <w:r w:rsidRPr="00916DD7">
              <w:rPr>
                <w:rFonts w:cs="Arial"/>
                <w:b w:val="0"/>
                <w:color w:val="000000"/>
                <w:sz w:val="18"/>
                <w:szCs w:val="18"/>
                <w:lang w:eastAsia="en-AU"/>
              </w:rPr>
              <w:t>Fractures</w:t>
            </w:r>
          </w:p>
        </w:tc>
        <w:tc>
          <w:tcPr>
            <w:tcW w:w="1247" w:type="dxa"/>
            <w:shd w:val="clear" w:color="auto" w:fill="C7E4F3" w:themeFill="accent1" w:themeFillTint="33"/>
          </w:tcPr>
          <w:p w14:paraId="34CEA06A" w14:textId="294081BF" w:rsidR="006A6E36" w:rsidRPr="00916DD7" w:rsidRDefault="006A6E36" w:rsidP="006A6E36">
            <w:pPr>
              <w:pStyle w:val="Body"/>
              <w:spacing w:before="0" w:after="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54.4</w:t>
            </w:r>
          </w:p>
        </w:tc>
        <w:tc>
          <w:tcPr>
            <w:tcW w:w="907" w:type="dxa"/>
            <w:shd w:val="clear" w:color="auto" w:fill="C7E4F3" w:themeFill="accent1" w:themeFillTint="33"/>
          </w:tcPr>
          <w:p w14:paraId="75ECE3FD" w14:textId="2ABE3EED" w:rsidR="006A6E36" w:rsidRPr="00916DD7" w:rsidRDefault="006A6E36" w:rsidP="006A6E36">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24.5</w:t>
            </w:r>
          </w:p>
        </w:tc>
        <w:tc>
          <w:tcPr>
            <w:tcW w:w="1014" w:type="dxa"/>
            <w:shd w:val="clear" w:color="auto" w:fill="C7E4F3" w:themeFill="accent1" w:themeFillTint="33"/>
          </w:tcPr>
          <w:p w14:paraId="1BF346D1" w14:textId="5F80C8F6" w:rsidR="006A6E36" w:rsidRPr="00916DD7" w:rsidRDefault="006A6E36" w:rsidP="006A6E36">
            <w:pPr>
              <w:pStyle w:val="Body"/>
              <w:spacing w:before="0" w:after="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8.5</w:t>
            </w:r>
          </w:p>
        </w:tc>
        <w:tc>
          <w:tcPr>
            <w:tcW w:w="849" w:type="dxa"/>
            <w:shd w:val="clear" w:color="auto" w:fill="C7E4F3" w:themeFill="accent1" w:themeFillTint="33"/>
          </w:tcPr>
          <w:p w14:paraId="5EF07499" w14:textId="6AAA6E6A" w:rsidR="006A6E36" w:rsidRPr="00916DD7" w:rsidRDefault="006A6E36" w:rsidP="006A6E36">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21.0</w:t>
            </w:r>
          </w:p>
        </w:tc>
        <w:tc>
          <w:tcPr>
            <w:tcW w:w="1304" w:type="dxa"/>
            <w:shd w:val="clear" w:color="auto" w:fill="C7E4F3" w:themeFill="accent1" w:themeFillTint="33"/>
          </w:tcPr>
          <w:p w14:paraId="49B60605" w14:textId="275ACBAD" w:rsidR="006A6E36" w:rsidRPr="00916DD7" w:rsidRDefault="006A6E36" w:rsidP="006A6E36">
            <w:pPr>
              <w:pStyle w:val="Body"/>
              <w:spacing w:before="0" w:after="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13.8</w:t>
            </w:r>
          </w:p>
        </w:tc>
        <w:tc>
          <w:tcPr>
            <w:tcW w:w="907" w:type="dxa"/>
            <w:shd w:val="clear" w:color="auto" w:fill="C7E4F3" w:themeFill="accent1" w:themeFillTint="33"/>
          </w:tcPr>
          <w:p w14:paraId="6711D1FE" w14:textId="6144664A" w:rsidR="006A6E36" w:rsidRPr="00916DD7" w:rsidRDefault="006A6E36" w:rsidP="006A6E36">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2.1</w:t>
            </w:r>
          </w:p>
        </w:tc>
        <w:tc>
          <w:tcPr>
            <w:tcW w:w="907" w:type="dxa"/>
            <w:shd w:val="clear" w:color="auto" w:fill="C7E4F3" w:themeFill="accent1" w:themeFillTint="33"/>
          </w:tcPr>
          <w:p w14:paraId="31B1F7DB" w14:textId="181518CD" w:rsidR="006A6E36" w:rsidRPr="00916DD7" w:rsidRDefault="006A6E36" w:rsidP="006A6E36">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7.7</w:t>
            </w:r>
          </w:p>
        </w:tc>
      </w:tr>
      <w:tr w:rsidR="007B0567" w:rsidRPr="0017689E" w14:paraId="74641A88" w14:textId="77777777" w:rsidTr="00916DD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1928" w:type="dxa"/>
            <w:shd w:val="clear" w:color="auto" w:fill="auto"/>
          </w:tcPr>
          <w:p w14:paraId="68924718" w14:textId="37B5231B" w:rsidR="006A6E36" w:rsidRPr="00916DD7" w:rsidRDefault="006A6E36" w:rsidP="006A6E36">
            <w:pPr>
              <w:pStyle w:val="Body"/>
              <w:spacing w:before="0" w:after="0" w:line="240" w:lineRule="auto"/>
              <w:ind w:left="113"/>
              <w:rPr>
                <w:rFonts w:cs="Arial"/>
                <w:b w:val="0"/>
                <w:color w:val="000000"/>
                <w:sz w:val="18"/>
                <w:szCs w:val="18"/>
                <w:lang w:eastAsia="en-AU"/>
              </w:rPr>
            </w:pPr>
            <w:r w:rsidRPr="00916DD7">
              <w:rPr>
                <w:rFonts w:cs="Arial"/>
                <w:b w:val="0"/>
                <w:color w:val="000000"/>
                <w:sz w:val="18"/>
                <w:szCs w:val="18"/>
                <w:lang w:eastAsia="en-AU"/>
              </w:rPr>
              <w:t>Musculoskeletal Disorders</w:t>
            </w:r>
          </w:p>
        </w:tc>
        <w:tc>
          <w:tcPr>
            <w:tcW w:w="1247" w:type="dxa"/>
            <w:shd w:val="clear" w:color="auto" w:fill="auto"/>
          </w:tcPr>
          <w:p w14:paraId="4EBE6040" w14:textId="7C6523DF" w:rsidR="006A6E36" w:rsidRPr="00916DD7" w:rsidRDefault="006A6E36" w:rsidP="006A6E36">
            <w:pPr>
              <w:pStyle w:val="Body"/>
              <w:spacing w:before="0" w:after="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52.0</w:t>
            </w:r>
          </w:p>
        </w:tc>
        <w:tc>
          <w:tcPr>
            <w:tcW w:w="907" w:type="dxa"/>
            <w:shd w:val="clear" w:color="auto" w:fill="auto"/>
          </w:tcPr>
          <w:p w14:paraId="787F4CBD" w14:textId="4F1E1314" w:rsidR="006A6E36" w:rsidRPr="00916DD7" w:rsidRDefault="006A6E36" w:rsidP="006A6E36">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13.6</w:t>
            </w:r>
          </w:p>
        </w:tc>
        <w:tc>
          <w:tcPr>
            <w:tcW w:w="1014" w:type="dxa"/>
            <w:shd w:val="clear" w:color="auto" w:fill="auto"/>
          </w:tcPr>
          <w:p w14:paraId="46AFF887" w14:textId="4FCEC3DA" w:rsidR="006A6E36" w:rsidRPr="00916DD7" w:rsidRDefault="006A6E36" w:rsidP="006A6E36">
            <w:pPr>
              <w:pStyle w:val="Body"/>
              <w:spacing w:before="0" w:after="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12.3</w:t>
            </w:r>
          </w:p>
        </w:tc>
        <w:tc>
          <w:tcPr>
            <w:tcW w:w="849" w:type="dxa"/>
            <w:shd w:val="clear" w:color="auto" w:fill="auto"/>
          </w:tcPr>
          <w:p w14:paraId="67DE3546" w14:textId="4A3C5704" w:rsidR="006A6E36" w:rsidRPr="00916DD7" w:rsidRDefault="006A6E36" w:rsidP="006A6E36">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17.0</w:t>
            </w:r>
          </w:p>
        </w:tc>
        <w:tc>
          <w:tcPr>
            <w:tcW w:w="1304" w:type="dxa"/>
            <w:shd w:val="clear" w:color="auto" w:fill="auto"/>
          </w:tcPr>
          <w:p w14:paraId="52AE9D4A" w14:textId="07E2FF9C" w:rsidR="006A6E36" w:rsidRPr="00916DD7" w:rsidRDefault="006A6E36" w:rsidP="006A6E36">
            <w:pPr>
              <w:pStyle w:val="Body"/>
              <w:spacing w:before="0" w:after="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13.1</w:t>
            </w:r>
          </w:p>
        </w:tc>
        <w:tc>
          <w:tcPr>
            <w:tcW w:w="907" w:type="dxa"/>
            <w:shd w:val="clear" w:color="auto" w:fill="auto"/>
          </w:tcPr>
          <w:p w14:paraId="0FD4F814" w14:textId="2A74BE44" w:rsidR="006A6E36" w:rsidRPr="00916DD7" w:rsidRDefault="006A6E36" w:rsidP="006A6E36">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4.3</w:t>
            </w:r>
          </w:p>
        </w:tc>
        <w:tc>
          <w:tcPr>
            <w:tcW w:w="907" w:type="dxa"/>
            <w:shd w:val="clear" w:color="auto" w:fill="auto"/>
          </w:tcPr>
          <w:p w14:paraId="783DC2B9" w14:textId="5BB41230" w:rsidR="006A6E36" w:rsidRPr="00916DD7" w:rsidRDefault="006A6E36" w:rsidP="006A6E36">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4.8</w:t>
            </w:r>
          </w:p>
        </w:tc>
      </w:tr>
      <w:tr w:rsidR="0077036B" w:rsidRPr="0017689E" w14:paraId="3DF336D1" w14:textId="77777777" w:rsidTr="00916DD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1928" w:type="dxa"/>
            <w:shd w:val="clear" w:color="auto" w:fill="C7E4F3" w:themeFill="accent1" w:themeFillTint="33"/>
          </w:tcPr>
          <w:p w14:paraId="2A2C9E08" w14:textId="2049C8E6" w:rsidR="006A6E36" w:rsidRPr="00916DD7" w:rsidRDefault="006A6E36" w:rsidP="006A6E36">
            <w:pPr>
              <w:pStyle w:val="Body"/>
              <w:spacing w:before="0" w:after="0" w:line="240" w:lineRule="auto"/>
              <w:ind w:left="113"/>
              <w:rPr>
                <w:rFonts w:cs="Arial"/>
                <w:b w:val="0"/>
                <w:color w:val="000000"/>
                <w:sz w:val="18"/>
                <w:szCs w:val="18"/>
                <w:lang w:eastAsia="en-AU"/>
              </w:rPr>
            </w:pPr>
            <w:r w:rsidRPr="00916DD7">
              <w:rPr>
                <w:rFonts w:cs="Arial"/>
                <w:b w:val="0"/>
                <w:color w:val="000000"/>
                <w:sz w:val="18"/>
                <w:szCs w:val="18"/>
                <w:lang w:eastAsia="en-AU"/>
              </w:rPr>
              <w:t>Other Trauma</w:t>
            </w:r>
          </w:p>
        </w:tc>
        <w:tc>
          <w:tcPr>
            <w:tcW w:w="1247" w:type="dxa"/>
            <w:shd w:val="clear" w:color="auto" w:fill="C7E4F3" w:themeFill="accent1" w:themeFillTint="33"/>
          </w:tcPr>
          <w:p w14:paraId="0CB7523B" w14:textId="262AB353" w:rsidR="006A6E36" w:rsidRPr="00916DD7" w:rsidRDefault="006A6E36" w:rsidP="006A6E36">
            <w:pPr>
              <w:pStyle w:val="Body"/>
              <w:spacing w:before="0" w:after="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56.2</w:t>
            </w:r>
          </w:p>
        </w:tc>
        <w:tc>
          <w:tcPr>
            <w:tcW w:w="907" w:type="dxa"/>
            <w:shd w:val="clear" w:color="auto" w:fill="C7E4F3" w:themeFill="accent1" w:themeFillTint="33"/>
          </w:tcPr>
          <w:p w14:paraId="6FDA532F" w14:textId="4F2E429B" w:rsidR="006A6E36" w:rsidRPr="00916DD7" w:rsidRDefault="006A6E36" w:rsidP="006A6E36">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17.2</w:t>
            </w:r>
          </w:p>
        </w:tc>
        <w:tc>
          <w:tcPr>
            <w:tcW w:w="1014" w:type="dxa"/>
            <w:shd w:val="clear" w:color="auto" w:fill="C7E4F3" w:themeFill="accent1" w:themeFillTint="33"/>
          </w:tcPr>
          <w:p w14:paraId="25B6234B" w14:textId="3CBE0AC7" w:rsidR="006A6E36" w:rsidRPr="00916DD7" w:rsidRDefault="006A6E36" w:rsidP="006A6E36">
            <w:pPr>
              <w:pStyle w:val="Body"/>
              <w:spacing w:before="0" w:after="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9.3</w:t>
            </w:r>
          </w:p>
        </w:tc>
        <w:tc>
          <w:tcPr>
            <w:tcW w:w="849" w:type="dxa"/>
            <w:shd w:val="clear" w:color="auto" w:fill="C7E4F3" w:themeFill="accent1" w:themeFillTint="33"/>
          </w:tcPr>
          <w:p w14:paraId="5774B967" w14:textId="61B03F4B" w:rsidR="006A6E36" w:rsidRPr="00916DD7" w:rsidRDefault="006A6E36" w:rsidP="006A6E36">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20.2</w:t>
            </w:r>
          </w:p>
        </w:tc>
        <w:tc>
          <w:tcPr>
            <w:tcW w:w="1304" w:type="dxa"/>
            <w:shd w:val="clear" w:color="auto" w:fill="C7E4F3" w:themeFill="accent1" w:themeFillTint="33"/>
          </w:tcPr>
          <w:p w14:paraId="33F9975C" w14:textId="417919A1" w:rsidR="006A6E36" w:rsidRPr="00916DD7" w:rsidRDefault="006A6E36" w:rsidP="006A6E36">
            <w:pPr>
              <w:pStyle w:val="Body"/>
              <w:spacing w:before="0" w:after="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4.9</w:t>
            </w:r>
          </w:p>
        </w:tc>
        <w:tc>
          <w:tcPr>
            <w:tcW w:w="907" w:type="dxa"/>
            <w:shd w:val="clear" w:color="auto" w:fill="C7E4F3" w:themeFill="accent1" w:themeFillTint="33"/>
          </w:tcPr>
          <w:p w14:paraId="09307054" w14:textId="5DD91937" w:rsidR="006A6E36" w:rsidRPr="00916DD7" w:rsidRDefault="006A6E36" w:rsidP="006A6E36">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2.3</w:t>
            </w:r>
          </w:p>
        </w:tc>
        <w:tc>
          <w:tcPr>
            <w:tcW w:w="907" w:type="dxa"/>
            <w:shd w:val="clear" w:color="auto" w:fill="C7E4F3" w:themeFill="accent1" w:themeFillTint="33"/>
          </w:tcPr>
          <w:p w14:paraId="2251FA12" w14:textId="6CA94A1D" w:rsidR="006A6E36" w:rsidRPr="00916DD7" w:rsidRDefault="006A6E36" w:rsidP="006A6E36">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5.4</w:t>
            </w:r>
          </w:p>
        </w:tc>
      </w:tr>
      <w:tr w:rsidR="007B0567" w:rsidRPr="0017689E" w14:paraId="08986B4A" w14:textId="77777777" w:rsidTr="00916DD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1928" w:type="dxa"/>
            <w:shd w:val="clear" w:color="auto" w:fill="auto"/>
          </w:tcPr>
          <w:p w14:paraId="210E1CD4" w14:textId="1CE4427C" w:rsidR="006A6E36" w:rsidRPr="00916DD7" w:rsidRDefault="006A6E36" w:rsidP="006A6E36">
            <w:pPr>
              <w:pStyle w:val="Body"/>
              <w:spacing w:before="0" w:after="0" w:line="240" w:lineRule="auto"/>
              <w:ind w:left="113"/>
              <w:rPr>
                <w:rFonts w:cs="Arial"/>
                <w:b w:val="0"/>
                <w:color w:val="000000"/>
                <w:sz w:val="18"/>
                <w:szCs w:val="18"/>
                <w:lang w:eastAsia="en-AU"/>
              </w:rPr>
            </w:pPr>
            <w:r w:rsidRPr="00916DD7">
              <w:rPr>
                <w:rFonts w:cs="Arial"/>
                <w:b w:val="0"/>
                <w:color w:val="000000"/>
                <w:sz w:val="18"/>
                <w:szCs w:val="18"/>
                <w:lang w:eastAsia="en-AU"/>
              </w:rPr>
              <w:t>Mental Illness</w:t>
            </w:r>
          </w:p>
        </w:tc>
        <w:tc>
          <w:tcPr>
            <w:tcW w:w="1247" w:type="dxa"/>
            <w:shd w:val="clear" w:color="auto" w:fill="auto"/>
          </w:tcPr>
          <w:p w14:paraId="3574AEAF" w14:textId="358D3365" w:rsidR="006A6E36" w:rsidRPr="00916DD7" w:rsidRDefault="006A6E36" w:rsidP="006A6E36">
            <w:pPr>
              <w:pStyle w:val="Body"/>
              <w:spacing w:before="0" w:after="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30.1</w:t>
            </w:r>
          </w:p>
        </w:tc>
        <w:tc>
          <w:tcPr>
            <w:tcW w:w="907" w:type="dxa"/>
            <w:shd w:val="clear" w:color="auto" w:fill="auto"/>
          </w:tcPr>
          <w:p w14:paraId="585E35DB" w14:textId="04F98316" w:rsidR="006A6E36" w:rsidRPr="00916DD7" w:rsidRDefault="006A6E36" w:rsidP="006A6E36">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23.0</w:t>
            </w:r>
          </w:p>
        </w:tc>
        <w:tc>
          <w:tcPr>
            <w:tcW w:w="1014" w:type="dxa"/>
            <w:shd w:val="clear" w:color="auto" w:fill="auto"/>
          </w:tcPr>
          <w:p w14:paraId="3144FAEF" w14:textId="73268ADA" w:rsidR="006A6E36" w:rsidRPr="00916DD7" w:rsidRDefault="006A6E36" w:rsidP="006A6E36">
            <w:pPr>
              <w:pStyle w:val="Body"/>
              <w:spacing w:before="0" w:after="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19.1</w:t>
            </w:r>
          </w:p>
        </w:tc>
        <w:tc>
          <w:tcPr>
            <w:tcW w:w="849" w:type="dxa"/>
            <w:shd w:val="clear" w:color="auto" w:fill="auto"/>
          </w:tcPr>
          <w:p w14:paraId="3E5B7DA3" w14:textId="28A9BF50" w:rsidR="006A6E36" w:rsidRPr="00916DD7" w:rsidRDefault="006A6E36" w:rsidP="006A6E36">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21.0</w:t>
            </w:r>
          </w:p>
        </w:tc>
        <w:tc>
          <w:tcPr>
            <w:tcW w:w="1304" w:type="dxa"/>
            <w:shd w:val="clear" w:color="auto" w:fill="auto"/>
          </w:tcPr>
          <w:p w14:paraId="56EFB5BF" w14:textId="131D2C1E" w:rsidR="006A6E36" w:rsidRPr="00916DD7" w:rsidRDefault="006A6E36" w:rsidP="006A6E36">
            <w:pPr>
              <w:pStyle w:val="Body"/>
              <w:spacing w:before="0" w:after="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22.7</w:t>
            </w:r>
          </w:p>
        </w:tc>
        <w:tc>
          <w:tcPr>
            <w:tcW w:w="907" w:type="dxa"/>
            <w:shd w:val="clear" w:color="auto" w:fill="auto"/>
          </w:tcPr>
          <w:p w14:paraId="451C50EE" w14:textId="61323C62" w:rsidR="006A6E36" w:rsidRPr="00916DD7" w:rsidRDefault="006A6E36" w:rsidP="006A6E36">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6.8</w:t>
            </w:r>
          </w:p>
        </w:tc>
        <w:tc>
          <w:tcPr>
            <w:tcW w:w="907" w:type="dxa"/>
            <w:shd w:val="clear" w:color="auto" w:fill="auto"/>
          </w:tcPr>
          <w:p w14:paraId="6A598D8E" w14:textId="5F43725C" w:rsidR="006A6E36" w:rsidRPr="00916DD7" w:rsidRDefault="006A6E36" w:rsidP="006A6E36">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12.1</w:t>
            </w:r>
          </w:p>
        </w:tc>
      </w:tr>
      <w:tr w:rsidR="0077036B" w:rsidRPr="0017689E" w14:paraId="338B8765" w14:textId="77777777" w:rsidTr="00916DD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1928" w:type="dxa"/>
            <w:shd w:val="clear" w:color="auto" w:fill="C7E4F3" w:themeFill="accent1" w:themeFillTint="33"/>
          </w:tcPr>
          <w:p w14:paraId="0A1F00AF" w14:textId="40CC96BE" w:rsidR="006A6E36" w:rsidRPr="00916DD7" w:rsidRDefault="006A6E36" w:rsidP="006A6E36">
            <w:pPr>
              <w:pStyle w:val="Body"/>
              <w:spacing w:before="0" w:after="0" w:line="240" w:lineRule="auto"/>
              <w:ind w:left="113"/>
              <w:rPr>
                <w:rFonts w:cs="Arial"/>
                <w:b w:val="0"/>
                <w:color w:val="000000"/>
                <w:sz w:val="18"/>
                <w:szCs w:val="18"/>
                <w:lang w:eastAsia="en-AU"/>
              </w:rPr>
            </w:pPr>
            <w:r w:rsidRPr="00916DD7">
              <w:rPr>
                <w:rFonts w:cs="Arial"/>
                <w:b w:val="0"/>
                <w:color w:val="000000"/>
                <w:sz w:val="18"/>
                <w:szCs w:val="18"/>
                <w:lang w:eastAsia="en-AU"/>
              </w:rPr>
              <w:t>Other Diseases</w:t>
            </w:r>
          </w:p>
        </w:tc>
        <w:tc>
          <w:tcPr>
            <w:tcW w:w="1247" w:type="dxa"/>
            <w:shd w:val="clear" w:color="auto" w:fill="C7E4F3" w:themeFill="accent1" w:themeFillTint="33"/>
          </w:tcPr>
          <w:p w14:paraId="6269EC26" w14:textId="39872FCE" w:rsidR="006A6E36" w:rsidRPr="00916DD7" w:rsidRDefault="006A6E36" w:rsidP="006A6E36">
            <w:pPr>
              <w:pStyle w:val="Body"/>
              <w:spacing w:before="0" w:after="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57.1</w:t>
            </w:r>
          </w:p>
        </w:tc>
        <w:tc>
          <w:tcPr>
            <w:tcW w:w="907" w:type="dxa"/>
            <w:shd w:val="clear" w:color="auto" w:fill="C7E4F3" w:themeFill="accent1" w:themeFillTint="33"/>
          </w:tcPr>
          <w:p w14:paraId="14955EF3" w14:textId="1241B965" w:rsidR="006A6E36" w:rsidRPr="00916DD7" w:rsidRDefault="006A6E36" w:rsidP="006A6E36">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17.8</w:t>
            </w:r>
          </w:p>
        </w:tc>
        <w:tc>
          <w:tcPr>
            <w:tcW w:w="1014" w:type="dxa"/>
            <w:shd w:val="clear" w:color="auto" w:fill="C7E4F3" w:themeFill="accent1" w:themeFillTint="33"/>
          </w:tcPr>
          <w:p w14:paraId="41684E65" w14:textId="7E721D12" w:rsidR="006A6E36" w:rsidRPr="00916DD7" w:rsidRDefault="006A6E36" w:rsidP="006A6E36">
            <w:pPr>
              <w:pStyle w:val="Body"/>
              <w:spacing w:before="0" w:after="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8.6</w:t>
            </w:r>
          </w:p>
        </w:tc>
        <w:tc>
          <w:tcPr>
            <w:tcW w:w="849" w:type="dxa"/>
            <w:shd w:val="clear" w:color="auto" w:fill="C7E4F3" w:themeFill="accent1" w:themeFillTint="33"/>
          </w:tcPr>
          <w:p w14:paraId="5994426B" w14:textId="7AD24361" w:rsidR="006A6E36" w:rsidRPr="00916DD7" w:rsidRDefault="006A6E36" w:rsidP="006A6E36">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20.7</w:t>
            </w:r>
          </w:p>
        </w:tc>
        <w:tc>
          <w:tcPr>
            <w:tcW w:w="1304" w:type="dxa"/>
            <w:shd w:val="clear" w:color="auto" w:fill="C7E4F3" w:themeFill="accent1" w:themeFillTint="33"/>
          </w:tcPr>
          <w:p w14:paraId="27C4F8E3" w14:textId="6F6FEC94" w:rsidR="006A6E36" w:rsidRPr="00916DD7" w:rsidRDefault="006A6E36" w:rsidP="006A6E36">
            <w:pPr>
              <w:pStyle w:val="Body"/>
              <w:spacing w:before="0" w:after="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6.9</w:t>
            </w:r>
          </w:p>
        </w:tc>
        <w:tc>
          <w:tcPr>
            <w:tcW w:w="907" w:type="dxa"/>
            <w:shd w:val="clear" w:color="auto" w:fill="C7E4F3" w:themeFill="accent1" w:themeFillTint="33"/>
          </w:tcPr>
          <w:p w14:paraId="4A8CD32A" w14:textId="33D3CBD9" w:rsidR="006A6E36" w:rsidRPr="00916DD7" w:rsidRDefault="006A6E36" w:rsidP="006A6E36">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0.5</w:t>
            </w:r>
          </w:p>
        </w:tc>
        <w:tc>
          <w:tcPr>
            <w:tcW w:w="907" w:type="dxa"/>
            <w:shd w:val="clear" w:color="auto" w:fill="C7E4F3" w:themeFill="accent1" w:themeFillTint="33"/>
          </w:tcPr>
          <w:p w14:paraId="178DBCAA" w14:textId="5F4014D4" w:rsidR="006A6E36" w:rsidRPr="00916DD7" w:rsidRDefault="006A6E36" w:rsidP="006A6E36">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6.4</w:t>
            </w:r>
          </w:p>
        </w:tc>
      </w:tr>
      <w:tr w:rsidR="00A02CD2" w:rsidRPr="00A02CD2" w14:paraId="00F8C27B" w14:textId="77777777" w:rsidTr="007B056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1928" w:type="dxa"/>
            <w:shd w:val="clear" w:color="auto" w:fill="58AFDA" w:themeFill="accent1" w:themeFillTint="99"/>
          </w:tcPr>
          <w:p w14:paraId="2FC8D3A9" w14:textId="2BC9772F" w:rsidR="00926CEE" w:rsidRPr="00916DD7" w:rsidRDefault="00926CEE" w:rsidP="000167D4">
            <w:pPr>
              <w:pStyle w:val="Body"/>
              <w:spacing w:before="0" w:after="0" w:line="240" w:lineRule="auto"/>
              <w:rPr>
                <w:rFonts w:cs="Arial"/>
                <w:color w:val="auto"/>
                <w:sz w:val="18"/>
                <w:szCs w:val="18"/>
              </w:rPr>
            </w:pPr>
            <w:r w:rsidRPr="00916DD7">
              <w:rPr>
                <w:rFonts w:cs="Arial"/>
                <w:color w:val="auto"/>
                <w:sz w:val="18"/>
                <w:szCs w:val="18"/>
              </w:rPr>
              <w:t>Claim Duration</w:t>
            </w:r>
          </w:p>
        </w:tc>
        <w:tc>
          <w:tcPr>
            <w:tcW w:w="1247" w:type="dxa"/>
            <w:shd w:val="clear" w:color="auto" w:fill="58AFDA" w:themeFill="accent1" w:themeFillTint="99"/>
          </w:tcPr>
          <w:p w14:paraId="466CD150" w14:textId="77777777" w:rsidR="00926CEE" w:rsidRPr="00916DD7" w:rsidRDefault="00926CEE" w:rsidP="006A6E36">
            <w:pPr>
              <w:pStyle w:val="Body"/>
              <w:spacing w:before="0" w:after="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color w:val="auto"/>
                <w:sz w:val="18"/>
                <w:szCs w:val="18"/>
              </w:rPr>
            </w:pPr>
          </w:p>
        </w:tc>
        <w:tc>
          <w:tcPr>
            <w:tcW w:w="907" w:type="dxa"/>
            <w:shd w:val="clear" w:color="auto" w:fill="58AFDA" w:themeFill="accent1" w:themeFillTint="99"/>
          </w:tcPr>
          <w:p w14:paraId="57A6B883" w14:textId="77777777" w:rsidR="00926CEE" w:rsidRPr="00916DD7" w:rsidRDefault="00926CEE"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color w:val="auto"/>
                <w:sz w:val="18"/>
                <w:szCs w:val="18"/>
              </w:rPr>
            </w:pPr>
          </w:p>
        </w:tc>
        <w:tc>
          <w:tcPr>
            <w:tcW w:w="1014" w:type="dxa"/>
            <w:shd w:val="clear" w:color="auto" w:fill="58AFDA" w:themeFill="accent1" w:themeFillTint="99"/>
          </w:tcPr>
          <w:p w14:paraId="78F008DC" w14:textId="77777777" w:rsidR="00926CEE" w:rsidRPr="00916DD7" w:rsidRDefault="00926CEE" w:rsidP="009630C0">
            <w:pPr>
              <w:pStyle w:val="Body"/>
              <w:spacing w:before="0" w:after="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color w:val="auto"/>
                <w:sz w:val="18"/>
                <w:szCs w:val="18"/>
              </w:rPr>
            </w:pPr>
          </w:p>
        </w:tc>
        <w:tc>
          <w:tcPr>
            <w:tcW w:w="849" w:type="dxa"/>
            <w:shd w:val="clear" w:color="auto" w:fill="58AFDA" w:themeFill="accent1" w:themeFillTint="99"/>
          </w:tcPr>
          <w:p w14:paraId="2B90E84B" w14:textId="77777777" w:rsidR="00926CEE" w:rsidRPr="00916DD7" w:rsidRDefault="00926CEE" w:rsidP="00D0461D">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color w:val="auto"/>
                <w:sz w:val="18"/>
                <w:szCs w:val="18"/>
              </w:rPr>
            </w:pPr>
          </w:p>
        </w:tc>
        <w:tc>
          <w:tcPr>
            <w:tcW w:w="1304" w:type="dxa"/>
            <w:shd w:val="clear" w:color="auto" w:fill="58AFDA" w:themeFill="accent1" w:themeFillTint="99"/>
          </w:tcPr>
          <w:p w14:paraId="04FDB673" w14:textId="77777777" w:rsidR="00926CEE" w:rsidRPr="00916DD7" w:rsidRDefault="00926CEE" w:rsidP="009630C0">
            <w:pPr>
              <w:pStyle w:val="Body"/>
              <w:spacing w:before="0" w:after="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color w:val="auto"/>
                <w:sz w:val="18"/>
                <w:szCs w:val="18"/>
              </w:rPr>
            </w:pPr>
          </w:p>
        </w:tc>
        <w:tc>
          <w:tcPr>
            <w:tcW w:w="907" w:type="dxa"/>
            <w:shd w:val="clear" w:color="auto" w:fill="58AFDA" w:themeFill="accent1" w:themeFillTint="99"/>
          </w:tcPr>
          <w:p w14:paraId="712C4F33" w14:textId="7B6FA444" w:rsidR="00926CEE" w:rsidRPr="00916DD7" w:rsidRDefault="00926CEE"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color w:val="auto"/>
                <w:sz w:val="18"/>
                <w:szCs w:val="18"/>
              </w:rPr>
            </w:pPr>
          </w:p>
        </w:tc>
        <w:tc>
          <w:tcPr>
            <w:tcW w:w="907" w:type="dxa"/>
            <w:shd w:val="clear" w:color="auto" w:fill="58AFDA" w:themeFill="accent1" w:themeFillTint="99"/>
          </w:tcPr>
          <w:p w14:paraId="4BE73C15" w14:textId="77777777" w:rsidR="00926CEE" w:rsidRPr="00916DD7" w:rsidRDefault="00926CEE"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color w:val="auto"/>
                <w:sz w:val="18"/>
                <w:szCs w:val="18"/>
              </w:rPr>
            </w:pPr>
          </w:p>
        </w:tc>
      </w:tr>
      <w:tr w:rsidR="0077036B" w:rsidRPr="0017689E" w14:paraId="778DF5A6" w14:textId="77777777" w:rsidTr="00916DD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1928" w:type="dxa"/>
            <w:shd w:val="clear" w:color="auto" w:fill="C7E4F3" w:themeFill="accent1" w:themeFillTint="33"/>
          </w:tcPr>
          <w:p w14:paraId="53D6D04D" w14:textId="75617050" w:rsidR="00926CEE" w:rsidRPr="00916DD7" w:rsidRDefault="00926CEE" w:rsidP="00DC04D2">
            <w:pPr>
              <w:pStyle w:val="Body"/>
              <w:spacing w:before="0" w:after="0" w:line="240" w:lineRule="auto"/>
              <w:ind w:left="113"/>
              <w:rPr>
                <w:rFonts w:cs="Arial"/>
                <w:b w:val="0"/>
                <w:color w:val="auto"/>
                <w:sz w:val="18"/>
                <w:szCs w:val="18"/>
                <w:lang w:eastAsia="en-AU"/>
              </w:rPr>
            </w:pPr>
            <w:r w:rsidRPr="00916DD7">
              <w:rPr>
                <w:rFonts w:cs="Arial"/>
                <w:b w:val="0"/>
                <w:color w:val="auto"/>
                <w:sz w:val="18"/>
                <w:szCs w:val="18"/>
              </w:rPr>
              <w:t>&lt; 180 days</w:t>
            </w:r>
          </w:p>
        </w:tc>
        <w:tc>
          <w:tcPr>
            <w:tcW w:w="1247" w:type="dxa"/>
            <w:shd w:val="clear" w:color="auto" w:fill="C7E4F3" w:themeFill="accent1" w:themeFillTint="33"/>
          </w:tcPr>
          <w:p w14:paraId="7301ED71" w14:textId="01153399" w:rsidR="00926CEE" w:rsidRPr="00916DD7" w:rsidRDefault="00926CEE" w:rsidP="006A6E36">
            <w:pPr>
              <w:pStyle w:val="Body"/>
              <w:spacing w:before="0" w:after="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50.0</w:t>
            </w:r>
          </w:p>
        </w:tc>
        <w:tc>
          <w:tcPr>
            <w:tcW w:w="907" w:type="dxa"/>
            <w:shd w:val="clear" w:color="auto" w:fill="C7E4F3" w:themeFill="accent1" w:themeFillTint="33"/>
          </w:tcPr>
          <w:p w14:paraId="2BFEEF3B" w14:textId="16051EC4" w:rsidR="00926CEE" w:rsidRPr="00916DD7" w:rsidRDefault="00C34DE6"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18.4</w:t>
            </w:r>
          </w:p>
        </w:tc>
        <w:tc>
          <w:tcPr>
            <w:tcW w:w="1014" w:type="dxa"/>
            <w:shd w:val="clear" w:color="auto" w:fill="C7E4F3" w:themeFill="accent1" w:themeFillTint="33"/>
          </w:tcPr>
          <w:p w14:paraId="37CDBD4D" w14:textId="13F357A1" w:rsidR="00926CEE" w:rsidRPr="00916DD7" w:rsidRDefault="00C34DE6" w:rsidP="009630C0">
            <w:pPr>
              <w:pStyle w:val="Body"/>
              <w:spacing w:before="0" w:after="0" w:line="240" w:lineRule="auto"/>
              <w:ind w:right="227"/>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1.0*</w:t>
            </w:r>
          </w:p>
        </w:tc>
        <w:tc>
          <w:tcPr>
            <w:tcW w:w="849" w:type="dxa"/>
            <w:shd w:val="clear" w:color="auto" w:fill="C7E4F3" w:themeFill="accent1" w:themeFillTint="33"/>
          </w:tcPr>
          <w:p w14:paraId="6AE3F309" w14:textId="0048CE15" w:rsidR="00926CEE" w:rsidRPr="00916DD7" w:rsidRDefault="00C34DE6" w:rsidP="00D0461D">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25.8</w:t>
            </w:r>
          </w:p>
        </w:tc>
        <w:tc>
          <w:tcPr>
            <w:tcW w:w="1304" w:type="dxa"/>
            <w:shd w:val="clear" w:color="auto" w:fill="C7E4F3" w:themeFill="accent1" w:themeFillTint="33"/>
          </w:tcPr>
          <w:p w14:paraId="697B59DF" w14:textId="04F7631C" w:rsidR="00926CEE" w:rsidRPr="00916DD7" w:rsidRDefault="00C34DE6" w:rsidP="009630C0">
            <w:pPr>
              <w:pStyle w:val="Body"/>
              <w:spacing w:before="0" w:after="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17.2</w:t>
            </w:r>
          </w:p>
        </w:tc>
        <w:tc>
          <w:tcPr>
            <w:tcW w:w="907" w:type="dxa"/>
            <w:shd w:val="clear" w:color="auto" w:fill="C7E4F3" w:themeFill="accent1" w:themeFillTint="33"/>
          </w:tcPr>
          <w:p w14:paraId="45EF85B9" w14:textId="7E9A3C07" w:rsidR="00926CEE" w:rsidRPr="00916DD7" w:rsidRDefault="00C34DE6"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0.2*</w:t>
            </w:r>
          </w:p>
        </w:tc>
        <w:tc>
          <w:tcPr>
            <w:tcW w:w="907" w:type="dxa"/>
            <w:shd w:val="clear" w:color="auto" w:fill="C7E4F3" w:themeFill="accent1" w:themeFillTint="33"/>
          </w:tcPr>
          <w:p w14:paraId="10E9E1F4" w14:textId="5153DE74" w:rsidR="00926CEE" w:rsidRPr="00916DD7" w:rsidRDefault="00C34DE6"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9.7</w:t>
            </w:r>
          </w:p>
        </w:tc>
      </w:tr>
      <w:tr w:rsidR="007B0567" w:rsidRPr="0017689E" w14:paraId="4AC18155" w14:textId="77777777" w:rsidTr="00916DD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1928" w:type="dxa"/>
            <w:shd w:val="clear" w:color="auto" w:fill="auto"/>
          </w:tcPr>
          <w:p w14:paraId="1BAA3DEA" w14:textId="5C2F7579" w:rsidR="00926CEE" w:rsidRPr="00916DD7" w:rsidRDefault="00926CEE" w:rsidP="00DC04D2">
            <w:pPr>
              <w:pStyle w:val="Body"/>
              <w:spacing w:before="0" w:after="0" w:line="240" w:lineRule="auto"/>
              <w:ind w:left="113"/>
              <w:rPr>
                <w:rFonts w:cs="Arial"/>
                <w:b w:val="0"/>
                <w:color w:val="auto"/>
                <w:sz w:val="18"/>
                <w:szCs w:val="18"/>
                <w:lang w:eastAsia="en-AU"/>
              </w:rPr>
            </w:pPr>
            <w:r w:rsidRPr="00916DD7">
              <w:rPr>
                <w:rFonts w:cs="Arial"/>
                <w:b w:val="0"/>
                <w:color w:val="auto"/>
                <w:sz w:val="18"/>
                <w:szCs w:val="18"/>
              </w:rPr>
              <w:t>181-270 days</w:t>
            </w:r>
          </w:p>
        </w:tc>
        <w:tc>
          <w:tcPr>
            <w:tcW w:w="1247" w:type="dxa"/>
            <w:shd w:val="clear" w:color="auto" w:fill="auto"/>
          </w:tcPr>
          <w:p w14:paraId="6D15F023" w14:textId="4E15DA6A" w:rsidR="00926CEE" w:rsidRPr="00916DD7" w:rsidRDefault="00C34DE6" w:rsidP="006A6E36">
            <w:pPr>
              <w:pStyle w:val="Body"/>
              <w:spacing w:before="0" w:after="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56.0</w:t>
            </w:r>
          </w:p>
        </w:tc>
        <w:tc>
          <w:tcPr>
            <w:tcW w:w="907" w:type="dxa"/>
            <w:shd w:val="clear" w:color="auto" w:fill="auto"/>
          </w:tcPr>
          <w:p w14:paraId="7DAA5D1E" w14:textId="4EB584D9" w:rsidR="00926CEE" w:rsidRPr="00916DD7" w:rsidRDefault="00926CEE"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18.0</w:t>
            </w:r>
          </w:p>
        </w:tc>
        <w:tc>
          <w:tcPr>
            <w:tcW w:w="1014" w:type="dxa"/>
            <w:shd w:val="clear" w:color="auto" w:fill="auto"/>
          </w:tcPr>
          <w:p w14:paraId="5E8C555D" w14:textId="65EB4D1D" w:rsidR="00926CEE" w:rsidRPr="00916DD7" w:rsidRDefault="00C34DE6" w:rsidP="009630C0">
            <w:pPr>
              <w:pStyle w:val="Body"/>
              <w:spacing w:before="0" w:after="0" w:line="240" w:lineRule="auto"/>
              <w:ind w:right="227"/>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5.3</w:t>
            </w:r>
            <w:r w:rsidR="0041100F" w:rsidRPr="00916DD7">
              <w:rPr>
                <w:rFonts w:cs="Arial"/>
                <w:b w:val="0"/>
                <w:color w:val="auto"/>
                <w:sz w:val="18"/>
                <w:szCs w:val="18"/>
              </w:rPr>
              <w:t>*</w:t>
            </w:r>
          </w:p>
        </w:tc>
        <w:tc>
          <w:tcPr>
            <w:tcW w:w="849" w:type="dxa"/>
            <w:shd w:val="clear" w:color="auto" w:fill="auto"/>
          </w:tcPr>
          <w:p w14:paraId="48B3AAD9" w14:textId="0416BB06" w:rsidR="00926CEE" w:rsidRPr="00916DD7" w:rsidRDefault="00926CEE" w:rsidP="00D0461D">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21.7</w:t>
            </w:r>
          </w:p>
        </w:tc>
        <w:tc>
          <w:tcPr>
            <w:tcW w:w="1304" w:type="dxa"/>
            <w:shd w:val="clear" w:color="auto" w:fill="auto"/>
          </w:tcPr>
          <w:p w14:paraId="2611AA4C" w14:textId="5B04CDAE" w:rsidR="00926CEE" w:rsidRPr="00916DD7" w:rsidRDefault="00C34DE6" w:rsidP="009630C0">
            <w:pPr>
              <w:pStyle w:val="Body"/>
              <w:spacing w:before="0" w:after="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15.6</w:t>
            </w:r>
          </w:p>
        </w:tc>
        <w:tc>
          <w:tcPr>
            <w:tcW w:w="907" w:type="dxa"/>
            <w:shd w:val="clear" w:color="auto" w:fill="auto"/>
          </w:tcPr>
          <w:p w14:paraId="2FAE2D69" w14:textId="20DAFFA1" w:rsidR="00926CEE" w:rsidRPr="00916DD7" w:rsidRDefault="00926CEE"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2.5</w:t>
            </w:r>
          </w:p>
        </w:tc>
        <w:tc>
          <w:tcPr>
            <w:tcW w:w="907" w:type="dxa"/>
            <w:shd w:val="clear" w:color="auto" w:fill="auto"/>
          </w:tcPr>
          <w:p w14:paraId="4810E22C" w14:textId="5A41C542" w:rsidR="00926CEE" w:rsidRPr="00916DD7" w:rsidRDefault="00C34DE6"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4.0</w:t>
            </w:r>
          </w:p>
        </w:tc>
      </w:tr>
      <w:tr w:rsidR="0077036B" w:rsidRPr="0017689E" w14:paraId="71B07FEB" w14:textId="77777777" w:rsidTr="00916DD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1928" w:type="dxa"/>
            <w:shd w:val="clear" w:color="auto" w:fill="C7E4F3" w:themeFill="accent1" w:themeFillTint="33"/>
          </w:tcPr>
          <w:p w14:paraId="2FB41BE7" w14:textId="7AD2DBFC" w:rsidR="00926CEE" w:rsidRPr="00916DD7" w:rsidRDefault="00926CEE" w:rsidP="00DC04D2">
            <w:pPr>
              <w:pStyle w:val="Body"/>
              <w:spacing w:before="0" w:after="0" w:line="240" w:lineRule="auto"/>
              <w:ind w:left="113"/>
              <w:rPr>
                <w:rFonts w:cs="Arial"/>
                <w:b w:val="0"/>
                <w:color w:val="auto"/>
                <w:sz w:val="18"/>
                <w:szCs w:val="18"/>
                <w:lang w:eastAsia="en-AU"/>
              </w:rPr>
            </w:pPr>
            <w:r w:rsidRPr="00916DD7">
              <w:rPr>
                <w:rFonts w:cs="Arial"/>
                <w:b w:val="0"/>
                <w:color w:val="auto"/>
                <w:sz w:val="18"/>
                <w:szCs w:val="18"/>
              </w:rPr>
              <w:t>271-365 days</w:t>
            </w:r>
          </w:p>
        </w:tc>
        <w:tc>
          <w:tcPr>
            <w:tcW w:w="1247" w:type="dxa"/>
            <w:shd w:val="clear" w:color="auto" w:fill="C7E4F3" w:themeFill="accent1" w:themeFillTint="33"/>
          </w:tcPr>
          <w:p w14:paraId="2B9F409D" w14:textId="51A1D60D" w:rsidR="00926CEE" w:rsidRPr="00916DD7" w:rsidRDefault="00C34DE6" w:rsidP="006A6E36">
            <w:pPr>
              <w:pStyle w:val="Body"/>
              <w:spacing w:before="0" w:after="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54.1</w:t>
            </w:r>
          </w:p>
        </w:tc>
        <w:tc>
          <w:tcPr>
            <w:tcW w:w="907" w:type="dxa"/>
            <w:shd w:val="clear" w:color="auto" w:fill="C7E4F3" w:themeFill="accent1" w:themeFillTint="33"/>
          </w:tcPr>
          <w:p w14:paraId="177E9CC2" w14:textId="24B64D47" w:rsidR="00926CEE" w:rsidRPr="00916DD7" w:rsidRDefault="00926CEE"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19.2</w:t>
            </w:r>
          </w:p>
        </w:tc>
        <w:tc>
          <w:tcPr>
            <w:tcW w:w="1014" w:type="dxa"/>
            <w:shd w:val="clear" w:color="auto" w:fill="C7E4F3" w:themeFill="accent1" w:themeFillTint="33"/>
          </w:tcPr>
          <w:p w14:paraId="7B057CC2" w14:textId="5E9B5613" w:rsidR="00926CEE" w:rsidRPr="00916DD7" w:rsidRDefault="00C34DE6" w:rsidP="009630C0">
            <w:pPr>
              <w:pStyle w:val="Body"/>
              <w:spacing w:before="0" w:after="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11.7</w:t>
            </w:r>
          </w:p>
        </w:tc>
        <w:tc>
          <w:tcPr>
            <w:tcW w:w="849" w:type="dxa"/>
            <w:shd w:val="clear" w:color="auto" w:fill="C7E4F3" w:themeFill="accent1" w:themeFillTint="33"/>
          </w:tcPr>
          <w:p w14:paraId="1C9024FA" w14:textId="77117BEB" w:rsidR="00926CEE" w:rsidRPr="00916DD7" w:rsidRDefault="00926CEE" w:rsidP="00D0461D">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18.1</w:t>
            </w:r>
          </w:p>
        </w:tc>
        <w:tc>
          <w:tcPr>
            <w:tcW w:w="1304" w:type="dxa"/>
            <w:shd w:val="clear" w:color="auto" w:fill="C7E4F3" w:themeFill="accent1" w:themeFillTint="33"/>
          </w:tcPr>
          <w:p w14:paraId="4B476AE7" w14:textId="3719B464" w:rsidR="00926CEE" w:rsidRPr="00916DD7" w:rsidRDefault="00C34DE6" w:rsidP="009630C0">
            <w:pPr>
              <w:pStyle w:val="Body"/>
              <w:spacing w:before="0" w:after="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13.9</w:t>
            </w:r>
          </w:p>
        </w:tc>
        <w:tc>
          <w:tcPr>
            <w:tcW w:w="907" w:type="dxa"/>
            <w:shd w:val="clear" w:color="auto" w:fill="C7E4F3" w:themeFill="accent1" w:themeFillTint="33"/>
          </w:tcPr>
          <w:p w14:paraId="60E74018" w14:textId="2DC5A91D" w:rsidR="00926CEE" w:rsidRPr="00916DD7" w:rsidRDefault="00C34DE6"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6.6</w:t>
            </w:r>
          </w:p>
        </w:tc>
        <w:tc>
          <w:tcPr>
            <w:tcW w:w="907" w:type="dxa"/>
            <w:shd w:val="clear" w:color="auto" w:fill="C7E4F3" w:themeFill="accent1" w:themeFillTint="33"/>
          </w:tcPr>
          <w:p w14:paraId="2292B82E" w14:textId="3C7FB7D8" w:rsidR="00926CEE" w:rsidRPr="00916DD7" w:rsidRDefault="00C34DE6"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2.1</w:t>
            </w:r>
          </w:p>
        </w:tc>
      </w:tr>
      <w:tr w:rsidR="007B0567" w:rsidRPr="0017689E" w14:paraId="444E728E" w14:textId="77777777" w:rsidTr="00916DD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1928" w:type="dxa"/>
            <w:shd w:val="clear" w:color="auto" w:fill="auto"/>
          </w:tcPr>
          <w:p w14:paraId="5234C770" w14:textId="145D6228" w:rsidR="00926CEE" w:rsidRPr="00916DD7" w:rsidRDefault="00926CEE" w:rsidP="00DC04D2">
            <w:pPr>
              <w:pStyle w:val="Body"/>
              <w:spacing w:before="0" w:after="0" w:line="240" w:lineRule="auto"/>
              <w:ind w:left="113"/>
              <w:rPr>
                <w:rFonts w:cs="Arial"/>
                <w:b w:val="0"/>
                <w:color w:val="auto"/>
                <w:sz w:val="18"/>
                <w:szCs w:val="18"/>
                <w:lang w:eastAsia="en-AU"/>
              </w:rPr>
            </w:pPr>
            <w:r w:rsidRPr="00916DD7">
              <w:rPr>
                <w:rFonts w:cs="Arial"/>
                <w:b w:val="0"/>
                <w:color w:val="auto"/>
                <w:sz w:val="18"/>
                <w:szCs w:val="18"/>
              </w:rPr>
              <w:t>366-730 days</w:t>
            </w:r>
          </w:p>
        </w:tc>
        <w:tc>
          <w:tcPr>
            <w:tcW w:w="1247" w:type="dxa"/>
            <w:shd w:val="clear" w:color="auto" w:fill="auto"/>
          </w:tcPr>
          <w:p w14:paraId="4DD3F16C" w14:textId="5FB9BDE5" w:rsidR="00926CEE" w:rsidRPr="00916DD7" w:rsidRDefault="00C34DE6" w:rsidP="006A6E36">
            <w:pPr>
              <w:pStyle w:val="Body"/>
              <w:spacing w:before="0" w:after="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53.4</w:t>
            </w:r>
          </w:p>
        </w:tc>
        <w:tc>
          <w:tcPr>
            <w:tcW w:w="907" w:type="dxa"/>
            <w:shd w:val="clear" w:color="auto" w:fill="auto"/>
          </w:tcPr>
          <w:p w14:paraId="56E19EFD" w14:textId="00BF6B79" w:rsidR="00926CEE" w:rsidRPr="00916DD7" w:rsidRDefault="00926CEE"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15.4</w:t>
            </w:r>
          </w:p>
        </w:tc>
        <w:tc>
          <w:tcPr>
            <w:tcW w:w="1014" w:type="dxa"/>
            <w:shd w:val="clear" w:color="auto" w:fill="auto"/>
          </w:tcPr>
          <w:p w14:paraId="32A7A1C8" w14:textId="40B9C930" w:rsidR="00926CEE" w:rsidRPr="00916DD7" w:rsidRDefault="00926CEE" w:rsidP="009630C0">
            <w:pPr>
              <w:pStyle w:val="Body"/>
              <w:spacing w:before="0" w:after="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12.6</w:t>
            </w:r>
          </w:p>
        </w:tc>
        <w:tc>
          <w:tcPr>
            <w:tcW w:w="849" w:type="dxa"/>
            <w:shd w:val="clear" w:color="auto" w:fill="auto"/>
          </w:tcPr>
          <w:p w14:paraId="63F64A19" w14:textId="74CBCB0F" w:rsidR="00926CEE" w:rsidRPr="00916DD7" w:rsidRDefault="00926CEE" w:rsidP="00D0461D">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17.7</w:t>
            </w:r>
          </w:p>
        </w:tc>
        <w:tc>
          <w:tcPr>
            <w:tcW w:w="1304" w:type="dxa"/>
            <w:shd w:val="clear" w:color="auto" w:fill="auto"/>
          </w:tcPr>
          <w:p w14:paraId="74857531" w14:textId="1F6810E6" w:rsidR="00926CEE" w:rsidRPr="00916DD7" w:rsidRDefault="00C34DE6" w:rsidP="009630C0">
            <w:pPr>
              <w:pStyle w:val="Body"/>
              <w:spacing w:before="0" w:after="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10.2</w:t>
            </w:r>
          </w:p>
        </w:tc>
        <w:tc>
          <w:tcPr>
            <w:tcW w:w="907" w:type="dxa"/>
            <w:shd w:val="clear" w:color="auto" w:fill="auto"/>
          </w:tcPr>
          <w:p w14:paraId="7A85961E" w14:textId="71F0F8BA" w:rsidR="00926CEE" w:rsidRPr="00916DD7" w:rsidRDefault="00C34DE6"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4.1</w:t>
            </w:r>
          </w:p>
        </w:tc>
        <w:tc>
          <w:tcPr>
            <w:tcW w:w="907" w:type="dxa"/>
            <w:shd w:val="clear" w:color="auto" w:fill="auto"/>
          </w:tcPr>
          <w:p w14:paraId="71DCF275" w14:textId="03EFD29C" w:rsidR="00926CEE" w:rsidRPr="00916DD7" w:rsidRDefault="00C34DE6"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5.7</w:t>
            </w:r>
          </w:p>
        </w:tc>
      </w:tr>
      <w:tr w:rsidR="0077036B" w:rsidRPr="0017689E" w14:paraId="4C504377" w14:textId="77777777" w:rsidTr="00916DD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1928" w:type="dxa"/>
            <w:shd w:val="clear" w:color="auto" w:fill="C7E4F3" w:themeFill="accent1" w:themeFillTint="33"/>
          </w:tcPr>
          <w:p w14:paraId="70CD8FD4" w14:textId="42B17A42" w:rsidR="00926CEE" w:rsidRPr="00916DD7" w:rsidRDefault="00926CEE" w:rsidP="00DC04D2">
            <w:pPr>
              <w:pStyle w:val="Body"/>
              <w:spacing w:before="0" w:after="0" w:line="240" w:lineRule="auto"/>
              <w:ind w:left="113"/>
              <w:rPr>
                <w:rFonts w:cs="Arial"/>
                <w:b w:val="0"/>
                <w:color w:val="auto"/>
                <w:sz w:val="18"/>
                <w:szCs w:val="18"/>
              </w:rPr>
            </w:pPr>
            <w:r w:rsidRPr="00916DD7">
              <w:rPr>
                <w:rFonts w:cs="Arial"/>
                <w:b w:val="0"/>
                <w:color w:val="auto"/>
                <w:sz w:val="18"/>
                <w:szCs w:val="18"/>
              </w:rPr>
              <w:t>&gt; 730 days</w:t>
            </w:r>
          </w:p>
        </w:tc>
        <w:tc>
          <w:tcPr>
            <w:tcW w:w="1247" w:type="dxa"/>
            <w:shd w:val="clear" w:color="auto" w:fill="C7E4F3" w:themeFill="accent1" w:themeFillTint="33"/>
          </w:tcPr>
          <w:p w14:paraId="1913BBD1" w14:textId="4B71E03A" w:rsidR="00926CEE" w:rsidRPr="00916DD7" w:rsidRDefault="00C34DE6" w:rsidP="006A6E36">
            <w:pPr>
              <w:pStyle w:val="Body"/>
              <w:spacing w:before="0" w:after="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44.3</w:t>
            </w:r>
          </w:p>
        </w:tc>
        <w:tc>
          <w:tcPr>
            <w:tcW w:w="907" w:type="dxa"/>
            <w:shd w:val="clear" w:color="auto" w:fill="C7E4F3" w:themeFill="accent1" w:themeFillTint="33"/>
          </w:tcPr>
          <w:p w14:paraId="4238D38D" w14:textId="4A8AA9CB" w:rsidR="00926CEE" w:rsidRPr="00916DD7" w:rsidRDefault="00926CEE"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14.2</w:t>
            </w:r>
          </w:p>
        </w:tc>
        <w:tc>
          <w:tcPr>
            <w:tcW w:w="1014" w:type="dxa"/>
            <w:shd w:val="clear" w:color="auto" w:fill="C7E4F3" w:themeFill="accent1" w:themeFillTint="33"/>
          </w:tcPr>
          <w:p w14:paraId="7F70695C" w14:textId="62B47A04" w:rsidR="00926CEE" w:rsidRPr="00916DD7" w:rsidRDefault="00C34DE6"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22.1</w:t>
            </w:r>
            <w:r w:rsidR="0041100F" w:rsidRPr="00916DD7">
              <w:rPr>
                <w:rFonts w:cs="Arial"/>
                <w:b w:val="0"/>
                <w:color w:val="auto"/>
                <w:sz w:val="18"/>
                <w:szCs w:val="18"/>
              </w:rPr>
              <w:t>**</w:t>
            </w:r>
          </w:p>
        </w:tc>
        <w:tc>
          <w:tcPr>
            <w:tcW w:w="849" w:type="dxa"/>
            <w:shd w:val="clear" w:color="auto" w:fill="C7E4F3" w:themeFill="accent1" w:themeFillTint="33"/>
          </w:tcPr>
          <w:p w14:paraId="39EFF2B1" w14:textId="4939ECAB" w:rsidR="00926CEE" w:rsidRPr="00916DD7" w:rsidRDefault="00926CEE" w:rsidP="00D0461D">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12.2</w:t>
            </w:r>
          </w:p>
        </w:tc>
        <w:tc>
          <w:tcPr>
            <w:tcW w:w="1304" w:type="dxa"/>
            <w:shd w:val="clear" w:color="auto" w:fill="C7E4F3" w:themeFill="accent1" w:themeFillTint="33"/>
          </w:tcPr>
          <w:p w14:paraId="4662C4D5" w14:textId="6A059D55" w:rsidR="00926CEE" w:rsidRPr="00916DD7" w:rsidRDefault="00C34DE6" w:rsidP="009630C0">
            <w:pPr>
              <w:pStyle w:val="Body"/>
              <w:spacing w:before="0" w:after="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5.9</w:t>
            </w:r>
          </w:p>
        </w:tc>
        <w:tc>
          <w:tcPr>
            <w:tcW w:w="907" w:type="dxa"/>
            <w:shd w:val="clear" w:color="auto" w:fill="C7E4F3" w:themeFill="accent1" w:themeFillTint="33"/>
          </w:tcPr>
          <w:p w14:paraId="069DE128" w14:textId="6D31F23A" w:rsidR="00926CEE" w:rsidRPr="00916DD7" w:rsidRDefault="00C34DE6"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2.4</w:t>
            </w:r>
          </w:p>
        </w:tc>
        <w:tc>
          <w:tcPr>
            <w:tcW w:w="907" w:type="dxa"/>
            <w:shd w:val="clear" w:color="auto" w:fill="C7E4F3" w:themeFill="accent1" w:themeFillTint="33"/>
          </w:tcPr>
          <w:p w14:paraId="251907E3" w14:textId="239B9F13" w:rsidR="00926CEE" w:rsidRPr="00916DD7" w:rsidRDefault="00C34DE6" w:rsidP="009630C0">
            <w:pPr>
              <w:pStyle w:val="Body"/>
              <w:spacing w:before="0" w:after="0" w:line="240" w:lineRule="auto"/>
              <w:ind w:right="17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8.2</w:t>
            </w:r>
          </w:p>
        </w:tc>
      </w:tr>
    </w:tbl>
    <w:p w14:paraId="1AC6E4AE" w14:textId="549C492A" w:rsidR="0041100F" w:rsidRPr="00D17E58" w:rsidRDefault="0041100F" w:rsidP="009A7AC8">
      <w:pPr>
        <w:pStyle w:val="FigureNote"/>
      </w:pPr>
      <w:r>
        <w:t>Base</w:t>
      </w:r>
      <w:r>
        <w:tab/>
        <w:t xml:space="preserve">Respondents who needed help to navigate the </w:t>
      </w:r>
      <w:r>
        <w:rPr>
          <w:rFonts w:cs="Arial"/>
        </w:rPr>
        <w:t>workers’ compensation claim process</w:t>
      </w:r>
      <w:r>
        <w:t>, 2018.</w:t>
      </w:r>
      <w:r w:rsidR="00C35B7D" w:rsidRPr="00C35B7D">
        <w:t xml:space="preserve"> </w:t>
      </w:r>
      <w:r w:rsidRPr="0041100F">
        <w:t>Total (</w:t>
      </w:r>
      <w:r>
        <w:t>1,906</w:t>
      </w:r>
      <w:r w:rsidRPr="0041100F">
        <w:t>), ACT (</w:t>
      </w:r>
      <w:r>
        <w:t>65</w:t>
      </w:r>
      <w:r w:rsidRPr="0041100F">
        <w:t>), Comcare (</w:t>
      </w:r>
      <w:r>
        <w:t>346</w:t>
      </w:r>
      <w:r w:rsidRPr="0041100F">
        <w:t>), NSW (</w:t>
      </w:r>
      <w:r>
        <w:t>341</w:t>
      </w:r>
      <w:r w:rsidRPr="0041100F">
        <w:t>), NT (</w:t>
      </w:r>
      <w:r>
        <w:t>75</w:t>
      </w:r>
      <w:r w:rsidRPr="0041100F">
        <w:t xml:space="preserve">), </w:t>
      </w:r>
      <w:r w:rsidR="008E2E1A">
        <w:t>QLD</w:t>
      </w:r>
      <w:r w:rsidRPr="0041100F">
        <w:t xml:space="preserve"> (</w:t>
      </w:r>
      <w:r>
        <w:t>264</w:t>
      </w:r>
      <w:r w:rsidRPr="0041100F">
        <w:t>), Seacare (</w:t>
      </w:r>
      <w:r>
        <w:t>19</w:t>
      </w:r>
      <w:r w:rsidRPr="0041100F">
        <w:t xml:space="preserve">), </w:t>
      </w:r>
      <w:r w:rsidR="008E2E1A">
        <w:t>TAS</w:t>
      </w:r>
      <w:r w:rsidR="008E2E1A" w:rsidRPr="0041100F">
        <w:t xml:space="preserve"> </w:t>
      </w:r>
      <w:r w:rsidRPr="0041100F">
        <w:t>(</w:t>
      </w:r>
      <w:r>
        <w:t>219</w:t>
      </w:r>
      <w:r w:rsidRPr="0041100F">
        <w:t>), WA (</w:t>
      </w:r>
      <w:r>
        <w:t>234</w:t>
      </w:r>
      <w:r w:rsidRPr="0041100F">
        <w:t>), V</w:t>
      </w:r>
      <w:r w:rsidR="005B3A7F">
        <w:t>IC</w:t>
      </w:r>
      <w:r w:rsidRPr="0041100F">
        <w:t xml:space="preserve"> (</w:t>
      </w:r>
      <w:r>
        <w:t>343</w:t>
      </w:r>
      <w:r w:rsidRPr="0041100F">
        <w:t xml:space="preserve">). </w:t>
      </w:r>
      <w:r w:rsidR="006A6E36">
        <w:t xml:space="preserve">Fractures (247), Musculoskeletal Disorders (1,085), Other Trauma (318), Mental Illness (151), Other Diseases (105). </w:t>
      </w:r>
      <w:r w:rsidRPr="0041100F">
        <w:t>&lt;180 days (</w:t>
      </w:r>
      <w:r>
        <w:t>102), 181-270 days (752</w:t>
      </w:r>
      <w:r w:rsidRPr="0041100F">
        <w:t>), 271-365 days (</w:t>
      </w:r>
      <w:r>
        <w:t>295</w:t>
      </w:r>
      <w:r w:rsidRPr="0041100F">
        <w:t>), 366-730 days (</w:t>
      </w:r>
      <w:r>
        <w:t>614</w:t>
      </w:r>
      <w:r w:rsidRPr="0041100F">
        <w:t>), 730 days (</w:t>
      </w:r>
      <w:r>
        <w:t>143</w:t>
      </w:r>
      <w:r w:rsidRPr="0041100F">
        <w:t>).</w:t>
      </w:r>
    </w:p>
    <w:p w14:paraId="5B3F9956" w14:textId="28EB8CF9" w:rsidR="0041100F" w:rsidRDefault="0041100F" w:rsidP="009A7AC8">
      <w:pPr>
        <w:pStyle w:val="FigureNote"/>
      </w:pPr>
      <w:r>
        <w:t>WC7a</w:t>
      </w:r>
      <w:r w:rsidRPr="00D17E58">
        <w:tab/>
      </w:r>
      <w:r>
        <w:t>And who</w:t>
      </w:r>
      <w:r w:rsidRPr="00693C67">
        <w:t xml:space="preserve"> help</w:t>
      </w:r>
      <w:r>
        <w:t>ed</w:t>
      </w:r>
      <w:r w:rsidRPr="00693C67">
        <w:t xml:space="preserve"> you</w:t>
      </w:r>
      <w:r w:rsidRPr="00D17E58">
        <w:t>?</w:t>
      </w:r>
    </w:p>
    <w:p w14:paraId="3F817918" w14:textId="47AA8170" w:rsidR="009630C0" w:rsidRDefault="007F16F7" w:rsidP="009630C0">
      <w:pPr>
        <w:pStyle w:val="FigureNote"/>
        <w:spacing w:after="60"/>
        <w:rPr>
          <w:rFonts w:cs="Arial"/>
        </w:rPr>
      </w:pPr>
      <w:r>
        <w:t>Note</w:t>
      </w:r>
      <w:r>
        <w:tab/>
      </w:r>
      <w:r w:rsidR="00FD3931" w:rsidRPr="00FD3931">
        <w:t>Don’t know and Refused responses excluded from base. Asterisks indicate statistically significant difference (single asterisk (*) indicates a lower proportion; double asterisk (**) indicates a higher proportion) (p-value &lt;=0.05).</w:t>
      </w:r>
    </w:p>
    <w:p w14:paraId="5438D39F" w14:textId="3177FC24" w:rsidR="004D7BB3" w:rsidRDefault="004D7BB3">
      <w:pPr>
        <w:rPr>
          <w:rFonts w:eastAsia="Calibri" w:cs="Times New Roman"/>
          <w:sz w:val="16"/>
          <w:lang w:val="en-GB"/>
        </w:rPr>
      </w:pPr>
      <w:r>
        <w:br w:type="page"/>
      </w:r>
    </w:p>
    <w:p w14:paraId="03AF5F09" w14:textId="779F9A9E" w:rsidR="003C4BE6" w:rsidRDefault="003C4BE6" w:rsidP="005755C8">
      <w:pPr>
        <w:pStyle w:val="Heading2"/>
      </w:pPr>
      <w:bookmarkStart w:id="136" w:name="_Toc528056047"/>
      <w:r>
        <w:lastRenderedPageBreak/>
        <w:t xml:space="preserve">Difference of </w:t>
      </w:r>
      <w:r w:rsidR="00FC415A">
        <w:t>o</w:t>
      </w:r>
      <w:r>
        <w:t>pinion</w:t>
      </w:r>
      <w:bookmarkEnd w:id="136"/>
    </w:p>
    <w:p w14:paraId="4174795F" w14:textId="63B63EB0" w:rsidR="003C4BE6" w:rsidRDefault="00247DCD" w:rsidP="00CD39CA">
      <w:pPr>
        <w:pStyle w:val="Body"/>
        <w:rPr>
          <w:rFonts w:cs="Arial"/>
        </w:rPr>
      </w:pPr>
      <w:r>
        <w:rPr>
          <w:rFonts w:cs="Arial"/>
        </w:rPr>
        <w:t>A fundamental aspect of the workers’ compensation process is reaching agreement on the nature and extent of injury or illness experienced</w:t>
      </w:r>
      <w:r w:rsidR="004D7BB3">
        <w:rPr>
          <w:rFonts w:cs="Arial"/>
        </w:rPr>
        <w:t>,</w:t>
      </w:r>
      <w:r>
        <w:rPr>
          <w:rFonts w:cs="Arial"/>
        </w:rPr>
        <w:t xml:space="preserve"> and an appropriate compensation arrangement. Disputes</w:t>
      </w:r>
      <w:r w:rsidR="00EF41CB">
        <w:rPr>
          <w:rFonts w:cs="Arial"/>
        </w:rPr>
        <w:t xml:space="preserve"> or disagreements</w:t>
      </w:r>
      <w:r>
        <w:rPr>
          <w:rFonts w:cs="Arial"/>
        </w:rPr>
        <w:t xml:space="preserve"> can occur and the 2018 NRTWS asked respondents whether they had experienced any difference of opinion from the compensation organisation </w:t>
      </w:r>
      <w:r w:rsidR="005B66B3">
        <w:rPr>
          <w:rFonts w:cs="Arial"/>
        </w:rPr>
        <w:t xml:space="preserve">about </w:t>
      </w:r>
      <w:r>
        <w:rPr>
          <w:rFonts w:cs="Arial"/>
        </w:rPr>
        <w:t>their claim.</w:t>
      </w:r>
    </w:p>
    <w:p w14:paraId="6DC49ED7" w14:textId="7076F5E3" w:rsidR="00247DCD" w:rsidRDefault="00247DCD" w:rsidP="00CD39CA">
      <w:pPr>
        <w:pStyle w:val="Body"/>
        <w:rPr>
          <w:rFonts w:cs="Arial"/>
        </w:rPr>
      </w:pPr>
      <w:r>
        <w:rPr>
          <w:rFonts w:cs="Arial"/>
        </w:rPr>
        <w:t>As shown in</w:t>
      </w:r>
      <w:r w:rsidR="00130BF0">
        <w:rPr>
          <w:rFonts w:cs="Arial"/>
        </w:rPr>
        <w:t xml:space="preserve"> </w:t>
      </w:r>
      <w:r w:rsidR="009851F6">
        <w:t xml:space="preserve">Figure </w:t>
      </w:r>
      <w:r w:rsidR="007F3FC9">
        <w:rPr>
          <w:noProof/>
        </w:rPr>
        <w:t>32</w:t>
      </w:r>
      <w:r>
        <w:rPr>
          <w:rFonts w:cs="Arial"/>
        </w:rPr>
        <w:t>, a quarter (25.5%) of workers reported that they had experienced a difference of opinion</w:t>
      </w:r>
      <w:r w:rsidR="005B66B3">
        <w:rPr>
          <w:rFonts w:cs="Arial"/>
        </w:rPr>
        <w:t xml:space="preserve">. A </w:t>
      </w:r>
      <w:r w:rsidR="008163B2">
        <w:rPr>
          <w:rFonts w:cs="Arial"/>
        </w:rPr>
        <w:t xml:space="preserve">significantly </w:t>
      </w:r>
      <w:r w:rsidR="005B66B3">
        <w:rPr>
          <w:rFonts w:cs="Arial"/>
        </w:rPr>
        <w:t>higher proportion of workers from Comcare (34.3%) experienced a difference of opinion from their compensation organisation. Conversely,</w:t>
      </w:r>
      <w:r w:rsidR="00EF56BD">
        <w:rPr>
          <w:rFonts w:cs="Arial"/>
        </w:rPr>
        <w:t xml:space="preserve"> a lower proportion of workers </w:t>
      </w:r>
      <w:r w:rsidR="005B66B3">
        <w:rPr>
          <w:rFonts w:cs="Arial"/>
        </w:rPr>
        <w:t xml:space="preserve">from Queensland (20.5%) </w:t>
      </w:r>
      <w:r w:rsidR="00EF41CB">
        <w:rPr>
          <w:rFonts w:cs="Arial"/>
        </w:rPr>
        <w:t>experienced a difference of opinion.</w:t>
      </w:r>
    </w:p>
    <w:p w14:paraId="747537CC" w14:textId="531A907E" w:rsidR="00B369C9" w:rsidRDefault="00867350" w:rsidP="00CD39CA">
      <w:pPr>
        <w:pStyle w:val="Body"/>
        <w:rPr>
          <w:rFonts w:cs="Arial"/>
        </w:rPr>
      </w:pPr>
      <w:r>
        <w:rPr>
          <w:rFonts w:cs="Arial"/>
        </w:rPr>
        <w:t xml:space="preserve">No statistically significant differences were evident between </w:t>
      </w:r>
      <w:r w:rsidR="0025300B">
        <w:rPr>
          <w:rFonts w:cs="Arial"/>
        </w:rPr>
        <w:t>injury/illness</w:t>
      </w:r>
      <w:r>
        <w:rPr>
          <w:rFonts w:cs="Arial"/>
        </w:rPr>
        <w:t xml:space="preserve"> type sub-groups. However, those who experienced mental illness appear more likely to have had a difference of opinion from their compensation organisation.</w:t>
      </w:r>
    </w:p>
    <w:p w14:paraId="0E07FF92" w14:textId="1EC40C1D" w:rsidR="00867350" w:rsidRDefault="00867350" w:rsidP="00867350">
      <w:pPr>
        <w:pStyle w:val="Body"/>
        <w:rPr>
          <w:rFonts w:cs="Arial"/>
        </w:rPr>
      </w:pPr>
      <w:r>
        <w:rPr>
          <w:rFonts w:cs="Arial"/>
        </w:rPr>
        <w:t>A significantly higher proportion of workers with a claim duration longer than two years reported having a difference of opinion from their compensation organisation (34.8%) compared with those with shorter claims.</w:t>
      </w:r>
    </w:p>
    <w:p w14:paraId="4655231A" w14:textId="0ABCBB78" w:rsidR="005B66B3" w:rsidRDefault="005B66B3" w:rsidP="00D0461D">
      <w:pPr>
        <w:pStyle w:val="Caption"/>
      </w:pPr>
      <w:bookmarkStart w:id="137" w:name="_Ref524082284"/>
      <w:bookmarkStart w:id="138" w:name="_Toc528056599"/>
      <w:r>
        <w:t xml:space="preserve">Figure </w:t>
      </w:r>
      <w:r w:rsidR="006A2841">
        <w:rPr>
          <w:noProof/>
        </w:rPr>
        <w:fldChar w:fldCharType="begin"/>
      </w:r>
      <w:r w:rsidR="006A2841">
        <w:rPr>
          <w:noProof/>
        </w:rPr>
        <w:instrText xml:space="preserve"> SEQ Figure \* ARABIC </w:instrText>
      </w:r>
      <w:r w:rsidR="006A2841">
        <w:rPr>
          <w:noProof/>
        </w:rPr>
        <w:fldChar w:fldCharType="separate"/>
      </w:r>
      <w:r w:rsidR="00B9340A">
        <w:rPr>
          <w:noProof/>
        </w:rPr>
        <w:t>32</w:t>
      </w:r>
      <w:r w:rsidR="006A2841">
        <w:rPr>
          <w:noProof/>
        </w:rPr>
        <w:fldChar w:fldCharType="end"/>
      </w:r>
      <w:bookmarkEnd w:id="137"/>
      <w:r>
        <w:tab/>
        <w:t xml:space="preserve">Difference of </w:t>
      </w:r>
      <w:r w:rsidR="004D4F1C">
        <w:t>o</w:t>
      </w:r>
      <w:r>
        <w:t>pinion</w:t>
      </w:r>
      <w:r w:rsidR="00867350">
        <w:t xml:space="preserve">, by jurisdiction, </w:t>
      </w:r>
      <w:r w:rsidR="0025300B">
        <w:t>injury/illness</w:t>
      </w:r>
      <w:r w:rsidR="00867350">
        <w:t xml:space="preserve"> type and claim duration</w:t>
      </w:r>
      <w:r w:rsidR="0025300B">
        <w:t xml:space="preserve"> (% </w:t>
      </w:r>
      <w:r w:rsidR="004D4F1C">
        <w:t>y</w:t>
      </w:r>
      <w:r>
        <w:t>es)</w:t>
      </w:r>
      <w:bookmarkEnd w:id="138"/>
    </w:p>
    <w:p w14:paraId="5C34C014" w14:textId="733493AE" w:rsidR="00247DCD" w:rsidRDefault="00FD3931" w:rsidP="00CD39CA">
      <w:pPr>
        <w:pStyle w:val="Body"/>
        <w:rPr>
          <w:rFonts w:cs="Arial"/>
        </w:rPr>
      </w:pPr>
      <w:r>
        <w:rPr>
          <w:noProof/>
          <w:lang w:eastAsia="en-AU"/>
        </w:rPr>
        <w:drawing>
          <wp:inline distT="0" distB="0" distL="0" distR="0" wp14:anchorId="15B93221" wp14:editId="292B8CE8">
            <wp:extent cx="5759450" cy="4139565"/>
            <wp:effectExtent l="0" t="0" r="12700" b="13335"/>
            <wp:docPr id="219" name="Chart 219" descr="This chart presents the proportion of respondents who reported having a difference of opinion with the organisation who they dealt with for their claim. The findings are discuss above this table."/>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1C7382E" w14:textId="7781C659" w:rsidR="005B66B3" w:rsidRPr="00D17E58" w:rsidRDefault="005B66B3" w:rsidP="003535E3">
      <w:pPr>
        <w:pStyle w:val="FigureNote"/>
      </w:pPr>
      <w:r>
        <w:t>Base</w:t>
      </w:r>
      <w:r>
        <w:tab/>
        <w:t>Respondents who had direct contact with their</w:t>
      </w:r>
      <w:r>
        <w:rPr>
          <w:rFonts w:cs="Arial"/>
        </w:rPr>
        <w:t xml:space="preserve"> compensation organisation</w:t>
      </w:r>
      <w:r>
        <w:t>, 2018.</w:t>
      </w:r>
      <w:r w:rsidR="003535E3">
        <w:t xml:space="preserve"> Don’t know and Refused responses excluded from base.  </w:t>
      </w:r>
      <w:r w:rsidRPr="0041100F">
        <w:t xml:space="preserve">Total </w:t>
      </w:r>
      <w:r w:rsidR="00AA5106">
        <w:t>(n</w:t>
      </w:r>
      <w:r w:rsidR="00540DA7">
        <w:t>=</w:t>
      </w:r>
      <w:r>
        <w:t>4,053</w:t>
      </w:r>
      <w:r w:rsidR="00AA5106">
        <w:t>)</w:t>
      </w:r>
      <w:r w:rsidRPr="0041100F">
        <w:t>, ACT</w:t>
      </w:r>
      <w:r w:rsidR="00540DA7">
        <w:t xml:space="preserve"> </w:t>
      </w:r>
      <w:r w:rsidR="00AA5106">
        <w:t>(n</w:t>
      </w:r>
      <w:r w:rsidR="00540DA7">
        <w:t>=</w:t>
      </w:r>
      <w:r>
        <w:t>129</w:t>
      </w:r>
      <w:r w:rsidR="00AA5106">
        <w:t>)</w:t>
      </w:r>
      <w:r w:rsidRPr="0041100F">
        <w:t>, Comcare</w:t>
      </w:r>
      <w:r w:rsidR="00540DA7">
        <w:t xml:space="preserve"> </w:t>
      </w:r>
      <w:r w:rsidR="00AA5106">
        <w:t>(n</w:t>
      </w:r>
      <w:r w:rsidR="00540DA7">
        <w:t>=</w:t>
      </w:r>
      <w:r>
        <w:t>716</w:t>
      </w:r>
      <w:r w:rsidR="00AA5106">
        <w:t>)</w:t>
      </w:r>
      <w:r w:rsidRPr="0041100F">
        <w:t xml:space="preserve">, NSW </w:t>
      </w:r>
      <w:r w:rsidR="00AA5106">
        <w:t>(n</w:t>
      </w:r>
      <w:r w:rsidR="00540DA7">
        <w:t>=</w:t>
      </w:r>
      <w:r>
        <w:t>737</w:t>
      </w:r>
      <w:r w:rsidR="00AA5106">
        <w:t>)</w:t>
      </w:r>
      <w:r w:rsidRPr="0041100F">
        <w:t xml:space="preserve">, NT </w:t>
      </w:r>
      <w:r w:rsidR="00AA5106">
        <w:t>(n</w:t>
      </w:r>
      <w:r w:rsidR="00540DA7">
        <w:t>=</w:t>
      </w:r>
      <w:r>
        <w:t>125</w:t>
      </w:r>
      <w:r w:rsidR="00AA5106">
        <w:t>)</w:t>
      </w:r>
      <w:r w:rsidRPr="0041100F">
        <w:t xml:space="preserve">, </w:t>
      </w:r>
      <w:r w:rsidR="008E2E1A">
        <w:t>QLD</w:t>
      </w:r>
      <w:r w:rsidR="008E2E1A" w:rsidRPr="0041100F">
        <w:t xml:space="preserve"> </w:t>
      </w:r>
      <w:r w:rsidR="00AA5106">
        <w:t>(n</w:t>
      </w:r>
      <w:r w:rsidR="00540DA7">
        <w:t>=</w:t>
      </w:r>
      <w:r>
        <w:t>720</w:t>
      </w:r>
      <w:r w:rsidR="00AA5106">
        <w:t>)</w:t>
      </w:r>
      <w:r w:rsidRPr="0041100F">
        <w:t xml:space="preserve">, Seacare </w:t>
      </w:r>
      <w:r w:rsidR="00AA5106">
        <w:t>(n</w:t>
      </w:r>
      <w:r w:rsidR="00540DA7">
        <w:t>=</w:t>
      </w:r>
      <w:r>
        <w:t>47</w:t>
      </w:r>
      <w:r w:rsidR="00AA5106">
        <w:t>)</w:t>
      </w:r>
      <w:r w:rsidRPr="0041100F">
        <w:t xml:space="preserve">, </w:t>
      </w:r>
      <w:r w:rsidR="008E2E1A">
        <w:t xml:space="preserve">TAS </w:t>
      </w:r>
      <w:r w:rsidR="00AA5106">
        <w:t>(n=</w:t>
      </w:r>
      <w:r>
        <w:t>410</w:t>
      </w:r>
      <w:r w:rsidR="00AA5106">
        <w:t>)</w:t>
      </w:r>
      <w:r w:rsidRPr="0041100F">
        <w:t>, WA</w:t>
      </w:r>
      <w:r w:rsidR="00540DA7">
        <w:t xml:space="preserve"> </w:t>
      </w:r>
      <w:r w:rsidR="00AA5106">
        <w:t>(n</w:t>
      </w:r>
      <w:r w:rsidR="00540DA7">
        <w:t>=</w:t>
      </w:r>
      <w:r>
        <w:t>459</w:t>
      </w:r>
      <w:r w:rsidR="00AA5106">
        <w:t>)</w:t>
      </w:r>
      <w:r w:rsidRPr="0041100F">
        <w:t>, V</w:t>
      </w:r>
      <w:r w:rsidR="005B3A7F">
        <w:t>IC</w:t>
      </w:r>
      <w:r w:rsidR="00AA5106">
        <w:t xml:space="preserve"> (n</w:t>
      </w:r>
      <w:r w:rsidR="00540DA7">
        <w:t>=</w:t>
      </w:r>
      <w:r>
        <w:t>710</w:t>
      </w:r>
      <w:r w:rsidR="00AA5106">
        <w:t>)</w:t>
      </w:r>
      <w:r w:rsidRPr="0041100F">
        <w:t xml:space="preserve">. </w:t>
      </w:r>
      <w:r>
        <w:rPr>
          <w:rFonts w:cs="Arial"/>
          <w:szCs w:val="16"/>
        </w:rPr>
        <w:t>Fractures</w:t>
      </w:r>
      <w:r w:rsidR="00AA5106">
        <w:rPr>
          <w:rFonts w:cs="Arial"/>
          <w:szCs w:val="16"/>
        </w:rPr>
        <w:t xml:space="preserve"> (n</w:t>
      </w:r>
      <w:r w:rsidR="00540DA7">
        <w:rPr>
          <w:rFonts w:cs="Arial"/>
          <w:szCs w:val="16"/>
        </w:rPr>
        <w:t>=</w:t>
      </w:r>
      <w:r>
        <w:rPr>
          <w:rFonts w:cs="Arial"/>
          <w:szCs w:val="16"/>
        </w:rPr>
        <w:t>552</w:t>
      </w:r>
      <w:r w:rsidR="00AA5106">
        <w:rPr>
          <w:rFonts w:cs="Arial"/>
          <w:szCs w:val="16"/>
        </w:rPr>
        <w:t>)</w:t>
      </w:r>
      <w:r>
        <w:rPr>
          <w:rFonts w:cs="Arial"/>
          <w:szCs w:val="16"/>
        </w:rPr>
        <w:t xml:space="preserve">, Musculoskeletal Disorders </w:t>
      </w:r>
      <w:r w:rsidR="00AA5106">
        <w:rPr>
          <w:rFonts w:cs="Arial"/>
          <w:szCs w:val="16"/>
        </w:rPr>
        <w:t>(n=</w:t>
      </w:r>
      <w:r w:rsidR="00540DA7">
        <w:rPr>
          <w:rFonts w:cs="Arial"/>
          <w:szCs w:val="16"/>
        </w:rPr>
        <w:t>2,406</w:t>
      </w:r>
      <w:r w:rsidR="00AA5106">
        <w:rPr>
          <w:rFonts w:cs="Arial"/>
          <w:szCs w:val="16"/>
        </w:rPr>
        <w:t>)</w:t>
      </w:r>
      <w:r>
        <w:rPr>
          <w:rFonts w:cs="Arial"/>
          <w:szCs w:val="16"/>
        </w:rPr>
        <w:t xml:space="preserve">, Other Trauma </w:t>
      </w:r>
      <w:r w:rsidR="00AA5106">
        <w:rPr>
          <w:rFonts w:cs="Arial"/>
          <w:szCs w:val="16"/>
        </w:rPr>
        <w:t>(n</w:t>
      </w:r>
      <w:r w:rsidR="00540DA7">
        <w:rPr>
          <w:rFonts w:cs="Arial"/>
          <w:szCs w:val="16"/>
        </w:rPr>
        <w:t>=632</w:t>
      </w:r>
      <w:r w:rsidR="00AA5106">
        <w:rPr>
          <w:rFonts w:cs="Arial"/>
          <w:szCs w:val="16"/>
        </w:rPr>
        <w:t>)</w:t>
      </w:r>
      <w:r>
        <w:rPr>
          <w:rFonts w:cs="Arial"/>
          <w:szCs w:val="16"/>
        </w:rPr>
        <w:t xml:space="preserve">, Mental Illness </w:t>
      </w:r>
      <w:r w:rsidR="00AA5106">
        <w:rPr>
          <w:rFonts w:cs="Arial"/>
          <w:szCs w:val="16"/>
        </w:rPr>
        <w:t>(n</w:t>
      </w:r>
      <w:r w:rsidR="00540DA7">
        <w:rPr>
          <w:rFonts w:cs="Arial"/>
          <w:szCs w:val="16"/>
        </w:rPr>
        <w:t>=</w:t>
      </w:r>
      <w:r>
        <w:rPr>
          <w:rFonts w:cs="Arial"/>
          <w:szCs w:val="16"/>
        </w:rPr>
        <w:t>265</w:t>
      </w:r>
      <w:r w:rsidR="00AA5106">
        <w:rPr>
          <w:rFonts w:cs="Arial"/>
          <w:szCs w:val="16"/>
        </w:rPr>
        <w:t>)</w:t>
      </w:r>
      <w:r>
        <w:rPr>
          <w:rFonts w:cs="Arial"/>
          <w:szCs w:val="16"/>
        </w:rPr>
        <w:t>, Other Diseases</w:t>
      </w:r>
      <w:r w:rsidR="00540DA7">
        <w:rPr>
          <w:rFonts w:cs="Arial"/>
          <w:szCs w:val="16"/>
        </w:rPr>
        <w:t xml:space="preserve"> </w:t>
      </w:r>
      <w:r w:rsidR="00AA5106">
        <w:rPr>
          <w:rFonts w:cs="Arial"/>
          <w:szCs w:val="16"/>
        </w:rPr>
        <w:t>(n</w:t>
      </w:r>
      <w:r w:rsidR="00540DA7">
        <w:rPr>
          <w:rFonts w:cs="Arial"/>
          <w:szCs w:val="16"/>
        </w:rPr>
        <w:t>=198</w:t>
      </w:r>
      <w:r w:rsidR="00AA5106">
        <w:rPr>
          <w:rFonts w:cs="Arial"/>
          <w:szCs w:val="16"/>
        </w:rPr>
        <w:t>)</w:t>
      </w:r>
      <w:r>
        <w:rPr>
          <w:rFonts w:cs="Arial"/>
          <w:szCs w:val="16"/>
        </w:rPr>
        <w:t xml:space="preserve">. </w:t>
      </w:r>
      <w:r w:rsidR="00AA5106">
        <w:rPr>
          <w:rFonts w:cs="Arial"/>
          <w:szCs w:val="16"/>
        </w:rPr>
        <w:t xml:space="preserve">Claim duration: </w:t>
      </w:r>
      <w:r w:rsidRPr="0041100F">
        <w:t>&lt;180 days</w:t>
      </w:r>
      <w:r w:rsidR="00540DA7">
        <w:t xml:space="preserve"> </w:t>
      </w:r>
      <w:r w:rsidR="00AA5106">
        <w:t>(n</w:t>
      </w:r>
      <w:r w:rsidR="00540DA7">
        <w:t>=240</w:t>
      </w:r>
      <w:r w:rsidR="00AA5106">
        <w:t>)</w:t>
      </w:r>
      <w:r w:rsidR="00540DA7">
        <w:t xml:space="preserve">, 181-270 days </w:t>
      </w:r>
      <w:r w:rsidR="00AA5106">
        <w:t>(n</w:t>
      </w:r>
      <w:r w:rsidR="00540DA7">
        <w:t>=</w:t>
      </w:r>
      <w:r>
        <w:t>1,679</w:t>
      </w:r>
      <w:r w:rsidR="00AA5106">
        <w:t>)</w:t>
      </w:r>
      <w:r w:rsidRPr="0041100F">
        <w:t xml:space="preserve">, 271-365 days </w:t>
      </w:r>
      <w:r w:rsidR="00AA5106">
        <w:t>(n</w:t>
      </w:r>
      <w:r w:rsidR="00540DA7">
        <w:t>=</w:t>
      </w:r>
      <w:r>
        <w:t>634</w:t>
      </w:r>
      <w:r w:rsidR="00AA5106">
        <w:t>)</w:t>
      </w:r>
      <w:r w:rsidRPr="0041100F">
        <w:t xml:space="preserve">, 366-730 days </w:t>
      </w:r>
      <w:r w:rsidR="00AA5106">
        <w:t>(n</w:t>
      </w:r>
      <w:r w:rsidR="00540DA7">
        <w:t>=</w:t>
      </w:r>
      <w:r>
        <w:t>1,244</w:t>
      </w:r>
      <w:r w:rsidR="00AA5106">
        <w:t>)</w:t>
      </w:r>
      <w:r w:rsidRPr="0041100F">
        <w:t xml:space="preserve">, &gt;730 days </w:t>
      </w:r>
      <w:r w:rsidR="00AA5106">
        <w:t>(n</w:t>
      </w:r>
      <w:r w:rsidR="00540DA7">
        <w:t>=</w:t>
      </w:r>
      <w:r>
        <w:t>256</w:t>
      </w:r>
      <w:r w:rsidR="00AA5106">
        <w:t>)</w:t>
      </w:r>
      <w:r w:rsidRPr="0041100F">
        <w:t>.</w:t>
      </w:r>
      <w:r w:rsidR="003535E3">
        <w:t xml:space="preserve"> </w:t>
      </w:r>
    </w:p>
    <w:p w14:paraId="52C2F4AE" w14:textId="7D5213CE" w:rsidR="005B66B3" w:rsidRDefault="005B66B3" w:rsidP="009A7AC8">
      <w:pPr>
        <w:pStyle w:val="FigureNote"/>
      </w:pPr>
      <w:r>
        <w:t>WC2</w:t>
      </w:r>
      <w:r w:rsidRPr="00D17E58">
        <w:tab/>
      </w:r>
      <w:r w:rsidRPr="005B66B3">
        <w:t>Did you ever have a difference of opinion with the organisation who you dealt with for your claim</w:t>
      </w:r>
      <w:r w:rsidRPr="00D17E58">
        <w:t>?</w:t>
      </w:r>
    </w:p>
    <w:p w14:paraId="092B0C4E" w14:textId="768E88E9" w:rsidR="00ED32FA" w:rsidRDefault="007F16F7" w:rsidP="00ED32FA">
      <w:pPr>
        <w:pStyle w:val="FigureNote"/>
        <w:spacing w:after="60"/>
      </w:pPr>
      <w:r>
        <w:t>Note</w:t>
      </w:r>
      <w:r>
        <w:tab/>
      </w:r>
      <w:r w:rsidR="00ED32FA" w:rsidRPr="00742EE9">
        <w:t xml:space="preserve">Asterisks indicate statistically significant </w:t>
      </w:r>
      <w:r w:rsidR="00ED32FA" w:rsidRPr="00E5290E">
        <w:t xml:space="preserve">difference (single asterisk (*) indicates a lower proportion; double asterisk (**) indicates </w:t>
      </w:r>
      <w:r w:rsidR="003E25AE">
        <w:t>a higher proportion (p-value &lt;=0.05).</w:t>
      </w:r>
    </w:p>
    <w:p w14:paraId="5918CDAF" w14:textId="707A5400" w:rsidR="003C4BE6" w:rsidRDefault="003C4BE6" w:rsidP="00ED32FA">
      <w:pPr>
        <w:pStyle w:val="Heading2"/>
      </w:pPr>
      <w:bookmarkStart w:id="139" w:name="_Toc528056048"/>
      <w:r w:rsidRPr="003C4BE6">
        <w:lastRenderedPageBreak/>
        <w:t>Perceived Justice of the Compensation Process</w:t>
      </w:r>
      <w:bookmarkEnd w:id="139"/>
    </w:p>
    <w:p w14:paraId="446D8A1E" w14:textId="66158D2B" w:rsidR="003C4BE6" w:rsidRDefault="00765C35" w:rsidP="003C4BE6">
      <w:pPr>
        <w:pStyle w:val="Body"/>
      </w:pPr>
      <w:r>
        <w:t xml:space="preserve">The Perceived Justice of the Compensation Process </w:t>
      </w:r>
      <w:r w:rsidR="00E20719">
        <w:t xml:space="preserve">(PJCP) </w:t>
      </w:r>
      <w:r w:rsidR="00D96C8A">
        <w:t>series of measures</w:t>
      </w:r>
      <w:r>
        <w:t xml:space="preserve"> is a validated scale that has been used in other research related to workers compensation and return to work. It measures workers’ perceptions of fairness of their workers’ compensation experience across four broad dimensions – the details of their compensation arrangement, the claim process, information provision and interpersonal communications.</w:t>
      </w:r>
    </w:p>
    <w:p w14:paraId="2BDF02A2" w14:textId="132E7233" w:rsidR="00D96C8A" w:rsidRDefault="00765C35" w:rsidP="003C4BE6">
      <w:pPr>
        <w:pStyle w:val="Body"/>
      </w:pPr>
      <w:r>
        <w:t xml:space="preserve">For the 2018 NRTWS, a </w:t>
      </w:r>
      <w:r w:rsidR="00FF7B40">
        <w:t>range</w:t>
      </w:r>
      <w:r>
        <w:t xml:space="preserve"> of specific attributes were measured within each of these four dimensions</w:t>
      </w:r>
      <w:r w:rsidR="00D96C8A">
        <w:t>, comprising some 15 attributes</w:t>
      </w:r>
      <w:r>
        <w:t>.</w:t>
      </w:r>
      <w:r w:rsidR="00D96C8A">
        <w:t xml:space="preserve"> Respondents were asked to indicate their level of agreement with each statement using a 5-point scale where 1 = ‘strongly agree’ and 5 = ‘strongly disagree’. The mean level of agreement was calculated for each of the four dimensions. In doing so, the scale values were inversed, such that a higher mean score denotes a higher level of agreement</w:t>
      </w:r>
      <w:r w:rsidR="00FF7B40">
        <w:t xml:space="preserve"> (or, a higher perceived sense of justice/fairness)</w:t>
      </w:r>
      <w:r w:rsidR="00D96C8A">
        <w:t>.</w:t>
      </w:r>
    </w:p>
    <w:p w14:paraId="0202F9CA" w14:textId="2320272F" w:rsidR="00765C35" w:rsidRDefault="009851F6" w:rsidP="003C4BE6">
      <w:pPr>
        <w:pStyle w:val="Body"/>
      </w:pPr>
      <w:r>
        <w:t xml:space="preserve">Table </w:t>
      </w:r>
      <w:r w:rsidR="008B78D6">
        <w:rPr>
          <w:noProof/>
        </w:rPr>
        <w:t>11 (on page 5</w:t>
      </w:r>
      <w:r w:rsidR="00A87FF6">
        <w:rPr>
          <w:noProof/>
        </w:rPr>
        <w:t>1</w:t>
      </w:r>
      <w:r w:rsidR="00F61F8D">
        <w:rPr>
          <w:noProof/>
        </w:rPr>
        <w:t>)</w:t>
      </w:r>
      <w:r w:rsidR="00F61F8D">
        <w:t xml:space="preserve"> </w:t>
      </w:r>
      <w:r w:rsidR="00D96C8A">
        <w:t xml:space="preserve">shows the mean level of agreement for each of the four dimensions of the Perceived Justice of the Compensation Process scale overall, by jurisdiction, </w:t>
      </w:r>
      <w:r w:rsidR="0025300B">
        <w:t>injury/illness</w:t>
      </w:r>
      <w:r w:rsidR="00D96C8A">
        <w:t xml:space="preserve"> type and claim duration.</w:t>
      </w:r>
    </w:p>
    <w:p w14:paraId="7C4667FF" w14:textId="77DFCA64" w:rsidR="00053877" w:rsidRDefault="00053877" w:rsidP="00053877">
      <w:pPr>
        <w:pStyle w:val="Heading3"/>
      </w:pPr>
      <w:bookmarkStart w:id="140" w:name="_Toc528056049"/>
      <w:r>
        <w:t xml:space="preserve">Distributive </w:t>
      </w:r>
      <w:r w:rsidR="00FC415A">
        <w:t>j</w:t>
      </w:r>
      <w:r>
        <w:t>ustice</w:t>
      </w:r>
      <w:bookmarkEnd w:id="140"/>
    </w:p>
    <w:p w14:paraId="614D31A1" w14:textId="40EAF206" w:rsidR="00BF7AE5" w:rsidRDefault="00FF7B40" w:rsidP="00053877">
      <w:pPr>
        <w:pStyle w:val="Body"/>
        <w:rPr>
          <w:rFonts w:cs="Arial"/>
        </w:rPr>
      </w:pPr>
      <w:r>
        <w:rPr>
          <w:rFonts w:cs="Arial"/>
        </w:rPr>
        <w:t>Survey r</w:t>
      </w:r>
      <w:r w:rsidR="00BF7AE5">
        <w:rPr>
          <w:rFonts w:cs="Arial"/>
        </w:rPr>
        <w:t>espondents rate</w:t>
      </w:r>
      <w:r>
        <w:rPr>
          <w:rFonts w:cs="Arial"/>
        </w:rPr>
        <w:t>d</w:t>
      </w:r>
      <w:r w:rsidR="00002CA7">
        <w:rPr>
          <w:rFonts w:cs="Arial"/>
        </w:rPr>
        <w:t xml:space="preserve"> their agreement with four</w:t>
      </w:r>
      <w:r w:rsidR="00BF7AE5">
        <w:rPr>
          <w:rFonts w:cs="Arial"/>
        </w:rPr>
        <w:t xml:space="preserve"> statements</w:t>
      </w:r>
      <w:r>
        <w:rPr>
          <w:rFonts w:cs="Arial"/>
        </w:rPr>
        <w:t xml:space="preserve"> related to distributive justice</w:t>
      </w:r>
      <w:r w:rsidR="00BF7AE5">
        <w:rPr>
          <w:rFonts w:cs="Arial"/>
        </w:rPr>
        <w:t>:</w:t>
      </w:r>
    </w:p>
    <w:p w14:paraId="67972896" w14:textId="2D1E75B7" w:rsidR="00BF7AE5" w:rsidRPr="00002CA7" w:rsidRDefault="00BF7AE5" w:rsidP="00BF7AE5">
      <w:pPr>
        <w:pStyle w:val="Body"/>
        <w:numPr>
          <w:ilvl w:val="0"/>
          <w:numId w:val="29"/>
        </w:numPr>
        <w:rPr>
          <w:rFonts w:cs="Arial"/>
          <w:i/>
          <w:color w:val="000000" w:themeColor="text1"/>
          <w:sz w:val="18"/>
        </w:rPr>
      </w:pPr>
      <w:r w:rsidRPr="00002CA7">
        <w:rPr>
          <w:rFonts w:cs="Arial"/>
          <w:i/>
          <w:color w:val="000000" w:themeColor="text1"/>
          <w:sz w:val="18"/>
        </w:rPr>
        <w:t>Overall, your compensation benefits have been fair and acceptable</w:t>
      </w:r>
      <w:r w:rsidR="00ED32FA">
        <w:rPr>
          <w:rFonts w:cs="Arial"/>
          <w:i/>
          <w:color w:val="000000" w:themeColor="text1"/>
          <w:sz w:val="18"/>
        </w:rPr>
        <w:t>.</w:t>
      </w:r>
    </w:p>
    <w:p w14:paraId="2CFD0325" w14:textId="40D4D06B" w:rsidR="00BF7AE5" w:rsidRPr="00002CA7" w:rsidRDefault="00BF7AE5" w:rsidP="00BF7AE5">
      <w:pPr>
        <w:pStyle w:val="Body"/>
        <w:numPr>
          <w:ilvl w:val="0"/>
          <w:numId w:val="29"/>
        </w:numPr>
        <w:rPr>
          <w:rFonts w:cs="Arial"/>
          <w:i/>
          <w:color w:val="000000" w:themeColor="text1"/>
          <w:sz w:val="18"/>
        </w:rPr>
      </w:pPr>
      <w:r w:rsidRPr="00002CA7">
        <w:rPr>
          <w:rFonts w:cs="Arial"/>
          <w:i/>
          <w:color w:val="000000" w:themeColor="text1"/>
          <w:sz w:val="18"/>
        </w:rPr>
        <w:t xml:space="preserve">Considering the nature of your injury, the </w:t>
      </w:r>
      <w:r w:rsidR="00016ED9" w:rsidRPr="00002CA7">
        <w:rPr>
          <w:rFonts w:cs="Arial"/>
          <w:i/>
          <w:color w:val="000000" w:themeColor="text1"/>
          <w:sz w:val="18"/>
        </w:rPr>
        <w:t>amount of compensation</w:t>
      </w:r>
      <w:r w:rsidRPr="00002CA7">
        <w:rPr>
          <w:rFonts w:cs="Arial"/>
          <w:i/>
          <w:color w:val="000000" w:themeColor="text1"/>
          <w:sz w:val="18"/>
        </w:rPr>
        <w:t xml:space="preserve"> you have been receiving has been fair and acceptable</w:t>
      </w:r>
      <w:r w:rsidR="00ED32FA">
        <w:rPr>
          <w:rFonts w:cs="Arial"/>
          <w:i/>
          <w:color w:val="000000" w:themeColor="text1"/>
          <w:sz w:val="18"/>
        </w:rPr>
        <w:t>.</w:t>
      </w:r>
    </w:p>
    <w:p w14:paraId="016E7790" w14:textId="6FE2A3EE" w:rsidR="00BF7AE5" w:rsidRPr="00002CA7" w:rsidRDefault="00BF7AE5" w:rsidP="00BF7AE5">
      <w:pPr>
        <w:pStyle w:val="Body"/>
        <w:numPr>
          <w:ilvl w:val="0"/>
          <w:numId w:val="29"/>
        </w:numPr>
        <w:rPr>
          <w:rFonts w:cs="Arial"/>
          <w:i/>
          <w:color w:val="000000" w:themeColor="text1"/>
          <w:sz w:val="18"/>
        </w:rPr>
      </w:pPr>
      <w:r w:rsidRPr="00002CA7">
        <w:rPr>
          <w:rFonts w:cs="Arial"/>
          <w:i/>
          <w:color w:val="000000" w:themeColor="text1"/>
          <w:sz w:val="18"/>
        </w:rPr>
        <w:t xml:space="preserve">Considering the nature of your injury, the </w:t>
      </w:r>
      <w:r w:rsidR="00016ED9" w:rsidRPr="00002CA7">
        <w:rPr>
          <w:rFonts w:cs="Arial"/>
          <w:i/>
          <w:color w:val="000000" w:themeColor="text1"/>
          <w:sz w:val="18"/>
        </w:rPr>
        <w:t>length of time</w:t>
      </w:r>
      <w:r w:rsidRPr="00002CA7">
        <w:rPr>
          <w:rFonts w:cs="Arial"/>
          <w:i/>
          <w:color w:val="000000" w:themeColor="text1"/>
          <w:sz w:val="18"/>
        </w:rPr>
        <w:t xml:space="preserve"> that you have been receiving compensation benefits has been fair and acceptable</w:t>
      </w:r>
      <w:r w:rsidR="00ED32FA">
        <w:rPr>
          <w:rFonts w:cs="Arial"/>
          <w:i/>
          <w:color w:val="000000" w:themeColor="text1"/>
          <w:sz w:val="18"/>
        </w:rPr>
        <w:t>.</w:t>
      </w:r>
    </w:p>
    <w:p w14:paraId="2301DC25" w14:textId="0DE53A17" w:rsidR="00BF7AE5" w:rsidRPr="00002CA7" w:rsidRDefault="00BF7AE5" w:rsidP="00BF7AE5">
      <w:pPr>
        <w:pStyle w:val="Body"/>
        <w:numPr>
          <w:ilvl w:val="0"/>
          <w:numId w:val="29"/>
        </w:numPr>
        <w:rPr>
          <w:rFonts w:cs="Arial"/>
          <w:i/>
          <w:color w:val="000000" w:themeColor="text1"/>
          <w:sz w:val="18"/>
        </w:rPr>
      </w:pPr>
      <w:r w:rsidRPr="00002CA7">
        <w:rPr>
          <w:rFonts w:cs="Arial"/>
          <w:i/>
          <w:color w:val="000000" w:themeColor="text1"/>
          <w:sz w:val="18"/>
        </w:rPr>
        <w:t xml:space="preserve">Considering your previous level of pay, the </w:t>
      </w:r>
      <w:r w:rsidR="00016ED9" w:rsidRPr="00002CA7">
        <w:rPr>
          <w:rFonts w:cs="Arial"/>
          <w:i/>
          <w:color w:val="000000" w:themeColor="text1"/>
          <w:sz w:val="18"/>
        </w:rPr>
        <w:t>amount of compensation</w:t>
      </w:r>
      <w:r w:rsidRPr="00002CA7">
        <w:rPr>
          <w:rFonts w:cs="Arial"/>
          <w:i/>
          <w:color w:val="000000" w:themeColor="text1"/>
          <w:sz w:val="18"/>
        </w:rPr>
        <w:t xml:space="preserve"> has been fair and acceptable</w:t>
      </w:r>
      <w:r w:rsidR="00002CA7" w:rsidRPr="00002CA7">
        <w:rPr>
          <w:rFonts w:cs="Arial"/>
          <w:i/>
          <w:color w:val="000000" w:themeColor="text1"/>
          <w:sz w:val="18"/>
        </w:rPr>
        <w:t>.</w:t>
      </w:r>
    </w:p>
    <w:p w14:paraId="374B9773" w14:textId="2688EEF2" w:rsidR="00E20719" w:rsidRDefault="00741F25" w:rsidP="00053877">
      <w:pPr>
        <w:pStyle w:val="Body"/>
        <w:rPr>
          <w:rFonts w:cs="Arial"/>
        </w:rPr>
      </w:pPr>
      <w:r>
        <w:rPr>
          <w:rFonts w:cs="Arial"/>
        </w:rPr>
        <w:t>As shown in Table 1</w:t>
      </w:r>
      <w:r w:rsidR="008B78D6">
        <w:rPr>
          <w:rFonts w:cs="Arial"/>
        </w:rPr>
        <w:t>1</w:t>
      </w:r>
      <w:r w:rsidR="004D7BB3" w:rsidRPr="004D7BB3">
        <w:rPr>
          <w:rFonts w:cs="Arial"/>
        </w:rPr>
        <w:t xml:space="preserve"> (</w:t>
      </w:r>
      <w:r w:rsidR="008B78D6">
        <w:rPr>
          <w:rFonts w:cs="Arial"/>
        </w:rPr>
        <w:t>on page 5</w:t>
      </w:r>
      <w:r w:rsidR="00A87FF6">
        <w:rPr>
          <w:rFonts w:cs="Arial"/>
        </w:rPr>
        <w:t>1</w:t>
      </w:r>
      <w:r w:rsidR="004D7BB3" w:rsidRPr="004D7BB3">
        <w:rPr>
          <w:rFonts w:cs="Arial"/>
        </w:rPr>
        <w:t>)</w:t>
      </w:r>
      <w:r w:rsidR="004D7BB3">
        <w:rPr>
          <w:rFonts w:cs="Arial"/>
        </w:rPr>
        <w:t>, t</w:t>
      </w:r>
      <w:r w:rsidR="00E20719">
        <w:rPr>
          <w:rFonts w:cs="Arial"/>
        </w:rPr>
        <w:t xml:space="preserve">he overall mean score was 3.9, placing it second highest among the four PJCP dimensions, meaning that workers </w:t>
      </w:r>
      <w:r w:rsidR="00BF7AE5">
        <w:rPr>
          <w:rFonts w:cs="Arial"/>
        </w:rPr>
        <w:t xml:space="preserve">had relatively high perceptions of fairness for attributes within </w:t>
      </w:r>
      <w:r w:rsidR="00E20719">
        <w:rPr>
          <w:rFonts w:cs="Arial"/>
        </w:rPr>
        <w:t>this area. No significant differences were reported between jurisdictions.</w:t>
      </w:r>
    </w:p>
    <w:p w14:paraId="4C82905E" w14:textId="1F6AFDFF" w:rsidR="00E20719" w:rsidRDefault="00E20719" w:rsidP="00053877">
      <w:pPr>
        <w:pStyle w:val="Body"/>
        <w:rPr>
          <w:rFonts w:cs="Arial"/>
        </w:rPr>
      </w:pPr>
      <w:r>
        <w:rPr>
          <w:rFonts w:cs="Arial"/>
        </w:rPr>
        <w:t xml:space="preserve">Those who experienced mental illness (3.5) and those with a claim duration greater than 730 days (3.5) reported significantly lower levels of </w:t>
      </w:r>
      <w:r w:rsidR="00BF7AE5">
        <w:rPr>
          <w:rFonts w:cs="Arial"/>
        </w:rPr>
        <w:t>perceived fairness</w:t>
      </w:r>
      <w:r>
        <w:rPr>
          <w:rFonts w:cs="Arial"/>
        </w:rPr>
        <w:t xml:space="preserve"> with distributive justice attributes. Among the former, perceived fairness </w:t>
      </w:r>
      <w:r w:rsidR="00FF7B40">
        <w:rPr>
          <w:rFonts w:cs="Arial"/>
        </w:rPr>
        <w:t xml:space="preserve">was lowest </w:t>
      </w:r>
      <w:r w:rsidR="00D134E2">
        <w:rPr>
          <w:rFonts w:cs="Arial"/>
        </w:rPr>
        <w:t>in relation to</w:t>
      </w:r>
      <w:r>
        <w:rPr>
          <w:rFonts w:cs="Arial"/>
        </w:rPr>
        <w:t xml:space="preserve"> the amount of compensation</w:t>
      </w:r>
      <w:r w:rsidR="00D134E2">
        <w:rPr>
          <w:rFonts w:cs="Arial"/>
        </w:rPr>
        <w:t xml:space="preserve"> received</w:t>
      </w:r>
      <w:r>
        <w:rPr>
          <w:rFonts w:cs="Arial"/>
        </w:rPr>
        <w:t>. The latter reported lower levels of perceived fairness across all distributive justice</w:t>
      </w:r>
      <w:r w:rsidR="00D134E2">
        <w:rPr>
          <w:rFonts w:cs="Arial"/>
        </w:rPr>
        <w:t xml:space="preserve"> attributes</w:t>
      </w:r>
      <w:r>
        <w:rPr>
          <w:rFonts w:cs="Arial"/>
        </w:rPr>
        <w:t>, compared with those who had a shorter claim duration.</w:t>
      </w:r>
    </w:p>
    <w:p w14:paraId="7EE52250" w14:textId="209B25A0" w:rsidR="00053877" w:rsidRDefault="00053877" w:rsidP="00053877">
      <w:pPr>
        <w:pStyle w:val="Heading3"/>
      </w:pPr>
      <w:bookmarkStart w:id="141" w:name="_Toc528056050"/>
      <w:r>
        <w:t xml:space="preserve">Procedural </w:t>
      </w:r>
      <w:r w:rsidR="00FC415A">
        <w:t>j</w:t>
      </w:r>
      <w:r>
        <w:t>ustice</w:t>
      </w:r>
      <w:bookmarkEnd w:id="141"/>
    </w:p>
    <w:p w14:paraId="2D2F02CD" w14:textId="5AE543CE" w:rsidR="00FF7B40" w:rsidRDefault="00FF7B40" w:rsidP="00FF7B40">
      <w:pPr>
        <w:pStyle w:val="Body"/>
        <w:rPr>
          <w:rFonts w:cs="Arial"/>
        </w:rPr>
      </w:pPr>
      <w:r>
        <w:rPr>
          <w:rFonts w:cs="Arial"/>
        </w:rPr>
        <w:t>Survey respondents rated their agreement with six statements related to procedural justice:</w:t>
      </w:r>
    </w:p>
    <w:p w14:paraId="06D4FDAA" w14:textId="380F9D44" w:rsidR="00FF7B40" w:rsidRPr="00002CA7" w:rsidRDefault="00FF7B40" w:rsidP="00FF7B40">
      <w:pPr>
        <w:pStyle w:val="Body"/>
        <w:numPr>
          <w:ilvl w:val="0"/>
          <w:numId w:val="29"/>
        </w:numPr>
        <w:rPr>
          <w:rFonts w:cs="Arial"/>
          <w:i/>
          <w:color w:val="000000" w:themeColor="text1"/>
          <w:sz w:val="18"/>
        </w:rPr>
      </w:pPr>
      <w:r w:rsidRPr="00002CA7">
        <w:rPr>
          <w:rFonts w:cs="Arial"/>
          <w:i/>
          <w:color w:val="000000" w:themeColor="text1"/>
          <w:sz w:val="18"/>
        </w:rPr>
        <w:t xml:space="preserve">You have been able to express your views and feelings when </w:t>
      </w:r>
      <w:r w:rsidR="00016ED9">
        <w:rPr>
          <w:rFonts w:cs="Arial"/>
          <w:i/>
          <w:color w:val="000000" w:themeColor="text1"/>
          <w:sz w:val="18"/>
        </w:rPr>
        <w:t>the main organisation you have dealt with (the organisation)</w:t>
      </w:r>
      <w:r w:rsidR="00D134E2" w:rsidRPr="00002CA7">
        <w:rPr>
          <w:rFonts w:cs="Arial"/>
          <w:i/>
          <w:color w:val="000000" w:themeColor="text1"/>
          <w:sz w:val="18"/>
        </w:rPr>
        <w:t xml:space="preserve"> </w:t>
      </w:r>
      <w:r w:rsidRPr="00002CA7">
        <w:rPr>
          <w:rFonts w:cs="Arial"/>
          <w:i/>
          <w:color w:val="000000" w:themeColor="text1"/>
          <w:sz w:val="18"/>
        </w:rPr>
        <w:t>has made decisions about your compensation benefits</w:t>
      </w:r>
      <w:r w:rsidR="00ED32FA">
        <w:rPr>
          <w:rFonts w:cs="Arial"/>
          <w:i/>
          <w:color w:val="000000" w:themeColor="text1"/>
          <w:sz w:val="18"/>
        </w:rPr>
        <w:t>.</w:t>
      </w:r>
    </w:p>
    <w:p w14:paraId="34140CCB" w14:textId="4FDEB0EB" w:rsidR="00FF7B40" w:rsidRPr="00002CA7" w:rsidRDefault="00FF7B40" w:rsidP="00FF7B40">
      <w:pPr>
        <w:pStyle w:val="Body"/>
        <w:numPr>
          <w:ilvl w:val="0"/>
          <w:numId w:val="29"/>
        </w:numPr>
        <w:rPr>
          <w:rFonts w:cs="Arial"/>
          <w:i/>
          <w:color w:val="000000" w:themeColor="text1"/>
          <w:sz w:val="18"/>
        </w:rPr>
      </w:pPr>
      <w:r w:rsidRPr="00002CA7">
        <w:rPr>
          <w:rFonts w:cs="Arial"/>
          <w:i/>
          <w:color w:val="000000" w:themeColor="text1"/>
          <w:sz w:val="18"/>
        </w:rPr>
        <w:t>You have had influence over your compensation benefits</w:t>
      </w:r>
      <w:r w:rsidR="00ED32FA">
        <w:rPr>
          <w:rFonts w:cs="Arial"/>
          <w:i/>
          <w:color w:val="000000" w:themeColor="text1"/>
          <w:sz w:val="18"/>
        </w:rPr>
        <w:t>.</w:t>
      </w:r>
    </w:p>
    <w:p w14:paraId="003B9DC5" w14:textId="4DCA4389" w:rsidR="00FF7B40" w:rsidRPr="00002CA7" w:rsidRDefault="00FF7B40" w:rsidP="00FF7B40">
      <w:pPr>
        <w:pStyle w:val="Body"/>
        <w:numPr>
          <w:ilvl w:val="0"/>
          <w:numId w:val="29"/>
        </w:numPr>
        <w:rPr>
          <w:rFonts w:cs="Arial"/>
          <w:i/>
          <w:color w:val="000000" w:themeColor="text1"/>
          <w:sz w:val="18"/>
        </w:rPr>
      </w:pPr>
      <w:r w:rsidRPr="00002CA7">
        <w:rPr>
          <w:rFonts w:cs="Arial"/>
          <w:i/>
          <w:color w:val="000000" w:themeColor="text1"/>
          <w:sz w:val="18"/>
        </w:rPr>
        <w:t xml:space="preserve">The way that </w:t>
      </w:r>
      <w:r w:rsidR="00016ED9">
        <w:rPr>
          <w:rFonts w:cs="Arial"/>
          <w:i/>
          <w:color w:val="000000" w:themeColor="text1"/>
          <w:sz w:val="18"/>
        </w:rPr>
        <w:t xml:space="preserve">the </w:t>
      </w:r>
      <w:r w:rsidRPr="00002CA7">
        <w:rPr>
          <w:rFonts w:cs="Arial"/>
          <w:i/>
          <w:color w:val="000000" w:themeColor="text1"/>
          <w:sz w:val="18"/>
        </w:rPr>
        <w:t>organisation has been making decisions has not been prejudiced or biased against</w:t>
      </w:r>
      <w:r w:rsidR="00F61F8D">
        <w:rPr>
          <w:rFonts w:cs="Arial"/>
          <w:i/>
          <w:color w:val="000000" w:themeColor="text1"/>
          <w:sz w:val="18"/>
        </w:rPr>
        <w:t> </w:t>
      </w:r>
      <w:r w:rsidRPr="00002CA7">
        <w:rPr>
          <w:rFonts w:cs="Arial"/>
          <w:i/>
          <w:color w:val="000000" w:themeColor="text1"/>
          <w:sz w:val="18"/>
        </w:rPr>
        <w:t>you</w:t>
      </w:r>
      <w:r w:rsidR="00F61F8D">
        <w:rPr>
          <w:rFonts w:cs="Arial"/>
          <w:i/>
          <w:color w:val="000000" w:themeColor="text1"/>
          <w:sz w:val="18"/>
        </w:rPr>
        <w:t>.</w:t>
      </w:r>
    </w:p>
    <w:p w14:paraId="0A202FC3" w14:textId="391660C0" w:rsidR="00FF7B40" w:rsidRDefault="00016ED9" w:rsidP="00FF7B40">
      <w:pPr>
        <w:pStyle w:val="Body"/>
        <w:numPr>
          <w:ilvl w:val="0"/>
          <w:numId w:val="29"/>
        </w:numPr>
        <w:rPr>
          <w:rFonts w:cs="Arial"/>
          <w:i/>
          <w:color w:val="000000" w:themeColor="text1"/>
          <w:sz w:val="18"/>
        </w:rPr>
      </w:pPr>
      <w:r>
        <w:rPr>
          <w:rFonts w:cs="Arial"/>
          <w:i/>
          <w:color w:val="000000" w:themeColor="text1"/>
          <w:sz w:val="18"/>
        </w:rPr>
        <w:t>The o</w:t>
      </w:r>
      <w:r w:rsidR="00FF7B40" w:rsidRPr="00002CA7">
        <w:rPr>
          <w:rFonts w:cs="Arial"/>
          <w:i/>
          <w:color w:val="000000" w:themeColor="text1"/>
          <w:sz w:val="18"/>
        </w:rPr>
        <w:t>rganisation has been collecting accurate information to make decisions</w:t>
      </w:r>
      <w:r w:rsidR="00ED32FA">
        <w:rPr>
          <w:rFonts w:cs="Arial"/>
          <w:i/>
          <w:color w:val="000000" w:themeColor="text1"/>
          <w:sz w:val="18"/>
        </w:rPr>
        <w:t>.</w:t>
      </w:r>
    </w:p>
    <w:p w14:paraId="2A8A6C56" w14:textId="714BFC39" w:rsidR="00F61F8D" w:rsidRDefault="00F61F8D">
      <w:pPr>
        <w:rPr>
          <w:rFonts w:eastAsia="Times New Roman" w:cs="Arial"/>
          <w:i/>
          <w:color w:val="000000" w:themeColor="text1"/>
          <w:sz w:val="18"/>
          <w:szCs w:val="20"/>
        </w:rPr>
      </w:pPr>
      <w:r>
        <w:rPr>
          <w:rFonts w:cs="Arial"/>
          <w:i/>
          <w:color w:val="000000" w:themeColor="text1"/>
          <w:sz w:val="18"/>
        </w:rPr>
        <w:br w:type="page"/>
      </w:r>
    </w:p>
    <w:p w14:paraId="0FD5113A" w14:textId="581ED55B" w:rsidR="00FF7B40" w:rsidRPr="00002CA7" w:rsidRDefault="00FF7B40" w:rsidP="00FF7B40">
      <w:pPr>
        <w:pStyle w:val="Body"/>
        <w:numPr>
          <w:ilvl w:val="0"/>
          <w:numId w:val="29"/>
        </w:numPr>
        <w:rPr>
          <w:rFonts w:cs="Arial"/>
          <w:i/>
          <w:color w:val="000000" w:themeColor="text1"/>
          <w:sz w:val="18"/>
        </w:rPr>
      </w:pPr>
      <w:r w:rsidRPr="00002CA7">
        <w:rPr>
          <w:rFonts w:cs="Arial"/>
          <w:i/>
          <w:color w:val="000000" w:themeColor="text1"/>
          <w:sz w:val="18"/>
        </w:rPr>
        <w:lastRenderedPageBreak/>
        <w:t xml:space="preserve">The way that </w:t>
      </w:r>
      <w:r w:rsidR="00016ED9">
        <w:rPr>
          <w:rFonts w:cs="Arial"/>
          <w:i/>
          <w:color w:val="000000" w:themeColor="text1"/>
          <w:sz w:val="18"/>
        </w:rPr>
        <w:t xml:space="preserve">the </w:t>
      </w:r>
      <w:r w:rsidRPr="00002CA7">
        <w:rPr>
          <w:rFonts w:cs="Arial"/>
          <w:i/>
          <w:color w:val="000000" w:themeColor="text1"/>
          <w:sz w:val="18"/>
        </w:rPr>
        <w:t>organisation has been making decisions has been honest</w:t>
      </w:r>
      <w:r w:rsidR="00ED32FA">
        <w:rPr>
          <w:rFonts w:cs="Arial"/>
          <w:i/>
          <w:color w:val="000000" w:themeColor="text1"/>
          <w:sz w:val="18"/>
        </w:rPr>
        <w:t>.</w:t>
      </w:r>
    </w:p>
    <w:p w14:paraId="432AE3E0" w14:textId="73953B4E" w:rsidR="00FF7B40" w:rsidRPr="00002CA7" w:rsidRDefault="00FF7B40" w:rsidP="00FF7B40">
      <w:pPr>
        <w:pStyle w:val="Body"/>
        <w:numPr>
          <w:ilvl w:val="0"/>
          <w:numId w:val="29"/>
        </w:numPr>
        <w:rPr>
          <w:rFonts w:cs="Arial"/>
          <w:i/>
          <w:color w:val="000000" w:themeColor="text1"/>
          <w:sz w:val="18"/>
        </w:rPr>
      </w:pPr>
      <w:r w:rsidRPr="00002CA7">
        <w:rPr>
          <w:rFonts w:cs="Arial"/>
          <w:i/>
          <w:color w:val="000000" w:themeColor="text1"/>
          <w:sz w:val="18"/>
        </w:rPr>
        <w:t xml:space="preserve">The way that </w:t>
      </w:r>
      <w:r w:rsidR="00AC6DAF">
        <w:rPr>
          <w:rFonts w:cs="Arial"/>
          <w:i/>
          <w:color w:val="000000" w:themeColor="text1"/>
          <w:sz w:val="18"/>
        </w:rPr>
        <w:t xml:space="preserve">the </w:t>
      </w:r>
      <w:r w:rsidRPr="00002CA7">
        <w:rPr>
          <w:rFonts w:cs="Arial"/>
          <w:i/>
          <w:color w:val="000000" w:themeColor="text1"/>
          <w:sz w:val="18"/>
        </w:rPr>
        <w:t>organisation has been making decisions has been fair to you</w:t>
      </w:r>
      <w:r w:rsidR="00ED32FA">
        <w:rPr>
          <w:rFonts w:cs="Arial"/>
          <w:i/>
          <w:color w:val="000000" w:themeColor="text1"/>
          <w:sz w:val="18"/>
        </w:rPr>
        <w:t>.</w:t>
      </w:r>
    </w:p>
    <w:p w14:paraId="3762594A" w14:textId="51A0BA6A" w:rsidR="00053877" w:rsidRDefault="00741F25" w:rsidP="00053877">
      <w:pPr>
        <w:pStyle w:val="Body"/>
        <w:rPr>
          <w:rFonts w:cs="Arial"/>
        </w:rPr>
      </w:pPr>
      <w:r>
        <w:rPr>
          <w:rFonts w:cs="Arial"/>
        </w:rPr>
        <w:t>As shown in Table 1</w:t>
      </w:r>
      <w:r w:rsidR="0031421F">
        <w:rPr>
          <w:rFonts w:cs="Arial"/>
        </w:rPr>
        <w:t>1</w:t>
      </w:r>
      <w:r w:rsidR="004D7BB3" w:rsidRPr="004D7BB3">
        <w:rPr>
          <w:rFonts w:cs="Arial"/>
        </w:rPr>
        <w:t xml:space="preserve"> (overleaf)</w:t>
      </w:r>
      <w:r w:rsidR="004D7BB3">
        <w:rPr>
          <w:rFonts w:cs="Arial"/>
        </w:rPr>
        <w:t>, t</w:t>
      </w:r>
      <w:r w:rsidR="00E20719">
        <w:rPr>
          <w:rFonts w:cs="Arial"/>
        </w:rPr>
        <w:t>he overall mean score was 3.</w:t>
      </w:r>
      <w:r w:rsidR="00BF7AE5">
        <w:rPr>
          <w:rFonts w:cs="Arial"/>
        </w:rPr>
        <w:t>8</w:t>
      </w:r>
      <w:r w:rsidR="00E20719">
        <w:rPr>
          <w:rFonts w:cs="Arial"/>
        </w:rPr>
        <w:t xml:space="preserve">, placing it </w:t>
      </w:r>
      <w:r w:rsidR="00BF7AE5">
        <w:rPr>
          <w:rFonts w:cs="Arial"/>
        </w:rPr>
        <w:t>third</w:t>
      </w:r>
      <w:r w:rsidR="00E20719">
        <w:rPr>
          <w:rFonts w:cs="Arial"/>
        </w:rPr>
        <w:t xml:space="preserve"> highest among the four PJCP dimensions</w:t>
      </w:r>
      <w:r w:rsidR="00BF7AE5">
        <w:rPr>
          <w:rFonts w:cs="Arial"/>
        </w:rPr>
        <w:t xml:space="preserve">. </w:t>
      </w:r>
      <w:r w:rsidR="00073BF2">
        <w:rPr>
          <w:rFonts w:cs="Arial"/>
        </w:rPr>
        <w:t>Workers</w:t>
      </w:r>
      <w:r w:rsidR="00BF7AE5">
        <w:rPr>
          <w:rFonts w:cs="Arial"/>
        </w:rPr>
        <w:t xml:space="preserve"> </w:t>
      </w:r>
      <w:r w:rsidR="008B78D6">
        <w:rPr>
          <w:rFonts w:cs="Arial"/>
        </w:rPr>
        <w:t xml:space="preserve">from </w:t>
      </w:r>
      <w:r w:rsidR="00BF7AE5">
        <w:rPr>
          <w:rFonts w:cs="Arial"/>
        </w:rPr>
        <w:t>Queensland (3.9) had significantly more positive perceptions; while those from Comcare (3.6) and Victoria (3.6) had significantly l</w:t>
      </w:r>
      <w:r w:rsidR="00D134E2">
        <w:rPr>
          <w:rFonts w:cs="Arial"/>
        </w:rPr>
        <w:t xml:space="preserve">ower </w:t>
      </w:r>
      <w:r w:rsidR="00BF7AE5">
        <w:rPr>
          <w:rFonts w:cs="Arial"/>
        </w:rPr>
        <w:t>perceptions of the fairness of procedural justice attributes.</w:t>
      </w:r>
    </w:p>
    <w:p w14:paraId="2C2C0B38" w14:textId="2CF72CE2" w:rsidR="00BF7AE5" w:rsidRDefault="00BF7AE5" w:rsidP="00053877">
      <w:pPr>
        <w:pStyle w:val="Body"/>
        <w:rPr>
          <w:rFonts w:cs="Arial"/>
        </w:rPr>
      </w:pPr>
      <w:r>
        <w:rPr>
          <w:rFonts w:cs="Arial"/>
        </w:rPr>
        <w:t>Those who experienced mental illness (3.4) and those with a claim duration greater than 730 days (3.5) reported significantly lower levels of perceived fairness with the procedural justice attributes. In particular</w:t>
      </w:r>
      <w:r w:rsidR="00002CA7">
        <w:rPr>
          <w:rFonts w:cs="Arial"/>
        </w:rPr>
        <w:t>,</w:t>
      </w:r>
      <w:r>
        <w:rPr>
          <w:rFonts w:cs="Arial"/>
        </w:rPr>
        <w:t xml:space="preserve"> the latter sub-group reported lower levels of perceived fairness in relation to their ability to express their views and feelings, prejudice or bias in decisions</w:t>
      </w:r>
      <w:r w:rsidR="00F61F8D">
        <w:rPr>
          <w:rFonts w:cs="Arial"/>
        </w:rPr>
        <w:t>,</w:t>
      </w:r>
      <w:r>
        <w:rPr>
          <w:rFonts w:cs="Arial"/>
        </w:rPr>
        <w:t xml:space="preserve"> and fairness of the decisions made by their compensation organisation.</w:t>
      </w:r>
    </w:p>
    <w:p w14:paraId="53083A08" w14:textId="4D5193C3" w:rsidR="00053877" w:rsidRDefault="00053877" w:rsidP="00053877">
      <w:pPr>
        <w:pStyle w:val="Heading3"/>
      </w:pPr>
      <w:bookmarkStart w:id="142" w:name="_Toc528056051"/>
      <w:r>
        <w:t xml:space="preserve">Informational </w:t>
      </w:r>
      <w:r w:rsidR="00FC415A">
        <w:t>j</w:t>
      </w:r>
      <w:r>
        <w:t>ustice</w:t>
      </w:r>
      <w:bookmarkEnd w:id="142"/>
    </w:p>
    <w:p w14:paraId="49811FBA" w14:textId="50E6879F" w:rsidR="00FF7B40" w:rsidRDefault="00FF7B40" w:rsidP="00FF7B40">
      <w:pPr>
        <w:pStyle w:val="Body"/>
        <w:rPr>
          <w:rFonts w:cs="Arial"/>
        </w:rPr>
      </w:pPr>
      <w:r>
        <w:rPr>
          <w:rFonts w:cs="Arial"/>
        </w:rPr>
        <w:t>Survey respondents rated their agreement with three statements related to informational justice:</w:t>
      </w:r>
    </w:p>
    <w:p w14:paraId="74ECCC11" w14:textId="4CCCB89D" w:rsidR="00FF7B40" w:rsidRPr="00FF7B40" w:rsidRDefault="00FF7B40" w:rsidP="00FF7B40">
      <w:pPr>
        <w:pStyle w:val="Body"/>
        <w:numPr>
          <w:ilvl w:val="0"/>
          <w:numId w:val="30"/>
        </w:numPr>
        <w:rPr>
          <w:rFonts w:cs="Arial"/>
          <w:i/>
          <w:sz w:val="18"/>
        </w:rPr>
      </w:pPr>
      <w:r w:rsidRPr="00FF7B40">
        <w:rPr>
          <w:rFonts w:cs="Arial"/>
          <w:i/>
          <w:sz w:val="18"/>
        </w:rPr>
        <w:t xml:space="preserve">The person from </w:t>
      </w:r>
      <w:r w:rsidR="00AC6DAF">
        <w:rPr>
          <w:rFonts w:cs="Arial"/>
          <w:i/>
          <w:sz w:val="18"/>
        </w:rPr>
        <w:t xml:space="preserve">the </w:t>
      </w:r>
      <w:r w:rsidRPr="00FF7B40">
        <w:rPr>
          <w:rFonts w:cs="Arial"/>
          <w:i/>
          <w:sz w:val="18"/>
        </w:rPr>
        <w:t>organisation has provided you with the information you needed</w:t>
      </w:r>
      <w:r w:rsidR="00ED32FA">
        <w:rPr>
          <w:rFonts w:cs="Arial"/>
          <w:i/>
          <w:sz w:val="18"/>
        </w:rPr>
        <w:t>.</w:t>
      </w:r>
    </w:p>
    <w:p w14:paraId="3B5D9A11" w14:textId="258ADF42" w:rsidR="00FF7B40" w:rsidRPr="00FF7B40" w:rsidRDefault="00FF7B40" w:rsidP="00FF7B40">
      <w:pPr>
        <w:pStyle w:val="Body"/>
        <w:numPr>
          <w:ilvl w:val="0"/>
          <w:numId w:val="30"/>
        </w:numPr>
        <w:rPr>
          <w:rFonts w:cs="Arial"/>
          <w:i/>
          <w:sz w:val="18"/>
        </w:rPr>
      </w:pPr>
      <w:r w:rsidRPr="00FF7B40">
        <w:rPr>
          <w:rFonts w:cs="Arial"/>
          <w:i/>
          <w:sz w:val="18"/>
        </w:rPr>
        <w:t>The person from</w:t>
      </w:r>
      <w:r w:rsidR="00AC6DAF">
        <w:rPr>
          <w:rFonts w:cs="Arial"/>
          <w:i/>
          <w:sz w:val="18"/>
        </w:rPr>
        <w:t xml:space="preserve"> the</w:t>
      </w:r>
      <w:r w:rsidRPr="00FF7B40">
        <w:rPr>
          <w:rFonts w:cs="Arial"/>
          <w:i/>
          <w:sz w:val="18"/>
        </w:rPr>
        <w:t xml:space="preserve"> organisation has carefully and completely explained the way decisions are made</w:t>
      </w:r>
      <w:r w:rsidR="00ED32FA">
        <w:rPr>
          <w:rFonts w:cs="Arial"/>
          <w:i/>
          <w:sz w:val="18"/>
        </w:rPr>
        <w:t>.</w:t>
      </w:r>
    </w:p>
    <w:p w14:paraId="05A72E9F" w14:textId="022EEC17" w:rsidR="00FF7B40" w:rsidRPr="00FF7B40" w:rsidRDefault="00FF7B40" w:rsidP="00FF7B40">
      <w:pPr>
        <w:pStyle w:val="Body"/>
        <w:numPr>
          <w:ilvl w:val="0"/>
          <w:numId w:val="30"/>
        </w:numPr>
        <w:rPr>
          <w:rFonts w:cs="Arial"/>
          <w:i/>
          <w:sz w:val="18"/>
        </w:rPr>
      </w:pPr>
      <w:r w:rsidRPr="00FF7B40">
        <w:rPr>
          <w:rFonts w:cs="Arial"/>
          <w:i/>
          <w:sz w:val="18"/>
        </w:rPr>
        <w:t xml:space="preserve">The person from </w:t>
      </w:r>
      <w:r w:rsidR="00AC6DAF">
        <w:rPr>
          <w:rFonts w:cs="Arial"/>
          <w:i/>
          <w:sz w:val="18"/>
        </w:rPr>
        <w:t xml:space="preserve">the </w:t>
      </w:r>
      <w:r w:rsidRPr="00FF7B40">
        <w:rPr>
          <w:rFonts w:cs="Arial"/>
          <w:i/>
          <w:sz w:val="18"/>
        </w:rPr>
        <w:t>organisation has communicated details at the appropriate times</w:t>
      </w:r>
      <w:r w:rsidR="00ED32FA">
        <w:rPr>
          <w:rFonts w:cs="Arial"/>
          <w:i/>
          <w:sz w:val="18"/>
        </w:rPr>
        <w:t>.</w:t>
      </w:r>
    </w:p>
    <w:p w14:paraId="1E308D9F" w14:textId="3A3663F3" w:rsidR="00BF7AE5" w:rsidRDefault="004D7BB3" w:rsidP="00BF7AE5">
      <w:pPr>
        <w:pStyle w:val="Body"/>
        <w:rPr>
          <w:rFonts w:cs="Arial"/>
        </w:rPr>
      </w:pPr>
      <w:r>
        <w:rPr>
          <w:rFonts w:cs="Arial"/>
        </w:rPr>
        <w:t>As shown in Table 1</w:t>
      </w:r>
      <w:r w:rsidR="008B78D6">
        <w:rPr>
          <w:rFonts w:cs="Arial"/>
        </w:rPr>
        <w:t>1</w:t>
      </w:r>
      <w:r w:rsidRPr="004D7BB3">
        <w:rPr>
          <w:rFonts w:cs="Arial"/>
        </w:rPr>
        <w:t xml:space="preserve"> (overleaf)</w:t>
      </w:r>
      <w:r>
        <w:rPr>
          <w:rFonts w:cs="Arial"/>
        </w:rPr>
        <w:t>, t</w:t>
      </w:r>
      <w:r w:rsidR="00BF7AE5">
        <w:rPr>
          <w:rFonts w:cs="Arial"/>
        </w:rPr>
        <w:t>he overall mean score was 3.7, placing it last among the four</w:t>
      </w:r>
      <w:r w:rsidR="00073BF2">
        <w:rPr>
          <w:rFonts w:cs="Arial"/>
        </w:rPr>
        <w:t xml:space="preserve"> PJCP dimensions, meaning that</w:t>
      </w:r>
      <w:r w:rsidR="00BF7AE5">
        <w:rPr>
          <w:rFonts w:cs="Arial"/>
        </w:rPr>
        <w:t xml:space="preserve"> workers had relatively low perceptions of fairness for attributes within this area. </w:t>
      </w:r>
      <w:r w:rsidR="00073BF2">
        <w:rPr>
          <w:rFonts w:cs="Arial"/>
        </w:rPr>
        <w:t>Workers</w:t>
      </w:r>
      <w:r w:rsidR="00BF7AE5">
        <w:rPr>
          <w:rFonts w:cs="Arial"/>
        </w:rPr>
        <w:t xml:space="preserve"> </w:t>
      </w:r>
      <w:r w:rsidR="008B78D6">
        <w:rPr>
          <w:rFonts w:cs="Arial"/>
        </w:rPr>
        <w:t xml:space="preserve">from </w:t>
      </w:r>
      <w:r w:rsidR="00BF7AE5">
        <w:rPr>
          <w:rFonts w:cs="Arial"/>
        </w:rPr>
        <w:t>Queensland (4.0) had significantly more positive perceptions; while those from</w:t>
      </w:r>
      <w:r w:rsidR="00741F25">
        <w:rPr>
          <w:rFonts w:cs="Arial"/>
        </w:rPr>
        <w:t xml:space="preserve"> the </w:t>
      </w:r>
      <w:r w:rsidR="00BF7AE5">
        <w:rPr>
          <w:rFonts w:cs="Arial"/>
        </w:rPr>
        <w:t>N</w:t>
      </w:r>
      <w:r w:rsidR="00741F25">
        <w:rPr>
          <w:rFonts w:cs="Arial"/>
        </w:rPr>
        <w:t xml:space="preserve">orthern </w:t>
      </w:r>
      <w:r w:rsidR="00BF7AE5">
        <w:rPr>
          <w:rFonts w:cs="Arial"/>
        </w:rPr>
        <w:t>T</w:t>
      </w:r>
      <w:r w:rsidR="00741F25">
        <w:rPr>
          <w:rFonts w:cs="Arial"/>
        </w:rPr>
        <w:t>erritory</w:t>
      </w:r>
      <w:r w:rsidR="00BF7AE5">
        <w:rPr>
          <w:rFonts w:cs="Arial"/>
        </w:rPr>
        <w:t xml:space="preserve"> (3.4), Comcare (3.5) and Victoria (3.5) had significantly l</w:t>
      </w:r>
      <w:r w:rsidR="00D134E2">
        <w:rPr>
          <w:rFonts w:cs="Arial"/>
        </w:rPr>
        <w:t xml:space="preserve">ower </w:t>
      </w:r>
      <w:r w:rsidR="00BF7AE5">
        <w:rPr>
          <w:rFonts w:cs="Arial"/>
        </w:rPr>
        <w:t>perceptions of the fairness of informational justice attributes.</w:t>
      </w:r>
    </w:p>
    <w:p w14:paraId="7DA7300D" w14:textId="18BC8551" w:rsidR="00053877" w:rsidRDefault="00BF7AE5" w:rsidP="00053877">
      <w:pPr>
        <w:pStyle w:val="Body"/>
        <w:rPr>
          <w:rFonts w:cs="Arial"/>
        </w:rPr>
      </w:pPr>
      <w:r>
        <w:rPr>
          <w:rFonts w:cs="Arial"/>
        </w:rPr>
        <w:t>Those who experienced mental illness (3.</w:t>
      </w:r>
      <w:r w:rsidR="003F7DEB">
        <w:rPr>
          <w:rFonts w:cs="Arial"/>
        </w:rPr>
        <w:t>3</w:t>
      </w:r>
      <w:r>
        <w:rPr>
          <w:rFonts w:cs="Arial"/>
        </w:rPr>
        <w:t xml:space="preserve">) and those with a claim duration greater than 730 days (3.5) reported significantly lower levels of perceived fairness with the informational justice attributes. </w:t>
      </w:r>
      <w:r w:rsidR="00D134E2">
        <w:rPr>
          <w:rFonts w:cs="Arial"/>
        </w:rPr>
        <w:t xml:space="preserve">The former had lower perceptions of fairness in relation to being provided with information; while the latter had lower perceptions of </w:t>
      </w:r>
      <w:r w:rsidR="00D134E2" w:rsidRPr="00D134E2">
        <w:rPr>
          <w:rFonts w:cs="Arial"/>
          <w:i/>
        </w:rPr>
        <w:t>how</w:t>
      </w:r>
      <w:r w:rsidR="00D134E2">
        <w:rPr>
          <w:rFonts w:cs="Arial"/>
        </w:rPr>
        <w:t xml:space="preserve"> information was communicated.</w:t>
      </w:r>
    </w:p>
    <w:p w14:paraId="11EB5930" w14:textId="2EA5DCBC" w:rsidR="00053877" w:rsidRDefault="00053877" w:rsidP="00053877">
      <w:pPr>
        <w:pStyle w:val="Heading3"/>
      </w:pPr>
      <w:bookmarkStart w:id="143" w:name="_Toc528056052"/>
      <w:r>
        <w:t xml:space="preserve">Interpersonal </w:t>
      </w:r>
      <w:r w:rsidR="00FC415A">
        <w:t>j</w:t>
      </w:r>
      <w:r>
        <w:t>ustice</w:t>
      </w:r>
      <w:bookmarkEnd w:id="143"/>
    </w:p>
    <w:p w14:paraId="4DF64CFC" w14:textId="3991FAD7" w:rsidR="00FF7B40" w:rsidRDefault="00FF7B40" w:rsidP="00FF7B40">
      <w:pPr>
        <w:pStyle w:val="Body"/>
        <w:rPr>
          <w:rFonts w:cs="Arial"/>
        </w:rPr>
      </w:pPr>
      <w:r>
        <w:rPr>
          <w:rFonts w:cs="Arial"/>
        </w:rPr>
        <w:t>Survey respondents rated their agreement with two statements related to informational justice:</w:t>
      </w:r>
    </w:p>
    <w:p w14:paraId="5BDD0D34" w14:textId="75C14EEB" w:rsidR="00FF7B40" w:rsidRPr="00FF7B40" w:rsidRDefault="00FF7B40" w:rsidP="00FF7B40">
      <w:pPr>
        <w:pStyle w:val="Body"/>
        <w:numPr>
          <w:ilvl w:val="0"/>
          <w:numId w:val="30"/>
        </w:numPr>
        <w:rPr>
          <w:rFonts w:cs="Arial"/>
          <w:i/>
          <w:sz w:val="18"/>
        </w:rPr>
      </w:pPr>
      <w:r w:rsidRPr="00FF7B40">
        <w:rPr>
          <w:rFonts w:cs="Arial"/>
          <w:i/>
          <w:sz w:val="18"/>
        </w:rPr>
        <w:t xml:space="preserve">The person from </w:t>
      </w:r>
      <w:r w:rsidR="00AC6DAF">
        <w:rPr>
          <w:rFonts w:cs="Arial"/>
          <w:i/>
          <w:sz w:val="18"/>
        </w:rPr>
        <w:t xml:space="preserve">the </w:t>
      </w:r>
      <w:r w:rsidRPr="00FF7B40">
        <w:rPr>
          <w:rFonts w:cs="Arial"/>
          <w:i/>
          <w:sz w:val="18"/>
        </w:rPr>
        <w:t>organisation has treated you in a polite manner</w:t>
      </w:r>
      <w:r w:rsidR="00ED32FA">
        <w:rPr>
          <w:rFonts w:cs="Arial"/>
          <w:i/>
          <w:sz w:val="18"/>
        </w:rPr>
        <w:t>.</w:t>
      </w:r>
    </w:p>
    <w:p w14:paraId="2184BCA9" w14:textId="65897A1A" w:rsidR="00053877" w:rsidRDefault="00FF7B40" w:rsidP="00FF7B40">
      <w:pPr>
        <w:pStyle w:val="Body"/>
        <w:numPr>
          <w:ilvl w:val="0"/>
          <w:numId w:val="30"/>
        </w:numPr>
      </w:pPr>
      <w:r w:rsidRPr="00FF7B40">
        <w:rPr>
          <w:rFonts w:cs="Arial"/>
          <w:i/>
          <w:sz w:val="18"/>
        </w:rPr>
        <w:t xml:space="preserve">The person from </w:t>
      </w:r>
      <w:r w:rsidR="00AC6DAF">
        <w:rPr>
          <w:rFonts w:cs="Arial"/>
          <w:i/>
          <w:sz w:val="18"/>
        </w:rPr>
        <w:t xml:space="preserve">the </w:t>
      </w:r>
      <w:r w:rsidRPr="00FF7B40">
        <w:rPr>
          <w:rFonts w:cs="Arial"/>
          <w:i/>
          <w:sz w:val="18"/>
        </w:rPr>
        <w:t>organisation has treated you with dignity and respect</w:t>
      </w:r>
      <w:r w:rsidR="00ED32FA">
        <w:rPr>
          <w:rFonts w:cs="Arial"/>
          <w:i/>
          <w:sz w:val="18"/>
        </w:rPr>
        <w:t>.</w:t>
      </w:r>
    </w:p>
    <w:p w14:paraId="67CBBEF0" w14:textId="1EDD8752" w:rsidR="00D134E2" w:rsidRDefault="004D7BB3" w:rsidP="00D134E2">
      <w:pPr>
        <w:pStyle w:val="Body"/>
        <w:rPr>
          <w:rFonts w:cs="Arial"/>
        </w:rPr>
      </w:pPr>
      <w:r>
        <w:rPr>
          <w:rFonts w:cs="Arial"/>
        </w:rPr>
        <w:t>As shown in Table 1</w:t>
      </w:r>
      <w:r w:rsidR="008B78D6">
        <w:rPr>
          <w:rFonts w:cs="Arial"/>
        </w:rPr>
        <w:t>1</w:t>
      </w:r>
      <w:r w:rsidRPr="004D7BB3">
        <w:rPr>
          <w:rFonts w:cs="Arial"/>
        </w:rPr>
        <w:t xml:space="preserve"> (overleaf)</w:t>
      </w:r>
      <w:r>
        <w:rPr>
          <w:rFonts w:cs="Arial"/>
        </w:rPr>
        <w:t>, t</w:t>
      </w:r>
      <w:r w:rsidR="00D134E2">
        <w:rPr>
          <w:rFonts w:cs="Arial"/>
        </w:rPr>
        <w:t xml:space="preserve">he overall mean score was 4.3, placing it first among the four PJCP dimensions, meaning that workers had the highest perceptions of fairness for attributes within this area. </w:t>
      </w:r>
      <w:r w:rsidR="00073BF2">
        <w:rPr>
          <w:rFonts w:cs="Arial"/>
        </w:rPr>
        <w:t>Workers</w:t>
      </w:r>
      <w:r w:rsidR="00D134E2">
        <w:rPr>
          <w:rFonts w:cs="Arial"/>
        </w:rPr>
        <w:t xml:space="preserve"> from Comcare (4.1) had significantly lower perceptions of the fairness of interpersonal justice attributes.</w:t>
      </w:r>
    </w:p>
    <w:p w14:paraId="088FC211" w14:textId="77777777" w:rsidR="00CB71C7" w:rsidRDefault="00CB71C7">
      <w:pPr>
        <w:rPr>
          <w:rFonts w:cs="Arial"/>
        </w:rPr>
      </w:pPr>
      <w:r>
        <w:rPr>
          <w:rFonts w:cs="Arial"/>
        </w:rPr>
        <w:t>Those with a claim duration of less than 180 days (4.4) reported significantly higher levels of perceived fairness with the interpersonal justice attributes, compared with those who had a longer claim duration.</w:t>
      </w:r>
    </w:p>
    <w:p w14:paraId="73DA7292" w14:textId="77777777" w:rsidR="00053877" w:rsidRDefault="00053877">
      <w:pPr>
        <w:rPr>
          <w:rFonts w:ascii="Arial Bold" w:eastAsia="Times New Roman" w:hAnsi="Arial Bold" w:cs="Times New Roman"/>
          <w:b/>
          <w:bCs/>
          <w:color w:val="1F688D"/>
          <w:szCs w:val="18"/>
        </w:rPr>
      </w:pPr>
      <w:r>
        <w:br w:type="page"/>
      </w:r>
    </w:p>
    <w:p w14:paraId="4940A3E9" w14:textId="6EB09A25" w:rsidR="00D96C8A" w:rsidRDefault="004374ED" w:rsidP="00D0461D">
      <w:pPr>
        <w:pStyle w:val="Caption"/>
      </w:pPr>
      <w:bookmarkStart w:id="144" w:name="_Ref524362989"/>
      <w:bookmarkStart w:id="145" w:name="_Toc528056610"/>
      <w:r>
        <w:lastRenderedPageBreak/>
        <w:t xml:space="preserve">Table </w:t>
      </w:r>
      <w:r w:rsidR="006A2841">
        <w:rPr>
          <w:noProof/>
        </w:rPr>
        <w:fldChar w:fldCharType="begin"/>
      </w:r>
      <w:r w:rsidR="006A2841">
        <w:rPr>
          <w:noProof/>
        </w:rPr>
        <w:instrText xml:space="preserve"> SEQ Table \* ARABIC </w:instrText>
      </w:r>
      <w:r w:rsidR="006A2841">
        <w:rPr>
          <w:noProof/>
        </w:rPr>
        <w:fldChar w:fldCharType="separate"/>
      </w:r>
      <w:r w:rsidR="00B9340A">
        <w:rPr>
          <w:noProof/>
        </w:rPr>
        <w:t>11</w:t>
      </w:r>
      <w:r w:rsidR="006A2841">
        <w:rPr>
          <w:noProof/>
        </w:rPr>
        <w:fldChar w:fldCharType="end"/>
      </w:r>
      <w:bookmarkEnd w:id="144"/>
      <w:r w:rsidR="00D96C8A">
        <w:tab/>
        <w:t>Perceived Justice of the Compensation Process (mean)</w:t>
      </w:r>
      <w:bookmarkEnd w:id="145"/>
    </w:p>
    <w:tbl>
      <w:tblPr>
        <w:tblStyle w:val="SRC12"/>
        <w:tblW w:w="9072" w:type="dxa"/>
        <w:tblLook w:val="04A0" w:firstRow="1" w:lastRow="0" w:firstColumn="1" w:lastColumn="0" w:noHBand="0" w:noVBand="1"/>
        <w:tblDescription w:val="This table presents the mean scores for four types of percieved justice: distributive, procedural, informational and interpersonal. The findings are discussed on the prior pages of the report."/>
      </w:tblPr>
      <w:tblGrid>
        <w:gridCol w:w="2948"/>
        <w:gridCol w:w="1531"/>
        <w:gridCol w:w="1531"/>
        <w:gridCol w:w="1531"/>
        <w:gridCol w:w="1531"/>
      </w:tblGrid>
      <w:tr w:rsidR="00A02CD2" w:rsidRPr="00A02CD2" w14:paraId="1B3921A1" w14:textId="77777777" w:rsidTr="007B056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948" w:type="dxa"/>
          </w:tcPr>
          <w:p w14:paraId="66A8FDF8" w14:textId="77777777" w:rsidR="00AD6CD9" w:rsidRPr="00A02CD2" w:rsidRDefault="00AD6CD9" w:rsidP="0070293D">
            <w:pPr>
              <w:pStyle w:val="Body"/>
              <w:spacing w:before="60" w:after="60"/>
              <w:rPr>
                <w:sz w:val="18"/>
              </w:rPr>
            </w:pPr>
          </w:p>
        </w:tc>
        <w:tc>
          <w:tcPr>
            <w:tcW w:w="1531" w:type="dxa"/>
          </w:tcPr>
          <w:p w14:paraId="7C2411A5" w14:textId="77777777" w:rsidR="00AD6CD9" w:rsidRPr="00A02CD2" w:rsidRDefault="00AD6CD9" w:rsidP="0070293D">
            <w:pPr>
              <w:pStyle w:val="Body"/>
              <w:spacing w:before="60" w:after="60"/>
              <w:jc w:val="center"/>
              <w:cnfStyle w:val="100000000000" w:firstRow="1" w:lastRow="0" w:firstColumn="0" w:lastColumn="0" w:oddVBand="0" w:evenVBand="0" w:oddHBand="0" w:evenHBand="0" w:firstRowFirstColumn="0" w:firstRowLastColumn="0" w:lastRowFirstColumn="0" w:lastRowLastColumn="0"/>
              <w:rPr>
                <w:sz w:val="18"/>
              </w:rPr>
            </w:pPr>
            <w:r w:rsidRPr="00A02CD2">
              <w:rPr>
                <w:sz w:val="18"/>
              </w:rPr>
              <w:t>Distributive Justice</w:t>
            </w:r>
          </w:p>
        </w:tc>
        <w:tc>
          <w:tcPr>
            <w:tcW w:w="1531" w:type="dxa"/>
          </w:tcPr>
          <w:p w14:paraId="0EC5DF21" w14:textId="77777777" w:rsidR="00AD6CD9" w:rsidRPr="00A02CD2" w:rsidRDefault="00AD6CD9" w:rsidP="0070293D">
            <w:pPr>
              <w:pStyle w:val="Body"/>
              <w:spacing w:before="60" w:after="60"/>
              <w:jc w:val="center"/>
              <w:cnfStyle w:val="100000000000" w:firstRow="1" w:lastRow="0" w:firstColumn="0" w:lastColumn="0" w:oddVBand="0" w:evenVBand="0" w:oddHBand="0" w:evenHBand="0" w:firstRowFirstColumn="0" w:firstRowLastColumn="0" w:lastRowFirstColumn="0" w:lastRowLastColumn="0"/>
              <w:rPr>
                <w:sz w:val="18"/>
              </w:rPr>
            </w:pPr>
            <w:r w:rsidRPr="00A02CD2">
              <w:rPr>
                <w:sz w:val="18"/>
              </w:rPr>
              <w:t>Procedural Justice</w:t>
            </w:r>
          </w:p>
        </w:tc>
        <w:tc>
          <w:tcPr>
            <w:tcW w:w="1531" w:type="dxa"/>
          </w:tcPr>
          <w:p w14:paraId="580DB5F3" w14:textId="77777777" w:rsidR="00AD6CD9" w:rsidRPr="00A02CD2" w:rsidRDefault="00AD6CD9" w:rsidP="0070293D">
            <w:pPr>
              <w:pStyle w:val="Body"/>
              <w:spacing w:before="60" w:after="60"/>
              <w:jc w:val="center"/>
              <w:cnfStyle w:val="100000000000" w:firstRow="1" w:lastRow="0" w:firstColumn="0" w:lastColumn="0" w:oddVBand="0" w:evenVBand="0" w:oddHBand="0" w:evenHBand="0" w:firstRowFirstColumn="0" w:firstRowLastColumn="0" w:lastRowFirstColumn="0" w:lastRowLastColumn="0"/>
              <w:rPr>
                <w:sz w:val="18"/>
              </w:rPr>
            </w:pPr>
            <w:r w:rsidRPr="00A02CD2">
              <w:rPr>
                <w:sz w:val="18"/>
              </w:rPr>
              <w:t>Informational Justice</w:t>
            </w:r>
          </w:p>
        </w:tc>
        <w:tc>
          <w:tcPr>
            <w:tcW w:w="1531" w:type="dxa"/>
          </w:tcPr>
          <w:p w14:paraId="210A17A0" w14:textId="77777777" w:rsidR="00AD6CD9" w:rsidRPr="00A02CD2" w:rsidRDefault="00AD6CD9" w:rsidP="0070293D">
            <w:pPr>
              <w:pStyle w:val="Body"/>
              <w:spacing w:before="60" w:after="60"/>
              <w:jc w:val="center"/>
              <w:cnfStyle w:val="100000000000" w:firstRow="1" w:lastRow="0" w:firstColumn="0" w:lastColumn="0" w:oddVBand="0" w:evenVBand="0" w:oddHBand="0" w:evenHBand="0" w:firstRowFirstColumn="0" w:firstRowLastColumn="0" w:lastRowFirstColumn="0" w:lastRowLastColumn="0"/>
              <w:rPr>
                <w:sz w:val="18"/>
              </w:rPr>
            </w:pPr>
            <w:r w:rsidRPr="00A02CD2">
              <w:rPr>
                <w:sz w:val="18"/>
              </w:rPr>
              <w:t>Interpersonal Justice</w:t>
            </w:r>
          </w:p>
        </w:tc>
      </w:tr>
      <w:tr w:rsidR="00A02CD2" w:rsidRPr="00A02CD2" w14:paraId="73C30313" w14:textId="77777777" w:rsidTr="007B056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2948" w:type="dxa"/>
            <w:shd w:val="clear" w:color="auto" w:fill="auto"/>
          </w:tcPr>
          <w:p w14:paraId="79CBE26B" w14:textId="77777777" w:rsidR="00AD6CD9" w:rsidRPr="00916DD7" w:rsidRDefault="00AD6CD9" w:rsidP="0070293D">
            <w:pPr>
              <w:pStyle w:val="Body"/>
              <w:spacing w:before="0" w:after="0" w:line="240" w:lineRule="auto"/>
              <w:rPr>
                <w:color w:val="auto"/>
                <w:sz w:val="18"/>
              </w:rPr>
            </w:pPr>
            <w:r w:rsidRPr="00916DD7">
              <w:rPr>
                <w:color w:val="auto"/>
                <w:sz w:val="18"/>
              </w:rPr>
              <w:t>Total</w:t>
            </w:r>
          </w:p>
        </w:tc>
        <w:tc>
          <w:tcPr>
            <w:tcW w:w="1531" w:type="dxa"/>
            <w:shd w:val="clear" w:color="auto" w:fill="auto"/>
          </w:tcPr>
          <w:p w14:paraId="1DBA2746"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sidRPr="00916DD7">
              <w:rPr>
                <w:rFonts w:cs="Arial"/>
                <w:color w:val="auto"/>
                <w:sz w:val="18"/>
                <w:szCs w:val="18"/>
              </w:rPr>
              <w:t>3.9</w:t>
            </w:r>
          </w:p>
        </w:tc>
        <w:tc>
          <w:tcPr>
            <w:tcW w:w="1531" w:type="dxa"/>
            <w:shd w:val="clear" w:color="auto" w:fill="auto"/>
          </w:tcPr>
          <w:p w14:paraId="09815A69"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sidRPr="00916DD7">
              <w:rPr>
                <w:rFonts w:cs="Arial"/>
                <w:color w:val="auto"/>
                <w:sz w:val="18"/>
                <w:szCs w:val="18"/>
              </w:rPr>
              <w:t>3.8</w:t>
            </w:r>
          </w:p>
        </w:tc>
        <w:tc>
          <w:tcPr>
            <w:tcW w:w="1531" w:type="dxa"/>
            <w:shd w:val="clear" w:color="auto" w:fill="auto"/>
          </w:tcPr>
          <w:p w14:paraId="4276278A"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sidRPr="00916DD7">
              <w:rPr>
                <w:rFonts w:cs="Arial"/>
                <w:color w:val="auto"/>
                <w:sz w:val="18"/>
                <w:szCs w:val="18"/>
              </w:rPr>
              <w:t>3.7</w:t>
            </w:r>
          </w:p>
        </w:tc>
        <w:tc>
          <w:tcPr>
            <w:tcW w:w="1531" w:type="dxa"/>
            <w:shd w:val="clear" w:color="auto" w:fill="auto"/>
          </w:tcPr>
          <w:p w14:paraId="49D7B837"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sidRPr="00916DD7">
              <w:rPr>
                <w:rFonts w:cs="Arial"/>
                <w:color w:val="auto"/>
                <w:sz w:val="18"/>
                <w:szCs w:val="18"/>
              </w:rPr>
              <w:t>4.3</w:t>
            </w:r>
          </w:p>
        </w:tc>
      </w:tr>
      <w:tr w:rsidR="00A02CD2" w:rsidRPr="00A02CD2" w14:paraId="6346D2D1" w14:textId="77777777" w:rsidTr="007B056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2948" w:type="dxa"/>
            <w:shd w:val="clear" w:color="auto" w:fill="58AFDA" w:themeFill="accent1" w:themeFillTint="99"/>
          </w:tcPr>
          <w:p w14:paraId="1B59DBBA" w14:textId="77777777" w:rsidR="00AD6CD9" w:rsidRPr="00916DD7" w:rsidRDefault="00AD6CD9" w:rsidP="0070293D">
            <w:pPr>
              <w:pStyle w:val="Body"/>
              <w:spacing w:before="0" w:after="0" w:line="240" w:lineRule="auto"/>
              <w:rPr>
                <w:color w:val="auto"/>
                <w:sz w:val="18"/>
              </w:rPr>
            </w:pPr>
            <w:r w:rsidRPr="00916DD7">
              <w:rPr>
                <w:color w:val="auto"/>
                <w:sz w:val="18"/>
              </w:rPr>
              <w:t>Jurisdiction</w:t>
            </w:r>
          </w:p>
        </w:tc>
        <w:tc>
          <w:tcPr>
            <w:tcW w:w="1531" w:type="dxa"/>
            <w:shd w:val="clear" w:color="auto" w:fill="58AFDA" w:themeFill="accent1" w:themeFillTint="99"/>
          </w:tcPr>
          <w:p w14:paraId="614F30BB"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color w:val="auto"/>
                <w:sz w:val="18"/>
                <w:szCs w:val="18"/>
              </w:rPr>
            </w:pPr>
          </w:p>
        </w:tc>
        <w:tc>
          <w:tcPr>
            <w:tcW w:w="1531" w:type="dxa"/>
            <w:shd w:val="clear" w:color="auto" w:fill="58AFDA" w:themeFill="accent1" w:themeFillTint="99"/>
          </w:tcPr>
          <w:p w14:paraId="360D5EAF"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color w:val="auto"/>
                <w:sz w:val="18"/>
                <w:szCs w:val="18"/>
              </w:rPr>
            </w:pPr>
          </w:p>
        </w:tc>
        <w:tc>
          <w:tcPr>
            <w:tcW w:w="1531" w:type="dxa"/>
            <w:shd w:val="clear" w:color="auto" w:fill="58AFDA" w:themeFill="accent1" w:themeFillTint="99"/>
          </w:tcPr>
          <w:p w14:paraId="39F636DE"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color w:val="auto"/>
                <w:sz w:val="18"/>
                <w:szCs w:val="18"/>
              </w:rPr>
            </w:pPr>
          </w:p>
        </w:tc>
        <w:tc>
          <w:tcPr>
            <w:tcW w:w="1531" w:type="dxa"/>
            <w:shd w:val="clear" w:color="auto" w:fill="58AFDA" w:themeFill="accent1" w:themeFillTint="99"/>
          </w:tcPr>
          <w:p w14:paraId="35A3AD94"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color w:val="auto"/>
                <w:sz w:val="18"/>
                <w:szCs w:val="18"/>
              </w:rPr>
            </w:pPr>
          </w:p>
        </w:tc>
      </w:tr>
      <w:tr w:rsidR="00A02CD2" w:rsidRPr="00A02CD2" w14:paraId="31D9CAF7" w14:textId="77777777" w:rsidTr="007B056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2948" w:type="dxa"/>
            <w:shd w:val="clear" w:color="auto" w:fill="C7E4F3" w:themeFill="accent1" w:themeFillTint="33"/>
          </w:tcPr>
          <w:p w14:paraId="2F1283C7" w14:textId="77777777" w:rsidR="00AD6CD9" w:rsidRPr="00916DD7" w:rsidRDefault="00AD6CD9" w:rsidP="0070293D">
            <w:pPr>
              <w:pStyle w:val="Body"/>
              <w:spacing w:before="0" w:after="0" w:line="240" w:lineRule="auto"/>
              <w:ind w:left="113"/>
              <w:rPr>
                <w:rFonts w:cs="Arial"/>
                <w:b w:val="0"/>
                <w:color w:val="auto"/>
                <w:sz w:val="18"/>
                <w:szCs w:val="18"/>
              </w:rPr>
            </w:pPr>
            <w:r w:rsidRPr="00916DD7">
              <w:rPr>
                <w:rFonts w:cs="Arial"/>
                <w:b w:val="0"/>
                <w:color w:val="auto"/>
                <w:sz w:val="18"/>
                <w:szCs w:val="18"/>
                <w:lang w:eastAsia="en-AU"/>
              </w:rPr>
              <w:t>Australian Capital Territory</w:t>
            </w:r>
          </w:p>
        </w:tc>
        <w:tc>
          <w:tcPr>
            <w:tcW w:w="1531" w:type="dxa"/>
            <w:shd w:val="clear" w:color="auto" w:fill="C7E4F3" w:themeFill="accent1" w:themeFillTint="33"/>
          </w:tcPr>
          <w:p w14:paraId="745639B0"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3.7</w:t>
            </w:r>
          </w:p>
        </w:tc>
        <w:tc>
          <w:tcPr>
            <w:tcW w:w="1531" w:type="dxa"/>
            <w:shd w:val="clear" w:color="auto" w:fill="C7E4F3" w:themeFill="accent1" w:themeFillTint="33"/>
          </w:tcPr>
          <w:p w14:paraId="2AF01152"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3.7</w:t>
            </w:r>
          </w:p>
        </w:tc>
        <w:tc>
          <w:tcPr>
            <w:tcW w:w="1531" w:type="dxa"/>
            <w:shd w:val="clear" w:color="auto" w:fill="C7E4F3" w:themeFill="accent1" w:themeFillTint="33"/>
          </w:tcPr>
          <w:p w14:paraId="56D53E58"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3.7</w:t>
            </w:r>
          </w:p>
        </w:tc>
        <w:tc>
          <w:tcPr>
            <w:tcW w:w="1531" w:type="dxa"/>
            <w:shd w:val="clear" w:color="auto" w:fill="C7E4F3" w:themeFill="accent1" w:themeFillTint="33"/>
          </w:tcPr>
          <w:p w14:paraId="4DC5A1B7"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4.1</w:t>
            </w:r>
          </w:p>
        </w:tc>
      </w:tr>
      <w:tr w:rsidR="00A02CD2" w:rsidRPr="00A02CD2" w14:paraId="581AC34E" w14:textId="77777777" w:rsidTr="007B056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2948" w:type="dxa"/>
            <w:shd w:val="clear" w:color="auto" w:fill="auto"/>
          </w:tcPr>
          <w:p w14:paraId="0B4C2546" w14:textId="5EEFD790" w:rsidR="00AD6CD9" w:rsidRPr="00916DD7" w:rsidRDefault="00AD6CD9" w:rsidP="0070293D">
            <w:pPr>
              <w:pStyle w:val="Body"/>
              <w:spacing w:before="0" w:after="0" w:line="240" w:lineRule="auto"/>
              <w:ind w:left="113"/>
              <w:rPr>
                <w:rFonts w:cs="Arial"/>
                <w:b w:val="0"/>
                <w:color w:val="auto"/>
                <w:sz w:val="18"/>
                <w:szCs w:val="18"/>
              </w:rPr>
            </w:pPr>
            <w:r w:rsidRPr="00916DD7">
              <w:rPr>
                <w:rFonts w:cs="Arial"/>
                <w:b w:val="0"/>
                <w:color w:val="auto"/>
                <w:sz w:val="18"/>
                <w:szCs w:val="18"/>
                <w:lang w:eastAsia="en-AU"/>
              </w:rPr>
              <w:t>Comcare</w:t>
            </w:r>
          </w:p>
        </w:tc>
        <w:tc>
          <w:tcPr>
            <w:tcW w:w="1531" w:type="dxa"/>
            <w:shd w:val="clear" w:color="auto" w:fill="auto"/>
          </w:tcPr>
          <w:p w14:paraId="033EA31C"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3.9</w:t>
            </w:r>
          </w:p>
        </w:tc>
        <w:tc>
          <w:tcPr>
            <w:tcW w:w="1531" w:type="dxa"/>
            <w:shd w:val="clear" w:color="auto" w:fill="auto"/>
          </w:tcPr>
          <w:p w14:paraId="150410E3"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3.6*</w:t>
            </w:r>
          </w:p>
        </w:tc>
        <w:tc>
          <w:tcPr>
            <w:tcW w:w="1531" w:type="dxa"/>
            <w:shd w:val="clear" w:color="auto" w:fill="auto"/>
          </w:tcPr>
          <w:p w14:paraId="58089248"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3.5*</w:t>
            </w:r>
          </w:p>
        </w:tc>
        <w:tc>
          <w:tcPr>
            <w:tcW w:w="1531" w:type="dxa"/>
            <w:shd w:val="clear" w:color="auto" w:fill="auto"/>
          </w:tcPr>
          <w:p w14:paraId="5BE0BF61"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4.1*</w:t>
            </w:r>
          </w:p>
        </w:tc>
      </w:tr>
      <w:tr w:rsidR="00A02CD2" w:rsidRPr="00A02CD2" w14:paraId="15C4DA7D" w14:textId="77777777" w:rsidTr="007B056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2948" w:type="dxa"/>
            <w:shd w:val="clear" w:color="auto" w:fill="C7E4F3" w:themeFill="accent1" w:themeFillTint="33"/>
          </w:tcPr>
          <w:p w14:paraId="15C363BA" w14:textId="77777777" w:rsidR="00AD6CD9" w:rsidRPr="00916DD7" w:rsidRDefault="00AD6CD9" w:rsidP="0070293D">
            <w:pPr>
              <w:pStyle w:val="Body"/>
              <w:spacing w:before="0" w:after="0" w:line="240" w:lineRule="auto"/>
              <w:ind w:left="113"/>
              <w:rPr>
                <w:rFonts w:cs="Arial"/>
                <w:b w:val="0"/>
                <w:color w:val="auto"/>
                <w:sz w:val="18"/>
                <w:szCs w:val="18"/>
              </w:rPr>
            </w:pPr>
            <w:r w:rsidRPr="00916DD7">
              <w:rPr>
                <w:rFonts w:cs="Arial"/>
                <w:b w:val="0"/>
                <w:color w:val="auto"/>
                <w:sz w:val="18"/>
                <w:szCs w:val="18"/>
                <w:lang w:eastAsia="en-AU"/>
              </w:rPr>
              <w:t>New South Wales</w:t>
            </w:r>
          </w:p>
        </w:tc>
        <w:tc>
          <w:tcPr>
            <w:tcW w:w="1531" w:type="dxa"/>
            <w:shd w:val="clear" w:color="auto" w:fill="C7E4F3" w:themeFill="accent1" w:themeFillTint="33"/>
          </w:tcPr>
          <w:p w14:paraId="03D588A0"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3.9</w:t>
            </w:r>
          </w:p>
        </w:tc>
        <w:tc>
          <w:tcPr>
            <w:tcW w:w="1531" w:type="dxa"/>
            <w:shd w:val="clear" w:color="auto" w:fill="C7E4F3" w:themeFill="accent1" w:themeFillTint="33"/>
          </w:tcPr>
          <w:p w14:paraId="31E7227D"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3.8</w:t>
            </w:r>
          </w:p>
        </w:tc>
        <w:tc>
          <w:tcPr>
            <w:tcW w:w="1531" w:type="dxa"/>
            <w:shd w:val="clear" w:color="auto" w:fill="C7E4F3" w:themeFill="accent1" w:themeFillTint="33"/>
          </w:tcPr>
          <w:p w14:paraId="0B22F060"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3.7</w:t>
            </w:r>
          </w:p>
        </w:tc>
        <w:tc>
          <w:tcPr>
            <w:tcW w:w="1531" w:type="dxa"/>
            <w:shd w:val="clear" w:color="auto" w:fill="C7E4F3" w:themeFill="accent1" w:themeFillTint="33"/>
          </w:tcPr>
          <w:p w14:paraId="566C59FB"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4.3</w:t>
            </w:r>
          </w:p>
        </w:tc>
      </w:tr>
      <w:tr w:rsidR="00A02CD2" w:rsidRPr="00A02CD2" w14:paraId="4392B2A4" w14:textId="77777777" w:rsidTr="007B056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2948" w:type="dxa"/>
            <w:shd w:val="clear" w:color="auto" w:fill="auto"/>
          </w:tcPr>
          <w:p w14:paraId="3BFE9AE4" w14:textId="77777777" w:rsidR="00AD6CD9" w:rsidRPr="00916DD7" w:rsidRDefault="00AD6CD9" w:rsidP="0070293D">
            <w:pPr>
              <w:pStyle w:val="Body"/>
              <w:spacing w:before="0" w:after="0" w:line="240" w:lineRule="auto"/>
              <w:ind w:left="113"/>
              <w:rPr>
                <w:rFonts w:cs="Arial"/>
                <w:b w:val="0"/>
                <w:color w:val="auto"/>
                <w:sz w:val="18"/>
                <w:szCs w:val="18"/>
                <w:lang w:eastAsia="en-AU"/>
              </w:rPr>
            </w:pPr>
            <w:r w:rsidRPr="00916DD7">
              <w:rPr>
                <w:rFonts w:cs="Arial"/>
                <w:b w:val="0"/>
                <w:color w:val="auto"/>
                <w:sz w:val="18"/>
                <w:szCs w:val="18"/>
                <w:lang w:eastAsia="en-AU"/>
              </w:rPr>
              <w:t>Northern Territory</w:t>
            </w:r>
          </w:p>
        </w:tc>
        <w:tc>
          <w:tcPr>
            <w:tcW w:w="1531" w:type="dxa"/>
            <w:shd w:val="clear" w:color="auto" w:fill="auto"/>
          </w:tcPr>
          <w:p w14:paraId="3189007C"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3.9</w:t>
            </w:r>
          </w:p>
        </w:tc>
        <w:tc>
          <w:tcPr>
            <w:tcW w:w="1531" w:type="dxa"/>
            <w:shd w:val="clear" w:color="auto" w:fill="auto"/>
          </w:tcPr>
          <w:p w14:paraId="6FE45ED9"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3.6</w:t>
            </w:r>
          </w:p>
        </w:tc>
        <w:tc>
          <w:tcPr>
            <w:tcW w:w="1531" w:type="dxa"/>
            <w:shd w:val="clear" w:color="auto" w:fill="auto"/>
          </w:tcPr>
          <w:p w14:paraId="2717A7D0"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3.4*</w:t>
            </w:r>
          </w:p>
        </w:tc>
        <w:tc>
          <w:tcPr>
            <w:tcW w:w="1531" w:type="dxa"/>
            <w:shd w:val="clear" w:color="auto" w:fill="auto"/>
          </w:tcPr>
          <w:p w14:paraId="518DAF80"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4.1</w:t>
            </w:r>
          </w:p>
        </w:tc>
      </w:tr>
      <w:tr w:rsidR="00A02CD2" w:rsidRPr="00A02CD2" w14:paraId="71C353C6" w14:textId="77777777" w:rsidTr="007B056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2948" w:type="dxa"/>
            <w:shd w:val="clear" w:color="auto" w:fill="C7E4F3" w:themeFill="accent1" w:themeFillTint="33"/>
          </w:tcPr>
          <w:p w14:paraId="6DDC220E" w14:textId="77777777" w:rsidR="00AD6CD9" w:rsidRPr="00916DD7" w:rsidRDefault="00AD6CD9" w:rsidP="0070293D">
            <w:pPr>
              <w:pStyle w:val="Body"/>
              <w:spacing w:before="0" w:after="0" w:line="240" w:lineRule="auto"/>
              <w:ind w:left="113"/>
              <w:rPr>
                <w:rFonts w:cs="Arial"/>
                <w:b w:val="0"/>
                <w:color w:val="auto"/>
                <w:sz w:val="18"/>
                <w:szCs w:val="18"/>
              </w:rPr>
            </w:pPr>
            <w:r w:rsidRPr="00916DD7">
              <w:rPr>
                <w:rFonts w:cs="Arial"/>
                <w:b w:val="0"/>
                <w:color w:val="auto"/>
                <w:sz w:val="18"/>
                <w:szCs w:val="18"/>
                <w:lang w:eastAsia="en-AU"/>
              </w:rPr>
              <w:t>Queensland</w:t>
            </w:r>
          </w:p>
        </w:tc>
        <w:tc>
          <w:tcPr>
            <w:tcW w:w="1531" w:type="dxa"/>
            <w:shd w:val="clear" w:color="auto" w:fill="C7E4F3" w:themeFill="accent1" w:themeFillTint="33"/>
          </w:tcPr>
          <w:p w14:paraId="3113632E"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4.0</w:t>
            </w:r>
          </w:p>
        </w:tc>
        <w:tc>
          <w:tcPr>
            <w:tcW w:w="1531" w:type="dxa"/>
            <w:shd w:val="clear" w:color="auto" w:fill="C7E4F3" w:themeFill="accent1" w:themeFillTint="33"/>
          </w:tcPr>
          <w:p w14:paraId="4FD0AB5C"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3.9**</w:t>
            </w:r>
          </w:p>
        </w:tc>
        <w:tc>
          <w:tcPr>
            <w:tcW w:w="1531" w:type="dxa"/>
            <w:shd w:val="clear" w:color="auto" w:fill="C7E4F3" w:themeFill="accent1" w:themeFillTint="33"/>
          </w:tcPr>
          <w:p w14:paraId="134AC57C"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4.0**</w:t>
            </w:r>
          </w:p>
        </w:tc>
        <w:tc>
          <w:tcPr>
            <w:tcW w:w="1531" w:type="dxa"/>
            <w:shd w:val="clear" w:color="auto" w:fill="C7E4F3" w:themeFill="accent1" w:themeFillTint="33"/>
          </w:tcPr>
          <w:p w14:paraId="3686F074"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4.4</w:t>
            </w:r>
          </w:p>
        </w:tc>
      </w:tr>
      <w:tr w:rsidR="00A02CD2" w:rsidRPr="00A02CD2" w14:paraId="6BCA3970" w14:textId="77777777" w:rsidTr="007B056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2948" w:type="dxa"/>
            <w:shd w:val="clear" w:color="auto" w:fill="auto"/>
          </w:tcPr>
          <w:p w14:paraId="6D71D7A0" w14:textId="6C7B4D40" w:rsidR="00AD6CD9" w:rsidRPr="00916DD7" w:rsidRDefault="00AD6CD9" w:rsidP="0070293D">
            <w:pPr>
              <w:pStyle w:val="Body"/>
              <w:spacing w:before="0" w:after="0" w:line="240" w:lineRule="auto"/>
              <w:ind w:left="113"/>
              <w:rPr>
                <w:rFonts w:cs="Arial"/>
                <w:b w:val="0"/>
                <w:color w:val="auto"/>
                <w:sz w:val="18"/>
                <w:szCs w:val="18"/>
              </w:rPr>
            </w:pPr>
            <w:r w:rsidRPr="00916DD7">
              <w:rPr>
                <w:rFonts w:cs="Arial"/>
                <w:b w:val="0"/>
                <w:color w:val="auto"/>
                <w:sz w:val="18"/>
                <w:szCs w:val="18"/>
                <w:lang w:eastAsia="en-AU"/>
              </w:rPr>
              <w:t>Seacare</w:t>
            </w:r>
          </w:p>
        </w:tc>
        <w:tc>
          <w:tcPr>
            <w:tcW w:w="1531" w:type="dxa"/>
            <w:shd w:val="clear" w:color="auto" w:fill="auto"/>
          </w:tcPr>
          <w:p w14:paraId="436A0957"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4.2</w:t>
            </w:r>
          </w:p>
        </w:tc>
        <w:tc>
          <w:tcPr>
            <w:tcW w:w="1531" w:type="dxa"/>
            <w:shd w:val="clear" w:color="auto" w:fill="auto"/>
          </w:tcPr>
          <w:p w14:paraId="55F51DF4"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3.6</w:t>
            </w:r>
          </w:p>
        </w:tc>
        <w:tc>
          <w:tcPr>
            <w:tcW w:w="1531" w:type="dxa"/>
            <w:shd w:val="clear" w:color="auto" w:fill="auto"/>
          </w:tcPr>
          <w:p w14:paraId="378B0131"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3.6</w:t>
            </w:r>
          </w:p>
        </w:tc>
        <w:tc>
          <w:tcPr>
            <w:tcW w:w="1531" w:type="dxa"/>
            <w:shd w:val="clear" w:color="auto" w:fill="auto"/>
          </w:tcPr>
          <w:p w14:paraId="6AB98FB0"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4.2</w:t>
            </w:r>
          </w:p>
        </w:tc>
      </w:tr>
      <w:tr w:rsidR="00A02CD2" w:rsidRPr="00A02CD2" w14:paraId="15A9C928" w14:textId="77777777" w:rsidTr="007B056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2948" w:type="dxa"/>
            <w:shd w:val="clear" w:color="auto" w:fill="C7E4F3" w:themeFill="accent1" w:themeFillTint="33"/>
          </w:tcPr>
          <w:p w14:paraId="480A6A1C" w14:textId="77777777" w:rsidR="00AD6CD9" w:rsidRPr="00916DD7" w:rsidRDefault="00AD6CD9" w:rsidP="0070293D">
            <w:pPr>
              <w:pStyle w:val="Body"/>
              <w:spacing w:before="0" w:after="0" w:line="240" w:lineRule="auto"/>
              <w:ind w:left="113"/>
              <w:rPr>
                <w:rFonts w:cs="Arial"/>
                <w:b w:val="0"/>
                <w:color w:val="auto"/>
                <w:sz w:val="18"/>
                <w:szCs w:val="18"/>
              </w:rPr>
            </w:pPr>
            <w:r w:rsidRPr="00916DD7">
              <w:rPr>
                <w:rFonts w:cs="Arial"/>
                <w:b w:val="0"/>
                <w:color w:val="auto"/>
                <w:sz w:val="18"/>
                <w:szCs w:val="18"/>
                <w:lang w:eastAsia="en-AU"/>
              </w:rPr>
              <w:t>Tasmania</w:t>
            </w:r>
          </w:p>
        </w:tc>
        <w:tc>
          <w:tcPr>
            <w:tcW w:w="1531" w:type="dxa"/>
            <w:shd w:val="clear" w:color="auto" w:fill="C7E4F3" w:themeFill="accent1" w:themeFillTint="33"/>
          </w:tcPr>
          <w:p w14:paraId="529587B7"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3.9</w:t>
            </w:r>
          </w:p>
        </w:tc>
        <w:tc>
          <w:tcPr>
            <w:tcW w:w="1531" w:type="dxa"/>
            <w:shd w:val="clear" w:color="auto" w:fill="C7E4F3" w:themeFill="accent1" w:themeFillTint="33"/>
          </w:tcPr>
          <w:p w14:paraId="4D8465A0"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3.7</w:t>
            </w:r>
          </w:p>
        </w:tc>
        <w:tc>
          <w:tcPr>
            <w:tcW w:w="1531" w:type="dxa"/>
            <w:shd w:val="clear" w:color="auto" w:fill="C7E4F3" w:themeFill="accent1" w:themeFillTint="33"/>
          </w:tcPr>
          <w:p w14:paraId="6B3B8569"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3.6</w:t>
            </w:r>
          </w:p>
        </w:tc>
        <w:tc>
          <w:tcPr>
            <w:tcW w:w="1531" w:type="dxa"/>
            <w:shd w:val="clear" w:color="auto" w:fill="C7E4F3" w:themeFill="accent1" w:themeFillTint="33"/>
          </w:tcPr>
          <w:p w14:paraId="657A08A0"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4.3</w:t>
            </w:r>
          </w:p>
        </w:tc>
      </w:tr>
      <w:tr w:rsidR="00A02CD2" w:rsidRPr="00A02CD2" w14:paraId="4BB62E8D" w14:textId="77777777" w:rsidTr="007B056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2948" w:type="dxa"/>
            <w:shd w:val="clear" w:color="auto" w:fill="auto"/>
          </w:tcPr>
          <w:p w14:paraId="2D96ADA4" w14:textId="77777777" w:rsidR="00AD6CD9" w:rsidRPr="00916DD7" w:rsidRDefault="00AD6CD9" w:rsidP="0070293D">
            <w:pPr>
              <w:pStyle w:val="Body"/>
              <w:spacing w:before="0" w:after="0" w:line="240" w:lineRule="auto"/>
              <w:ind w:left="113"/>
              <w:rPr>
                <w:rFonts w:cs="Arial"/>
                <w:b w:val="0"/>
                <w:color w:val="auto"/>
                <w:sz w:val="18"/>
                <w:szCs w:val="18"/>
              </w:rPr>
            </w:pPr>
            <w:r w:rsidRPr="00916DD7">
              <w:rPr>
                <w:rFonts w:cs="Arial"/>
                <w:b w:val="0"/>
                <w:color w:val="auto"/>
                <w:sz w:val="18"/>
                <w:szCs w:val="18"/>
                <w:lang w:eastAsia="en-AU"/>
              </w:rPr>
              <w:t>Western Australia</w:t>
            </w:r>
          </w:p>
        </w:tc>
        <w:tc>
          <w:tcPr>
            <w:tcW w:w="1531" w:type="dxa"/>
            <w:shd w:val="clear" w:color="auto" w:fill="auto"/>
          </w:tcPr>
          <w:p w14:paraId="08904991"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4.0</w:t>
            </w:r>
          </w:p>
        </w:tc>
        <w:tc>
          <w:tcPr>
            <w:tcW w:w="1531" w:type="dxa"/>
            <w:shd w:val="clear" w:color="auto" w:fill="auto"/>
          </w:tcPr>
          <w:p w14:paraId="2263031D"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3.7</w:t>
            </w:r>
          </w:p>
        </w:tc>
        <w:tc>
          <w:tcPr>
            <w:tcW w:w="1531" w:type="dxa"/>
            <w:shd w:val="clear" w:color="auto" w:fill="auto"/>
          </w:tcPr>
          <w:p w14:paraId="4B7B354B"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3.7</w:t>
            </w:r>
          </w:p>
        </w:tc>
        <w:tc>
          <w:tcPr>
            <w:tcW w:w="1531" w:type="dxa"/>
            <w:shd w:val="clear" w:color="auto" w:fill="auto"/>
          </w:tcPr>
          <w:p w14:paraId="50B85C35"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4.2</w:t>
            </w:r>
          </w:p>
        </w:tc>
      </w:tr>
      <w:tr w:rsidR="00A02CD2" w:rsidRPr="00A02CD2" w14:paraId="0D9C57FC" w14:textId="77777777" w:rsidTr="007B056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2948" w:type="dxa"/>
            <w:shd w:val="clear" w:color="auto" w:fill="C7E4F3" w:themeFill="accent1" w:themeFillTint="33"/>
          </w:tcPr>
          <w:p w14:paraId="2724B423" w14:textId="77777777" w:rsidR="00AD6CD9" w:rsidRPr="00916DD7" w:rsidRDefault="00AD6CD9" w:rsidP="0070293D">
            <w:pPr>
              <w:pStyle w:val="Body"/>
              <w:spacing w:before="0" w:after="0" w:line="240" w:lineRule="auto"/>
              <w:ind w:left="113"/>
              <w:rPr>
                <w:rFonts w:cs="Arial"/>
                <w:b w:val="0"/>
                <w:color w:val="auto"/>
                <w:sz w:val="18"/>
                <w:szCs w:val="18"/>
                <w:lang w:eastAsia="en-AU"/>
              </w:rPr>
            </w:pPr>
            <w:r w:rsidRPr="00916DD7">
              <w:rPr>
                <w:rFonts w:cs="Arial"/>
                <w:b w:val="0"/>
                <w:color w:val="auto"/>
                <w:sz w:val="18"/>
                <w:szCs w:val="18"/>
                <w:lang w:eastAsia="en-AU"/>
              </w:rPr>
              <w:t>Victoria</w:t>
            </w:r>
          </w:p>
        </w:tc>
        <w:tc>
          <w:tcPr>
            <w:tcW w:w="1531" w:type="dxa"/>
            <w:shd w:val="clear" w:color="auto" w:fill="C7E4F3" w:themeFill="accent1" w:themeFillTint="33"/>
          </w:tcPr>
          <w:p w14:paraId="461F5F2F"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3.7</w:t>
            </w:r>
          </w:p>
        </w:tc>
        <w:tc>
          <w:tcPr>
            <w:tcW w:w="1531" w:type="dxa"/>
            <w:shd w:val="clear" w:color="auto" w:fill="C7E4F3" w:themeFill="accent1" w:themeFillTint="33"/>
          </w:tcPr>
          <w:p w14:paraId="3C9357F4"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3.6*</w:t>
            </w:r>
          </w:p>
        </w:tc>
        <w:tc>
          <w:tcPr>
            <w:tcW w:w="1531" w:type="dxa"/>
            <w:shd w:val="clear" w:color="auto" w:fill="C7E4F3" w:themeFill="accent1" w:themeFillTint="33"/>
          </w:tcPr>
          <w:p w14:paraId="7BA20939"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3.5*</w:t>
            </w:r>
          </w:p>
        </w:tc>
        <w:tc>
          <w:tcPr>
            <w:tcW w:w="1531" w:type="dxa"/>
            <w:shd w:val="clear" w:color="auto" w:fill="C7E4F3" w:themeFill="accent1" w:themeFillTint="33"/>
          </w:tcPr>
          <w:p w14:paraId="1248CAE4"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4.2</w:t>
            </w:r>
          </w:p>
        </w:tc>
      </w:tr>
      <w:tr w:rsidR="00A02CD2" w:rsidRPr="00A02CD2" w14:paraId="74830922" w14:textId="77777777" w:rsidTr="007B056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2948" w:type="dxa"/>
            <w:shd w:val="clear" w:color="auto" w:fill="58AFDA" w:themeFill="accent1" w:themeFillTint="99"/>
          </w:tcPr>
          <w:p w14:paraId="41E81924" w14:textId="057DB8D2" w:rsidR="00AD6CD9" w:rsidRPr="00916DD7" w:rsidRDefault="00AD6CD9" w:rsidP="0070293D">
            <w:pPr>
              <w:pStyle w:val="Body"/>
              <w:spacing w:before="0" w:after="0" w:line="240" w:lineRule="auto"/>
              <w:rPr>
                <w:rFonts w:cs="Arial"/>
                <w:color w:val="auto"/>
                <w:sz w:val="18"/>
                <w:szCs w:val="18"/>
                <w:lang w:eastAsia="en-AU"/>
              </w:rPr>
            </w:pPr>
            <w:r w:rsidRPr="00916DD7">
              <w:rPr>
                <w:rFonts w:cs="Arial"/>
                <w:color w:val="auto"/>
                <w:sz w:val="18"/>
                <w:szCs w:val="18"/>
                <w:lang w:eastAsia="en-AU"/>
              </w:rPr>
              <w:t>Injury/illness Type</w:t>
            </w:r>
          </w:p>
        </w:tc>
        <w:tc>
          <w:tcPr>
            <w:tcW w:w="1531" w:type="dxa"/>
            <w:shd w:val="clear" w:color="auto" w:fill="58AFDA" w:themeFill="accent1" w:themeFillTint="99"/>
          </w:tcPr>
          <w:p w14:paraId="00195592"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color w:val="auto"/>
                <w:sz w:val="18"/>
                <w:szCs w:val="18"/>
              </w:rPr>
            </w:pPr>
          </w:p>
        </w:tc>
        <w:tc>
          <w:tcPr>
            <w:tcW w:w="1531" w:type="dxa"/>
            <w:shd w:val="clear" w:color="auto" w:fill="58AFDA" w:themeFill="accent1" w:themeFillTint="99"/>
          </w:tcPr>
          <w:p w14:paraId="66F46D32"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color w:val="auto"/>
                <w:sz w:val="18"/>
                <w:szCs w:val="18"/>
              </w:rPr>
            </w:pPr>
          </w:p>
        </w:tc>
        <w:tc>
          <w:tcPr>
            <w:tcW w:w="1531" w:type="dxa"/>
            <w:shd w:val="clear" w:color="auto" w:fill="58AFDA" w:themeFill="accent1" w:themeFillTint="99"/>
          </w:tcPr>
          <w:p w14:paraId="4A0E08FB"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color w:val="auto"/>
                <w:sz w:val="18"/>
                <w:szCs w:val="18"/>
              </w:rPr>
            </w:pPr>
          </w:p>
        </w:tc>
        <w:tc>
          <w:tcPr>
            <w:tcW w:w="1531" w:type="dxa"/>
            <w:shd w:val="clear" w:color="auto" w:fill="58AFDA" w:themeFill="accent1" w:themeFillTint="99"/>
          </w:tcPr>
          <w:p w14:paraId="177B694A"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color w:val="auto"/>
                <w:sz w:val="18"/>
                <w:szCs w:val="18"/>
              </w:rPr>
            </w:pPr>
          </w:p>
        </w:tc>
      </w:tr>
      <w:tr w:rsidR="00A02CD2" w:rsidRPr="00A02CD2" w14:paraId="0B09EC0D" w14:textId="77777777" w:rsidTr="007B056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2948" w:type="dxa"/>
            <w:shd w:val="clear" w:color="auto" w:fill="C7E4F3" w:themeFill="accent1" w:themeFillTint="33"/>
          </w:tcPr>
          <w:p w14:paraId="6202419B" w14:textId="77777777" w:rsidR="00AD6CD9" w:rsidRPr="00916DD7" w:rsidRDefault="00AD6CD9" w:rsidP="0070293D">
            <w:pPr>
              <w:pStyle w:val="Body"/>
              <w:spacing w:before="0" w:after="0" w:line="240" w:lineRule="auto"/>
              <w:ind w:left="113"/>
              <w:rPr>
                <w:rFonts w:cs="Arial"/>
                <w:b w:val="0"/>
                <w:color w:val="auto"/>
                <w:sz w:val="18"/>
                <w:szCs w:val="18"/>
                <w:lang w:eastAsia="en-AU"/>
              </w:rPr>
            </w:pPr>
            <w:r w:rsidRPr="00916DD7">
              <w:rPr>
                <w:rFonts w:cs="Arial"/>
                <w:b w:val="0"/>
                <w:color w:val="auto"/>
                <w:sz w:val="18"/>
                <w:szCs w:val="18"/>
                <w:lang w:eastAsia="en-AU"/>
              </w:rPr>
              <w:t>Fractures</w:t>
            </w:r>
          </w:p>
        </w:tc>
        <w:tc>
          <w:tcPr>
            <w:tcW w:w="1531" w:type="dxa"/>
            <w:shd w:val="clear" w:color="auto" w:fill="C7E4F3" w:themeFill="accent1" w:themeFillTint="33"/>
          </w:tcPr>
          <w:p w14:paraId="0B9BB2A6"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3.9</w:t>
            </w:r>
          </w:p>
        </w:tc>
        <w:tc>
          <w:tcPr>
            <w:tcW w:w="1531" w:type="dxa"/>
            <w:shd w:val="clear" w:color="auto" w:fill="C7E4F3" w:themeFill="accent1" w:themeFillTint="33"/>
          </w:tcPr>
          <w:p w14:paraId="6F214DE3"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3.9</w:t>
            </w:r>
          </w:p>
        </w:tc>
        <w:tc>
          <w:tcPr>
            <w:tcW w:w="1531" w:type="dxa"/>
            <w:shd w:val="clear" w:color="auto" w:fill="C7E4F3" w:themeFill="accent1" w:themeFillTint="33"/>
          </w:tcPr>
          <w:p w14:paraId="6BB5F785"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3.8</w:t>
            </w:r>
          </w:p>
        </w:tc>
        <w:tc>
          <w:tcPr>
            <w:tcW w:w="1531" w:type="dxa"/>
            <w:shd w:val="clear" w:color="auto" w:fill="C7E4F3" w:themeFill="accent1" w:themeFillTint="33"/>
          </w:tcPr>
          <w:p w14:paraId="3EE5A579"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4.4</w:t>
            </w:r>
          </w:p>
        </w:tc>
      </w:tr>
      <w:tr w:rsidR="00A02CD2" w:rsidRPr="00A02CD2" w14:paraId="175D66A0" w14:textId="77777777" w:rsidTr="007B056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2948" w:type="dxa"/>
            <w:shd w:val="clear" w:color="auto" w:fill="auto"/>
          </w:tcPr>
          <w:p w14:paraId="16B16114" w14:textId="77777777" w:rsidR="00AD6CD9" w:rsidRPr="00916DD7" w:rsidRDefault="00AD6CD9" w:rsidP="0070293D">
            <w:pPr>
              <w:pStyle w:val="Body"/>
              <w:spacing w:before="0" w:after="0" w:line="240" w:lineRule="auto"/>
              <w:ind w:left="113"/>
              <w:rPr>
                <w:rFonts w:cs="Arial"/>
                <w:b w:val="0"/>
                <w:color w:val="auto"/>
                <w:sz w:val="18"/>
                <w:szCs w:val="18"/>
                <w:lang w:eastAsia="en-AU"/>
              </w:rPr>
            </w:pPr>
            <w:r w:rsidRPr="00916DD7">
              <w:rPr>
                <w:rFonts w:cs="Arial"/>
                <w:b w:val="0"/>
                <w:color w:val="auto"/>
                <w:sz w:val="18"/>
                <w:szCs w:val="18"/>
                <w:lang w:eastAsia="en-AU"/>
              </w:rPr>
              <w:t>Musculoskeletal Disorders</w:t>
            </w:r>
          </w:p>
        </w:tc>
        <w:tc>
          <w:tcPr>
            <w:tcW w:w="1531" w:type="dxa"/>
            <w:shd w:val="clear" w:color="auto" w:fill="auto"/>
          </w:tcPr>
          <w:p w14:paraId="2DE5F224"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3.9</w:t>
            </w:r>
          </w:p>
        </w:tc>
        <w:tc>
          <w:tcPr>
            <w:tcW w:w="1531" w:type="dxa"/>
            <w:shd w:val="clear" w:color="auto" w:fill="auto"/>
          </w:tcPr>
          <w:p w14:paraId="6987198E"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3.8</w:t>
            </w:r>
          </w:p>
        </w:tc>
        <w:tc>
          <w:tcPr>
            <w:tcW w:w="1531" w:type="dxa"/>
            <w:shd w:val="clear" w:color="auto" w:fill="auto"/>
          </w:tcPr>
          <w:p w14:paraId="7EEC4B8D"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3.7</w:t>
            </w:r>
          </w:p>
        </w:tc>
        <w:tc>
          <w:tcPr>
            <w:tcW w:w="1531" w:type="dxa"/>
            <w:shd w:val="clear" w:color="auto" w:fill="auto"/>
          </w:tcPr>
          <w:p w14:paraId="4A1B60CD"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4.3</w:t>
            </w:r>
          </w:p>
        </w:tc>
      </w:tr>
      <w:tr w:rsidR="00A02CD2" w:rsidRPr="00A02CD2" w14:paraId="070B6A2B" w14:textId="77777777" w:rsidTr="007B056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2948" w:type="dxa"/>
            <w:shd w:val="clear" w:color="auto" w:fill="C7E4F3" w:themeFill="accent1" w:themeFillTint="33"/>
          </w:tcPr>
          <w:p w14:paraId="7536CCE8" w14:textId="77777777" w:rsidR="00AD6CD9" w:rsidRPr="00916DD7" w:rsidRDefault="00AD6CD9" w:rsidP="0070293D">
            <w:pPr>
              <w:pStyle w:val="Body"/>
              <w:spacing w:before="0" w:after="0" w:line="240" w:lineRule="auto"/>
              <w:ind w:left="113"/>
              <w:rPr>
                <w:rFonts w:cs="Arial"/>
                <w:b w:val="0"/>
                <w:color w:val="auto"/>
                <w:sz w:val="18"/>
                <w:szCs w:val="18"/>
                <w:lang w:eastAsia="en-AU"/>
              </w:rPr>
            </w:pPr>
            <w:r w:rsidRPr="00916DD7">
              <w:rPr>
                <w:rFonts w:cs="Arial"/>
                <w:b w:val="0"/>
                <w:color w:val="auto"/>
                <w:sz w:val="18"/>
                <w:szCs w:val="18"/>
                <w:lang w:eastAsia="en-AU"/>
              </w:rPr>
              <w:t>Other Trauma</w:t>
            </w:r>
          </w:p>
        </w:tc>
        <w:tc>
          <w:tcPr>
            <w:tcW w:w="1531" w:type="dxa"/>
            <w:shd w:val="clear" w:color="auto" w:fill="C7E4F3" w:themeFill="accent1" w:themeFillTint="33"/>
          </w:tcPr>
          <w:p w14:paraId="525FD6BE"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3.9</w:t>
            </w:r>
          </w:p>
        </w:tc>
        <w:tc>
          <w:tcPr>
            <w:tcW w:w="1531" w:type="dxa"/>
            <w:shd w:val="clear" w:color="auto" w:fill="C7E4F3" w:themeFill="accent1" w:themeFillTint="33"/>
          </w:tcPr>
          <w:p w14:paraId="41BE179B"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3.8</w:t>
            </w:r>
          </w:p>
        </w:tc>
        <w:tc>
          <w:tcPr>
            <w:tcW w:w="1531" w:type="dxa"/>
            <w:shd w:val="clear" w:color="auto" w:fill="C7E4F3" w:themeFill="accent1" w:themeFillTint="33"/>
          </w:tcPr>
          <w:p w14:paraId="349C7452"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3.8</w:t>
            </w:r>
          </w:p>
        </w:tc>
        <w:tc>
          <w:tcPr>
            <w:tcW w:w="1531" w:type="dxa"/>
            <w:shd w:val="clear" w:color="auto" w:fill="C7E4F3" w:themeFill="accent1" w:themeFillTint="33"/>
          </w:tcPr>
          <w:p w14:paraId="71272D8D"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4.3</w:t>
            </w:r>
          </w:p>
        </w:tc>
      </w:tr>
      <w:tr w:rsidR="00A02CD2" w:rsidRPr="00A02CD2" w14:paraId="6241312F" w14:textId="77777777" w:rsidTr="007B056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2948" w:type="dxa"/>
            <w:shd w:val="clear" w:color="auto" w:fill="auto"/>
          </w:tcPr>
          <w:p w14:paraId="5BF4B57B" w14:textId="77777777" w:rsidR="00AD6CD9" w:rsidRPr="00916DD7" w:rsidRDefault="00AD6CD9" w:rsidP="0070293D">
            <w:pPr>
              <w:pStyle w:val="Body"/>
              <w:spacing w:before="0" w:after="0" w:line="240" w:lineRule="auto"/>
              <w:ind w:left="113"/>
              <w:rPr>
                <w:rFonts w:cs="Arial"/>
                <w:b w:val="0"/>
                <w:color w:val="auto"/>
                <w:sz w:val="18"/>
                <w:szCs w:val="18"/>
                <w:lang w:eastAsia="en-AU"/>
              </w:rPr>
            </w:pPr>
            <w:r w:rsidRPr="00916DD7">
              <w:rPr>
                <w:rFonts w:cs="Arial"/>
                <w:b w:val="0"/>
                <w:color w:val="auto"/>
                <w:sz w:val="18"/>
                <w:szCs w:val="18"/>
                <w:lang w:eastAsia="en-AU"/>
              </w:rPr>
              <w:t>Mental Illness</w:t>
            </w:r>
          </w:p>
        </w:tc>
        <w:tc>
          <w:tcPr>
            <w:tcW w:w="1531" w:type="dxa"/>
            <w:shd w:val="clear" w:color="auto" w:fill="auto"/>
          </w:tcPr>
          <w:p w14:paraId="55E322EC"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3.5*</w:t>
            </w:r>
          </w:p>
        </w:tc>
        <w:tc>
          <w:tcPr>
            <w:tcW w:w="1531" w:type="dxa"/>
            <w:shd w:val="clear" w:color="auto" w:fill="auto"/>
          </w:tcPr>
          <w:p w14:paraId="05BF9F84"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3.4*</w:t>
            </w:r>
          </w:p>
        </w:tc>
        <w:tc>
          <w:tcPr>
            <w:tcW w:w="1531" w:type="dxa"/>
            <w:shd w:val="clear" w:color="auto" w:fill="auto"/>
          </w:tcPr>
          <w:p w14:paraId="23572E06"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3.3*</w:t>
            </w:r>
          </w:p>
        </w:tc>
        <w:tc>
          <w:tcPr>
            <w:tcW w:w="1531" w:type="dxa"/>
            <w:shd w:val="clear" w:color="auto" w:fill="auto"/>
          </w:tcPr>
          <w:p w14:paraId="628D4FF4"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4.0</w:t>
            </w:r>
          </w:p>
        </w:tc>
      </w:tr>
      <w:tr w:rsidR="00A02CD2" w:rsidRPr="00A02CD2" w14:paraId="735B41E0" w14:textId="77777777" w:rsidTr="007B056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2948" w:type="dxa"/>
            <w:shd w:val="clear" w:color="auto" w:fill="C7E4F3" w:themeFill="accent1" w:themeFillTint="33"/>
          </w:tcPr>
          <w:p w14:paraId="7A08C757" w14:textId="77777777" w:rsidR="00AD6CD9" w:rsidRPr="00916DD7" w:rsidRDefault="00AD6CD9" w:rsidP="0070293D">
            <w:pPr>
              <w:pStyle w:val="Body"/>
              <w:spacing w:before="0" w:after="0" w:line="240" w:lineRule="auto"/>
              <w:ind w:left="113"/>
              <w:rPr>
                <w:rFonts w:cs="Arial"/>
                <w:b w:val="0"/>
                <w:color w:val="auto"/>
                <w:sz w:val="18"/>
                <w:szCs w:val="18"/>
                <w:lang w:eastAsia="en-AU"/>
              </w:rPr>
            </w:pPr>
            <w:r w:rsidRPr="00916DD7">
              <w:rPr>
                <w:rFonts w:cs="Arial"/>
                <w:b w:val="0"/>
                <w:color w:val="auto"/>
                <w:sz w:val="18"/>
                <w:szCs w:val="18"/>
                <w:lang w:eastAsia="en-AU"/>
              </w:rPr>
              <w:t>Other Diseases</w:t>
            </w:r>
          </w:p>
        </w:tc>
        <w:tc>
          <w:tcPr>
            <w:tcW w:w="1531" w:type="dxa"/>
            <w:shd w:val="clear" w:color="auto" w:fill="C7E4F3" w:themeFill="accent1" w:themeFillTint="33"/>
          </w:tcPr>
          <w:p w14:paraId="3DD44AB1"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3.8</w:t>
            </w:r>
          </w:p>
        </w:tc>
        <w:tc>
          <w:tcPr>
            <w:tcW w:w="1531" w:type="dxa"/>
            <w:shd w:val="clear" w:color="auto" w:fill="C7E4F3" w:themeFill="accent1" w:themeFillTint="33"/>
          </w:tcPr>
          <w:p w14:paraId="14424C55"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3.7</w:t>
            </w:r>
          </w:p>
        </w:tc>
        <w:tc>
          <w:tcPr>
            <w:tcW w:w="1531" w:type="dxa"/>
            <w:shd w:val="clear" w:color="auto" w:fill="C7E4F3" w:themeFill="accent1" w:themeFillTint="33"/>
          </w:tcPr>
          <w:p w14:paraId="4E771F29"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3.8</w:t>
            </w:r>
          </w:p>
        </w:tc>
        <w:tc>
          <w:tcPr>
            <w:tcW w:w="1531" w:type="dxa"/>
            <w:shd w:val="clear" w:color="auto" w:fill="C7E4F3" w:themeFill="accent1" w:themeFillTint="33"/>
          </w:tcPr>
          <w:p w14:paraId="4AF35045"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4.4</w:t>
            </w:r>
          </w:p>
        </w:tc>
      </w:tr>
      <w:tr w:rsidR="00A02CD2" w:rsidRPr="00A02CD2" w14:paraId="73B25826" w14:textId="77777777" w:rsidTr="007B056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2948" w:type="dxa"/>
            <w:shd w:val="clear" w:color="auto" w:fill="58AFDA" w:themeFill="accent1" w:themeFillTint="99"/>
          </w:tcPr>
          <w:p w14:paraId="0EFB3446" w14:textId="77777777" w:rsidR="00AD6CD9" w:rsidRPr="00916DD7" w:rsidRDefault="00AD6CD9" w:rsidP="0070293D">
            <w:pPr>
              <w:pStyle w:val="Body"/>
              <w:spacing w:before="0" w:after="0" w:line="240" w:lineRule="auto"/>
              <w:rPr>
                <w:color w:val="auto"/>
                <w:sz w:val="18"/>
              </w:rPr>
            </w:pPr>
            <w:r w:rsidRPr="00916DD7">
              <w:rPr>
                <w:color w:val="auto"/>
                <w:sz w:val="18"/>
              </w:rPr>
              <w:t>Claim Duration</w:t>
            </w:r>
          </w:p>
        </w:tc>
        <w:tc>
          <w:tcPr>
            <w:tcW w:w="1531" w:type="dxa"/>
            <w:shd w:val="clear" w:color="auto" w:fill="58AFDA" w:themeFill="accent1" w:themeFillTint="99"/>
          </w:tcPr>
          <w:p w14:paraId="56112BAF"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color w:val="auto"/>
                <w:sz w:val="18"/>
                <w:szCs w:val="18"/>
              </w:rPr>
            </w:pPr>
          </w:p>
        </w:tc>
        <w:tc>
          <w:tcPr>
            <w:tcW w:w="1531" w:type="dxa"/>
            <w:shd w:val="clear" w:color="auto" w:fill="58AFDA" w:themeFill="accent1" w:themeFillTint="99"/>
          </w:tcPr>
          <w:p w14:paraId="6BC5B2A3"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color w:val="auto"/>
                <w:sz w:val="18"/>
                <w:szCs w:val="18"/>
              </w:rPr>
            </w:pPr>
          </w:p>
        </w:tc>
        <w:tc>
          <w:tcPr>
            <w:tcW w:w="1531" w:type="dxa"/>
            <w:shd w:val="clear" w:color="auto" w:fill="58AFDA" w:themeFill="accent1" w:themeFillTint="99"/>
          </w:tcPr>
          <w:p w14:paraId="1A62FDCB"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color w:val="auto"/>
                <w:sz w:val="18"/>
                <w:szCs w:val="18"/>
              </w:rPr>
            </w:pPr>
          </w:p>
        </w:tc>
        <w:tc>
          <w:tcPr>
            <w:tcW w:w="1531" w:type="dxa"/>
            <w:shd w:val="clear" w:color="auto" w:fill="58AFDA" w:themeFill="accent1" w:themeFillTint="99"/>
          </w:tcPr>
          <w:p w14:paraId="62AF21D8"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color w:val="auto"/>
                <w:sz w:val="18"/>
                <w:szCs w:val="18"/>
              </w:rPr>
            </w:pPr>
          </w:p>
        </w:tc>
      </w:tr>
      <w:tr w:rsidR="00A02CD2" w:rsidRPr="00A02CD2" w14:paraId="00EA2C1A" w14:textId="77777777" w:rsidTr="007B056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2948" w:type="dxa"/>
            <w:shd w:val="clear" w:color="auto" w:fill="C7E4F3" w:themeFill="accent1" w:themeFillTint="33"/>
          </w:tcPr>
          <w:p w14:paraId="1BEC8D3D" w14:textId="77777777" w:rsidR="00AD6CD9" w:rsidRPr="00916DD7" w:rsidRDefault="00AD6CD9" w:rsidP="0070293D">
            <w:pPr>
              <w:pStyle w:val="Body"/>
              <w:spacing w:before="0" w:after="0" w:line="240" w:lineRule="auto"/>
              <w:ind w:left="113"/>
              <w:rPr>
                <w:rFonts w:cs="Arial"/>
                <w:b w:val="0"/>
                <w:color w:val="auto"/>
                <w:sz w:val="18"/>
                <w:szCs w:val="18"/>
                <w:lang w:eastAsia="en-AU"/>
              </w:rPr>
            </w:pPr>
            <w:r w:rsidRPr="00916DD7">
              <w:rPr>
                <w:rFonts w:cs="Arial"/>
                <w:b w:val="0"/>
                <w:color w:val="auto"/>
                <w:sz w:val="18"/>
                <w:szCs w:val="22"/>
              </w:rPr>
              <w:t>&lt; 180 days</w:t>
            </w:r>
          </w:p>
        </w:tc>
        <w:tc>
          <w:tcPr>
            <w:tcW w:w="1531" w:type="dxa"/>
            <w:shd w:val="clear" w:color="auto" w:fill="C7E4F3" w:themeFill="accent1" w:themeFillTint="33"/>
          </w:tcPr>
          <w:p w14:paraId="5CF31222"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3.9</w:t>
            </w:r>
          </w:p>
        </w:tc>
        <w:tc>
          <w:tcPr>
            <w:tcW w:w="1531" w:type="dxa"/>
            <w:shd w:val="clear" w:color="auto" w:fill="C7E4F3" w:themeFill="accent1" w:themeFillTint="33"/>
          </w:tcPr>
          <w:p w14:paraId="740B8C4C"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3.8</w:t>
            </w:r>
          </w:p>
        </w:tc>
        <w:tc>
          <w:tcPr>
            <w:tcW w:w="1531" w:type="dxa"/>
            <w:shd w:val="clear" w:color="auto" w:fill="C7E4F3" w:themeFill="accent1" w:themeFillTint="33"/>
          </w:tcPr>
          <w:p w14:paraId="7A1239AA"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3.8</w:t>
            </w:r>
          </w:p>
        </w:tc>
        <w:tc>
          <w:tcPr>
            <w:tcW w:w="1531" w:type="dxa"/>
            <w:shd w:val="clear" w:color="auto" w:fill="C7E4F3" w:themeFill="accent1" w:themeFillTint="33"/>
          </w:tcPr>
          <w:p w14:paraId="283B2AEA"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4.4**</w:t>
            </w:r>
          </w:p>
        </w:tc>
      </w:tr>
      <w:tr w:rsidR="00A02CD2" w:rsidRPr="00A02CD2" w14:paraId="742E1A12" w14:textId="77777777" w:rsidTr="007B056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2948" w:type="dxa"/>
            <w:shd w:val="clear" w:color="auto" w:fill="auto"/>
          </w:tcPr>
          <w:p w14:paraId="32AA93CC" w14:textId="77777777" w:rsidR="00AD6CD9" w:rsidRPr="00916DD7" w:rsidRDefault="00AD6CD9" w:rsidP="0070293D">
            <w:pPr>
              <w:pStyle w:val="Body"/>
              <w:spacing w:before="0" w:after="0" w:line="240" w:lineRule="auto"/>
              <w:ind w:left="113"/>
              <w:rPr>
                <w:rFonts w:cs="Arial"/>
                <w:b w:val="0"/>
                <w:color w:val="auto"/>
                <w:sz w:val="18"/>
                <w:szCs w:val="18"/>
                <w:lang w:eastAsia="en-AU"/>
              </w:rPr>
            </w:pPr>
            <w:r w:rsidRPr="00916DD7">
              <w:rPr>
                <w:rFonts w:cs="Arial"/>
                <w:b w:val="0"/>
                <w:color w:val="auto"/>
                <w:sz w:val="18"/>
                <w:szCs w:val="22"/>
              </w:rPr>
              <w:t>181-270 days</w:t>
            </w:r>
          </w:p>
        </w:tc>
        <w:tc>
          <w:tcPr>
            <w:tcW w:w="1531" w:type="dxa"/>
            <w:shd w:val="clear" w:color="auto" w:fill="auto"/>
          </w:tcPr>
          <w:p w14:paraId="54F4D559"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4.0</w:t>
            </w:r>
          </w:p>
        </w:tc>
        <w:tc>
          <w:tcPr>
            <w:tcW w:w="1531" w:type="dxa"/>
            <w:shd w:val="clear" w:color="auto" w:fill="auto"/>
          </w:tcPr>
          <w:p w14:paraId="4FA98D50"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3.9</w:t>
            </w:r>
          </w:p>
        </w:tc>
        <w:tc>
          <w:tcPr>
            <w:tcW w:w="1531" w:type="dxa"/>
            <w:shd w:val="clear" w:color="auto" w:fill="auto"/>
          </w:tcPr>
          <w:p w14:paraId="369F0D48"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3.8</w:t>
            </w:r>
          </w:p>
        </w:tc>
        <w:tc>
          <w:tcPr>
            <w:tcW w:w="1531" w:type="dxa"/>
            <w:shd w:val="clear" w:color="auto" w:fill="auto"/>
          </w:tcPr>
          <w:p w14:paraId="0ECD471F"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4.4</w:t>
            </w:r>
          </w:p>
        </w:tc>
      </w:tr>
      <w:tr w:rsidR="00A02CD2" w:rsidRPr="00A02CD2" w14:paraId="2FBB1926" w14:textId="77777777" w:rsidTr="007B056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2948" w:type="dxa"/>
            <w:shd w:val="clear" w:color="auto" w:fill="C7E4F3" w:themeFill="accent1" w:themeFillTint="33"/>
          </w:tcPr>
          <w:p w14:paraId="27AB0C04" w14:textId="77777777" w:rsidR="00AD6CD9" w:rsidRPr="00916DD7" w:rsidRDefault="00AD6CD9" w:rsidP="0070293D">
            <w:pPr>
              <w:pStyle w:val="Body"/>
              <w:spacing w:before="0" w:after="0" w:line="240" w:lineRule="auto"/>
              <w:ind w:left="113"/>
              <w:rPr>
                <w:rFonts w:cs="Arial"/>
                <w:b w:val="0"/>
                <w:color w:val="auto"/>
                <w:sz w:val="18"/>
                <w:szCs w:val="18"/>
                <w:lang w:eastAsia="en-AU"/>
              </w:rPr>
            </w:pPr>
            <w:r w:rsidRPr="00916DD7">
              <w:rPr>
                <w:rFonts w:cs="Arial"/>
                <w:b w:val="0"/>
                <w:color w:val="auto"/>
                <w:sz w:val="18"/>
                <w:szCs w:val="22"/>
              </w:rPr>
              <w:t>271-365 days</w:t>
            </w:r>
          </w:p>
        </w:tc>
        <w:tc>
          <w:tcPr>
            <w:tcW w:w="1531" w:type="dxa"/>
            <w:shd w:val="clear" w:color="auto" w:fill="C7E4F3" w:themeFill="accent1" w:themeFillTint="33"/>
          </w:tcPr>
          <w:p w14:paraId="67F8C972"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3.9</w:t>
            </w:r>
          </w:p>
        </w:tc>
        <w:tc>
          <w:tcPr>
            <w:tcW w:w="1531" w:type="dxa"/>
            <w:shd w:val="clear" w:color="auto" w:fill="C7E4F3" w:themeFill="accent1" w:themeFillTint="33"/>
          </w:tcPr>
          <w:p w14:paraId="4E550C01"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3.7</w:t>
            </w:r>
          </w:p>
        </w:tc>
        <w:tc>
          <w:tcPr>
            <w:tcW w:w="1531" w:type="dxa"/>
            <w:shd w:val="clear" w:color="auto" w:fill="C7E4F3" w:themeFill="accent1" w:themeFillTint="33"/>
          </w:tcPr>
          <w:p w14:paraId="2FBA6A4A"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3.7</w:t>
            </w:r>
          </w:p>
        </w:tc>
        <w:tc>
          <w:tcPr>
            <w:tcW w:w="1531" w:type="dxa"/>
            <w:shd w:val="clear" w:color="auto" w:fill="C7E4F3" w:themeFill="accent1" w:themeFillTint="33"/>
          </w:tcPr>
          <w:p w14:paraId="1D8C7040"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4.3</w:t>
            </w:r>
          </w:p>
        </w:tc>
      </w:tr>
      <w:tr w:rsidR="00A02CD2" w:rsidRPr="00A02CD2" w14:paraId="4AE716D9" w14:textId="77777777" w:rsidTr="007B056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2948" w:type="dxa"/>
            <w:shd w:val="clear" w:color="auto" w:fill="auto"/>
          </w:tcPr>
          <w:p w14:paraId="37C08EBD" w14:textId="77777777" w:rsidR="00AD6CD9" w:rsidRPr="00916DD7" w:rsidRDefault="00AD6CD9" w:rsidP="0070293D">
            <w:pPr>
              <w:pStyle w:val="Body"/>
              <w:spacing w:before="0" w:after="0" w:line="240" w:lineRule="auto"/>
              <w:ind w:left="113"/>
              <w:rPr>
                <w:rFonts w:cs="Arial"/>
                <w:b w:val="0"/>
                <w:color w:val="auto"/>
                <w:sz w:val="18"/>
                <w:szCs w:val="18"/>
                <w:lang w:eastAsia="en-AU"/>
              </w:rPr>
            </w:pPr>
            <w:r w:rsidRPr="00916DD7">
              <w:rPr>
                <w:rFonts w:cs="Arial"/>
                <w:b w:val="0"/>
                <w:color w:val="auto"/>
                <w:sz w:val="18"/>
                <w:szCs w:val="22"/>
              </w:rPr>
              <w:t>366-730 days</w:t>
            </w:r>
          </w:p>
        </w:tc>
        <w:tc>
          <w:tcPr>
            <w:tcW w:w="1531" w:type="dxa"/>
            <w:shd w:val="clear" w:color="auto" w:fill="auto"/>
          </w:tcPr>
          <w:p w14:paraId="7130AA85"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3.9</w:t>
            </w:r>
          </w:p>
        </w:tc>
        <w:tc>
          <w:tcPr>
            <w:tcW w:w="1531" w:type="dxa"/>
            <w:shd w:val="clear" w:color="auto" w:fill="auto"/>
          </w:tcPr>
          <w:p w14:paraId="730AA38E"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3.8</w:t>
            </w:r>
          </w:p>
        </w:tc>
        <w:tc>
          <w:tcPr>
            <w:tcW w:w="1531" w:type="dxa"/>
            <w:shd w:val="clear" w:color="auto" w:fill="auto"/>
          </w:tcPr>
          <w:p w14:paraId="7A316682"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3.8</w:t>
            </w:r>
          </w:p>
        </w:tc>
        <w:tc>
          <w:tcPr>
            <w:tcW w:w="1531" w:type="dxa"/>
            <w:shd w:val="clear" w:color="auto" w:fill="auto"/>
          </w:tcPr>
          <w:p w14:paraId="54368708"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4.3</w:t>
            </w:r>
          </w:p>
        </w:tc>
      </w:tr>
      <w:tr w:rsidR="00A02CD2" w:rsidRPr="00A02CD2" w14:paraId="04F1880C" w14:textId="77777777" w:rsidTr="007B056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2948" w:type="dxa"/>
            <w:shd w:val="clear" w:color="auto" w:fill="C7E4F3" w:themeFill="accent1" w:themeFillTint="33"/>
          </w:tcPr>
          <w:p w14:paraId="1E644D9D" w14:textId="77777777" w:rsidR="00AD6CD9" w:rsidRPr="00916DD7" w:rsidRDefault="00AD6CD9" w:rsidP="0070293D">
            <w:pPr>
              <w:pStyle w:val="Body"/>
              <w:spacing w:before="0" w:after="0" w:line="240" w:lineRule="auto"/>
              <w:ind w:left="113"/>
              <w:rPr>
                <w:rFonts w:cs="Arial"/>
                <w:b w:val="0"/>
                <w:color w:val="auto"/>
                <w:sz w:val="18"/>
              </w:rPr>
            </w:pPr>
            <w:r w:rsidRPr="00916DD7">
              <w:rPr>
                <w:rFonts w:cs="Arial"/>
                <w:b w:val="0"/>
                <w:color w:val="auto"/>
                <w:sz w:val="18"/>
                <w:szCs w:val="22"/>
              </w:rPr>
              <w:t>&gt; 730 days</w:t>
            </w:r>
          </w:p>
        </w:tc>
        <w:tc>
          <w:tcPr>
            <w:tcW w:w="1531" w:type="dxa"/>
            <w:shd w:val="clear" w:color="auto" w:fill="C7E4F3" w:themeFill="accent1" w:themeFillTint="33"/>
          </w:tcPr>
          <w:p w14:paraId="09023E28"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3.5*</w:t>
            </w:r>
          </w:p>
        </w:tc>
        <w:tc>
          <w:tcPr>
            <w:tcW w:w="1531" w:type="dxa"/>
            <w:shd w:val="clear" w:color="auto" w:fill="C7E4F3" w:themeFill="accent1" w:themeFillTint="33"/>
          </w:tcPr>
          <w:p w14:paraId="361727E6"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3.5*</w:t>
            </w:r>
          </w:p>
        </w:tc>
        <w:tc>
          <w:tcPr>
            <w:tcW w:w="1531" w:type="dxa"/>
            <w:shd w:val="clear" w:color="auto" w:fill="C7E4F3" w:themeFill="accent1" w:themeFillTint="33"/>
          </w:tcPr>
          <w:p w14:paraId="31627234"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3.5*</w:t>
            </w:r>
          </w:p>
        </w:tc>
        <w:tc>
          <w:tcPr>
            <w:tcW w:w="1531" w:type="dxa"/>
            <w:shd w:val="clear" w:color="auto" w:fill="C7E4F3" w:themeFill="accent1" w:themeFillTint="33"/>
          </w:tcPr>
          <w:p w14:paraId="28C411F4" w14:textId="77777777" w:rsidR="00AD6CD9" w:rsidRPr="00916DD7" w:rsidRDefault="00AD6CD9" w:rsidP="0070293D">
            <w:pPr>
              <w:pStyle w:val="Body"/>
              <w:spacing w:before="0" w:after="0" w:line="240" w:lineRule="auto"/>
              <w:ind w:right="510"/>
              <w:jc w:val="righ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916DD7">
              <w:rPr>
                <w:rFonts w:cs="Arial"/>
                <w:b w:val="0"/>
                <w:color w:val="auto"/>
                <w:sz w:val="18"/>
                <w:szCs w:val="18"/>
              </w:rPr>
              <w:t>4.1</w:t>
            </w:r>
          </w:p>
        </w:tc>
      </w:tr>
    </w:tbl>
    <w:p w14:paraId="1AF231EF" w14:textId="1D2268E5" w:rsidR="00053877" w:rsidRPr="00D17E58" w:rsidRDefault="00053877" w:rsidP="009A7AC8">
      <w:pPr>
        <w:pStyle w:val="FigureNote"/>
      </w:pPr>
      <w:r>
        <w:t>Base</w:t>
      </w:r>
      <w:r>
        <w:tab/>
        <w:t>All respondents, 2018.</w:t>
      </w:r>
      <w:r w:rsidR="003535E3">
        <w:t xml:space="preserve"> </w:t>
      </w:r>
      <w:r w:rsidRPr="00D134E2">
        <w:t>Total (4,056</w:t>
      </w:r>
      <w:r w:rsidR="00871F0B" w:rsidRPr="00D134E2">
        <w:t>-4,516</w:t>
      </w:r>
      <w:r w:rsidRPr="00D134E2">
        <w:t>), ACT (13</w:t>
      </w:r>
      <w:r w:rsidR="00871F0B" w:rsidRPr="00D134E2">
        <w:t>2-150</w:t>
      </w:r>
      <w:r w:rsidRPr="00D134E2">
        <w:t>), Comcare (7</w:t>
      </w:r>
      <w:r w:rsidR="00D134E2" w:rsidRPr="00D134E2">
        <w:t>27-751</w:t>
      </w:r>
      <w:r w:rsidRPr="00D134E2">
        <w:t>), NSW (</w:t>
      </w:r>
      <w:r w:rsidR="00D134E2" w:rsidRPr="00D134E2">
        <w:t>737-</w:t>
      </w:r>
      <w:r w:rsidRPr="00D134E2">
        <w:t>84</w:t>
      </w:r>
      <w:r w:rsidR="00D134E2" w:rsidRPr="00D134E2">
        <w:t>9</w:t>
      </w:r>
      <w:r w:rsidRPr="00D134E2">
        <w:t>), NT (</w:t>
      </w:r>
      <w:r w:rsidR="00D134E2" w:rsidRPr="00D134E2">
        <w:t>127-149</w:t>
      </w:r>
      <w:r w:rsidRPr="00D134E2">
        <w:t xml:space="preserve">), </w:t>
      </w:r>
      <w:r w:rsidR="008E2E1A">
        <w:t>QLD</w:t>
      </w:r>
      <w:r w:rsidR="008E2E1A" w:rsidRPr="00D134E2">
        <w:t xml:space="preserve"> </w:t>
      </w:r>
      <w:r w:rsidRPr="00D134E2">
        <w:t>(</w:t>
      </w:r>
      <w:r w:rsidR="00D134E2" w:rsidRPr="00D134E2">
        <w:t>725-798</w:t>
      </w:r>
      <w:r w:rsidRPr="00D134E2">
        <w:t>), Seacare (</w:t>
      </w:r>
      <w:r w:rsidR="00D134E2" w:rsidRPr="00D134E2">
        <w:t>43-58</w:t>
      </w:r>
      <w:r w:rsidRPr="00D134E2">
        <w:t xml:space="preserve">), </w:t>
      </w:r>
      <w:r w:rsidR="008E2E1A">
        <w:t>TAS</w:t>
      </w:r>
      <w:r w:rsidR="008E2E1A" w:rsidRPr="00D134E2">
        <w:t xml:space="preserve"> </w:t>
      </w:r>
      <w:r w:rsidRPr="00D134E2">
        <w:t>(</w:t>
      </w:r>
      <w:r w:rsidR="00D134E2" w:rsidRPr="00D134E2">
        <w:t>406-472), WA (445-500</w:t>
      </w:r>
      <w:r w:rsidR="005B3A7F">
        <w:t>), VIC</w:t>
      </w:r>
      <w:r w:rsidRPr="00D134E2">
        <w:t xml:space="preserve"> (</w:t>
      </w:r>
      <w:r w:rsidR="00D134E2" w:rsidRPr="00D134E2">
        <w:t>713-789</w:t>
      </w:r>
      <w:r w:rsidRPr="00D134E2">
        <w:t>). Fractures (</w:t>
      </w:r>
      <w:r w:rsidR="00D134E2" w:rsidRPr="00D134E2">
        <w:t>562-616</w:t>
      </w:r>
      <w:r w:rsidRPr="00D134E2">
        <w:t>), Musculoskeletal Disorders (</w:t>
      </w:r>
      <w:r w:rsidR="00D134E2" w:rsidRPr="00D134E2">
        <w:t>2,404-2,630</w:t>
      </w:r>
      <w:r w:rsidRPr="00D134E2">
        <w:t>), Other Trauma (</w:t>
      </w:r>
      <w:r w:rsidR="00D134E2" w:rsidRPr="00D134E2">
        <w:t>625-773</w:t>
      </w:r>
      <w:r w:rsidRPr="00D134E2">
        <w:t>), Mental Illness (</w:t>
      </w:r>
      <w:r w:rsidR="00D134E2" w:rsidRPr="00D134E2">
        <w:t>266-282)</w:t>
      </w:r>
      <w:r w:rsidRPr="00D134E2">
        <w:t>, Other Diseases (</w:t>
      </w:r>
      <w:r w:rsidR="00D134E2" w:rsidRPr="00D134E2">
        <w:t>199-</w:t>
      </w:r>
      <w:r w:rsidRPr="00D134E2">
        <w:t>21</w:t>
      </w:r>
      <w:r w:rsidR="00D134E2" w:rsidRPr="00D134E2">
        <w:t>5</w:t>
      </w:r>
      <w:r w:rsidRPr="00D134E2">
        <w:t>). &lt;180 days (</w:t>
      </w:r>
      <w:r w:rsidR="00D134E2" w:rsidRPr="00D134E2">
        <w:t>239-270</w:t>
      </w:r>
      <w:r w:rsidRPr="00D134E2">
        <w:t>), 181-270 days (</w:t>
      </w:r>
      <w:r w:rsidR="00D134E2" w:rsidRPr="00D134E2">
        <w:t>1,678-1,830), 271-365 days (638-704</w:t>
      </w:r>
      <w:r w:rsidRPr="00D134E2">
        <w:t>), 366-730 days (</w:t>
      </w:r>
      <w:r w:rsidR="00D134E2" w:rsidRPr="00D134E2">
        <w:t>1,239-1,414</w:t>
      </w:r>
      <w:r w:rsidRPr="00D134E2">
        <w:t>), &gt;730 days (</w:t>
      </w:r>
      <w:r w:rsidR="00D134E2" w:rsidRPr="00D134E2">
        <w:t>262-298</w:t>
      </w:r>
      <w:r w:rsidRPr="00D134E2">
        <w:t>).</w:t>
      </w:r>
    </w:p>
    <w:p w14:paraId="58724ED3" w14:textId="476B9087" w:rsidR="00053877" w:rsidRDefault="00053877" w:rsidP="009A7AC8">
      <w:pPr>
        <w:pStyle w:val="FigureNote"/>
      </w:pPr>
      <w:r>
        <w:t>WC</w:t>
      </w:r>
      <w:r w:rsidR="00871F0B">
        <w:t>5</w:t>
      </w:r>
      <w:r w:rsidRPr="00D17E58">
        <w:tab/>
      </w:r>
      <w:r w:rsidR="00871F0B" w:rsidRPr="00871F0B">
        <w:t>The next questions ask about your experience with obtaining compensation for your work-related injury or illness. There are no right or wrong answers; I am interested only in your opinion. I will read you a number of statements. For each statement, please tell me whether you agree or disagree that…</w:t>
      </w:r>
      <w:r w:rsidRPr="00D17E58">
        <w:t>?</w:t>
      </w:r>
    </w:p>
    <w:p w14:paraId="55DE82F9" w14:textId="77777777" w:rsidR="005050E6" w:rsidRDefault="007F16F7" w:rsidP="00011EAE">
      <w:pPr>
        <w:pStyle w:val="FigureNote"/>
        <w:spacing w:after="60"/>
      </w:pPr>
      <w:r>
        <w:t>Note</w:t>
      </w:r>
      <w:r>
        <w:tab/>
      </w:r>
      <w:r w:rsidR="005050E6" w:rsidRPr="005050E6">
        <w:t>Don’t know and Refused responses excluded from base. Asterisks indicate statistically significant difference (single asterisk (*) indicates a lower proportion; double asterisk (**) indicates a higher proportion (p-value &lt;=0.05).</w:t>
      </w:r>
    </w:p>
    <w:p w14:paraId="162CF10B" w14:textId="5ECE5D0B" w:rsidR="005050E6" w:rsidRDefault="005050E6" w:rsidP="005050E6">
      <w:pPr>
        <w:pStyle w:val="FigureNote"/>
        <w:spacing w:after="60"/>
      </w:pPr>
    </w:p>
    <w:p w14:paraId="2DD44AEF" w14:textId="77777777" w:rsidR="00E8168D" w:rsidRDefault="00E8168D" w:rsidP="005050E6">
      <w:pPr>
        <w:pStyle w:val="FigureNote"/>
        <w:spacing w:after="60"/>
        <w:sectPr w:rsidR="00E8168D" w:rsidSect="009630C0">
          <w:pgSz w:w="11906" w:h="16838" w:code="9"/>
          <w:pgMar w:top="1418" w:right="1418" w:bottom="964" w:left="1418" w:header="567" w:footer="567" w:gutter="0"/>
          <w:cols w:space="708"/>
          <w:docGrid w:linePitch="360"/>
        </w:sectPr>
      </w:pPr>
    </w:p>
    <w:p w14:paraId="411CA2D3" w14:textId="77777777" w:rsidR="005050E6" w:rsidRDefault="005050E6" w:rsidP="005050E6">
      <w:pPr>
        <w:pStyle w:val="MajorHeading"/>
        <w:rPr>
          <w:rFonts w:eastAsia="Times New Roman"/>
        </w:rPr>
      </w:pPr>
      <w:bookmarkStart w:id="146" w:name="_Toc526411407"/>
      <w:bookmarkStart w:id="147" w:name="_Toc528056053"/>
      <w:r>
        <w:rPr>
          <w:rFonts w:eastAsia="Times New Roman"/>
        </w:rPr>
        <w:lastRenderedPageBreak/>
        <w:t>Appendix 1: Sample profile, by jurisdiction</w:t>
      </w:r>
      <w:bookmarkEnd w:id="146"/>
      <w:bookmarkEnd w:id="147"/>
    </w:p>
    <w:p w14:paraId="029F4469" w14:textId="4B1E6AC8" w:rsidR="005050E6" w:rsidRPr="00464611" w:rsidRDefault="005050E6" w:rsidP="00464611">
      <w:pPr>
        <w:pStyle w:val="Body"/>
      </w:pPr>
      <w:r w:rsidRPr="00464611">
        <w:t>Table 12 shows the breakdown of the 2018 NRTWS sample, by jurisdiction.</w:t>
      </w:r>
    </w:p>
    <w:p w14:paraId="146D458E" w14:textId="7F833E59" w:rsidR="00AD6CD9" w:rsidRDefault="00AD6CD9" w:rsidP="00AD6CD9">
      <w:pPr>
        <w:pStyle w:val="Caption"/>
      </w:pPr>
      <w:bookmarkStart w:id="148" w:name="_Toc528056611"/>
      <w:r>
        <w:t xml:space="preserve">Table </w:t>
      </w:r>
      <w:r>
        <w:rPr>
          <w:noProof/>
        </w:rPr>
        <w:fldChar w:fldCharType="begin"/>
      </w:r>
      <w:r>
        <w:rPr>
          <w:noProof/>
        </w:rPr>
        <w:instrText xml:space="preserve"> SEQ Table \* ARABIC </w:instrText>
      </w:r>
      <w:r>
        <w:rPr>
          <w:noProof/>
        </w:rPr>
        <w:fldChar w:fldCharType="separate"/>
      </w:r>
      <w:r w:rsidR="00B9340A">
        <w:rPr>
          <w:noProof/>
        </w:rPr>
        <w:t>12</w:t>
      </w:r>
      <w:r>
        <w:rPr>
          <w:noProof/>
        </w:rPr>
        <w:fldChar w:fldCharType="end"/>
      </w:r>
      <w:r>
        <w:tab/>
        <w:t>Sample profile, by jurisdiction (%)</w:t>
      </w:r>
      <w:bookmarkEnd w:id="148"/>
    </w:p>
    <w:tbl>
      <w:tblPr>
        <w:tblStyle w:val="TableGrid"/>
        <w:tblW w:w="14744" w:type="dxa"/>
        <w:tblLook w:val="04A0" w:firstRow="1" w:lastRow="0" w:firstColumn="1" w:lastColumn="0" w:noHBand="0" w:noVBand="1"/>
        <w:tblDescription w:val="This table is part one of two tables that present the weighted sample profile for the 2018 survey. It presents the sample by jursidiction, gender, age, cohort, employer size and claim duration."/>
      </w:tblPr>
      <w:tblGrid>
        <w:gridCol w:w="4025"/>
        <w:gridCol w:w="1191"/>
        <w:gridCol w:w="1191"/>
        <w:gridCol w:w="1191"/>
        <w:gridCol w:w="1191"/>
        <w:gridCol w:w="1191"/>
        <w:gridCol w:w="1191"/>
        <w:gridCol w:w="1191"/>
        <w:gridCol w:w="1191"/>
        <w:gridCol w:w="1191"/>
      </w:tblGrid>
      <w:tr w:rsidR="00AD6CD9" w:rsidRPr="00025F1C" w14:paraId="5D9BA7CA" w14:textId="77777777" w:rsidTr="00916D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25" w:type="dxa"/>
          </w:tcPr>
          <w:p w14:paraId="3F1224B7" w14:textId="77777777" w:rsidR="00AD6CD9" w:rsidRPr="00025F1C" w:rsidRDefault="00AD6CD9" w:rsidP="0070293D">
            <w:pPr>
              <w:pStyle w:val="Body"/>
              <w:spacing w:before="40" w:after="40" w:line="240" w:lineRule="auto"/>
              <w:rPr>
                <w:rFonts w:cs="Arial"/>
                <w:b w:val="0"/>
                <w:bCs/>
                <w:color w:val="1F688D"/>
                <w:sz w:val="18"/>
                <w:szCs w:val="18"/>
              </w:rPr>
            </w:pPr>
          </w:p>
        </w:tc>
        <w:tc>
          <w:tcPr>
            <w:tcW w:w="1191" w:type="dxa"/>
          </w:tcPr>
          <w:p w14:paraId="361748F0" w14:textId="77777777" w:rsidR="00AD6CD9" w:rsidRPr="00B26A8C" w:rsidRDefault="00AD6CD9" w:rsidP="0070293D">
            <w:pPr>
              <w:pStyle w:val="Body"/>
              <w:spacing w:before="40" w:after="40" w:line="240" w:lineRule="auto"/>
              <w:cnfStyle w:val="100000000000" w:firstRow="1" w:lastRow="0" w:firstColumn="0" w:lastColumn="0" w:oddVBand="0" w:evenVBand="0" w:oddHBand="0" w:evenHBand="0" w:firstRowFirstColumn="0" w:firstRowLastColumn="0" w:lastRowFirstColumn="0" w:lastRowLastColumn="0"/>
              <w:rPr>
                <w:rFonts w:cs="Arial"/>
                <w:bCs/>
                <w:sz w:val="18"/>
                <w:szCs w:val="18"/>
              </w:rPr>
            </w:pPr>
            <w:r>
              <w:rPr>
                <w:rFonts w:cs="Arial"/>
                <w:bCs/>
                <w:sz w:val="18"/>
                <w:szCs w:val="18"/>
              </w:rPr>
              <w:t>ACT</w:t>
            </w:r>
          </w:p>
        </w:tc>
        <w:tc>
          <w:tcPr>
            <w:tcW w:w="1191" w:type="dxa"/>
          </w:tcPr>
          <w:p w14:paraId="3655EB77" w14:textId="77777777" w:rsidR="00AD6CD9" w:rsidRPr="00B26A8C" w:rsidRDefault="00AD6CD9" w:rsidP="0070293D">
            <w:pPr>
              <w:pStyle w:val="Body"/>
              <w:spacing w:before="40" w:after="40" w:line="240" w:lineRule="auto"/>
              <w:cnfStyle w:val="100000000000" w:firstRow="1" w:lastRow="0" w:firstColumn="0" w:lastColumn="0" w:oddVBand="0" w:evenVBand="0" w:oddHBand="0" w:evenHBand="0" w:firstRowFirstColumn="0" w:firstRowLastColumn="0" w:lastRowFirstColumn="0" w:lastRowLastColumn="0"/>
              <w:rPr>
                <w:rFonts w:cs="Arial"/>
                <w:bCs/>
                <w:sz w:val="18"/>
                <w:szCs w:val="18"/>
              </w:rPr>
            </w:pPr>
            <w:r>
              <w:rPr>
                <w:rFonts w:cs="Arial"/>
                <w:bCs/>
                <w:sz w:val="18"/>
                <w:szCs w:val="18"/>
              </w:rPr>
              <w:t>Comcare</w:t>
            </w:r>
          </w:p>
        </w:tc>
        <w:tc>
          <w:tcPr>
            <w:tcW w:w="1191" w:type="dxa"/>
          </w:tcPr>
          <w:p w14:paraId="19370AA0" w14:textId="77777777" w:rsidR="00AD6CD9" w:rsidRPr="00B26A8C" w:rsidRDefault="00AD6CD9" w:rsidP="0070293D">
            <w:pPr>
              <w:pStyle w:val="Body"/>
              <w:spacing w:before="40" w:after="40" w:line="240" w:lineRule="auto"/>
              <w:cnfStyle w:val="100000000000" w:firstRow="1" w:lastRow="0" w:firstColumn="0" w:lastColumn="0" w:oddVBand="0" w:evenVBand="0" w:oddHBand="0" w:evenHBand="0" w:firstRowFirstColumn="0" w:firstRowLastColumn="0" w:lastRowFirstColumn="0" w:lastRowLastColumn="0"/>
              <w:rPr>
                <w:rFonts w:cs="Arial"/>
                <w:bCs/>
                <w:sz w:val="18"/>
                <w:szCs w:val="18"/>
              </w:rPr>
            </w:pPr>
            <w:r>
              <w:rPr>
                <w:rFonts w:cs="Arial"/>
                <w:bCs/>
                <w:sz w:val="18"/>
                <w:szCs w:val="18"/>
              </w:rPr>
              <w:t>NSW</w:t>
            </w:r>
          </w:p>
        </w:tc>
        <w:tc>
          <w:tcPr>
            <w:tcW w:w="1191" w:type="dxa"/>
          </w:tcPr>
          <w:p w14:paraId="6F9F6028" w14:textId="77777777" w:rsidR="00AD6CD9" w:rsidRPr="00B26A8C" w:rsidRDefault="00AD6CD9" w:rsidP="0070293D">
            <w:pPr>
              <w:pStyle w:val="Body"/>
              <w:spacing w:before="40" w:after="40" w:line="240" w:lineRule="auto"/>
              <w:cnfStyle w:val="100000000000" w:firstRow="1" w:lastRow="0" w:firstColumn="0" w:lastColumn="0" w:oddVBand="0" w:evenVBand="0" w:oddHBand="0" w:evenHBand="0" w:firstRowFirstColumn="0" w:firstRowLastColumn="0" w:lastRowFirstColumn="0" w:lastRowLastColumn="0"/>
              <w:rPr>
                <w:rFonts w:cs="Arial"/>
                <w:bCs/>
                <w:sz w:val="18"/>
                <w:szCs w:val="18"/>
              </w:rPr>
            </w:pPr>
            <w:r>
              <w:rPr>
                <w:rFonts w:cs="Arial"/>
                <w:bCs/>
                <w:sz w:val="18"/>
                <w:szCs w:val="18"/>
              </w:rPr>
              <w:t>NT</w:t>
            </w:r>
          </w:p>
        </w:tc>
        <w:tc>
          <w:tcPr>
            <w:tcW w:w="1191" w:type="dxa"/>
          </w:tcPr>
          <w:p w14:paraId="5038DC09" w14:textId="77777777" w:rsidR="00AD6CD9" w:rsidRPr="00B26A8C" w:rsidRDefault="00AD6CD9" w:rsidP="0070293D">
            <w:pPr>
              <w:pStyle w:val="Body"/>
              <w:spacing w:before="40" w:after="40" w:line="240" w:lineRule="auto"/>
              <w:cnfStyle w:val="100000000000" w:firstRow="1" w:lastRow="0" w:firstColumn="0" w:lastColumn="0" w:oddVBand="0" w:evenVBand="0" w:oddHBand="0" w:evenHBand="0" w:firstRowFirstColumn="0" w:firstRowLastColumn="0" w:lastRowFirstColumn="0" w:lastRowLastColumn="0"/>
              <w:rPr>
                <w:rFonts w:cs="Arial"/>
                <w:bCs/>
                <w:sz w:val="18"/>
                <w:szCs w:val="18"/>
              </w:rPr>
            </w:pPr>
            <w:r>
              <w:rPr>
                <w:rFonts w:cs="Arial"/>
                <w:bCs/>
                <w:sz w:val="18"/>
                <w:szCs w:val="18"/>
              </w:rPr>
              <w:t>QLD</w:t>
            </w:r>
          </w:p>
        </w:tc>
        <w:tc>
          <w:tcPr>
            <w:tcW w:w="1191" w:type="dxa"/>
          </w:tcPr>
          <w:p w14:paraId="305E28B3" w14:textId="77777777" w:rsidR="00AD6CD9" w:rsidRPr="00B26A8C" w:rsidRDefault="00AD6CD9" w:rsidP="0070293D">
            <w:pPr>
              <w:pStyle w:val="Body"/>
              <w:spacing w:before="40" w:after="40" w:line="240" w:lineRule="auto"/>
              <w:cnfStyle w:val="100000000000" w:firstRow="1" w:lastRow="0" w:firstColumn="0" w:lastColumn="0" w:oddVBand="0" w:evenVBand="0" w:oddHBand="0" w:evenHBand="0" w:firstRowFirstColumn="0" w:firstRowLastColumn="0" w:lastRowFirstColumn="0" w:lastRowLastColumn="0"/>
              <w:rPr>
                <w:rFonts w:cs="Arial"/>
                <w:bCs/>
                <w:sz w:val="18"/>
                <w:szCs w:val="18"/>
              </w:rPr>
            </w:pPr>
            <w:r>
              <w:rPr>
                <w:rFonts w:cs="Arial"/>
                <w:bCs/>
                <w:sz w:val="18"/>
                <w:szCs w:val="18"/>
              </w:rPr>
              <w:t>Seacare</w:t>
            </w:r>
          </w:p>
        </w:tc>
        <w:tc>
          <w:tcPr>
            <w:tcW w:w="1191" w:type="dxa"/>
          </w:tcPr>
          <w:p w14:paraId="274C364B" w14:textId="77777777" w:rsidR="00AD6CD9" w:rsidRPr="00B26A8C" w:rsidRDefault="00AD6CD9" w:rsidP="0070293D">
            <w:pPr>
              <w:pStyle w:val="Body"/>
              <w:spacing w:before="40" w:after="40" w:line="240" w:lineRule="auto"/>
              <w:cnfStyle w:val="100000000000" w:firstRow="1" w:lastRow="0" w:firstColumn="0" w:lastColumn="0" w:oddVBand="0" w:evenVBand="0" w:oddHBand="0" w:evenHBand="0" w:firstRowFirstColumn="0" w:firstRowLastColumn="0" w:lastRowFirstColumn="0" w:lastRowLastColumn="0"/>
              <w:rPr>
                <w:rFonts w:cs="Arial"/>
                <w:bCs/>
                <w:sz w:val="18"/>
                <w:szCs w:val="18"/>
              </w:rPr>
            </w:pPr>
            <w:r>
              <w:rPr>
                <w:rFonts w:cs="Arial"/>
                <w:bCs/>
                <w:sz w:val="18"/>
                <w:szCs w:val="18"/>
              </w:rPr>
              <w:t>TAS</w:t>
            </w:r>
          </w:p>
        </w:tc>
        <w:tc>
          <w:tcPr>
            <w:tcW w:w="1191" w:type="dxa"/>
          </w:tcPr>
          <w:p w14:paraId="31CB97DD" w14:textId="77777777" w:rsidR="00AD6CD9" w:rsidRPr="00B26A8C" w:rsidRDefault="00AD6CD9" w:rsidP="0070293D">
            <w:pPr>
              <w:pStyle w:val="Body"/>
              <w:spacing w:before="40" w:after="40" w:line="240" w:lineRule="auto"/>
              <w:cnfStyle w:val="100000000000" w:firstRow="1" w:lastRow="0" w:firstColumn="0" w:lastColumn="0" w:oddVBand="0" w:evenVBand="0" w:oddHBand="0" w:evenHBand="0" w:firstRowFirstColumn="0" w:firstRowLastColumn="0" w:lastRowFirstColumn="0" w:lastRowLastColumn="0"/>
              <w:rPr>
                <w:rFonts w:cs="Arial"/>
                <w:bCs/>
                <w:sz w:val="18"/>
                <w:szCs w:val="18"/>
              </w:rPr>
            </w:pPr>
            <w:r>
              <w:rPr>
                <w:rFonts w:cs="Arial"/>
                <w:bCs/>
                <w:sz w:val="18"/>
                <w:szCs w:val="18"/>
              </w:rPr>
              <w:t>WA</w:t>
            </w:r>
          </w:p>
        </w:tc>
        <w:tc>
          <w:tcPr>
            <w:tcW w:w="1191" w:type="dxa"/>
          </w:tcPr>
          <w:p w14:paraId="6A8DD119" w14:textId="77777777" w:rsidR="00AD6CD9" w:rsidRPr="00B26A8C" w:rsidRDefault="00AD6CD9" w:rsidP="0070293D">
            <w:pPr>
              <w:pStyle w:val="Body"/>
              <w:spacing w:before="40" w:after="40" w:line="240" w:lineRule="auto"/>
              <w:cnfStyle w:val="100000000000" w:firstRow="1" w:lastRow="0" w:firstColumn="0" w:lastColumn="0" w:oddVBand="0" w:evenVBand="0" w:oddHBand="0" w:evenHBand="0" w:firstRowFirstColumn="0" w:firstRowLastColumn="0" w:lastRowFirstColumn="0" w:lastRowLastColumn="0"/>
              <w:rPr>
                <w:rFonts w:cs="Arial"/>
                <w:bCs/>
                <w:sz w:val="18"/>
                <w:szCs w:val="18"/>
              </w:rPr>
            </w:pPr>
            <w:r>
              <w:rPr>
                <w:rFonts w:cs="Arial"/>
                <w:bCs/>
                <w:sz w:val="18"/>
                <w:szCs w:val="18"/>
              </w:rPr>
              <w:t>VIC</w:t>
            </w:r>
          </w:p>
        </w:tc>
      </w:tr>
      <w:tr w:rsidR="00AD3D0D" w:rsidRPr="00AD3D0D" w14:paraId="71E84604" w14:textId="77777777" w:rsidTr="00A02C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25" w:type="dxa"/>
            <w:shd w:val="clear" w:color="auto" w:fill="5AC0E7" w:themeFill="accent2"/>
          </w:tcPr>
          <w:p w14:paraId="3780C5F4" w14:textId="77777777" w:rsidR="00AD6CD9" w:rsidRPr="00AD3D0D" w:rsidRDefault="00AD6CD9" w:rsidP="00916DD7">
            <w:pPr>
              <w:pStyle w:val="Body"/>
              <w:spacing w:before="40" w:after="40" w:line="240" w:lineRule="auto"/>
              <w:jc w:val="left"/>
              <w:rPr>
                <w:rFonts w:cs="Arial"/>
                <w:bCs/>
                <w:color w:val="000000" w:themeColor="text1"/>
                <w:sz w:val="18"/>
                <w:szCs w:val="18"/>
              </w:rPr>
            </w:pPr>
            <w:r w:rsidRPr="00AD3D0D">
              <w:rPr>
                <w:rFonts w:cs="Arial"/>
                <w:bCs/>
                <w:color w:val="000000" w:themeColor="text1"/>
                <w:sz w:val="18"/>
                <w:szCs w:val="18"/>
                <w:lang w:eastAsia="en-AU"/>
              </w:rPr>
              <w:t>Gender</w:t>
            </w:r>
          </w:p>
        </w:tc>
        <w:tc>
          <w:tcPr>
            <w:tcW w:w="1191" w:type="dxa"/>
            <w:shd w:val="clear" w:color="auto" w:fill="5AC0E7" w:themeFill="accent2"/>
          </w:tcPr>
          <w:p w14:paraId="6236E5C0"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22"/>
              </w:rPr>
            </w:pPr>
            <w:r w:rsidRPr="00AD3D0D">
              <w:rPr>
                <w:rFonts w:cs="Arial"/>
                <w:color w:val="000000" w:themeColor="text1"/>
                <w:sz w:val="18"/>
                <w:szCs w:val="18"/>
                <w:lang w:eastAsia="en-AU"/>
              </w:rPr>
              <w:t> </w:t>
            </w:r>
          </w:p>
        </w:tc>
        <w:tc>
          <w:tcPr>
            <w:tcW w:w="1191" w:type="dxa"/>
            <w:shd w:val="clear" w:color="auto" w:fill="5AC0E7" w:themeFill="accent2"/>
          </w:tcPr>
          <w:p w14:paraId="6F18D4DB"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22"/>
              </w:rPr>
            </w:pPr>
            <w:r w:rsidRPr="00AD3D0D">
              <w:rPr>
                <w:rFonts w:cs="Arial"/>
                <w:color w:val="000000" w:themeColor="text1"/>
                <w:sz w:val="18"/>
                <w:szCs w:val="18"/>
                <w:lang w:eastAsia="en-AU"/>
              </w:rPr>
              <w:t> </w:t>
            </w:r>
          </w:p>
        </w:tc>
        <w:tc>
          <w:tcPr>
            <w:tcW w:w="1191" w:type="dxa"/>
            <w:shd w:val="clear" w:color="auto" w:fill="5AC0E7" w:themeFill="accent2"/>
          </w:tcPr>
          <w:p w14:paraId="26AADB28" w14:textId="77777777" w:rsidR="00AD6CD9" w:rsidRPr="00AD3D0D" w:rsidRDefault="00AD6CD9" w:rsidP="00916DD7">
            <w:pPr>
              <w:pStyle w:val="Body"/>
              <w:spacing w:before="40" w:after="4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22"/>
              </w:rPr>
            </w:pPr>
            <w:r w:rsidRPr="00AD3D0D">
              <w:rPr>
                <w:rFonts w:cs="Arial"/>
                <w:color w:val="000000" w:themeColor="text1"/>
                <w:sz w:val="18"/>
                <w:szCs w:val="18"/>
                <w:lang w:eastAsia="en-AU"/>
              </w:rPr>
              <w:t> </w:t>
            </w:r>
          </w:p>
        </w:tc>
        <w:tc>
          <w:tcPr>
            <w:tcW w:w="1191" w:type="dxa"/>
            <w:shd w:val="clear" w:color="auto" w:fill="5AC0E7" w:themeFill="accent2"/>
          </w:tcPr>
          <w:p w14:paraId="03A66247"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22"/>
              </w:rPr>
            </w:pPr>
            <w:r w:rsidRPr="00AD3D0D">
              <w:rPr>
                <w:rFonts w:cs="Arial"/>
                <w:color w:val="000000" w:themeColor="text1"/>
                <w:sz w:val="18"/>
                <w:szCs w:val="18"/>
                <w:lang w:eastAsia="en-AU"/>
              </w:rPr>
              <w:t> </w:t>
            </w:r>
          </w:p>
        </w:tc>
        <w:tc>
          <w:tcPr>
            <w:tcW w:w="1191" w:type="dxa"/>
            <w:shd w:val="clear" w:color="auto" w:fill="5AC0E7" w:themeFill="accent2"/>
          </w:tcPr>
          <w:p w14:paraId="211501FB"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22"/>
              </w:rPr>
            </w:pPr>
          </w:p>
        </w:tc>
        <w:tc>
          <w:tcPr>
            <w:tcW w:w="1191" w:type="dxa"/>
            <w:shd w:val="clear" w:color="auto" w:fill="5AC0E7" w:themeFill="accent2"/>
          </w:tcPr>
          <w:p w14:paraId="3DF9B8E6"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22"/>
              </w:rPr>
            </w:pPr>
          </w:p>
        </w:tc>
        <w:tc>
          <w:tcPr>
            <w:tcW w:w="1191" w:type="dxa"/>
            <w:shd w:val="clear" w:color="auto" w:fill="5AC0E7" w:themeFill="accent2"/>
          </w:tcPr>
          <w:p w14:paraId="30372AAB"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22"/>
              </w:rPr>
            </w:pPr>
          </w:p>
        </w:tc>
        <w:tc>
          <w:tcPr>
            <w:tcW w:w="1191" w:type="dxa"/>
            <w:shd w:val="clear" w:color="auto" w:fill="5AC0E7" w:themeFill="accent2"/>
          </w:tcPr>
          <w:p w14:paraId="4F6CB72A"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22"/>
              </w:rPr>
            </w:pPr>
          </w:p>
        </w:tc>
        <w:tc>
          <w:tcPr>
            <w:tcW w:w="1191" w:type="dxa"/>
            <w:shd w:val="clear" w:color="auto" w:fill="5AC0E7" w:themeFill="accent2"/>
          </w:tcPr>
          <w:p w14:paraId="18BBA652"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22"/>
              </w:rPr>
            </w:pPr>
          </w:p>
        </w:tc>
      </w:tr>
      <w:tr w:rsidR="00AD3D0D" w:rsidRPr="00AD3D0D" w14:paraId="4FFEA9C4" w14:textId="77777777" w:rsidTr="00AD3D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25" w:type="dxa"/>
            <w:shd w:val="clear" w:color="auto" w:fill="C7E4F3" w:themeFill="accent1" w:themeFillTint="33"/>
          </w:tcPr>
          <w:p w14:paraId="76D30A6D" w14:textId="77777777" w:rsidR="00AD6CD9" w:rsidRPr="00AD3D0D" w:rsidRDefault="00AD6CD9" w:rsidP="00916DD7">
            <w:pPr>
              <w:pStyle w:val="Body"/>
              <w:spacing w:before="40" w:after="40" w:line="240" w:lineRule="auto"/>
              <w:ind w:left="113"/>
              <w:jc w:val="left"/>
              <w:rPr>
                <w:rFonts w:cs="Arial"/>
                <w:b w:val="0"/>
                <w:bCs/>
                <w:color w:val="000000" w:themeColor="text1"/>
                <w:sz w:val="18"/>
                <w:szCs w:val="18"/>
              </w:rPr>
            </w:pPr>
            <w:r w:rsidRPr="00AD3D0D">
              <w:rPr>
                <w:rFonts w:cs="Arial"/>
                <w:b w:val="0"/>
                <w:bCs/>
                <w:color w:val="000000" w:themeColor="text1"/>
                <w:sz w:val="18"/>
                <w:szCs w:val="18"/>
              </w:rPr>
              <w:t>Male</w:t>
            </w:r>
          </w:p>
        </w:tc>
        <w:tc>
          <w:tcPr>
            <w:tcW w:w="1191" w:type="dxa"/>
            <w:shd w:val="clear" w:color="auto" w:fill="C7E4F3" w:themeFill="accent1" w:themeFillTint="33"/>
            <w:vAlign w:val="bottom"/>
          </w:tcPr>
          <w:p w14:paraId="1943E4EC"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22"/>
              </w:rPr>
            </w:pPr>
            <w:r w:rsidRPr="00AD3D0D">
              <w:rPr>
                <w:rFonts w:cs="Arial"/>
                <w:b w:val="0"/>
                <w:color w:val="000000" w:themeColor="text1"/>
                <w:sz w:val="18"/>
                <w:szCs w:val="22"/>
              </w:rPr>
              <w:t>58.4</w:t>
            </w:r>
          </w:p>
        </w:tc>
        <w:tc>
          <w:tcPr>
            <w:tcW w:w="1191" w:type="dxa"/>
            <w:shd w:val="clear" w:color="auto" w:fill="C7E4F3" w:themeFill="accent1" w:themeFillTint="33"/>
            <w:vAlign w:val="bottom"/>
          </w:tcPr>
          <w:p w14:paraId="5CB1E5CF"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22"/>
              </w:rPr>
            </w:pPr>
            <w:r w:rsidRPr="00AD3D0D">
              <w:rPr>
                <w:rFonts w:cs="Arial"/>
                <w:b w:val="0"/>
                <w:color w:val="000000" w:themeColor="text1"/>
                <w:sz w:val="18"/>
                <w:szCs w:val="22"/>
              </w:rPr>
              <w:t>67.7**</w:t>
            </w:r>
          </w:p>
        </w:tc>
        <w:tc>
          <w:tcPr>
            <w:tcW w:w="1191" w:type="dxa"/>
            <w:shd w:val="clear" w:color="auto" w:fill="C7E4F3" w:themeFill="accent1" w:themeFillTint="33"/>
            <w:vAlign w:val="bottom"/>
          </w:tcPr>
          <w:p w14:paraId="2FCA1941" w14:textId="77777777" w:rsidR="00AD6CD9" w:rsidRPr="00AD3D0D" w:rsidRDefault="00AD6CD9" w:rsidP="00916DD7">
            <w:pPr>
              <w:pStyle w:val="Body"/>
              <w:spacing w:before="40" w:after="4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22"/>
              </w:rPr>
            </w:pPr>
            <w:r w:rsidRPr="00AD3D0D">
              <w:rPr>
                <w:rFonts w:cs="Arial"/>
                <w:b w:val="0"/>
                <w:color w:val="000000" w:themeColor="text1"/>
                <w:sz w:val="18"/>
                <w:szCs w:val="22"/>
              </w:rPr>
              <w:t>61.5</w:t>
            </w:r>
          </w:p>
        </w:tc>
        <w:tc>
          <w:tcPr>
            <w:tcW w:w="1191" w:type="dxa"/>
            <w:shd w:val="clear" w:color="auto" w:fill="C7E4F3" w:themeFill="accent1" w:themeFillTint="33"/>
            <w:vAlign w:val="bottom"/>
          </w:tcPr>
          <w:p w14:paraId="7737B165"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22"/>
              </w:rPr>
            </w:pPr>
            <w:r w:rsidRPr="00AD3D0D">
              <w:rPr>
                <w:rFonts w:cs="Arial"/>
                <w:b w:val="0"/>
                <w:color w:val="000000" w:themeColor="text1"/>
                <w:sz w:val="18"/>
                <w:szCs w:val="22"/>
              </w:rPr>
              <w:t>76.2**</w:t>
            </w:r>
          </w:p>
        </w:tc>
        <w:tc>
          <w:tcPr>
            <w:tcW w:w="1191" w:type="dxa"/>
            <w:shd w:val="clear" w:color="auto" w:fill="C7E4F3" w:themeFill="accent1" w:themeFillTint="33"/>
            <w:vAlign w:val="bottom"/>
          </w:tcPr>
          <w:p w14:paraId="2E9D6747"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22"/>
              </w:rPr>
            </w:pPr>
            <w:r w:rsidRPr="00AD3D0D">
              <w:rPr>
                <w:rFonts w:cs="Arial"/>
                <w:b w:val="0"/>
                <w:color w:val="000000" w:themeColor="text1"/>
                <w:sz w:val="18"/>
                <w:szCs w:val="22"/>
              </w:rPr>
              <w:t>61.7</w:t>
            </w:r>
          </w:p>
        </w:tc>
        <w:tc>
          <w:tcPr>
            <w:tcW w:w="1191" w:type="dxa"/>
            <w:shd w:val="clear" w:color="auto" w:fill="C7E4F3" w:themeFill="accent1" w:themeFillTint="33"/>
            <w:vAlign w:val="bottom"/>
          </w:tcPr>
          <w:p w14:paraId="678FE4BC"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22"/>
              </w:rPr>
            </w:pPr>
            <w:r w:rsidRPr="00AD3D0D">
              <w:rPr>
                <w:rFonts w:cs="Arial"/>
                <w:b w:val="0"/>
                <w:color w:val="000000" w:themeColor="text1"/>
                <w:sz w:val="18"/>
                <w:szCs w:val="22"/>
              </w:rPr>
              <w:t>100.0**</w:t>
            </w:r>
          </w:p>
        </w:tc>
        <w:tc>
          <w:tcPr>
            <w:tcW w:w="1191" w:type="dxa"/>
            <w:shd w:val="clear" w:color="auto" w:fill="C7E4F3" w:themeFill="accent1" w:themeFillTint="33"/>
            <w:vAlign w:val="bottom"/>
          </w:tcPr>
          <w:p w14:paraId="1646E740"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22"/>
              </w:rPr>
            </w:pPr>
            <w:r w:rsidRPr="00AD3D0D">
              <w:rPr>
                <w:rFonts w:cs="Arial"/>
                <w:b w:val="0"/>
                <w:color w:val="000000" w:themeColor="text1"/>
                <w:sz w:val="18"/>
                <w:szCs w:val="22"/>
              </w:rPr>
              <w:t>61.0</w:t>
            </w:r>
          </w:p>
        </w:tc>
        <w:tc>
          <w:tcPr>
            <w:tcW w:w="1191" w:type="dxa"/>
            <w:shd w:val="clear" w:color="auto" w:fill="C7E4F3" w:themeFill="accent1" w:themeFillTint="33"/>
            <w:vAlign w:val="bottom"/>
          </w:tcPr>
          <w:p w14:paraId="39224BC1"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22"/>
              </w:rPr>
            </w:pPr>
            <w:r w:rsidRPr="00AD3D0D">
              <w:rPr>
                <w:rFonts w:cs="Arial"/>
                <w:b w:val="0"/>
                <w:color w:val="000000" w:themeColor="text1"/>
                <w:sz w:val="18"/>
                <w:szCs w:val="22"/>
              </w:rPr>
              <w:t>68.3</w:t>
            </w:r>
          </w:p>
        </w:tc>
        <w:tc>
          <w:tcPr>
            <w:tcW w:w="1191" w:type="dxa"/>
            <w:shd w:val="clear" w:color="auto" w:fill="C7E4F3" w:themeFill="accent1" w:themeFillTint="33"/>
            <w:vAlign w:val="bottom"/>
          </w:tcPr>
          <w:p w14:paraId="73C10C38"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22"/>
              </w:rPr>
            </w:pPr>
            <w:r w:rsidRPr="00AD3D0D">
              <w:rPr>
                <w:rFonts w:cs="Arial"/>
                <w:b w:val="0"/>
                <w:color w:val="000000" w:themeColor="text1"/>
                <w:sz w:val="18"/>
                <w:szCs w:val="22"/>
              </w:rPr>
              <w:t>59.7</w:t>
            </w:r>
          </w:p>
        </w:tc>
      </w:tr>
      <w:tr w:rsidR="00AD3D0D" w:rsidRPr="00AD3D0D" w14:paraId="45B6F6BE" w14:textId="77777777" w:rsidTr="00AD3D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25" w:type="dxa"/>
            <w:shd w:val="clear" w:color="auto" w:fill="auto"/>
          </w:tcPr>
          <w:p w14:paraId="77C3B3EB" w14:textId="77777777" w:rsidR="00AD6CD9" w:rsidRPr="00AD3D0D" w:rsidRDefault="00AD6CD9" w:rsidP="00916DD7">
            <w:pPr>
              <w:pStyle w:val="Body"/>
              <w:spacing w:before="40" w:after="40" w:line="240" w:lineRule="auto"/>
              <w:ind w:left="113"/>
              <w:jc w:val="left"/>
              <w:rPr>
                <w:rFonts w:cs="Arial"/>
                <w:b w:val="0"/>
                <w:bCs/>
                <w:color w:val="000000" w:themeColor="text1"/>
                <w:sz w:val="18"/>
                <w:szCs w:val="18"/>
              </w:rPr>
            </w:pPr>
            <w:r w:rsidRPr="00AD3D0D">
              <w:rPr>
                <w:rFonts w:cs="Arial"/>
                <w:b w:val="0"/>
                <w:bCs/>
                <w:color w:val="000000" w:themeColor="text1"/>
                <w:sz w:val="18"/>
                <w:szCs w:val="18"/>
              </w:rPr>
              <w:t>Female</w:t>
            </w:r>
          </w:p>
        </w:tc>
        <w:tc>
          <w:tcPr>
            <w:tcW w:w="1191" w:type="dxa"/>
            <w:shd w:val="clear" w:color="auto" w:fill="auto"/>
            <w:vAlign w:val="bottom"/>
          </w:tcPr>
          <w:p w14:paraId="29DA37E8"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22"/>
              </w:rPr>
            </w:pPr>
            <w:r w:rsidRPr="00AD3D0D">
              <w:rPr>
                <w:rFonts w:cs="Arial"/>
                <w:b w:val="0"/>
                <w:color w:val="000000" w:themeColor="text1"/>
                <w:sz w:val="18"/>
                <w:szCs w:val="22"/>
              </w:rPr>
              <w:t>41.6</w:t>
            </w:r>
          </w:p>
        </w:tc>
        <w:tc>
          <w:tcPr>
            <w:tcW w:w="1191" w:type="dxa"/>
            <w:shd w:val="clear" w:color="auto" w:fill="auto"/>
            <w:vAlign w:val="bottom"/>
          </w:tcPr>
          <w:p w14:paraId="339F8ABC"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22"/>
              </w:rPr>
            </w:pPr>
            <w:r w:rsidRPr="00AD3D0D">
              <w:rPr>
                <w:rFonts w:cs="Arial"/>
                <w:b w:val="0"/>
                <w:color w:val="000000" w:themeColor="text1"/>
                <w:sz w:val="18"/>
                <w:szCs w:val="22"/>
              </w:rPr>
              <w:t>32.3*</w:t>
            </w:r>
          </w:p>
        </w:tc>
        <w:tc>
          <w:tcPr>
            <w:tcW w:w="1191" w:type="dxa"/>
            <w:shd w:val="clear" w:color="auto" w:fill="auto"/>
            <w:vAlign w:val="bottom"/>
          </w:tcPr>
          <w:p w14:paraId="0A9A24C5" w14:textId="77777777" w:rsidR="00AD6CD9" w:rsidRPr="00AD3D0D" w:rsidRDefault="00AD6CD9" w:rsidP="00916DD7">
            <w:pPr>
              <w:pStyle w:val="Body"/>
              <w:spacing w:before="40" w:after="4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22"/>
              </w:rPr>
            </w:pPr>
            <w:r w:rsidRPr="00AD3D0D">
              <w:rPr>
                <w:rFonts w:cs="Arial"/>
                <w:b w:val="0"/>
                <w:color w:val="000000" w:themeColor="text1"/>
                <w:sz w:val="18"/>
                <w:szCs w:val="22"/>
              </w:rPr>
              <w:t>38.5</w:t>
            </w:r>
          </w:p>
        </w:tc>
        <w:tc>
          <w:tcPr>
            <w:tcW w:w="1191" w:type="dxa"/>
            <w:shd w:val="clear" w:color="auto" w:fill="auto"/>
            <w:vAlign w:val="bottom"/>
          </w:tcPr>
          <w:p w14:paraId="56813E35"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22"/>
              </w:rPr>
            </w:pPr>
            <w:r w:rsidRPr="00AD3D0D">
              <w:rPr>
                <w:rFonts w:cs="Arial"/>
                <w:b w:val="0"/>
                <w:color w:val="000000" w:themeColor="text1"/>
                <w:sz w:val="18"/>
                <w:szCs w:val="22"/>
              </w:rPr>
              <w:t>23.8*</w:t>
            </w:r>
          </w:p>
        </w:tc>
        <w:tc>
          <w:tcPr>
            <w:tcW w:w="1191" w:type="dxa"/>
            <w:shd w:val="clear" w:color="auto" w:fill="auto"/>
            <w:vAlign w:val="bottom"/>
          </w:tcPr>
          <w:p w14:paraId="373C4A46"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22"/>
              </w:rPr>
            </w:pPr>
            <w:r w:rsidRPr="00AD3D0D">
              <w:rPr>
                <w:rFonts w:cs="Arial"/>
                <w:b w:val="0"/>
                <w:color w:val="000000" w:themeColor="text1"/>
                <w:sz w:val="18"/>
                <w:szCs w:val="22"/>
              </w:rPr>
              <w:t>38.3</w:t>
            </w:r>
          </w:p>
        </w:tc>
        <w:tc>
          <w:tcPr>
            <w:tcW w:w="1191" w:type="dxa"/>
            <w:shd w:val="clear" w:color="auto" w:fill="auto"/>
            <w:vAlign w:val="bottom"/>
          </w:tcPr>
          <w:p w14:paraId="1EFA4329"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22"/>
              </w:rPr>
            </w:pPr>
            <w:r w:rsidRPr="00AD3D0D">
              <w:rPr>
                <w:rFonts w:cs="Arial"/>
                <w:b w:val="0"/>
                <w:color w:val="000000" w:themeColor="text1"/>
                <w:sz w:val="18"/>
                <w:szCs w:val="22"/>
              </w:rPr>
              <w:t>0.0*</w:t>
            </w:r>
          </w:p>
        </w:tc>
        <w:tc>
          <w:tcPr>
            <w:tcW w:w="1191" w:type="dxa"/>
            <w:shd w:val="clear" w:color="auto" w:fill="auto"/>
            <w:vAlign w:val="bottom"/>
          </w:tcPr>
          <w:p w14:paraId="01EF4CAC"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22"/>
              </w:rPr>
            </w:pPr>
            <w:r w:rsidRPr="00AD3D0D">
              <w:rPr>
                <w:rFonts w:cs="Arial"/>
                <w:b w:val="0"/>
                <w:color w:val="000000" w:themeColor="text1"/>
                <w:sz w:val="18"/>
                <w:szCs w:val="22"/>
              </w:rPr>
              <w:t>39.0</w:t>
            </w:r>
          </w:p>
        </w:tc>
        <w:tc>
          <w:tcPr>
            <w:tcW w:w="1191" w:type="dxa"/>
            <w:shd w:val="clear" w:color="auto" w:fill="auto"/>
            <w:vAlign w:val="bottom"/>
          </w:tcPr>
          <w:p w14:paraId="545D0E9E"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22"/>
              </w:rPr>
            </w:pPr>
            <w:r w:rsidRPr="00AD3D0D">
              <w:rPr>
                <w:rFonts w:cs="Arial"/>
                <w:b w:val="0"/>
                <w:color w:val="000000" w:themeColor="text1"/>
                <w:sz w:val="18"/>
                <w:szCs w:val="22"/>
              </w:rPr>
              <w:t>31.7</w:t>
            </w:r>
          </w:p>
        </w:tc>
        <w:tc>
          <w:tcPr>
            <w:tcW w:w="1191" w:type="dxa"/>
            <w:shd w:val="clear" w:color="auto" w:fill="auto"/>
            <w:vAlign w:val="bottom"/>
          </w:tcPr>
          <w:p w14:paraId="11069CB8"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22"/>
              </w:rPr>
              <w:t>40.3</w:t>
            </w:r>
          </w:p>
        </w:tc>
      </w:tr>
      <w:tr w:rsidR="00AD3D0D" w:rsidRPr="00AD3D0D" w14:paraId="1B40489C" w14:textId="77777777" w:rsidTr="00A02C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25" w:type="dxa"/>
            <w:shd w:val="clear" w:color="auto" w:fill="58AFDA" w:themeFill="accent1" w:themeFillTint="99"/>
          </w:tcPr>
          <w:p w14:paraId="17249DD5" w14:textId="77777777" w:rsidR="00AD6CD9" w:rsidRPr="00AD3D0D" w:rsidRDefault="00AD6CD9" w:rsidP="00916DD7">
            <w:pPr>
              <w:pStyle w:val="Body"/>
              <w:spacing w:before="40" w:after="40" w:line="240" w:lineRule="auto"/>
              <w:jc w:val="left"/>
              <w:rPr>
                <w:rFonts w:cs="Arial"/>
                <w:bCs/>
                <w:color w:val="000000" w:themeColor="text1"/>
                <w:sz w:val="18"/>
                <w:szCs w:val="18"/>
              </w:rPr>
            </w:pPr>
            <w:r w:rsidRPr="00AD3D0D">
              <w:rPr>
                <w:rFonts w:cs="Arial"/>
                <w:bCs/>
                <w:color w:val="000000" w:themeColor="text1"/>
                <w:sz w:val="18"/>
                <w:szCs w:val="18"/>
                <w:lang w:eastAsia="en-AU"/>
              </w:rPr>
              <w:t>Age</w:t>
            </w:r>
          </w:p>
        </w:tc>
        <w:tc>
          <w:tcPr>
            <w:tcW w:w="1191" w:type="dxa"/>
            <w:shd w:val="clear" w:color="auto" w:fill="58AFDA" w:themeFill="accent1" w:themeFillTint="99"/>
            <w:vAlign w:val="bottom"/>
          </w:tcPr>
          <w:p w14:paraId="72C7C0CE"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Cs/>
                <w:color w:val="000000" w:themeColor="text1"/>
                <w:sz w:val="18"/>
                <w:szCs w:val="18"/>
              </w:rPr>
            </w:pPr>
          </w:p>
        </w:tc>
        <w:tc>
          <w:tcPr>
            <w:tcW w:w="1191" w:type="dxa"/>
            <w:shd w:val="clear" w:color="auto" w:fill="58AFDA" w:themeFill="accent1" w:themeFillTint="99"/>
            <w:vAlign w:val="bottom"/>
          </w:tcPr>
          <w:p w14:paraId="743C8329"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Cs/>
                <w:color w:val="000000" w:themeColor="text1"/>
                <w:sz w:val="18"/>
                <w:szCs w:val="18"/>
              </w:rPr>
            </w:pPr>
          </w:p>
        </w:tc>
        <w:tc>
          <w:tcPr>
            <w:tcW w:w="1191" w:type="dxa"/>
            <w:shd w:val="clear" w:color="auto" w:fill="58AFDA" w:themeFill="accent1" w:themeFillTint="99"/>
            <w:vAlign w:val="bottom"/>
          </w:tcPr>
          <w:p w14:paraId="5080C47D" w14:textId="77777777" w:rsidR="00AD6CD9" w:rsidRPr="00AD3D0D" w:rsidRDefault="00AD6CD9" w:rsidP="00916DD7">
            <w:pPr>
              <w:pStyle w:val="Body"/>
              <w:spacing w:before="40" w:after="4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Cs/>
                <w:color w:val="000000" w:themeColor="text1"/>
                <w:sz w:val="18"/>
                <w:szCs w:val="18"/>
              </w:rPr>
            </w:pPr>
          </w:p>
        </w:tc>
        <w:tc>
          <w:tcPr>
            <w:tcW w:w="1191" w:type="dxa"/>
            <w:shd w:val="clear" w:color="auto" w:fill="58AFDA" w:themeFill="accent1" w:themeFillTint="99"/>
            <w:vAlign w:val="bottom"/>
          </w:tcPr>
          <w:p w14:paraId="76FECE57"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Cs/>
                <w:color w:val="000000" w:themeColor="text1"/>
                <w:sz w:val="18"/>
                <w:szCs w:val="18"/>
              </w:rPr>
            </w:pPr>
          </w:p>
        </w:tc>
        <w:tc>
          <w:tcPr>
            <w:tcW w:w="1191" w:type="dxa"/>
            <w:shd w:val="clear" w:color="auto" w:fill="58AFDA" w:themeFill="accent1" w:themeFillTint="99"/>
          </w:tcPr>
          <w:p w14:paraId="283EE521"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22"/>
              </w:rPr>
            </w:pPr>
          </w:p>
        </w:tc>
        <w:tc>
          <w:tcPr>
            <w:tcW w:w="1191" w:type="dxa"/>
            <w:shd w:val="clear" w:color="auto" w:fill="58AFDA" w:themeFill="accent1" w:themeFillTint="99"/>
          </w:tcPr>
          <w:p w14:paraId="0FE8F0D8"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22"/>
              </w:rPr>
            </w:pPr>
          </w:p>
        </w:tc>
        <w:tc>
          <w:tcPr>
            <w:tcW w:w="1191" w:type="dxa"/>
            <w:shd w:val="clear" w:color="auto" w:fill="58AFDA" w:themeFill="accent1" w:themeFillTint="99"/>
          </w:tcPr>
          <w:p w14:paraId="766C3760"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22"/>
              </w:rPr>
            </w:pPr>
          </w:p>
        </w:tc>
        <w:tc>
          <w:tcPr>
            <w:tcW w:w="1191" w:type="dxa"/>
            <w:shd w:val="clear" w:color="auto" w:fill="58AFDA" w:themeFill="accent1" w:themeFillTint="99"/>
          </w:tcPr>
          <w:p w14:paraId="309564D2"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22"/>
              </w:rPr>
            </w:pPr>
          </w:p>
        </w:tc>
        <w:tc>
          <w:tcPr>
            <w:tcW w:w="1191" w:type="dxa"/>
            <w:shd w:val="clear" w:color="auto" w:fill="58AFDA" w:themeFill="accent1" w:themeFillTint="99"/>
            <w:vAlign w:val="bottom"/>
          </w:tcPr>
          <w:p w14:paraId="6E49AB5F"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Cs/>
                <w:color w:val="000000" w:themeColor="text1"/>
                <w:sz w:val="18"/>
                <w:szCs w:val="18"/>
              </w:rPr>
            </w:pPr>
          </w:p>
        </w:tc>
      </w:tr>
      <w:tr w:rsidR="00AD3D0D" w:rsidRPr="00AD3D0D" w14:paraId="4574C1FF" w14:textId="77777777" w:rsidTr="00A02C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25" w:type="dxa"/>
            <w:shd w:val="clear" w:color="auto" w:fill="auto"/>
            <w:vAlign w:val="bottom"/>
          </w:tcPr>
          <w:p w14:paraId="0C2E4E22" w14:textId="77777777" w:rsidR="00AD6CD9" w:rsidRPr="00AD3D0D" w:rsidRDefault="00AD6CD9" w:rsidP="00916DD7">
            <w:pPr>
              <w:pStyle w:val="Body"/>
              <w:spacing w:before="40" w:after="40" w:line="240" w:lineRule="auto"/>
              <w:ind w:left="113"/>
              <w:jc w:val="left"/>
              <w:rPr>
                <w:rFonts w:cs="Arial"/>
                <w:b w:val="0"/>
                <w:bCs/>
                <w:color w:val="000000" w:themeColor="text1"/>
                <w:sz w:val="18"/>
                <w:szCs w:val="18"/>
              </w:rPr>
            </w:pPr>
            <w:r w:rsidRPr="00AD3D0D">
              <w:rPr>
                <w:rFonts w:cs="Arial"/>
                <w:b w:val="0"/>
                <w:color w:val="000000" w:themeColor="text1"/>
                <w:sz w:val="18"/>
                <w:szCs w:val="18"/>
              </w:rPr>
              <w:t>15 - 20 years</w:t>
            </w:r>
          </w:p>
        </w:tc>
        <w:tc>
          <w:tcPr>
            <w:tcW w:w="1191" w:type="dxa"/>
            <w:shd w:val="clear" w:color="auto" w:fill="auto"/>
            <w:vAlign w:val="bottom"/>
          </w:tcPr>
          <w:p w14:paraId="67783070"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3.1</w:t>
            </w:r>
          </w:p>
        </w:tc>
        <w:tc>
          <w:tcPr>
            <w:tcW w:w="1191" w:type="dxa"/>
            <w:shd w:val="clear" w:color="auto" w:fill="auto"/>
            <w:vAlign w:val="bottom"/>
          </w:tcPr>
          <w:p w14:paraId="08E71A79"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0.0</w:t>
            </w:r>
          </w:p>
        </w:tc>
        <w:tc>
          <w:tcPr>
            <w:tcW w:w="1191" w:type="dxa"/>
            <w:shd w:val="clear" w:color="auto" w:fill="auto"/>
            <w:vAlign w:val="bottom"/>
          </w:tcPr>
          <w:p w14:paraId="24EF4902" w14:textId="77777777" w:rsidR="00AD6CD9" w:rsidRPr="00AD3D0D" w:rsidRDefault="00AD6CD9" w:rsidP="00916DD7">
            <w:pPr>
              <w:pStyle w:val="Body"/>
              <w:spacing w:before="40" w:after="4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3.0</w:t>
            </w:r>
          </w:p>
        </w:tc>
        <w:tc>
          <w:tcPr>
            <w:tcW w:w="1191" w:type="dxa"/>
            <w:shd w:val="clear" w:color="auto" w:fill="auto"/>
            <w:vAlign w:val="bottom"/>
          </w:tcPr>
          <w:p w14:paraId="0AD09C49"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3.3</w:t>
            </w:r>
          </w:p>
        </w:tc>
        <w:tc>
          <w:tcPr>
            <w:tcW w:w="1191" w:type="dxa"/>
            <w:shd w:val="clear" w:color="auto" w:fill="auto"/>
            <w:vAlign w:val="bottom"/>
          </w:tcPr>
          <w:p w14:paraId="000845BC"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18"/>
              </w:rPr>
            </w:pPr>
            <w:r w:rsidRPr="00AD3D0D">
              <w:rPr>
                <w:rFonts w:cs="Arial"/>
                <w:b w:val="0"/>
                <w:color w:val="000000" w:themeColor="text1"/>
                <w:sz w:val="18"/>
                <w:szCs w:val="18"/>
              </w:rPr>
              <w:t>3.3</w:t>
            </w:r>
          </w:p>
        </w:tc>
        <w:tc>
          <w:tcPr>
            <w:tcW w:w="1191" w:type="dxa"/>
            <w:shd w:val="clear" w:color="auto" w:fill="auto"/>
            <w:vAlign w:val="bottom"/>
          </w:tcPr>
          <w:p w14:paraId="5867ED06"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18"/>
              </w:rPr>
            </w:pPr>
            <w:r w:rsidRPr="00AD3D0D">
              <w:rPr>
                <w:rFonts w:cs="Arial"/>
                <w:b w:val="0"/>
                <w:color w:val="000000" w:themeColor="text1"/>
                <w:sz w:val="18"/>
                <w:szCs w:val="18"/>
              </w:rPr>
              <w:t>1.4</w:t>
            </w:r>
          </w:p>
        </w:tc>
        <w:tc>
          <w:tcPr>
            <w:tcW w:w="1191" w:type="dxa"/>
            <w:shd w:val="clear" w:color="auto" w:fill="auto"/>
            <w:vAlign w:val="bottom"/>
          </w:tcPr>
          <w:p w14:paraId="25FCF412"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18"/>
              </w:rPr>
            </w:pPr>
            <w:r w:rsidRPr="00AD3D0D">
              <w:rPr>
                <w:rFonts w:cs="Arial"/>
                <w:b w:val="0"/>
                <w:color w:val="000000" w:themeColor="text1"/>
                <w:sz w:val="18"/>
                <w:szCs w:val="18"/>
              </w:rPr>
              <w:t>4.1</w:t>
            </w:r>
          </w:p>
        </w:tc>
        <w:tc>
          <w:tcPr>
            <w:tcW w:w="1191" w:type="dxa"/>
            <w:shd w:val="clear" w:color="auto" w:fill="auto"/>
            <w:vAlign w:val="bottom"/>
          </w:tcPr>
          <w:p w14:paraId="742C2570"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18"/>
              </w:rPr>
            </w:pPr>
            <w:r w:rsidRPr="00AD3D0D">
              <w:rPr>
                <w:rFonts w:cs="Arial"/>
                <w:b w:val="0"/>
                <w:color w:val="000000" w:themeColor="text1"/>
                <w:sz w:val="18"/>
                <w:szCs w:val="18"/>
              </w:rPr>
              <w:t>2.3</w:t>
            </w:r>
          </w:p>
        </w:tc>
        <w:tc>
          <w:tcPr>
            <w:tcW w:w="1191" w:type="dxa"/>
            <w:shd w:val="clear" w:color="auto" w:fill="auto"/>
            <w:vAlign w:val="bottom"/>
          </w:tcPr>
          <w:p w14:paraId="5CA51DCA"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2.0</w:t>
            </w:r>
          </w:p>
        </w:tc>
      </w:tr>
      <w:tr w:rsidR="00AD3D0D" w:rsidRPr="00AD3D0D" w14:paraId="689A3B4D" w14:textId="77777777" w:rsidTr="00A02C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25" w:type="dxa"/>
            <w:shd w:val="clear" w:color="auto" w:fill="C7E4F3" w:themeFill="accent1" w:themeFillTint="33"/>
            <w:vAlign w:val="bottom"/>
          </w:tcPr>
          <w:p w14:paraId="2B4337E4" w14:textId="77777777" w:rsidR="00AD6CD9" w:rsidRPr="00AD3D0D" w:rsidRDefault="00AD6CD9" w:rsidP="00916DD7">
            <w:pPr>
              <w:pStyle w:val="Body"/>
              <w:spacing w:before="40" w:after="40" w:line="240" w:lineRule="auto"/>
              <w:ind w:left="113"/>
              <w:jc w:val="left"/>
              <w:rPr>
                <w:rFonts w:cs="Arial"/>
                <w:b w:val="0"/>
                <w:bCs/>
                <w:color w:val="000000" w:themeColor="text1"/>
                <w:sz w:val="18"/>
                <w:szCs w:val="18"/>
              </w:rPr>
            </w:pPr>
            <w:r w:rsidRPr="00AD3D0D">
              <w:rPr>
                <w:rFonts w:cs="Arial"/>
                <w:b w:val="0"/>
                <w:color w:val="000000" w:themeColor="text1"/>
                <w:sz w:val="18"/>
                <w:szCs w:val="18"/>
              </w:rPr>
              <w:t>21 - 30 years</w:t>
            </w:r>
          </w:p>
        </w:tc>
        <w:tc>
          <w:tcPr>
            <w:tcW w:w="1191" w:type="dxa"/>
            <w:shd w:val="clear" w:color="auto" w:fill="C7E4F3" w:themeFill="accent1" w:themeFillTint="33"/>
            <w:vAlign w:val="bottom"/>
          </w:tcPr>
          <w:p w14:paraId="4CC40104"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22.0</w:t>
            </w:r>
          </w:p>
        </w:tc>
        <w:tc>
          <w:tcPr>
            <w:tcW w:w="1191" w:type="dxa"/>
            <w:shd w:val="clear" w:color="auto" w:fill="C7E4F3" w:themeFill="accent1" w:themeFillTint="33"/>
            <w:vAlign w:val="bottom"/>
          </w:tcPr>
          <w:p w14:paraId="1667D278"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5.2*</w:t>
            </w:r>
          </w:p>
        </w:tc>
        <w:tc>
          <w:tcPr>
            <w:tcW w:w="1191" w:type="dxa"/>
            <w:shd w:val="clear" w:color="auto" w:fill="C7E4F3" w:themeFill="accent1" w:themeFillTint="33"/>
            <w:vAlign w:val="bottom"/>
          </w:tcPr>
          <w:p w14:paraId="2801FB2B" w14:textId="77777777" w:rsidR="00AD6CD9" w:rsidRPr="00AD3D0D" w:rsidRDefault="00AD6CD9" w:rsidP="00916DD7">
            <w:pPr>
              <w:pStyle w:val="Body"/>
              <w:spacing w:before="40" w:after="4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18.2</w:t>
            </w:r>
          </w:p>
        </w:tc>
        <w:tc>
          <w:tcPr>
            <w:tcW w:w="1191" w:type="dxa"/>
            <w:shd w:val="clear" w:color="auto" w:fill="C7E4F3" w:themeFill="accent1" w:themeFillTint="33"/>
            <w:vAlign w:val="bottom"/>
          </w:tcPr>
          <w:p w14:paraId="6F0D7596"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12.5</w:t>
            </w:r>
          </w:p>
        </w:tc>
        <w:tc>
          <w:tcPr>
            <w:tcW w:w="1191" w:type="dxa"/>
            <w:shd w:val="clear" w:color="auto" w:fill="C7E4F3" w:themeFill="accent1" w:themeFillTint="33"/>
            <w:vAlign w:val="bottom"/>
          </w:tcPr>
          <w:p w14:paraId="7264FAF1"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18"/>
              </w:rPr>
            </w:pPr>
            <w:r w:rsidRPr="00AD3D0D">
              <w:rPr>
                <w:rFonts w:cs="Arial"/>
                <w:b w:val="0"/>
                <w:color w:val="000000" w:themeColor="text1"/>
                <w:sz w:val="18"/>
                <w:szCs w:val="18"/>
              </w:rPr>
              <w:t>19.0</w:t>
            </w:r>
          </w:p>
        </w:tc>
        <w:tc>
          <w:tcPr>
            <w:tcW w:w="1191" w:type="dxa"/>
            <w:shd w:val="clear" w:color="auto" w:fill="C7E4F3" w:themeFill="accent1" w:themeFillTint="33"/>
            <w:vAlign w:val="bottom"/>
          </w:tcPr>
          <w:p w14:paraId="26FBEEB5"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18"/>
              </w:rPr>
            </w:pPr>
            <w:r w:rsidRPr="00AD3D0D">
              <w:rPr>
                <w:rFonts w:cs="Arial"/>
                <w:b w:val="0"/>
                <w:color w:val="000000" w:themeColor="text1"/>
                <w:sz w:val="18"/>
                <w:szCs w:val="18"/>
              </w:rPr>
              <w:t>9.1</w:t>
            </w:r>
          </w:p>
        </w:tc>
        <w:tc>
          <w:tcPr>
            <w:tcW w:w="1191" w:type="dxa"/>
            <w:shd w:val="clear" w:color="auto" w:fill="C7E4F3" w:themeFill="accent1" w:themeFillTint="33"/>
            <w:vAlign w:val="bottom"/>
          </w:tcPr>
          <w:p w14:paraId="2A0152AC"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18"/>
              </w:rPr>
            </w:pPr>
            <w:r w:rsidRPr="00AD3D0D">
              <w:rPr>
                <w:rFonts w:cs="Arial"/>
                <w:b w:val="0"/>
                <w:color w:val="000000" w:themeColor="text1"/>
                <w:sz w:val="18"/>
                <w:szCs w:val="18"/>
              </w:rPr>
              <w:t>16.3</w:t>
            </w:r>
          </w:p>
        </w:tc>
        <w:tc>
          <w:tcPr>
            <w:tcW w:w="1191" w:type="dxa"/>
            <w:shd w:val="clear" w:color="auto" w:fill="C7E4F3" w:themeFill="accent1" w:themeFillTint="33"/>
            <w:vAlign w:val="bottom"/>
          </w:tcPr>
          <w:p w14:paraId="0FCD5DD0"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18"/>
              </w:rPr>
            </w:pPr>
            <w:r w:rsidRPr="00AD3D0D">
              <w:rPr>
                <w:rFonts w:cs="Arial"/>
                <w:b w:val="0"/>
                <w:color w:val="000000" w:themeColor="text1"/>
                <w:sz w:val="18"/>
                <w:szCs w:val="18"/>
              </w:rPr>
              <w:t>16.8</w:t>
            </w:r>
          </w:p>
        </w:tc>
        <w:tc>
          <w:tcPr>
            <w:tcW w:w="1191" w:type="dxa"/>
            <w:shd w:val="clear" w:color="auto" w:fill="C7E4F3" w:themeFill="accent1" w:themeFillTint="33"/>
            <w:vAlign w:val="bottom"/>
          </w:tcPr>
          <w:p w14:paraId="5494B96C"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14.7</w:t>
            </w:r>
          </w:p>
        </w:tc>
      </w:tr>
      <w:tr w:rsidR="00AD3D0D" w:rsidRPr="00AD3D0D" w14:paraId="31D984AB" w14:textId="77777777" w:rsidTr="00A02C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25" w:type="dxa"/>
            <w:shd w:val="clear" w:color="auto" w:fill="auto"/>
            <w:vAlign w:val="bottom"/>
          </w:tcPr>
          <w:p w14:paraId="7FE1D55B" w14:textId="77777777" w:rsidR="00AD6CD9" w:rsidRPr="00AD3D0D" w:rsidRDefault="00AD6CD9" w:rsidP="00916DD7">
            <w:pPr>
              <w:pStyle w:val="Body"/>
              <w:spacing w:before="40" w:after="40" w:line="240" w:lineRule="auto"/>
              <w:ind w:left="113"/>
              <w:jc w:val="left"/>
              <w:rPr>
                <w:rFonts w:cs="Arial"/>
                <w:b w:val="0"/>
                <w:bCs/>
                <w:color w:val="000000" w:themeColor="text1"/>
                <w:sz w:val="18"/>
                <w:szCs w:val="18"/>
              </w:rPr>
            </w:pPr>
            <w:r w:rsidRPr="00AD3D0D">
              <w:rPr>
                <w:rFonts w:cs="Arial"/>
                <w:b w:val="0"/>
                <w:color w:val="000000" w:themeColor="text1"/>
                <w:sz w:val="18"/>
                <w:szCs w:val="18"/>
              </w:rPr>
              <w:t>31 - 40 years</w:t>
            </w:r>
          </w:p>
        </w:tc>
        <w:tc>
          <w:tcPr>
            <w:tcW w:w="1191" w:type="dxa"/>
            <w:shd w:val="clear" w:color="auto" w:fill="auto"/>
            <w:vAlign w:val="bottom"/>
          </w:tcPr>
          <w:p w14:paraId="15C302D7"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22.7</w:t>
            </w:r>
          </w:p>
        </w:tc>
        <w:tc>
          <w:tcPr>
            <w:tcW w:w="1191" w:type="dxa"/>
            <w:shd w:val="clear" w:color="auto" w:fill="auto"/>
            <w:vAlign w:val="bottom"/>
          </w:tcPr>
          <w:p w14:paraId="7550B277"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17.7</w:t>
            </w:r>
          </w:p>
        </w:tc>
        <w:tc>
          <w:tcPr>
            <w:tcW w:w="1191" w:type="dxa"/>
            <w:shd w:val="clear" w:color="auto" w:fill="auto"/>
            <w:vAlign w:val="bottom"/>
          </w:tcPr>
          <w:p w14:paraId="33DB808F" w14:textId="77777777" w:rsidR="00AD6CD9" w:rsidRPr="00AD3D0D" w:rsidRDefault="00AD6CD9" w:rsidP="00916DD7">
            <w:pPr>
              <w:pStyle w:val="Body"/>
              <w:spacing w:before="40" w:after="4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14.3</w:t>
            </w:r>
          </w:p>
        </w:tc>
        <w:tc>
          <w:tcPr>
            <w:tcW w:w="1191" w:type="dxa"/>
            <w:shd w:val="clear" w:color="auto" w:fill="auto"/>
            <w:vAlign w:val="bottom"/>
          </w:tcPr>
          <w:p w14:paraId="06DFB536"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24.5</w:t>
            </w:r>
          </w:p>
        </w:tc>
        <w:tc>
          <w:tcPr>
            <w:tcW w:w="1191" w:type="dxa"/>
            <w:shd w:val="clear" w:color="auto" w:fill="auto"/>
            <w:vAlign w:val="bottom"/>
          </w:tcPr>
          <w:p w14:paraId="4F378220"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18"/>
              </w:rPr>
            </w:pPr>
            <w:r w:rsidRPr="00AD3D0D">
              <w:rPr>
                <w:rFonts w:cs="Arial"/>
                <w:b w:val="0"/>
                <w:color w:val="000000" w:themeColor="text1"/>
                <w:sz w:val="18"/>
                <w:szCs w:val="18"/>
              </w:rPr>
              <w:t>13.0</w:t>
            </w:r>
          </w:p>
        </w:tc>
        <w:tc>
          <w:tcPr>
            <w:tcW w:w="1191" w:type="dxa"/>
            <w:shd w:val="clear" w:color="auto" w:fill="auto"/>
            <w:vAlign w:val="bottom"/>
          </w:tcPr>
          <w:p w14:paraId="1F87F798"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18"/>
              </w:rPr>
            </w:pPr>
            <w:r w:rsidRPr="00AD3D0D">
              <w:rPr>
                <w:rFonts w:cs="Arial"/>
                <w:b w:val="0"/>
                <w:color w:val="000000" w:themeColor="text1"/>
                <w:sz w:val="18"/>
                <w:szCs w:val="18"/>
              </w:rPr>
              <w:t>15.6</w:t>
            </w:r>
          </w:p>
        </w:tc>
        <w:tc>
          <w:tcPr>
            <w:tcW w:w="1191" w:type="dxa"/>
            <w:shd w:val="clear" w:color="auto" w:fill="auto"/>
            <w:vAlign w:val="bottom"/>
          </w:tcPr>
          <w:p w14:paraId="3E324043"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18"/>
              </w:rPr>
            </w:pPr>
            <w:r w:rsidRPr="00AD3D0D">
              <w:rPr>
                <w:rFonts w:cs="Arial"/>
                <w:b w:val="0"/>
                <w:color w:val="000000" w:themeColor="text1"/>
                <w:sz w:val="18"/>
                <w:szCs w:val="18"/>
              </w:rPr>
              <w:t>16.8</w:t>
            </w:r>
          </w:p>
        </w:tc>
        <w:tc>
          <w:tcPr>
            <w:tcW w:w="1191" w:type="dxa"/>
            <w:shd w:val="clear" w:color="auto" w:fill="auto"/>
            <w:vAlign w:val="bottom"/>
          </w:tcPr>
          <w:p w14:paraId="28D80D1A"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18"/>
              </w:rPr>
            </w:pPr>
            <w:r w:rsidRPr="00AD3D0D">
              <w:rPr>
                <w:rFonts w:cs="Arial"/>
                <w:b w:val="0"/>
                <w:color w:val="000000" w:themeColor="text1"/>
                <w:sz w:val="18"/>
                <w:szCs w:val="18"/>
              </w:rPr>
              <w:t>16.2</w:t>
            </w:r>
          </w:p>
        </w:tc>
        <w:tc>
          <w:tcPr>
            <w:tcW w:w="1191" w:type="dxa"/>
            <w:shd w:val="clear" w:color="auto" w:fill="auto"/>
            <w:vAlign w:val="bottom"/>
          </w:tcPr>
          <w:p w14:paraId="037B7238"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17.2</w:t>
            </w:r>
          </w:p>
        </w:tc>
      </w:tr>
      <w:tr w:rsidR="00AD3D0D" w:rsidRPr="00AD3D0D" w14:paraId="55B8D7F0" w14:textId="77777777" w:rsidTr="00A02C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25" w:type="dxa"/>
            <w:shd w:val="clear" w:color="auto" w:fill="C7E4F3" w:themeFill="accent1" w:themeFillTint="33"/>
            <w:vAlign w:val="bottom"/>
          </w:tcPr>
          <w:p w14:paraId="00C3620D" w14:textId="77777777" w:rsidR="00AD6CD9" w:rsidRPr="00AD3D0D" w:rsidRDefault="00AD6CD9" w:rsidP="00916DD7">
            <w:pPr>
              <w:pStyle w:val="Body"/>
              <w:spacing w:before="40" w:after="40" w:line="240" w:lineRule="auto"/>
              <w:ind w:left="113"/>
              <w:jc w:val="left"/>
              <w:rPr>
                <w:rFonts w:cs="Arial"/>
                <w:b w:val="0"/>
                <w:bCs/>
                <w:color w:val="000000" w:themeColor="text1"/>
                <w:sz w:val="18"/>
                <w:szCs w:val="18"/>
              </w:rPr>
            </w:pPr>
            <w:r w:rsidRPr="00AD3D0D">
              <w:rPr>
                <w:rFonts w:cs="Arial"/>
                <w:b w:val="0"/>
                <w:color w:val="000000" w:themeColor="text1"/>
                <w:sz w:val="18"/>
                <w:szCs w:val="18"/>
              </w:rPr>
              <w:t>41 - 50 years</w:t>
            </w:r>
          </w:p>
        </w:tc>
        <w:tc>
          <w:tcPr>
            <w:tcW w:w="1191" w:type="dxa"/>
            <w:shd w:val="clear" w:color="auto" w:fill="C7E4F3" w:themeFill="accent1" w:themeFillTint="33"/>
            <w:vAlign w:val="bottom"/>
          </w:tcPr>
          <w:p w14:paraId="62953C9A"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24.1</w:t>
            </w:r>
          </w:p>
        </w:tc>
        <w:tc>
          <w:tcPr>
            <w:tcW w:w="1191" w:type="dxa"/>
            <w:shd w:val="clear" w:color="auto" w:fill="C7E4F3" w:themeFill="accent1" w:themeFillTint="33"/>
            <w:vAlign w:val="bottom"/>
          </w:tcPr>
          <w:p w14:paraId="1242BC69"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25.0</w:t>
            </w:r>
          </w:p>
        </w:tc>
        <w:tc>
          <w:tcPr>
            <w:tcW w:w="1191" w:type="dxa"/>
            <w:shd w:val="clear" w:color="auto" w:fill="C7E4F3" w:themeFill="accent1" w:themeFillTint="33"/>
            <w:vAlign w:val="bottom"/>
          </w:tcPr>
          <w:p w14:paraId="2542CCA2" w14:textId="77777777" w:rsidR="00AD6CD9" w:rsidRPr="00AD3D0D" w:rsidRDefault="00AD6CD9" w:rsidP="00916DD7">
            <w:pPr>
              <w:pStyle w:val="Body"/>
              <w:spacing w:before="40" w:after="4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20.8</w:t>
            </w:r>
          </w:p>
        </w:tc>
        <w:tc>
          <w:tcPr>
            <w:tcW w:w="1191" w:type="dxa"/>
            <w:shd w:val="clear" w:color="auto" w:fill="C7E4F3" w:themeFill="accent1" w:themeFillTint="33"/>
            <w:vAlign w:val="bottom"/>
          </w:tcPr>
          <w:p w14:paraId="0EB11714"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22.5</w:t>
            </w:r>
          </w:p>
        </w:tc>
        <w:tc>
          <w:tcPr>
            <w:tcW w:w="1191" w:type="dxa"/>
            <w:shd w:val="clear" w:color="auto" w:fill="C7E4F3" w:themeFill="accent1" w:themeFillTint="33"/>
            <w:vAlign w:val="bottom"/>
          </w:tcPr>
          <w:p w14:paraId="3ACF24E5"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18"/>
              </w:rPr>
            </w:pPr>
            <w:r w:rsidRPr="00AD3D0D">
              <w:rPr>
                <w:rFonts w:cs="Arial"/>
                <w:b w:val="0"/>
                <w:color w:val="000000" w:themeColor="text1"/>
                <w:sz w:val="18"/>
                <w:szCs w:val="18"/>
              </w:rPr>
              <w:t>23.2</w:t>
            </w:r>
          </w:p>
        </w:tc>
        <w:tc>
          <w:tcPr>
            <w:tcW w:w="1191" w:type="dxa"/>
            <w:shd w:val="clear" w:color="auto" w:fill="C7E4F3" w:themeFill="accent1" w:themeFillTint="33"/>
            <w:vAlign w:val="bottom"/>
          </w:tcPr>
          <w:p w14:paraId="37C73BBC"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18"/>
              </w:rPr>
            </w:pPr>
            <w:r w:rsidRPr="00AD3D0D">
              <w:rPr>
                <w:rFonts w:cs="Arial"/>
                <w:b w:val="0"/>
                <w:color w:val="000000" w:themeColor="text1"/>
                <w:sz w:val="18"/>
                <w:szCs w:val="18"/>
              </w:rPr>
              <w:t>29.6</w:t>
            </w:r>
          </w:p>
        </w:tc>
        <w:tc>
          <w:tcPr>
            <w:tcW w:w="1191" w:type="dxa"/>
            <w:shd w:val="clear" w:color="auto" w:fill="C7E4F3" w:themeFill="accent1" w:themeFillTint="33"/>
            <w:vAlign w:val="bottom"/>
          </w:tcPr>
          <w:p w14:paraId="714B6D44"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18"/>
              </w:rPr>
            </w:pPr>
            <w:r w:rsidRPr="00AD3D0D">
              <w:rPr>
                <w:rFonts w:cs="Arial"/>
                <w:b w:val="0"/>
                <w:color w:val="000000" w:themeColor="text1"/>
                <w:sz w:val="18"/>
                <w:szCs w:val="18"/>
              </w:rPr>
              <w:t>22.2</w:t>
            </w:r>
          </w:p>
        </w:tc>
        <w:tc>
          <w:tcPr>
            <w:tcW w:w="1191" w:type="dxa"/>
            <w:shd w:val="clear" w:color="auto" w:fill="C7E4F3" w:themeFill="accent1" w:themeFillTint="33"/>
            <w:vAlign w:val="bottom"/>
          </w:tcPr>
          <w:p w14:paraId="75ABBEF7"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18"/>
              </w:rPr>
            </w:pPr>
            <w:r w:rsidRPr="00AD3D0D">
              <w:rPr>
                <w:rFonts w:cs="Arial"/>
                <w:b w:val="0"/>
                <w:color w:val="000000" w:themeColor="text1"/>
                <w:sz w:val="18"/>
                <w:szCs w:val="18"/>
              </w:rPr>
              <w:t>24.1</w:t>
            </w:r>
          </w:p>
        </w:tc>
        <w:tc>
          <w:tcPr>
            <w:tcW w:w="1191" w:type="dxa"/>
            <w:shd w:val="clear" w:color="auto" w:fill="C7E4F3" w:themeFill="accent1" w:themeFillTint="33"/>
            <w:vAlign w:val="bottom"/>
          </w:tcPr>
          <w:p w14:paraId="58C9EDE9"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23.0</w:t>
            </w:r>
          </w:p>
        </w:tc>
      </w:tr>
      <w:tr w:rsidR="00AD3D0D" w:rsidRPr="00AD3D0D" w14:paraId="1DF748CC" w14:textId="77777777" w:rsidTr="00A02C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25" w:type="dxa"/>
            <w:shd w:val="clear" w:color="auto" w:fill="auto"/>
            <w:vAlign w:val="bottom"/>
          </w:tcPr>
          <w:p w14:paraId="2F40F94A" w14:textId="77777777" w:rsidR="00AD6CD9" w:rsidRPr="00AD3D0D" w:rsidRDefault="00AD6CD9" w:rsidP="00916DD7">
            <w:pPr>
              <w:pStyle w:val="Body"/>
              <w:spacing w:before="40" w:after="40" w:line="240" w:lineRule="auto"/>
              <w:ind w:left="113"/>
              <w:jc w:val="left"/>
              <w:rPr>
                <w:rFonts w:cs="Arial"/>
                <w:b w:val="0"/>
                <w:bCs/>
                <w:color w:val="000000" w:themeColor="text1"/>
                <w:sz w:val="18"/>
                <w:szCs w:val="18"/>
              </w:rPr>
            </w:pPr>
            <w:r w:rsidRPr="00AD3D0D">
              <w:rPr>
                <w:rFonts w:cs="Arial"/>
                <w:b w:val="0"/>
                <w:color w:val="000000" w:themeColor="text1"/>
                <w:sz w:val="18"/>
                <w:szCs w:val="18"/>
              </w:rPr>
              <w:t>51 - 60 years</w:t>
            </w:r>
          </w:p>
        </w:tc>
        <w:tc>
          <w:tcPr>
            <w:tcW w:w="1191" w:type="dxa"/>
            <w:shd w:val="clear" w:color="auto" w:fill="auto"/>
            <w:vAlign w:val="bottom"/>
          </w:tcPr>
          <w:p w14:paraId="6AA86352"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21.2</w:t>
            </w:r>
          </w:p>
        </w:tc>
        <w:tc>
          <w:tcPr>
            <w:tcW w:w="1191" w:type="dxa"/>
            <w:shd w:val="clear" w:color="auto" w:fill="auto"/>
            <w:vAlign w:val="bottom"/>
          </w:tcPr>
          <w:p w14:paraId="58F74004"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37.2**</w:t>
            </w:r>
          </w:p>
        </w:tc>
        <w:tc>
          <w:tcPr>
            <w:tcW w:w="1191" w:type="dxa"/>
            <w:shd w:val="clear" w:color="auto" w:fill="auto"/>
            <w:vAlign w:val="bottom"/>
          </w:tcPr>
          <w:p w14:paraId="205FC3A1" w14:textId="77777777" w:rsidR="00AD6CD9" w:rsidRPr="00AD3D0D" w:rsidRDefault="00AD6CD9" w:rsidP="00916DD7">
            <w:pPr>
              <w:pStyle w:val="Body"/>
              <w:spacing w:before="40" w:after="4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29.6</w:t>
            </w:r>
          </w:p>
        </w:tc>
        <w:tc>
          <w:tcPr>
            <w:tcW w:w="1191" w:type="dxa"/>
            <w:shd w:val="clear" w:color="auto" w:fill="auto"/>
            <w:vAlign w:val="bottom"/>
          </w:tcPr>
          <w:p w14:paraId="14E0B9BA"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24.8</w:t>
            </w:r>
          </w:p>
        </w:tc>
        <w:tc>
          <w:tcPr>
            <w:tcW w:w="1191" w:type="dxa"/>
            <w:shd w:val="clear" w:color="auto" w:fill="auto"/>
            <w:vAlign w:val="bottom"/>
          </w:tcPr>
          <w:p w14:paraId="0C41DDEE"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18"/>
              </w:rPr>
            </w:pPr>
            <w:r w:rsidRPr="00AD3D0D">
              <w:rPr>
                <w:rFonts w:cs="Arial"/>
                <w:b w:val="0"/>
                <w:color w:val="000000" w:themeColor="text1"/>
                <w:sz w:val="18"/>
                <w:szCs w:val="18"/>
              </w:rPr>
              <w:t>28.9</w:t>
            </w:r>
          </w:p>
        </w:tc>
        <w:tc>
          <w:tcPr>
            <w:tcW w:w="1191" w:type="dxa"/>
            <w:shd w:val="clear" w:color="auto" w:fill="auto"/>
            <w:vAlign w:val="bottom"/>
          </w:tcPr>
          <w:p w14:paraId="55EBA044"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18"/>
              </w:rPr>
            </w:pPr>
            <w:r w:rsidRPr="00AD3D0D">
              <w:rPr>
                <w:rFonts w:cs="Arial"/>
                <w:b w:val="0"/>
                <w:color w:val="000000" w:themeColor="text1"/>
                <w:sz w:val="18"/>
                <w:szCs w:val="18"/>
              </w:rPr>
              <w:t>34.8</w:t>
            </w:r>
          </w:p>
        </w:tc>
        <w:tc>
          <w:tcPr>
            <w:tcW w:w="1191" w:type="dxa"/>
            <w:shd w:val="clear" w:color="auto" w:fill="auto"/>
            <w:vAlign w:val="bottom"/>
          </w:tcPr>
          <w:p w14:paraId="4B70425E"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18"/>
              </w:rPr>
            </w:pPr>
            <w:r w:rsidRPr="00AD3D0D">
              <w:rPr>
                <w:rFonts w:cs="Arial"/>
                <w:b w:val="0"/>
                <w:color w:val="000000" w:themeColor="text1"/>
                <w:sz w:val="18"/>
                <w:szCs w:val="18"/>
              </w:rPr>
              <w:t>28.9</w:t>
            </w:r>
          </w:p>
        </w:tc>
        <w:tc>
          <w:tcPr>
            <w:tcW w:w="1191" w:type="dxa"/>
            <w:shd w:val="clear" w:color="auto" w:fill="auto"/>
            <w:vAlign w:val="bottom"/>
          </w:tcPr>
          <w:p w14:paraId="2CAEFF0B"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18"/>
              </w:rPr>
            </w:pPr>
            <w:r w:rsidRPr="00AD3D0D">
              <w:rPr>
                <w:rFonts w:cs="Arial"/>
                <w:b w:val="0"/>
                <w:color w:val="000000" w:themeColor="text1"/>
                <w:sz w:val="18"/>
                <w:szCs w:val="18"/>
              </w:rPr>
              <w:t>29.8</w:t>
            </w:r>
          </w:p>
        </w:tc>
        <w:tc>
          <w:tcPr>
            <w:tcW w:w="1191" w:type="dxa"/>
            <w:shd w:val="clear" w:color="auto" w:fill="auto"/>
            <w:vAlign w:val="bottom"/>
          </w:tcPr>
          <w:p w14:paraId="507B1C3E"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30.5</w:t>
            </w:r>
          </w:p>
        </w:tc>
      </w:tr>
      <w:tr w:rsidR="00AD3D0D" w:rsidRPr="00AD3D0D" w14:paraId="32433FBA" w14:textId="77777777" w:rsidTr="00A02C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25" w:type="dxa"/>
            <w:shd w:val="clear" w:color="auto" w:fill="C7E4F3" w:themeFill="accent1" w:themeFillTint="33"/>
            <w:vAlign w:val="bottom"/>
          </w:tcPr>
          <w:p w14:paraId="32B07E85" w14:textId="77777777" w:rsidR="00AD6CD9" w:rsidRPr="00AD3D0D" w:rsidRDefault="00AD6CD9" w:rsidP="00916DD7">
            <w:pPr>
              <w:pStyle w:val="Body"/>
              <w:spacing w:before="40" w:after="40" w:line="240" w:lineRule="auto"/>
              <w:ind w:left="113"/>
              <w:jc w:val="left"/>
              <w:rPr>
                <w:rFonts w:cs="Arial"/>
                <w:b w:val="0"/>
                <w:bCs/>
                <w:color w:val="000000" w:themeColor="text1"/>
                <w:sz w:val="18"/>
                <w:szCs w:val="18"/>
              </w:rPr>
            </w:pPr>
            <w:r w:rsidRPr="00AD3D0D">
              <w:rPr>
                <w:rFonts w:cs="Arial"/>
                <w:b w:val="0"/>
                <w:color w:val="000000" w:themeColor="text1"/>
                <w:sz w:val="18"/>
                <w:szCs w:val="18"/>
              </w:rPr>
              <w:t>61 - 79 years</w:t>
            </w:r>
          </w:p>
        </w:tc>
        <w:tc>
          <w:tcPr>
            <w:tcW w:w="1191" w:type="dxa"/>
            <w:shd w:val="clear" w:color="auto" w:fill="C7E4F3" w:themeFill="accent1" w:themeFillTint="33"/>
            <w:vAlign w:val="bottom"/>
          </w:tcPr>
          <w:p w14:paraId="37F287F0"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7.0</w:t>
            </w:r>
          </w:p>
        </w:tc>
        <w:tc>
          <w:tcPr>
            <w:tcW w:w="1191" w:type="dxa"/>
            <w:shd w:val="clear" w:color="auto" w:fill="C7E4F3" w:themeFill="accent1" w:themeFillTint="33"/>
            <w:vAlign w:val="bottom"/>
          </w:tcPr>
          <w:p w14:paraId="6E55D0EF"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14.9</w:t>
            </w:r>
          </w:p>
        </w:tc>
        <w:tc>
          <w:tcPr>
            <w:tcW w:w="1191" w:type="dxa"/>
            <w:shd w:val="clear" w:color="auto" w:fill="C7E4F3" w:themeFill="accent1" w:themeFillTint="33"/>
            <w:vAlign w:val="bottom"/>
          </w:tcPr>
          <w:p w14:paraId="6D3D5D5A" w14:textId="77777777" w:rsidR="00AD6CD9" w:rsidRPr="00AD3D0D" w:rsidRDefault="00AD6CD9" w:rsidP="00916DD7">
            <w:pPr>
              <w:pStyle w:val="Body"/>
              <w:spacing w:before="40" w:after="4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14.1</w:t>
            </w:r>
          </w:p>
        </w:tc>
        <w:tc>
          <w:tcPr>
            <w:tcW w:w="1191" w:type="dxa"/>
            <w:shd w:val="clear" w:color="auto" w:fill="C7E4F3" w:themeFill="accent1" w:themeFillTint="33"/>
            <w:vAlign w:val="bottom"/>
          </w:tcPr>
          <w:p w14:paraId="663341B3"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12.4</w:t>
            </w:r>
          </w:p>
        </w:tc>
        <w:tc>
          <w:tcPr>
            <w:tcW w:w="1191" w:type="dxa"/>
            <w:shd w:val="clear" w:color="auto" w:fill="C7E4F3" w:themeFill="accent1" w:themeFillTint="33"/>
            <w:vAlign w:val="bottom"/>
          </w:tcPr>
          <w:p w14:paraId="576C618B"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18"/>
              </w:rPr>
            </w:pPr>
            <w:r w:rsidRPr="00AD3D0D">
              <w:rPr>
                <w:rFonts w:cs="Arial"/>
                <w:b w:val="0"/>
                <w:color w:val="000000" w:themeColor="text1"/>
                <w:sz w:val="18"/>
                <w:szCs w:val="18"/>
              </w:rPr>
              <w:t>12.6</w:t>
            </w:r>
          </w:p>
        </w:tc>
        <w:tc>
          <w:tcPr>
            <w:tcW w:w="1191" w:type="dxa"/>
            <w:shd w:val="clear" w:color="auto" w:fill="C7E4F3" w:themeFill="accent1" w:themeFillTint="33"/>
            <w:vAlign w:val="bottom"/>
          </w:tcPr>
          <w:p w14:paraId="73E6F273"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18"/>
              </w:rPr>
            </w:pPr>
            <w:r w:rsidRPr="00AD3D0D">
              <w:rPr>
                <w:rFonts w:cs="Arial"/>
                <w:b w:val="0"/>
                <w:color w:val="000000" w:themeColor="text1"/>
                <w:sz w:val="18"/>
                <w:szCs w:val="18"/>
              </w:rPr>
              <w:t>9.6</w:t>
            </w:r>
          </w:p>
        </w:tc>
        <w:tc>
          <w:tcPr>
            <w:tcW w:w="1191" w:type="dxa"/>
            <w:shd w:val="clear" w:color="auto" w:fill="C7E4F3" w:themeFill="accent1" w:themeFillTint="33"/>
            <w:vAlign w:val="bottom"/>
          </w:tcPr>
          <w:p w14:paraId="7DF027A0"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18"/>
              </w:rPr>
            </w:pPr>
            <w:r w:rsidRPr="00AD3D0D">
              <w:rPr>
                <w:rFonts w:cs="Arial"/>
                <w:b w:val="0"/>
                <w:color w:val="000000" w:themeColor="text1"/>
                <w:sz w:val="18"/>
                <w:szCs w:val="18"/>
              </w:rPr>
              <w:t>11.7</w:t>
            </w:r>
          </w:p>
        </w:tc>
        <w:tc>
          <w:tcPr>
            <w:tcW w:w="1191" w:type="dxa"/>
            <w:shd w:val="clear" w:color="auto" w:fill="C7E4F3" w:themeFill="accent1" w:themeFillTint="33"/>
            <w:vAlign w:val="bottom"/>
          </w:tcPr>
          <w:p w14:paraId="012D1D17"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18"/>
              </w:rPr>
            </w:pPr>
            <w:r w:rsidRPr="00AD3D0D">
              <w:rPr>
                <w:rFonts w:cs="Arial"/>
                <w:b w:val="0"/>
                <w:color w:val="000000" w:themeColor="text1"/>
                <w:sz w:val="18"/>
                <w:szCs w:val="18"/>
              </w:rPr>
              <w:t>10.9</w:t>
            </w:r>
          </w:p>
        </w:tc>
        <w:tc>
          <w:tcPr>
            <w:tcW w:w="1191" w:type="dxa"/>
            <w:shd w:val="clear" w:color="auto" w:fill="C7E4F3" w:themeFill="accent1" w:themeFillTint="33"/>
            <w:vAlign w:val="bottom"/>
          </w:tcPr>
          <w:p w14:paraId="3AC1A77D"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12.7</w:t>
            </w:r>
          </w:p>
        </w:tc>
      </w:tr>
      <w:tr w:rsidR="00AD3D0D" w:rsidRPr="00AD3D0D" w14:paraId="3C4D93A6" w14:textId="77777777" w:rsidTr="00A02C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25" w:type="dxa"/>
            <w:shd w:val="clear" w:color="auto" w:fill="58AFDA" w:themeFill="accent1" w:themeFillTint="99"/>
            <w:vAlign w:val="center"/>
          </w:tcPr>
          <w:p w14:paraId="58F0954A" w14:textId="77777777" w:rsidR="00AD6CD9" w:rsidRPr="00AD3D0D" w:rsidRDefault="00AD6CD9" w:rsidP="00916DD7">
            <w:pPr>
              <w:pStyle w:val="Body"/>
              <w:spacing w:before="40" w:after="40" w:line="240" w:lineRule="auto"/>
              <w:jc w:val="left"/>
              <w:rPr>
                <w:rFonts w:cs="Arial"/>
                <w:bCs/>
                <w:color w:val="000000" w:themeColor="text1"/>
                <w:sz w:val="18"/>
                <w:szCs w:val="18"/>
              </w:rPr>
            </w:pPr>
            <w:r w:rsidRPr="00AD3D0D">
              <w:rPr>
                <w:rFonts w:cs="Arial"/>
                <w:bCs/>
                <w:color w:val="000000" w:themeColor="text1"/>
                <w:sz w:val="18"/>
                <w:szCs w:val="18"/>
                <w:lang w:eastAsia="en-AU"/>
              </w:rPr>
              <w:t>Cohort</w:t>
            </w:r>
          </w:p>
        </w:tc>
        <w:tc>
          <w:tcPr>
            <w:tcW w:w="1191" w:type="dxa"/>
            <w:shd w:val="clear" w:color="auto" w:fill="58AFDA" w:themeFill="accent1" w:themeFillTint="99"/>
            <w:vAlign w:val="bottom"/>
          </w:tcPr>
          <w:p w14:paraId="209C261B"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Cs/>
                <w:color w:val="000000" w:themeColor="text1"/>
                <w:sz w:val="18"/>
                <w:szCs w:val="18"/>
              </w:rPr>
            </w:pPr>
          </w:p>
        </w:tc>
        <w:tc>
          <w:tcPr>
            <w:tcW w:w="1191" w:type="dxa"/>
            <w:shd w:val="clear" w:color="auto" w:fill="58AFDA" w:themeFill="accent1" w:themeFillTint="99"/>
            <w:vAlign w:val="bottom"/>
          </w:tcPr>
          <w:p w14:paraId="216E94B4"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Cs/>
                <w:color w:val="000000" w:themeColor="text1"/>
                <w:sz w:val="18"/>
                <w:szCs w:val="18"/>
              </w:rPr>
            </w:pPr>
          </w:p>
        </w:tc>
        <w:tc>
          <w:tcPr>
            <w:tcW w:w="1191" w:type="dxa"/>
            <w:shd w:val="clear" w:color="auto" w:fill="58AFDA" w:themeFill="accent1" w:themeFillTint="99"/>
            <w:vAlign w:val="bottom"/>
          </w:tcPr>
          <w:p w14:paraId="2A4B8E64" w14:textId="77777777" w:rsidR="00AD6CD9" w:rsidRPr="00AD3D0D" w:rsidRDefault="00AD6CD9" w:rsidP="00916DD7">
            <w:pPr>
              <w:pStyle w:val="Body"/>
              <w:spacing w:before="40" w:after="4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Cs/>
                <w:color w:val="000000" w:themeColor="text1"/>
                <w:sz w:val="18"/>
                <w:szCs w:val="18"/>
              </w:rPr>
            </w:pPr>
          </w:p>
        </w:tc>
        <w:tc>
          <w:tcPr>
            <w:tcW w:w="1191" w:type="dxa"/>
            <w:shd w:val="clear" w:color="auto" w:fill="58AFDA" w:themeFill="accent1" w:themeFillTint="99"/>
            <w:vAlign w:val="bottom"/>
          </w:tcPr>
          <w:p w14:paraId="2FA2535E"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Cs/>
                <w:color w:val="000000" w:themeColor="text1"/>
                <w:sz w:val="18"/>
                <w:szCs w:val="18"/>
              </w:rPr>
            </w:pPr>
          </w:p>
        </w:tc>
        <w:tc>
          <w:tcPr>
            <w:tcW w:w="1191" w:type="dxa"/>
            <w:shd w:val="clear" w:color="auto" w:fill="58AFDA" w:themeFill="accent1" w:themeFillTint="99"/>
          </w:tcPr>
          <w:p w14:paraId="01650A1B"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22"/>
              </w:rPr>
            </w:pPr>
          </w:p>
        </w:tc>
        <w:tc>
          <w:tcPr>
            <w:tcW w:w="1191" w:type="dxa"/>
            <w:shd w:val="clear" w:color="auto" w:fill="58AFDA" w:themeFill="accent1" w:themeFillTint="99"/>
          </w:tcPr>
          <w:p w14:paraId="1C414FD4"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22"/>
              </w:rPr>
            </w:pPr>
          </w:p>
        </w:tc>
        <w:tc>
          <w:tcPr>
            <w:tcW w:w="1191" w:type="dxa"/>
            <w:shd w:val="clear" w:color="auto" w:fill="58AFDA" w:themeFill="accent1" w:themeFillTint="99"/>
          </w:tcPr>
          <w:p w14:paraId="10A03D54"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22"/>
              </w:rPr>
            </w:pPr>
          </w:p>
        </w:tc>
        <w:tc>
          <w:tcPr>
            <w:tcW w:w="1191" w:type="dxa"/>
            <w:shd w:val="clear" w:color="auto" w:fill="58AFDA" w:themeFill="accent1" w:themeFillTint="99"/>
          </w:tcPr>
          <w:p w14:paraId="6E5D7F2A"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22"/>
              </w:rPr>
            </w:pPr>
          </w:p>
        </w:tc>
        <w:tc>
          <w:tcPr>
            <w:tcW w:w="1191" w:type="dxa"/>
            <w:shd w:val="clear" w:color="auto" w:fill="58AFDA" w:themeFill="accent1" w:themeFillTint="99"/>
            <w:vAlign w:val="bottom"/>
          </w:tcPr>
          <w:p w14:paraId="13E466EF"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Cs/>
                <w:color w:val="000000" w:themeColor="text1"/>
                <w:sz w:val="18"/>
                <w:szCs w:val="18"/>
              </w:rPr>
            </w:pPr>
          </w:p>
        </w:tc>
      </w:tr>
      <w:tr w:rsidR="00AD3D0D" w:rsidRPr="00AD3D0D" w14:paraId="7CCC8114" w14:textId="77777777" w:rsidTr="00AD3D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25" w:type="dxa"/>
            <w:shd w:val="clear" w:color="auto" w:fill="C7E4F3" w:themeFill="accent1" w:themeFillTint="33"/>
          </w:tcPr>
          <w:p w14:paraId="07262352" w14:textId="77777777" w:rsidR="00AD6CD9" w:rsidRPr="00AD3D0D" w:rsidRDefault="00AD6CD9" w:rsidP="00916DD7">
            <w:pPr>
              <w:pStyle w:val="Body"/>
              <w:spacing w:before="40" w:after="40" w:line="240" w:lineRule="auto"/>
              <w:ind w:left="113"/>
              <w:jc w:val="left"/>
              <w:rPr>
                <w:rFonts w:cs="Arial"/>
                <w:b w:val="0"/>
                <w:bCs/>
                <w:color w:val="000000" w:themeColor="text1"/>
                <w:sz w:val="18"/>
                <w:szCs w:val="18"/>
              </w:rPr>
            </w:pPr>
            <w:r w:rsidRPr="00AD3D0D">
              <w:rPr>
                <w:rFonts w:cs="Arial"/>
                <w:b w:val="0"/>
                <w:bCs/>
                <w:color w:val="000000" w:themeColor="text1"/>
                <w:sz w:val="18"/>
                <w:szCs w:val="18"/>
              </w:rPr>
              <w:t>Historic</w:t>
            </w:r>
          </w:p>
        </w:tc>
        <w:tc>
          <w:tcPr>
            <w:tcW w:w="1191" w:type="dxa"/>
            <w:shd w:val="clear" w:color="auto" w:fill="C7E4F3" w:themeFill="accent1" w:themeFillTint="33"/>
            <w:vAlign w:val="bottom"/>
          </w:tcPr>
          <w:p w14:paraId="5D25B65D"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13.4**</w:t>
            </w:r>
          </w:p>
        </w:tc>
        <w:tc>
          <w:tcPr>
            <w:tcW w:w="1191" w:type="dxa"/>
            <w:shd w:val="clear" w:color="auto" w:fill="C7E4F3" w:themeFill="accent1" w:themeFillTint="33"/>
            <w:vAlign w:val="bottom"/>
          </w:tcPr>
          <w:p w14:paraId="0AD1E2C2"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4.4</w:t>
            </w:r>
          </w:p>
        </w:tc>
        <w:tc>
          <w:tcPr>
            <w:tcW w:w="1191" w:type="dxa"/>
            <w:shd w:val="clear" w:color="auto" w:fill="C7E4F3" w:themeFill="accent1" w:themeFillTint="33"/>
            <w:vAlign w:val="bottom"/>
          </w:tcPr>
          <w:p w14:paraId="30F4DF34" w14:textId="77777777" w:rsidR="00AD6CD9" w:rsidRPr="00AD3D0D" w:rsidRDefault="00AD6CD9" w:rsidP="00916DD7">
            <w:pPr>
              <w:pStyle w:val="Body"/>
              <w:spacing w:before="40" w:after="4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3.6*</w:t>
            </w:r>
          </w:p>
        </w:tc>
        <w:tc>
          <w:tcPr>
            <w:tcW w:w="1191" w:type="dxa"/>
            <w:shd w:val="clear" w:color="auto" w:fill="C7E4F3" w:themeFill="accent1" w:themeFillTint="33"/>
            <w:vAlign w:val="bottom"/>
          </w:tcPr>
          <w:p w14:paraId="3D23A69B"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6.9**</w:t>
            </w:r>
          </w:p>
        </w:tc>
        <w:tc>
          <w:tcPr>
            <w:tcW w:w="1191" w:type="dxa"/>
            <w:shd w:val="clear" w:color="auto" w:fill="C7E4F3" w:themeFill="accent1" w:themeFillTint="33"/>
            <w:vAlign w:val="bottom"/>
          </w:tcPr>
          <w:p w14:paraId="1BBB648C"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18"/>
              </w:rPr>
            </w:pPr>
            <w:r w:rsidRPr="00AD3D0D">
              <w:rPr>
                <w:rFonts w:cs="Arial"/>
                <w:b w:val="0"/>
                <w:color w:val="000000" w:themeColor="text1"/>
                <w:sz w:val="18"/>
                <w:szCs w:val="18"/>
              </w:rPr>
              <w:t>3.7*</w:t>
            </w:r>
          </w:p>
        </w:tc>
        <w:tc>
          <w:tcPr>
            <w:tcW w:w="1191" w:type="dxa"/>
            <w:shd w:val="clear" w:color="auto" w:fill="C7E4F3" w:themeFill="accent1" w:themeFillTint="33"/>
            <w:vAlign w:val="bottom"/>
          </w:tcPr>
          <w:p w14:paraId="7F0D1956"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18"/>
              </w:rPr>
            </w:pPr>
            <w:r w:rsidRPr="00AD3D0D">
              <w:rPr>
                <w:rFonts w:cs="Arial"/>
                <w:b w:val="0"/>
                <w:color w:val="000000" w:themeColor="text1"/>
                <w:sz w:val="18"/>
                <w:szCs w:val="18"/>
              </w:rPr>
              <w:t>13.3**</w:t>
            </w:r>
          </w:p>
        </w:tc>
        <w:tc>
          <w:tcPr>
            <w:tcW w:w="1191" w:type="dxa"/>
            <w:shd w:val="clear" w:color="auto" w:fill="C7E4F3" w:themeFill="accent1" w:themeFillTint="33"/>
            <w:vAlign w:val="bottom"/>
          </w:tcPr>
          <w:p w14:paraId="3491E736"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18"/>
              </w:rPr>
            </w:pPr>
            <w:r w:rsidRPr="00AD3D0D">
              <w:rPr>
                <w:rFonts w:cs="Arial"/>
                <w:b w:val="0"/>
                <w:color w:val="000000" w:themeColor="text1"/>
                <w:sz w:val="18"/>
                <w:szCs w:val="18"/>
              </w:rPr>
              <w:t>16.1**</w:t>
            </w:r>
          </w:p>
        </w:tc>
        <w:tc>
          <w:tcPr>
            <w:tcW w:w="1191" w:type="dxa"/>
            <w:shd w:val="clear" w:color="auto" w:fill="C7E4F3" w:themeFill="accent1" w:themeFillTint="33"/>
            <w:vAlign w:val="bottom"/>
          </w:tcPr>
          <w:p w14:paraId="5C5FDCE8"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18"/>
              </w:rPr>
            </w:pPr>
            <w:r w:rsidRPr="00AD3D0D">
              <w:rPr>
                <w:rFonts w:cs="Arial"/>
                <w:b w:val="0"/>
                <w:color w:val="000000" w:themeColor="text1"/>
                <w:sz w:val="18"/>
                <w:szCs w:val="18"/>
              </w:rPr>
              <w:t>5.0</w:t>
            </w:r>
          </w:p>
        </w:tc>
        <w:tc>
          <w:tcPr>
            <w:tcW w:w="1191" w:type="dxa"/>
            <w:shd w:val="clear" w:color="auto" w:fill="C7E4F3" w:themeFill="accent1" w:themeFillTint="33"/>
            <w:vAlign w:val="bottom"/>
          </w:tcPr>
          <w:p w14:paraId="64AA8566"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5.7**</w:t>
            </w:r>
          </w:p>
        </w:tc>
      </w:tr>
      <w:tr w:rsidR="00AD3D0D" w:rsidRPr="00AD3D0D" w14:paraId="4FEF2D21" w14:textId="77777777" w:rsidTr="00AD3D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25" w:type="dxa"/>
            <w:shd w:val="clear" w:color="auto" w:fill="auto"/>
            <w:vAlign w:val="center"/>
          </w:tcPr>
          <w:p w14:paraId="4C80D31A" w14:textId="77777777" w:rsidR="00AD6CD9" w:rsidRPr="00AD3D0D" w:rsidRDefault="00AD6CD9" w:rsidP="00916DD7">
            <w:pPr>
              <w:pStyle w:val="Body"/>
              <w:spacing w:before="40" w:after="40" w:line="240" w:lineRule="auto"/>
              <w:ind w:left="113"/>
              <w:jc w:val="left"/>
              <w:rPr>
                <w:rFonts w:cs="Arial"/>
                <w:bCs/>
                <w:color w:val="000000" w:themeColor="text1"/>
                <w:sz w:val="18"/>
                <w:szCs w:val="18"/>
              </w:rPr>
            </w:pPr>
            <w:r w:rsidRPr="00AD3D0D">
              <w:rPr>
                <w:rFonts w:cs="Arial"/>
                <w:bCs/>
                <w:color w:val="000000" w:themeColor="text1"/>
                <w:sz w:val="18"/>
                <w:szCs w:val="18"/>
              </w:rPr>
              <w:t>Balance</w:t>
            </w:r>
          </w:p>
        </w:tc>
        <w:tc>
          <w:tcPr>
            <w:tcW w:w="1191" w:type="dxa"/>
            <w:shd w:val="clear" w:color="auto" w:fill="auto"/>
            <w:vAlign w:val="bottom"/>
          </w:tcPr>
          <w:p w14:paraId="052F6996"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color w:val="000000" w:themeColor="text1"/>
                <w:sz w:val="18"/>
                <w:szCs w:val="18"/>
              </w:rPr>
              <w:t>86.6*</w:t>
            </w:r>
          </w:p>
        </w:tc>
        <w:tc>
          <w:tcPr>
            <w:tcW w:w="1191" w:type="dxa"/>
            <w:shd w:val="clear" w:color="auto" w:fill="auto"/>
            <w:vAlign w:val="bottom"/>
          </w:tcPr>
          <w:p w14:paraId="06F24A81"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color w:val="000000" w:themeColor="text1"/>
                <w:sz w:val="18"/>
                <w:szCs w:val="18"/>
              </w:rPr>
              <w:t>95.6</w:t>
            </w:r>
          </w:p>
        </w:tc>
        <w:tc>
          <w:tcPr>
            <w:tcW w:w="1191" w:type="dxa"/>
            <w:shd w:val="clear" w:color="auto" w:fill="auto"/>
            <w:vAlign w:val="bottom"/>
          </w:tcPr>
          <w:p w14:paraId="1820F462" w14:textId="77777777" w:rsidR="00AD6CD9" w:rsidRPr="00AD3D0D" w:rsidRDefault="00AD6CD9" w:rsidP="00916DD7">
            <w:pPr>
              <w:pStyle w:val="Body"/>
              <w:spacing w:before="40" w:after="4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color w:val="000000" w:themeColor="text1"/>
                <w:sz w:val="18"/>
                <w:szCs w:val="18"/>
              </w:rPr>
              <w:t>96.4**</w:t>
            </w:r>
          </w:p>
        </w:tc>
        <w:tc>
          <w:tcPr>
            <w:tcW w:w="1191" w:type="dxa"/>
            <w:shd w:val="clear" w:color="auto" w:fill="auto"/>
            <w:vAlign w:val="bottom"/>
          </w:tcPr>
          <w:p w14:paraId="434C0BF3"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color w:val="000000" w:themeColor="text1"/>
                <w:sz w:val="18"/>
                <w:szCs w:val="18"/>
              </w:rPr>
              <w:t>93.1*</w:t>
            </w:r>
          </w:p>
        </w:tc>
        <w:tc>
          <w:tcPr>
            <w:tcW w:w="1191" w:type="dxa"/>
            <w:shd w:val="clear" w:color="auto" w:fill="auto"/>
            <w:vAlign w:val="bottom"/>
          </w:tcPr>
          <w:p w14:paraId="57733388"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00AD3D0D">
              <w:rPr>
                <w:rFonts w:cs="Arial"/>
                <w:color w:val="000000" w:themeColor="text1"/>
                <w:sz w:val="18"/>
                <w:szCs w:val="18"/>
              </w:rPr>
              <w:t>96.3**</w:t>
            </w:r>
          </w:p>
        </w:tc>
        <w:tc>
          <w:tcPr>
            <w:tcW w:w="1191" w:type="dxa"/>
            <w:shd w:val="clear" w:color="auto" w:fill="auto"/>
            <w:vAlign w:val="bottom"/>
          </w:tcPr>
          <w:p w14:paraId="798CC278"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00AD3D0D">
              <w:rPr>
                <w:rFonts w:cs="Arial"/>
                <w:color w:val="000000" w:themeColor="text1"/>
                <w:sz w:val="18"/>
                <w:szCs w:val="18"/>
              </w:rPr>
              <w:t>86.7*</w:t>
            </w:r>
          </w:p>
        </w:tc>
        <w:tc>
          <w:tcPr>
            <w:tcW w:w="1191" w:type="dxa"/>
            <w:shd w:val="clear" w:color="auto" w:fill="auto"/>
            <w:vAlign w:val="bottom"/>
          </w:tcPr>
          <w:p w14:paraId="280D5C2C"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00AD3D0D">
              <w:rPr>
                <w:rFonts w:cs="Arial"/>
                <w:color w:val="000000" w:themeColor="text1"/>
                <w:sz w:val="18"/>
                <w:szCs w:val="18"/>
              </w:rPr>
              <w:t>83.9*</w:t>
            </w:r>
          </w:p>
        </w:tc>
        <w:tc>
          <w:tcPr>
            <w:tcW w:w="1191" w:type="dxa"/>
            <w:shd w:val="clear" w:color="auto" w:fill="auto"/>
            <w:vAlign w:val="bottom"/>
          </w:tcPr>
          <w:p w14:paraId="2395D116"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00AD3D0D">
              <w:rPr>
                <w:rFonts w:cs="Arial"/>
                <w:color w:val="000000" w:themeColor="text1"/>
                <w:sz w:val="18"/>
                <w:szCs w:val="18"/>
              </w:rPr>
              <w:t>95.0</w:t>
            </w:r>
          </w:p>
        </w:tc>
        <w:tc>
          <w:tcPr>
            <w:tcW w:w="1191" w:type="dxa"/>
            <w:shd w:val="clear" w:color="auto" w:fill="auto"/>
            <w:vAlign w:val="bottom"/>
          </w:tcPr>
          <w:p w14:paraId="45830F4F"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color w:val="000000" w:themeColor="text1"/>
                <w:sz w:val="18"/>
                <w:szCs w:val="18"/>
              </w:rPr>
              <w:t>94.3*</w:t>
            </w:r>
          </w:p>
        </w:tc>
      </w:tr>
      <w:tr w:rsidR="00AD3D0D" w:rsidRPr="00AD3D0D" w14:paraId="7B323CE7" w14:textId="77777777" w:rsidTr="00A02C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25" w:type="dxa"/>
            <w:shd w:val="clear" w:color="auto" w:fill="58AFDA" w:themeFill="accent1" w:themeFillTint="99"/>
          </w:tcPr>
          <w:p w14:paraId="25A32641" w14:textId="77777777" w:rsidR="00AD6CD9" w:rsidRPr="00AD3D0D" w:rsidRDefault="00AD6CD9" w:rsidP="00916DD7">
            <w:pPr>
              <w:pStyle w:val="Body"/>
              <w:spacing w:before="40" w:after="40" w:line="240" w:lineRule="auto"/>
              <w:jc w:val="left"/>
              <w:rPr>
                <w:rFonts w:cs="Arial"/>
                <w:bCs/>
                <w:color w:val="000000" w:themeColor="text1"/>
                <w:sz w:val="18"/>
                <w:szCs w:val="18"/>
              </w:rPr>
            </w:pPr>
            <w:r w:rsidRPr="00AD3D0D">
              <w:rPr>
                <w:rFonts w:cs="Arial"/>
                <w:bCs/>
                <w:color w:val="000000" w:themeColor="text1"/>
                <w:sz w:val="18"/>
                <w:szCs w:val="18"/>
                <w:lang w:eastAsia="en-AU"/>
              </w:rPr>
              <w:t>Employer size</w:t>
            </w:r>
          </w:p>
        </w:tc>
        <w:tc>
          <w:tcPr>
            <w:tcW w:w="1191" w:type="dxa"/>
            <w:shd w:val="clear" w:color="auto" w:fill="58AFDA" w:themeFill="accent1" w:themeFillTint="99"/>
            <w:vAlign w:val="bottom"/>
          </w:tcPr>
          <w:p w14:paraId="7EFF483A"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Cs/>
                <w:color w:val="000000" w:themeColor="text1"/>
                <w:sz w:val="18"/>
                <w:szCs w:val="18"/>
              </w:rPr>
            </w:pPr>
          </w:p>
        </w:tc>
        <w:tc>
          <w:tcPr>
            <w:tcW w:w="1191" w:type="dxa"/>
            <w:shd w:val="clear" w:color="auto" w:fill="58AFDA" w:themeFill="accent1" w:themeFillTint="99"/>
            <w:vAlign w:val="bottom"/>
          </w:tcPr>
          <w:p w14:paraId="2282D740"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Cs/>
                <w:color w:val="000000" w:themeColor="text1"/>
                <w:sz w:val="18"/>
                <w:szCs w:val="18"/>
              </w:rPr>
            </w:pPr>
          </w:p>
        </w:tc>
        <w:tc>
          <w:tcPr>
            <w:tcW w:w="1191" w:type="dxa"/>
            <w:shd w:val="clear" w:color="auto" w:fill="58AFDA" w:themeFill="accent1" w:themeFillTint="99"/>
            <w:vAlign w:val="bottom"/>
          </w:tcPr>
          <w:p w14:paraId="10888799" w14:textId="77777777" w:rsidR="00AD6CD9" w:rsidRPr="00AD3D0D" w:rsidRDefault="00AD6CD9" w:rsidP="00916DD7">
            <w:pPr>
              <w:pStyle w:val="Body"/>
              <w:spacing w:before="40" w:after="4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Cs/>
                <w:color w:val="000000" w:themeColor="text1"/>
                <w:sz w:val="18"/>
                <w:szCs w:val="18"/>
              </w:rPr>
            </w:pPr>
          </w:p>
        </w:tc>
        <w:tc>
          <w:tcPr>
            <w:tcW w:w="1191" w:type="dxa"/>
            <w:shd w:val="clear" w:color="auto" w:fill="58AFDA" w:themeFill="accent1" w:themeFillTint="99"/>
            <w:vAlign w:val="bottom"/>
          </w:tcPr>
          <w:p w14:paraId="60C6A7C9"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Cs/>
                <w:color w:val="000000" w:themeColor="text1"/>
                <w:sz w:val="18"/>
                <w:szCs w:val="18"/>
              </w:rPr>
            </w:pPr>
          </w:p>
        </w:tc>
        <w:tc>
          <w:tcPr>
            <w:tcW w:w="1191" w:type="dxa"/>
            <w:shd w:val="clear" w:color="auto" w:fill="58AFDA" w:themeFill="accent1" w:themeFillTint="99"/>
          </w:tcPr>
          <w:p w14:paraId="401FB47E"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22"/>
              </w:rPr>
            </w:pPr>
          </w:p>
        </w:tc>
        <w:tc>
          <w:tcPr>
            <w:tcW w:w="1191" w:type="dxa"/>
            <w:shd w:val="clear" w:color="auto" w:fill="58AFDA" w:themeFill="accent1" w:themeFillTint="99"/>
          </w:tcPr>
          <w:p w14:paraId="1B5C23E3"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22"/>
              </w:rPr>
            </w:pPr>
          </w:p>
        </w:tc>
        <w:tc>
          <w:tcPr>
            <w:tcW w:w="1191" w:type="dxa"/>
            <w:shd w:val="clear" w:color="auto" w:fill="58AFDA" w:themeFill="accent1" w:themeFillTint="99"/>
          </w:tcPr>
          <w:p w14:paraId="38D97456"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22"/>
              </w:rPr>
            </w:pPr>
          </w:p>
        </w:tc>
        <w:tc>
          <w:tcPr>
            <w:tcW w:w="1191" w:type="dxa"/>
            <w:shd w:val="clear" w:color="auto" w:fill="58AFDA" w:themeFill="accent1" w:themeFillTint="99"/>
          </w:tcPr>
          <w:p w14:paraId="0950DBEA"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22"/>
              </w:rPr>
            </w:pPr>
          </w:p>
        </w:tc>
        <w:tc>
          <w:tcPr>
            <w:tcW w:w="1191" w:type="dxa"/>
            <w:shd w:val="clear" w:color="auto" w:fill="58AFDA" w:themeFill="accent1" w:themeFillTint="99"/>
            <w:vAlign w:val="bottom"/>
          </w:tcPr>
          <w:p w14:paraId="7E115D39"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Cs/>
                <w:color w:val="000000" w:themeColor="text1"/>
                <w:sz w:val="18"/>
                <w:szCs w:val="18"/>
              </w:rPr>
            </w:pPr>
          </w:p>
        </w:tc>
      </w:tr>
      <w:tr w:rsidR="00AD3D0D" w:rsidRPr="00AD3D0D" w14:paraId="58E5372D" w14:textId="77777777" w:rsidTr="00AD3D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25" w:type="dxa"/>
            <w:shd w:val="clear" w:color="auto" w:fill="C7E4F3" w:themeFill="accent1" w:themeFillTint="33"/>
            <w:vAlign w:val="center"/>
          </w:tcPr>
          <w:p w14:paraId="51576B05" w14:textId="77777777" w:rsidR="00AD6CD9" w:rsidRPr="00AD3D0D" w:rsidRDefault="00AD6CD9" w:rsidP="00916DD7">
            <w:pPr>
              <w:pStyle w:val="Body"/>
              <w:spacing w:before="40" w:after="40" w:line="240" w:lineRule="auto"/>
              <w:ind w:left="113"/>
              <w:jc w:val="left"/>
              <w:rPr>
                <w:rFonts w:cs="Arial"/>
                <w:b w:val="0"/>
                <w:bCs/>
                <w:color w:val="000000" w:themeColor="text1"/>
                <w:sz w:val="18"/>
                <w:szCs w:val="18"/>
              </w:rPr>
            </w:pPr>
            <w:r w:rsidRPr="00AD3D0D">
              <w:rPr>
                <w:rFonts w:cs="Arial"/>
                <w:b w:val="0"/>
                <w:color w:val="000000" w:themeColor="text1"/>
                <w:sz w:val="18"/>
                <w:szCs w:val="18"/>
                <w:lang w:eastAsia="en-AU"/>
              </w:rPr>
              <w:t>Small (Less than $1m)</w:t>
            </w:r>
          </w:p>
        </w:tc>
        <w:tc>
          <w:tcPr>
            <w:tcW w:w="1191" w:type="dxa"/>
            <w:shd w:val="clear" w:color="auto" w:fill="C7E4F3" w:themeFill="accent1" w:themeFillTint="33"/>
            <w:vAlign w:val="bottom"/>
          </w:tcPr>
          <w:p w14:paraId="21B17775"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24.3</w:t>
            </w:r>
          </w:p>
        </w:tc>
        <w:tc>
          <w:tcPr>
            <w:tcW w:w="1191" w:type="dxa"/>
            <w:shd w:val="clear" w:color="auto" w:fill="C7E4F3" w:themeFill="accent1" w:themeFillTint="33"/>
            <w:vAlign w:val="bottom"/>
          </w:tcPr>
          <w:p w14:paraId="304098C6"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w:t>
            </w:r>
          </w:p>
        </w:tc>
        <w:tc>
          <w:tcPr>
            <w:tcW w:w="1191" w:type="dxa"/>
            <w:shd w:val="clear" w:color="auto" w:fill="C7E4F3" w:themeFill="accent1" w:themeFillTint="33"/>
            <w:vAlign w:val="bottom"/>
          </w:tcPr>
          <w:p w14:paraId="3931B288" w14:textId="77777777" w:rsidR="00AD6CD9" w:rsidRPr="00AD3D0D" w:rsidRDefault="00AD6CD9" w:rsidP="00916DD7">
            <w:pPr>
              <w:pStyle w:val="Body"/>
              <w:spacing w:before="40" w:after="4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35.6**</w:t>
            </w:r>
          </w:p>
        </w:tc>
        <w:tc>
          <w:tcPr>
            <w:tcW w:w="1191" w:type="dxa"/>
            <w:shd w:val="clear" w:color="auto" w:fill="C7E4F3" w:themeFill="accent1" w:themeFillTint="33"/>
            <w:vAlign w:val="bottom"/>
          </w:tcPr>
          <w:p w14:paraId="429AD3A3"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w:t>
            </w:r>
          </w:p>
        </w:tc>
        <w:tc>
          <w:tcPr>
            <w:tcW w:w="1191" w:type="dxa"/>
            <w:shd w:val="clear" w:color="auto" w:fill="C7E4F3" w:themeFill="accent1" w:themeFillTint="33"/>
            <w:vAlign w:val="bottom"/>
          </w:tcPr>
          <w:p w14:paraId="48B5F1F3"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18"/>
              </w:rPr>
            </w:pPr>
            <w:r w:rsidRPr="00AD3D0D">
              <w:rPr>
                <w:rFonts w:cs="Arial"/>
                <w:b w:val="0"/>
                <w:color w:val="000000" w:themeColor="text1"/>
                <w:sz w:val="18"/>
                <w:szCs w:val="18"/>
              </w:rPr>
              <w:t>23.9</w:t>
            </w:r>
          </w:p>
        </w:tc>
        <w:tc>
          <w:tcPr>
            <w:tcW w:w="1191" w:type="dxa"/>
            <w:shd w:val="clear" w:color="auto" w:fill="C7E4F3" w:themeFill="accent1" w:themeFillTint="33"/>
            <w:vAlign w:val="bottom"/>
          </w:tcPr>
          <w:p w14:paraId="070FDA09"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18"/>
              </w:rPr>
            </w:pPr>
            <w:r w:rsidRPr="00AD3D0D">
              <w:rPr>
                <w:rFonts w:cs="Arial"/>
                <w:b w:val="0"/>
                <w:color w:val="000000" w:themeColor="text1"/>
                <w:sz w:val="18"/>
                <w:szCs w:val="18"/>
              </w:rPr>
              <w:t>1.4*</w:t>
            </w:r>
          </w:p>
        </w:tc>
        <w:tc>
          <w:tcPr>
            <w:tcW w:w="1191" w:type="dxa"/>
            <w:shd w:val="clear" w:color="auto" w:fill="C7E4F3" w:themeFill="accent1" w:themeFillTint="33"/>
            <w:vAlign w:val="bottom"/>
          </w:tcPr>
          <w:p w14:paraId="062C4E2F"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18"/>
              </w:rPr>
            </w:pPr>
            <w:r w:rsidRPr="00AD3D0D">
              <w:rPr>
                <w:rFonts w:cs="Arial"/>
                <w:b w:val="0"/>
                <w:color w:val="000000" w:themeColor="text1"/>
                <w:sz w:val="18"/>
                <w:szCs w:val="18"/>
              </w:rPr>
              <w:t>31.6**</w:t>
            </w:r>
          </w:p>
        </w:tc>
        <w:tc>
          <w:tcPr>
            <w:tcW w:w="1191" w:type="dxa"/>
            <w:shd w:val="clear" w:color="auto" w:fill="C7E4F3" w:themeFill="accent1" w:themeFillTint="33"/>
            <w:vAlign w:val="bottom"/>
          </w:tcPr>
          <w:p w14:paraId="6CC01C6A"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18"/>
              </w:rPr>
            </w:pPr>
            <w:r w:rsidRPr="00AD3D0D">
              <w:rPr>
                <w:rFonts w:cs="Arial"/>
                <w:b w:val="0"/>
                <w:color w:val="000000" w:themeColor="text1"/>
                <w:sz w:val="18"/>
                <w:szCs w:val="18"/>
              </w:rPr>
              <w:t>23.1</w:t>
            </w:r>
          </w:p>
        </w:tc>
        <w:tc>
          <w:tcPr>
            <w:tcW w:w="1191" w:type="dxa"/>
            <w:shd w:val="clear" w:color="auto" w:fill="C7E4F3" w:themeFill="accent1" w:themeFillTint="33"/>
            <w:vAlign w:val="bottom"/>
          </w:tcPr>
          <w:p w14:paraId="210F0951"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16.2*</w:t>
            </w:r>
          </w:p>
        </w:tc>
      </w:tr>
      <w:tr w:rsidR="00AD3D0D" w:rsidRPr="00AD3D0D" w14:paraId="1BF11606" w14:textId="77777777" w:rsidTr="00AD3D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25" w:type="dxa"/>
            <w:shd w:val="clear" w:color="auto" w:fill="auto"/>
          </w:tcPr>
          <w:p w14:paraId="6C828F83" w14:textId="77777777" w:rsidR="00AD6CD9" w:rsidRPr="00AD3D0D" w:rsidRDefault="00AD6CD9" w:rsidP="00916DD7">
            <w:pPr>
              <w:pStyle w:val="Body"/>
              <w:spacing w:before="40" w:after="40" w:line="240" w:lineRule="auto"/>
              <w:ind w:left="113"/>
              <w:jc w:val="left"/>
              <w:rPr>
                <w:rFonts w:cs="Arial"/>
                <w:b w:val="0"/>
                <w:bCs/>
                <w:color w:val="000000" w:themeColor="text1"/>
                <w:sz w:val="18"/>
                <w:szCs w:val="18"/>
              </w:rPr>
            </w:pPr>
            <w:r w:rsidRPr="00AD3D0D">
              <w:rPr>
                <w:rFonts w:cs="Arial"/>
                <w:b w:val="0"/>
                <w:color w:val="000000" w:themeColor="text1"/>
                <w:sz w:val="18"/>
                <w:szCs w:val="18"/>
                <w:lang w:eastAsia="en-AU"/>
              </w:rPr>
              <w:t>Medium (Between $1m and less than $20m)</w:t>
            </w:r>
          </w:p>
        </w:tc>
        <w:tc>
          <w:tcPr>
            <w:tcW w:w="1191" w:type="dxa"/>
            <w:shd w:val="clear" w:color="auto" w:fill="auto"/>
            <w:vAlign w:val="bottom"/>
          </w:tcPr>
          <w:p w14:paraId="67C89072"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52.0**</w:t>
            </w:r>
          </w:p>
        </w:tc>
        <w:tc>
          <w:tcPr>
            <w:tcW w:w="1191" w:type="dxa"/>
            <w:shd w:val="clear" w:color="auto" w:fill="auto"/>
            <w:vAlign w:val="bottom"/>
          </w:tcPr>
          <w:p w14:paraId="145A48FF"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w:t>
            </w:r>
          </w:p>
        </w:tc>
        <w:tc>
          <w:tcPr>
            <w:tcW w:w="1191" w:type="dxa"/>
            <w:shd w:val="clear" w:color="auto" w:fill="auto"/>
            <w:vAlign w:val="bottom"/>
          </w:tcPr>
          <w:p w14:paraId="66AF2179" w14:textId="77777777" w:rsidR="00AD6CD9" w:rsidRPr="00AD3D0D" w:rsidRDefault="00AD6CD9" w:rsidP="00916DD7">
            <w:pPr>
              <w:pStyle w:val="Body"/>
              <w:spacing w:before="40" w:after="4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38.8</w:t>
            </w:r>
          </w:p>
        </w:tc>
        <w:tc>
          <w:tcPr>
            <w:tcW w:w="1191" w:type="dxa"/>
            <w:shd w:val="clear" w:color="auto" w:fill="auto"/>
            <w:vAlign w:val="bottom"/>
          </w:tcPr>
          <w:p w14:paraId="67A3F9B1"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w:t>
            </w:r>
          </w:p>
        </w:tc>
        <w:tc>
          <w:tcPr>
            <w:tcW w:w="1191" w:type="dxa"/>
            <w:shd w:val="clear" w:color="auto" w:fill="auto"/>
            <w:vAlign w:val="bottom"/>
          </w:tcPr>
          <w:p w14:paraId="18AEFA3B"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18"/>
              </w:rPr>
            </w:pPr>
            <w:r w:rsidRPr="00AD3D0D">
              <w:rPr>
                <w:rFonts w:cs="Arial"/>
                <w:b w:val="0"/>
                <w:color w:val="000000" w:themeColor="text1"/>
                <w:sz w:val="18"/>
                <w:szCs w:val="18"/>
              </w:rPr>
              <w:t>34.4</w:t>
            </w:r>
          </w:p>
        </w:tc>
        <w:tc>
          <w:tcPr>
            <w:tcW w:w="1191" w:type="dxa"/>
            <w:shd w:val="clear" w:color="auto" w:fill="auto"/>
            <w:vAlign w:val="bottom"/>
          </w:tcPr>
          <w:p w14:paraId="0BC277BD"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18"/>
              </w:rPr>
            </w:pPr>
            <w:r w:rsidRPr="00AD3D0D">
              <w:rPr>
                <w:rFonts w:cs="Arial"/>
                <w:b w:val="0"/>
                <w:color w:val="000000" w:themeColor="text1"/>
                <w:sz w:val="18"/>
                <w:szCs w:val="18"/>
              </w:rPr>
              <w:t>35.9</w:t>
            </w:r>
          </w:p>
        </w:tc>
        <w:tc>
          <w:tcPr>
            <w:tcW w:w="1191" w:type="dxa"/>
            <w:shd w:val="clear" w:color="auto" w:fill="auto"/>
            <w:vAlign w:val="bottom"/>
          </w:tcPr>
          <w:p w14:paraId="3E783A05"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18"/>
              </w:rPr>
            </w:pPr>
            <w:r w:rsidRPr="00AD3D0D">
              <w:rPr>
                <w:rFonts w:cs="Arial"/>
                <w:b w:val="0"/>
                <w:color w:val="000000" w:themeColor="text1"/>
                <w:sz w:val="18"/>
                <w:szCs w:val="18"/>
              </w:rPr>
              <w:t>44.5**</w:t>
            </w:r>
          </w:p>
        </w:tc>
        <w:tc>
          <w:tcPr>
            <w:tcW w:w="1191" w:type="dxa"/>
            <w:shd w:val="clear" w:color="auto" w:fill="auto"/>
            <w:vAlign w:val="bottom"/>
          </w:tcPr>
          <w:p w14:paraId="255699AD"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18"/>
              </w:rPr>
            </w:pPr>
            <w:r w:rsidRPr="00AD3D0D">
              <w:rPr>
                <w:rFonts w:cs="Arial"/>
                <w:b w:val="0"/>
                <w:color w:val="000000" w:themeColor="text1"/>
                <w:sz w:val="18"/>
                <w:szCs w:val="18"/>
              </w:rPr>
              <w:t>24.7*</w:t>
            </w:r>
          </w:p>
        </w:tc>
        <w:tc>
          <w:tcPr>
            <w:tcW w:w="1191" w:type="dxa"/>
            <w:shd w:val="clear" w:color="auto" w:fill="auto"/>
            <w:vAlign w:val="bottom"/>
          </w:tcPr>
          <w:p w14:paraId="06523CBF"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33.9</w:t>
            </w:r>
          </w:p>
        </w:tc>
      </w:tr>
      <w:tr w:rsidR="00AD3D0D" w:rsidRPr="00AD3D0D" w14:paraId="1239E4DC" w14:textId="77777777" w:rsidTr="00AD3D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25" w:type="dxa"/>
            <w:shd w:val="clear" w:color="auto" w:fill="C7E4F3" w:themeFill="accent1" w:themeFillTint="33"/>
            <w:vAlign w:val="center"/>
          </w:tcPr>
          <w:p w14:paraId="0AE6A539" w14:textId="77777777" w:rsidR="00AD6CD9" w:rsidRPr="00AD3D0D" w:rsidRDefault="00AD6CD9" w:rsidP="00916DD7">
            <w:pPr>
              <w:pStyle w:val="Body"/>
              <w:spacing w:before="40" w:after="40" w:line="240" w:lineRule="auto"/>
              <w:ind w:left="113"/>
              <w:jc w:val="left"/>
              <w:rPr>
                <w:rFonts w:cs="Arial"/>
                <w:b w:val="0"/>
                <w:bCs/>
                <w:color w:val="000000" w:themeColor="text1"/>
                <w:sz w:val="18"/>
                <w:szCs w:val="18"/>
              </w:rPr>
            </w:pPr>
            <w:r w:rsidRPr="00AD3D0D">
              <w:rPr>
                <w:rFonts w:cs="Arial"/>
                <w:b w:val="0"/>
                <w:color w:val="000000" w:themeColor="text1"/>
                <w:sz w:val="18"/>
                <w:szCs w:val="18"/>
                <w:lang w:eastAsia="en-AU"/>
              </w:rPr>
              <w:t>Large ($20m or more)</w:t>
            </w:r>
          </w:p>
        </w:tc>
        <w:tc>
          <w:tcPr>
            <w:tcW w:w="1191" w:type="dxa"/>
            <w:shd w:val="clear" w:color="auto" w:fill="C7E4F3" w:themeFill="accent1" w:themeFillTint="33"/>
            <w:vAlign w:val="bottom"/>
          </w:tcPr>
          <w:p w14:paraId="4D5D224B"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23.7*</w:t>
            </w:r>
          </w:p>
        </w:tc>
        <w:tc>
          <w:tcPr>
            <w:tcW w:w="1191" w:type="dxa"/>
            <w:shd w:val="clear" w:color="auto" w:fill="C7E4F3" w:themeFill="accent1" w:themeFillTint="33"/>
            <w:vAlign w:val="bottom"/>
          </w:tcPr>
          <w:p w14:paraId="08F985FE"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w:t>
            </w:r>
          </w:p>
        </w:tc>
        <w:tc>
          <w:tcPr>
            <w:tcW w:w="1191" w:type="dxa"/>
            <w:shd w:val="clear" w:color="auto" w:fill="C7E4F3" w:themeFill="accent1" w:themeFillTint="33"/>
            <w:vAlign w:val="bottom"/>
          </w:tcPr>
          <w:p w14:paraId="67962694" w14:textId="77777777" w:rsidR="00AD6CD9" w:rsidRPr="00AD3D0D" w:rsidRDefault="00AD6CD9" w:rsidP="00916DD7">
            <w:pPr>
              <w:pStyle w:val="Body"/>
              <w:spacing w:before="40" w:after="4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25.6*</w:t>
            </w:r>
          </w:p>
        </w:tc>
        <w:tc>
          <w:tcPr>
            <w:tcW w:w="1191" w:type="dxa"/>
            <w:shd w:val="clear" w:color="auto" w:fill="C7E4F3" w:themeFill="accent1" w:themeFillTint="33"/>
            <w:vAlign w:val="bottom"/>
          </w:tcPr>
          <w:p w14:paraId="0652FCA5"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w:t>
            </w:r>
          </w:p>
        </w:tc>
        <w:tc>
          <w:tcPr>
            <w:tcW w:w="1191" w:type="dxa"/>
            <w:shd w:val="clear" w:color="auto" w:fill="C7E4F3" w:themeFill="accent1" w:themeFillTint="33"/>
            <w:vAlign w:val="bottom"/>
          </w:tcPr>
          <w:p w14:paraId="38B3099A"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18"/>
              </w:rPr>
            </w:pPr>
            <w:r w:rsidRPr="00AD3D0D">
              <w:rPr>
                <w:rFonts w:cs="Arial"/>
                <w:b w:val="0"/>
                <w:color w:val="000000" w:themeColor="text1"/>
                <w:sz w:val="18"/>
                <w:szCs w:val="18"/>
              </w:rPr>
              <w:t>41.7</w:t>
            </w:r>
          </w:p>
        </w:tc>
        <w:tc>
          <w:tcPr>
            <w:tcW w:w="1191" w:type="dxa"/>
            <w:shd w:val="clear" w:color="auto" w:fill="C7E4F3" w:themeFill="accent1" w:themeFillTint="33"/>
            <w:vAlign w:val="bottom"/>
          </w:tcPr>
          <w:p w14:paraId="4784339C"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18"/>
              </w:rPr>
            </w:pPr>
            <w:r w:rsidRPr="00AD3D0D">
              <w:rPr>
                <w:rFonts w:cs="Arial"/>
                <w:b w:val="0"/>
                <w:color w:val="000000" w:themeColor="text1"/>
                <w:sz w:val="18"/>
                <w:szCs w:val="18"/>
              </w:rPr>
              <w:t>62.6**</w:t>
            </w:r>
          </w:p>
        </w:tc>
        <w:tc>
          <w:tcPr>
            <w:tcW w:w="1191" w:type="dxa"/>
            <w:shd w:val="clear" w:color="auto" w:fill="C7E4F3" w:themeFill="accent1" w:themeFillTint="33"/>
            <w:vAlign w:val="bottom"/>
          </w:tcPr>
          <w:p w14:paraId="35BCB945"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18"/>
              </w:rPr>
            </w:pPr>
            <w:r w:rsidRPr="00AD3D0D">
              <w:rPr>
                <w:rFonts w:cs="Arial"/>
                <w:b w:val="0"/>
                <w:color w:val="000000" w:themeColor="text1"/>
                <w:sz w:val="18"/>
                <w:szCs w:val="18"/>
              </w:rPr>
              <w:t>23.9*</w:t>
            </w:r>
          </w:p>
        </w:tc>
        <w:tc>
          <w:tcPr>
            <w:tcW w:w="1191" w:type="dxa"/>
            <w:shd w:val="clear" w:color="auto" w:fill="C7E4F3" w:themeFill="accent1" w:themeFillTint="33"/>
            <w:vAlign w:val="bottom"/>
          </w:tcPr>
          <w:p w14:paraId="241C5E7D"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18"/>
              </w:rPr>
            </w:pPr>
            <w:r w:rsidRPr="00AD3D0D">
              <w:rPr>
                <w:rFonts w:cs="Arial"/>
                <w:b w:val="0"/>
                <w:color w:val="000000" w:themeColor="text1"/>
                <w:sz w:val="18"/>
                <w:szCs w:val="18"/>
              </w:rPr>
              <w:t>52.2**</w:t>
            </w:r>
          </w:p>
        </w:tc>
        <w:tc>
          <w:tcPr>
            <w:tcW w:w="1191" w:type="dxa"/>
            <w:shd w:val="clear" w:color="auto" w:fill="C7E4F3" w:themeFill="accent1" w:themeFillTint="33"/>
            <w:vAlign w:val="bottom"/>
          </w:tcPr>
          <w:p w14:paraId="6F61B3C1"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49.9**</w:t>
            </w:r>
          </w:p>
        </w:tc>
      </w:tr>
      <w:tr w:rsidR="00AD3D0D" w:rsidRPr="00AD3D0D" w14:paraId="0F6314D7" w14:textId="77777777" w:rsidTr="00AD3D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25" w:type="dxa"/>
            <w:shd w:val="clear" w:color="auto" w:fill="58AFDA" w:themeFill="accent1" w:themeFillTint="99"/>
          </w:tcPr>
          <w:p w14:paraId="520D7535" w14:textId="77777777" w:rsidR="00AD6CD9" w:rsidRPr="00AD3D0D" w:rsidRDefault="00AD6CD9" w:rsidP="00916DD7">
            <w:pPr>
              <w:pStyle w:val="Body"/>
              <w:spacing w:before="40" w:after="40" w:line="240" w:lineRule="auto"/>
              <w:jc w:val="left"/>
              <w:rPr>
                <w:rFonts w:cs="Arial"/>
                <w:bCs/>
                <w:color w:val="000000" w:themeColor="text1"/>
                <w:sz w:val="18"/>
                <w:szCs w:val="18"/>
              </w:rPr>
            </w:pPr>
            <w:r w:rsidRPr="00AD3D0D">
              <w:rPr>
                <w:rFonts w:cs="Arial"/>
                <w:bCs/>
                <w:color w:val="000000" w:themeColor="text1"/>
                <w:sz w:val="18"/>
                <w:szCs w:val="18"/>
                <w:lang w:eastAsia="en-AU"/>
              </w:rPr>
              <w:t>Claim duration</w:t>
            </w:r>
          </w:p>
        </w:tc>
        <w:tc>
          <w:tcPr>
            <w:tcW w:w="1191" w:type="dxa"/>
            <w:shd w:val="clear" w:color="auto" w:fill="58AFDA" w:themeFill="accent1" w:themeFillTint="99"/>
            <w:vAlign w:val="bottom"/>
          </w:tcPr>
          <w:p w14:paraId="69564F50"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Cs/>
                <w:color w:val="000000" w:themeColor="text1"/>
                <w:sz w:val="18"/>
                <w:szCs w:val="18"/>
              </w:rPr>
            </w:pPr>
          </w:p>
        </w:tc>
        <w:tc>
          <w:tcPr>
            <w:tcW w:w="1191" w:type="dxa"/>
            <w:shd w:val="clear" w:color="auto" w:fill="58AFDA" w:themeFill="accent1" w:themeFillTint="99"/>
            <w:vAlign w:val="bottom"/>
          </w:tcPr>
          <w:p w14:paraId="2F2DA0D5"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Cs/>
                <w:color w:val="000000" w:themeColor="text1"/>
                <w:sz w:val="18"/>
                <w:szCs w:val="18"/>
              </w:rPr>
            </w:pPr>
          </w:p>
        </w:tc>
        <w:tc>
          <w:tcPr>
            <w:tcW w:w="1191" w:type="dxa"/>
            <w:shd w:val="clear" w:color="auto" w:fill="58AFDA" w:themeFill="accent1" w:themeFillTint="99"/>
            <w:vAlign w:val="bottom"/>
          </w:tcPr>
          <w:p w14:paraId="047FCD05" w14:textId="77777777" w:rsidR="00AD6CD9" w:rsidRPr="00AD3D0D" w:rsidRDefault="00AD6CD9" w:rsidP="00916DD7">
            <w:pPr>
              <w:pStyle w:val="Body"/>
              <w:spacing w:before="40" w:after="4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Cs/>
                <w:color w:val="000000" w:themeColor="text1"/>
                <w:sz w:val="18"/>
                <w:szCs w:val="18"/>
              </w:rPr>
            </w:pPr>
          </w:p>
        </w:tc>
        <w:tc>
          <w:tcPr>
            <w:tcW w:w="1191" w:type="dxa"/>
            <w:shd w:val="clear" w:color="auto" w:fill="58AFDA" w:themeFill="accent1" w:themeFillTint="99"/>
            <w:vAlign w:val="bottom"/>
          </w:tcPr>
          <w:p w14:paraId="35E8F0CA"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Cs/>
                <w:color w:val="000000" w:themeColor="text1"/>
                <w:sz w:val="18"/>
                <w:szCs w:val="18"/>
              </w:rPr>
            </w:pPr>
          </w:p>
        </w:tc>
        <w:tc>
          <w:tcPr>
            <w:tcW w:w="1191" w:type="dxa"/>
            <w:shd w:val="clear" w:color="auto" w:fill="58AFDA" w:themeFill="accent1" w:themeFillTint="99"/>
          </w:tcPr>
          <w:p w14:paraId="446A4329"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22"/>
              </w:rPr>
            </w:pPr>
          </w:p>
        </w:tc>
        <w:tc>
          <w:tcPr>
            <w:tcW w:w="1191" w:type="dxa"/>
            <w:shd w:val="clear" w:color="auto" w:fill="58AFDA" w:themeFill="accent1" w:themeFillTint="99"/>
          </w:tcPr>
          <w:p w14:paraId="3B9F4433"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22"/>
              </w:rPr>
            </w:pPr>
          </w:p>
        </w:tc>
        <w:tc>
          <w:tcPr>
            <w:tcW w:w="1191" w:type="dxa"/>
            <w:shd w:val="clear" w:color="auto" w:fill="58AFDA" w:themeFill="accent1" w:themeFillTint="99"/>
          </w:tcPr>
          <w:p w14:paraId="68083D3B"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22"/>
              </w:rPr>
            </w:pPr>
          </w:p>
        </w:tc>
        <w:tc>
          <w:tcPr>
            <w:tcW w:w="1191" w:type="dxa"/>
            <w:shd w:val="clear" w:color="auto" w:fill="58AFDA" w:themeFill="accent1" w:themeFillTint="99"/>
          </w:tcPr>
          <w:p w14:paraId="1F21DF12"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22"/>
              </w:rPr>
            </w:pPr>
          </w:p>
        </w:tc>
        <w:tc>
          <w:tcPr>
            <w:tcW w:w="1191" w:type="dxa"/>
            <w:shd w:val="clear" w:color="auto" w:fill="58AFDA" w:themeFill="accent1" w:themeFillTint="99"/>
            <w:vAlign w:val="bottom"/>
          </w:tcPr>
          <w:p w14:paraId="717778D2"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Cs/>
                <w:color w:val="000000" w:themeColor="text1"/>
                <w:sz w:val="18"/>
                <w:szCs w:val="18"/>
              </w:rPr>
            </w:pPr>
          </w:p>
        </w:tc>
      </w:tr>
      <w:tr w:rsidR="00AD3D0D" w:rsidRPr="00AD3D0D" w14:paraId="3F02D4D7" w14:textId="77777777" w:rsidTr="00AD3D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25" w:type="dxa"/>
            <w:tcBorders>
              <w:bottom w:val="single" w:sz="4" w:space="0" w:color="1F698E" w:themeColor="accent1"/>
            </w:tcBorders>
            <w:shd w:val="clear" w:color="auto" w:fill="auto"/>
            <w:vAlign w:val="center"/>
          </w:tcPr>
          <w:p w14:paraId="67233C04" w14:textId="77777777" w:rsidR="00AD6CD9" w:rsidRPr="00AD3D0D" w:rsidRDefault="00AD6CD9" w:rsidP="00916DD7">
            <w:pPr>
              <w:pStyle w:val="Body"/>
              <w:spacing w:before="40" w:after="40" w:line="240" w:lineRule="auto"/>
              <w:ind w:left="113"/>
              <w:jc w:val="left"/>
              <w:rPr>
                <w:rFonts w:cs="Arial"/>
                <w:b w:val="0"/>
                <w:bCs/>
                <w:color w:val="000000" w:themeColor="text1"/>
                <w:sz w:val="18"/>
                <w:szCs w:val="18"/>
              </w:rPr>
            </w:pPr>
            <w:r w:rsidRPr="00AD3D0D">
              <w:rPr>
                <w:rFonts w:cs="Arial"/>
                <w:b w:val="0"/>
                <w:color w:val="000000" w:themeColor="text1"/>
                <w:sz w:val="18"/>
                <w:szCs w:val="18"/>
                <w:lang w:eastAsia="en-AU"/>
              </w:rPr>
              <w:t>Average claim duration (days)</w:t>
            </w:r>
          </w:p>
        </w:tc>
        <w:tc>
          <w:tcPr>
            <w:tcW w:w="1191" w:type="dxa"/>
            <w:tcBorders>
              <w:bottom w:val="single" w:sz="4" w:space="0" w:color="1F698E" w:themeColor="accent1"/>
            </w:tcBorders>
            <w:shd w:val="clear" w:color="auto" w:fill="auto"/>
            <w:vAlign w:val="bottom"/>
          </w:tcPr>
          <w:p w14:paraId="4DC26355"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501.3**</w:t>
            </w:r>
          </w:p>
        </w:tc>
        <w:tc>
          <w:tcPr>
            <w:tcW w:w="1191" w:type="dxa"/>
            <w:tcBorders>
              <w:bottom w:val="single" w:sz="4" w:space="0" w:color="1F698E" w:themeColor="accent1"/>
            </w:tcBorders>
            <w:shd w:val="clear" w:color="auto" w:fill="auto"/>
            <w:vAlign w:val="bottom"/>
          </w:tcPr>
          <w:p w14:paraId="356993B7"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467.8**</w:t>
            </w:r>
          </w:p>
        </w:tc>
        <w:tc>
          <w:tcPr>
            <w:tcW w:w="1191" w:type="dxa"/>
            <w:tcBorders>
              <w:bottom w:val="single" w:sz="4" w:space="0" w:color="1F698E" w:themeColor="accent1"/>
            </w:tcBorders>
            <w:shd w:val="clear" w:color="auto" w:fill="auto"/>
            <w:vAlign w:val="bottom"/>
          </w:tcPr>
          <w:p w14:paraId="2E54932C" w14:textId="77777777" w:rsidR="00AD6CD9" w:rsidRPr="00AD3D0D" w:rsidRDefault="00AD6CD9" w:rsidP="00916DD7">
            <w:pPr>
              <w:pStyle w:val="Body"/>
              <w:spacing w:before="40" w:after="4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441.6</w:t>
            </w:r>
          </w:p>
        </w:tc>
        <w:tc>
          <w:tcPr>
            <w:tcW w:w="1191" w:type="dxa"/>
            <w:tcBorders>
              <w:bottom w:val="single" w:sz="4" w:space="0" w:color="1F698E" w:themeColor="accent1"/>
            </w:tcBorders>
            <w:shd w:val="clear" w:color="auto" w:fill="auto"/>
            <w:vAlign w:val="bottom"/>
          </w:tcPr>
          <w:p w14:paraId="7D9EC198"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491.7**</w:t>
            </w:r>
          </w:p>
        </w:tc>
        <w:tc>
          <w:tcPr>
            <w:tcW w:w="1191" w:type="dxa"/>
            <w:tcBorders>
              <w:bottom w:val="single" w:sz="4" w:space="0" w:color="1F698E" w:themeColor="accent1"/>
            </w:tcBorders>
            <w:shd w:val="clear" w:color="auto" w:fill="auto"/>
            <w:vAlign w:val="bottom"/>
          </w:tcPr>
          <w:p w14:paraId="4E75D06A"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18"/>
              </w:rPr>
            </w:pPr>
            <w:r w:rsidRPr="00AD3D0D">
              <w:rPr>
                <w:rFonts w:cs="Arial"/>
                <w:b w:val="0"/>
                <w:color w:val="000000" w:themeColor="text1"/>
                <w:sz w:val="18"/>
                <w:szCs w:val="18"/>
              </w:rPr>
              <w:t>438.0</w:t>
            </w:r>
          </w:p>
        </w:tc>
        <w:tc>
          <w:tcPr>
            <w:tcW w:w="1191" w:type="dxa"/>
            <w:tcBorders>
              <w:bottom w:val="single" w:sz="4" w:space="0" w:color="1F698E" w:themeColor="accent1"/>
            </w:tcBorders>
            <w:shd w:val="clear" w:color="auto" w:fill="auto"/>
            <w:vAlign w:val="bottom"/>
          </w:tcPr>
          <w:p w14:paraId="18C95770"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18"/>
              </w:rPr>
            </w:pPr>
            <w:r w:rsidRPr="00AD3D0D">
              <w:rPr>
                <w:rFonts w:cs="Arial"/>
                <w:b w:val="0"/>
                <w:color w:val="000000" w:themeColor="text1"/>
                <w:sz w:val="18"/>
                <w:szCs w:val="18"/>
              </w:rPr>
              <w:t>426.6</w:t>
            </w:r>
          </w:p>
        </w:tc>
        <w:tc>
          <w:tcPr>
            <w:tcW w:w="1191" w:type="dxa"/>
            <w:tcBorders>
              <w:bottom w:val="single" w:sz="4" w:space="0" w:color="1F698E" w:themeColor="accent1"/>
            </w:tcBorders>
            <w:shd w:val="clear" w:color="auto" w:fill="auto"/>
            <w:vAlign w:val="bottom"/>
          </w:tcPr>
          <w:p w14:paraId="7F2C30DC"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18"/>
              </w:rPr>
            </w:pPr>
            <w:r w:rsidRPr="00AD3D0D">
              <w:rPr>
                <w:rFonts w:cs="Arial"/>
                <w:b w:val="0"/>
                <w:color w:val="000000" w:themeColor="text1"/>
                <w:sz w:val="18"/>
                <w:szCs w:val="18"/>
              </w:rPr>
              <w:t>354.2*</w:t>
            </w:r>
          </w:p>
        </w:tc>
        <w:tc>
          <w:tcPr>
            <w:tcW w:w="1191" w:type="dxa"/>
            <w:tcBorders>
              <w:bottom w:val="single" w:sz="4" w:space="0" w:color="1F698E" w:themeColor="accent1"/>
            </w:tcBorders>
            <w:shd w:val="clear" w:color="auto" w:fill="auto"/>
            <w:vAlign w:val="bottom"/>
          </w:tcPr>
          <w:p w14:paraId="5D5B6B92"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18"/>
                <w:szCs w:val="18"/>
              </w:rPr>
            </w:pPr>
            <w:r w:rsidRPr="00AD3D0D">
              <w:rPr>
                <w:rFonts w:cs="Arial"/>
                <w:b w:val="0"/>
                <w:color w:val="000000" w:themeColor="text1"/>
                <w:sz w:val="18"/>
                <w:szCs w:val="18"/>
              </w:rPr>
              <w:t>469.2</w:t>
            </w:r>
          </w:p>
        </w:tc>
        <w:tc>
          <w:tcPr>
            <w:tcW w:w="1191" w:type="dxa"/>
            <w:tcBorders>
              <w:bottom w:val="single" w:sz="4" w:space="0" w:color="1F698E" w:themeColor="accent1"/>
            </w:tcBorders>
            <w:shd w:val="clear" w:color="auto" w:fill="auto"/>
            <w:vAlign w:val="bottom"/>
          </w:tcPr>
          <w:p w14:paraId="173A9F6D" w14:textId="77777777" w:rsidR="00AD6CD9" w:rsidRPr="00AD3D0D" w:rsidRDefault="00AD6CD9"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color w:val="000000" w:themeColor="text1"/>
                <w:sz w:val="18"/>
                <w:szCs w:val="18"/>
              </w:rPr>
            </w:pPr>
            <w:r w:rsidRPr="00AD3D0D">
              <w:rPr>
                <w:rFonts w:cs="Arial"/>
                <w:b w:val="0"/>
                <w:color w:val="000000" w:themeColor="text1"/>
                <w:sz w:val="18"/>
                <w:szCs w:val="18"/>
              </w:rPr>
              <w:t>442.2</w:t>
            </w:r>
          </w:p>
        </w:tc>
      </w:tr>
    </w:tbl>
    <w:p w14:paraId="393D2A7C" w14:textId="09D4FD48" w:rsidR="004209E8" w:rsidRDefault="004209E8">
      <w:pPr>
        <w:rPr>
          <w:rFonts w:eastAsia="Calibri" w:cs="Times New Roman"/>
          <w:sz w:val="16"/>
          <w:lang w:val="en-GB"/>
        </w:rPr>
      </w:pPr>
      <w:r>
        <w:br w:type="page"/>
      </w:r>
    </w:p>
    <w:tbl>
      <w:tblPr>
        <w:tblStyle w:val="SRC1"/>
        <w:tblW w:w="14744" w:type="dxa"/>
        <w:tblCellMar>
          <w:left w:w="0" w:type="dxa"/>
          <w:right w:w="0" w:type="dxa"/>
        </w:tblCellMar>
        <w:tblLook w:val="04A0" w:firstRow="1" w:lastRow="0" w:firstColumn="1" w:lastColumn="0" w:noHBand="0" w:noVBand="1"/>
        <w:tblDescription w:val="This table is part two of two tables that present the weighted sample profile for the 2018 survey. It presents the sample by jursidiction and industry."/>
      </w:tblPr>
      <w:tblGrid>
        <w:gridCol w:w="4025"/>
        <w:gridCol w:w="1191"/>
        <w:gridCol w:w="1191"/>
        <w:gridCol w:w="1191"/>
        <w:gridCol w:w="1191"/>
        <w:gridCol w:w="1191"/>
        <w:gridCol w:w="1191"/>
        <w:gridCol w:w="1191"/>
        <w:gridCol w:w="1191"/>
        <w:gridCol w:w="1191"/>
      </w:tblGrid>
      <w:tr w:rsidR="004209E8" w:rsidRPr="004209E8" w14:paraId="46CE9F27" w14:textId="77777777" w:rsidTr="00916DD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025" w:type="dxa"/>
          </w:tcPr>
          <w:p w14:paraId="0BE5EE72" w14:textId="77777777" w:rsidR="004209E8" w:rsidRPr="00916DD7" w:rsidRDefault="004209E8" w:rsidP="00916DD7">
            <w:pPr>
              <w:pStyle w:val="Body"/>
              <w:spacing w:before="40" w:after="40" w:line="240" w:lineRule="auto"/>
              <w:jc w:val="center"/>
              <w:rPr>
                <w:rFonts w:cs="Arial"/>
                <w:b w:val="0"/>
                <w:bCs/>
                <w:sz w:val="18"/>
                <w:szCs w:val="18"/>
                <w:lang w:eastAsia="en-AU"/>
              </w:rPr>
            </w:pPr>
          </w:p>
        </w:tc>
        <w:tc>
          <w:tcPr>
            <w:tcW w:w="1191" w:type="dxa"/>
          </w:tcPr>
          <w:p w14:paraId="0EF93E72" w14:textId="6A06E142" w:rsidR="004209E8" w:rsidRPr="004209E8" w:rsidRDefault="004209E8" w:rsidP="00916DD7">
            <w:pPr>
              <w:pStyle w:val="Body"/>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Pr>
                <w:rFonts w:cs="Arial"/>
                <w:bCs/>
                <w:sz w:val="18"/>
                <w:szCs w:val="18"/>
              </w:rPr>
              <w:t>ACT</w:t>
            </w:r>
          </w:p>
        </w:tc>
        <w:tc>
          <w:tcPr>
            <w:tcW w:w="1191" w:type="dxa"/>
          </w:tcPr>
          <w:p w14:paraId="0ADD4348" w14:textId="24FC9019" w:rsidR="004209E8" w:rsidRPr="004209E8" w:rsidRDefault="004209E8" w:rsidP="00916DD7">
            <w:pPr>
              <w:pStyle w:val="Body"/>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Pr>
                <w:rFonts w:cs="Arial"/>
                <w:bCs/>
                <w:sz w:val="18"/>
                <w:szCs w:val="18"/>
              </w:rPr>
              <w:t>Comcare</w:t>
            </w:r>
          </w:p>
        </w:tc>
        <w:tc>
          <w:tcPr>
            <w:tcW w:w="1191" w:type="dxa"/>
          </w:tcPr>
          <w:p w14:paraId="656AC68B" w14:textId="0830D0DF" w:rsidR="004209E8" w:rsidRPr="004209E8" w:rsidRDefault="004209E8" w:rsidP="00916DD7">
            <w:pPr>
              <w:pStyle w:val="Body"/>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Pr>
                <w:rFonts w:cs="Arial"/>
                <w:bCs/>
                <w:sz w:val="18"/>
                <w:szCs w:val="18"/>
              </w:rPr>
              <w:t>NSW</w:t>
            </w:r>
          </w:p>
        </w:tc>
        <w:tc>
          <w:tcPr>
            <w:tcW w:w="1191" w:type="dxa"/>
          </w:tcPr>
          <w:p w14:paraId="4C4FB4D6" w14:textId="53C9C0EB" w:rsidR="004209E8" w:rsidRPr="004209E8" w:rsidRDefault="004209E8" w:rsidP="00916DD7">
            <w:pPr>
              <w:pStyle w:val="Body"/>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Pr>
                <w:rFonts w:cs="Arial"/>
                <w:bCs/>
                <w:sz w:val="18"/>
                <w:szCs w:val="18"/>
              </w:rPr>
              <w:t>NT</w:t>
            </w:r>
          </w:p>
        </w:tc>
        <w:tc>
          <w:tcPr>
            <w:tcW w:w="1191" w:type="dxa"/>
          </w:tcPr>
          <w:p w14:paraId="28D956A0" w14:textId="7DFAE344" w:rsidR="004209E8" w:rsidRPr="00916DD7" w:rsidRDefault="004209E8" w:rsidP="00916DD7">
            <w:pPr>
              <w:pStyle w:val="Body"/>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22"/>
              </w:rPr>
            </w:pPr>
            <w:r>
              <w:rPr>
                <w:rFonts w:cs="Arial"/>
                <w:bCs/>
                <w:sz w:val="18"/>
                <w:szCs w:val="18"/>
              </w:rPr>
              <w:t>QLD</w:t>
            </w:r>
          </w:p>
        </w:tc>
        <w:tc>
          <w:tcPr>
            <w:tcW w:w="1191" w:type="dxa"/>
          </w:tcPr>
          <w:p w14:paraId="34DD0CA5" w14:textId="1CED9720" w:rsidR="004209E8" w:rsidRPr="00916DD7" w:rsidRDefault="004209E8" w:rsidP="00916DD7">
            <w:pPr>
              <w:pStyle w:val="Body"/>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22"/>
              </w:rPr>
            </w:pPr>
            <w:r>
              <w:rPr>
                <w:rFonts w:cs="Arial"/>
                <w:bCs/>
                <w:sz w:val="18"/>
                <w:szCs w:val="18"/>
              </w:rPr>
              <w:t>Seacare</w:t>
            </w:r>
          </w:p>
        </w:tc>
        <w:tc>
          <w:tcPr>
            <w:tcW w:w="1191" w:type="dxa"/>
          </w:tcPr>
          <w:p w14:paraId="1F3AEB96" w14:textId="61CB5DFF" w:rsidR="004209E8" w:rsidRPr="00916DD7" w:rsidRDefault="004209E8" w:rsidP="00916DD7">
            <w:pPr>
              <w:pStyle w:val="Body"/>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22"/>
              </w:rPr>
            </w:pPr>
            <w:r>
              <w:rPr>
                <w:rFonts w:cs="Arial"/>
                <w:bCs/>
                <w:sz w:val="18"/>
                <w:szCs w:val="18"/>
              </w:rPr>
              <w:t>TAS</w:t>
            </w:r>
          </w:p>
        </w:tc>
        <w:tc>
          <w:tcPr>
            <w:tcW w:w="1191" w:type="dxa"/>
          </w:tcPr>
          <w:p w14:paraId="326CA492" w14:textId="51E1E264" w:rsidR="004209E8" w:rsidRPr="00916DD7" w:rsidRDefault="004209E8" w:rsidP="00916DD7">
            <w:pPr>
              <w:pStyle w:val="Body"/>
              <w:tabs>
                <w:tab w:val="left" w:pos="1187"/>
              </w:tabs>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22"/>
              </w:rPr>
            </w:pPr>
            <w:r>
              <w:rPr>
                <w:rFonts w:cs="Arial"/>
                <w:bCs/>
                <w:sz w:val="18"/>
                <w:szCs w:val="18"/>
              </w:rPr>
              <w:t>WA</w:t>
            </w:r>
          </w:p>
        </w:tc>
        <w:tc>
          <w:tcPr>
            <w:tcW w:w="1191" w:type="dxa"/>
          </w:tcPr>
          <w:p w14:paraId="0CF24F08" w14:textId="61B6FF9A" w:rsidR="004209E8" w:rsidRPr="004209E8" w:rsidRDefault="004209E8" w:rsidP="00916DD7">
            <w:pPr>
              <w:pStyle w:val="Body"/>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Pr>
                <w:rFonts w:cs="Arial"/>
                <w:bCs/>
                <w:sz w:val="18"/>
                <w:szCs w:val="18"/>
              </w:rPr>
              <w:t>VIC</w:t>
            </w:r>
          </w:p>
        </w:tc>
      </w:tr>
      <w:tr w:rsidR="004209E8" w:rsidRPr="004209E8" w14:paraId="5FB746F9" w14:textId="77777777" w:rsidTr="004209E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025" w:type="dxa"/>
            <w:shd w:val="clear" w:color="auto" w:fill="58AFDA" w:themeFill="accent1" w:themeFillTint="99"/>
          </w:tcPr>
          <w:p w14:paraId="30758622" w14:textId="501DD28D" w:rsidR="004209E8" w:rsidRPr="004209E8" w:rsidRDefault="004209E8" w:rsidP="00697D91">
            <w:pPr>
              <w:pStyle w:val="Body"/>
              <w:spacing w:before="40" w:after="40" w:line="240" w:lineRule="auto"/>
              <w:ind w:left="142"/>
              <w:rPr>
                <w:rFonts w:cs="Arial"/>
                <w:bCs/>
                <w:sz w:val="18"/>
                <w:szCs w:val="18"/>
              </w:rPr>
            </w:pPr>
            <w:r w:rsidRPr="00916DD7">
              <w:rPr>
                <w:rFonts w:cs="Arial"/>
                <w:bCs/>
                <w:color w:val="000000"/>
                <w:sz w:val="18"/>
                <w:szCs w:val="18"/>
                <w:lang w:eastAsia="en-AU"/>
              </w:rPr>
              <w:t>Industry</w:t>
            </w:r>
          </w:p>
        </w:tc>
        <w:tc>
          <w:tcPr>
            <w:tcW w:w="1191" w:type="dxa"/>
            <w:shd w:val="clear" w:color="auto" w:fill="58AFDA" w:themeFill="accent1" w:themeFillTint="99"/>
          </w:tcPr>
          <w:p w14:paraId="27A7A0A4"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Cs/>
                <w:sz w:val="18"/>
                <w:szCs w:val="18"/>
              </w:rPr>
            </w:pPr>
          </w:p>
        </w:tc>
        <w:tc>
          <w:tcPr>
            <w:tcW w:w="1191" w:type="dxa"/>
            <w:shd w:val="clear" w:color="auto" w:fill="58AFDA" w:themeFill="accent1" w:themeFillTint="99"/>
          </w:tcPr>
          <w:p w14:paraId="64CA88B2"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Cs/>
                <w:sz w:val="18"/>
                <w:szCs w:val="18"/>
              </w:rPr>
            </w:pPr>
          </w:p>
        </w:tc>
        <w:tc>
          <w:tcPr>
            <w:tcW w:w="1191" w:type="dxa"/>
            <w:shd w:val="clear" w:color="auto" w:fill="58AFDA" w:themeFill="accent1" w:themeFillTint="99"/>
          </w:tcPr>
          <w:p w14:paraId="48EAFBB1" w14:textId="77777777" w:rsidR="004209E8" w:rsidRPr="00916DD7" w:rsidRDefault="004209E8" w:rsidP="00916DD7">
            <w:pPr>
              <w:pStyle w:val="Body"/>
              <w:spacing w:before="40" w:after="4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Cs/>
                <w:sz w:val="18"/>
                <w:szCs w:val="18"/>
              </w:rPr>
            </w:pPr>
          </w:p>
        </w:tc>
        <w:tc>
          <w:tcPr>
            <w:tcW w:w="1191" w:type="dxa"/>
            <w:shd w:val="clear" w:color="auto" w:fill="58AFDA" w:themeFill="accent1" w:themeFillTint="99"/>
          </w:tcPr>
          <w:p w14:paraId="79C685C5"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Cs/>
                <w:sz w:val="18"/>
                <w:szCs w:val="18"/>
              </w:rPr>
            </w:pPr>
          </w:p>
        </w:tc>
        <w:tc>
          <w:tcPr>
            <w:tcW w:w="1191" w:type="dxa"/>
            <w:shd w:val="clear" w:color="auto" w:fill="58AFDA" w:themeFill="accent1" w:themeFillTint="99"/>
          </w:tcPr>
          <w:p w14:paraId="5006D9EA"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color w:val="000000"/>
                <w:sz w:val="18"/>
                <w:szCs w:val="22"/>
              </w:rPr>
            </w:pPr>
          </w:p>
        </w:tc>
        <w:tc>
          <w:tcPr>
            <w:tcW w:w="1191" w:type="dxa"/>
            <w:shd w:val="clear" w:color="auto" w:fill="58AFDA" w:themeFill="accent1" w:themeFillTint="99"/>
          </w:tcPr>
          <w:p w14:paraId="31E2CFE2"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color w:val="000000"/>
                <w:sz w:val="18"/>
                <w:szCs w:val="22"/>
              </w:rPr>
            </w:pPr>
          </w:p>
        </w:tc>
        <w:tc>
          <w:tcPr>
            <w:tcW w:w="1191" w:type="dxa"/>
            <w:shd w:val="clear" w:color="auto" w:fill="58AFDA" w:themeFill="accent1" w:themeFillTint="99"/>
          </w:tcPr>
          <w:p w14:paraId="654DDDD4"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color w:val="000000"/>
                <w:sz w:val="18"/>
                <w:szCs w:val="22"/>
              </w:rPr>
            </w:pPr>
          </w:p>
        </w:tc>
        <w:tc>
          <w:tcPr>
            <w:tcW w:w="1191" w:type="dxa"/>
            <w:shd w:val="clear" w:color="auto" w:fill="58AFDA" w:themeFill="accent1" w:themeFillTint="99"/>
          </w:tcPr>
          <w:p w14:paraId="7743E7DA" w14:textId="77777777" w:rsidR="004209E8" w:rsidRPr="004209E8" w:rsidRDefault="004209E8" w:rsidP="00916DD7">
            <w:pPr>
              <w:pStyle w:val="Body"/>
              <w:tabs>
                <w:tab w:val="left" w:pos="822"/>
              </w:tabs>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color w:val="000000"/>
                <w:sz w:val="18"/>
                <w:szCs w:val="22"/>
              </w:rPr>
            </w:pPr>
          </w:p>
        </w:tc>
        <w:tc>
          <w:tcPr>
            <w:tcW w:w="1191" w:type="dxa"/>
            <w:shd w:val="clear" w:color="auto" w:fill="58AFDA" w:themeFill="accent1" w:themeFillTint="99"/>
          </w:tcPr>
          <w:p w14:paraId="03228E3C"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Cs/>
                <w:sz w:val="18"/>
                <w:szCs w:val="18"/>
              </w:rPr>
            </w:pPr>
          </w:p>
        </w:tc>
      </w:tr>
      <w:tr w:rsidR="004209E8" w:rsidRPr="004209E8" w14:paraId="7A99E326" w14:textId="77777777" w:rsidTr="00916DD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025" w:type="dxa"/>
            <w:shd w:val="clear" w:color="auto" w:fill="C7E4F3" w:themeFill="accent1" w:themeFillTint="33"/>
          </w:tcPr>
          <w:p w14:paraId="152A9AA0" w14:textId="77777777" w:rsidR="004209E8" w:rsidRPr="00916DD7" w:rsidRDefault="004209E8" w:rsidP="00697D91">
            <w:pPr>
              <w:pStyle w:val="Body"/>
              <w:spacing w:before="40" w:after="40" w:line="240" w:lineRule="auto"/>
              <w:ind w:left="284"/>
              <w:rPr>
                <w:rFonts w:cs="Arial"/>
                <w:b w:val="0"/>
                <w:bCs/>
                <w:sz w:val="18"/>
                <w:szCs w:val="18"/>
              </w:rPr>
            </w:pPr>
            <w:r w:rsidRPr="00916DD7">
              <w:rPr>
                <w:rFonts w:cs="Arial"/>
                <w:b w:val="0"/>
                <w:color w:val="000000"/>
                <w:sz w:val="18"/>
                <w:szCs w:val="18"/>
                <w:lang w:eastAsia="en-AU"/>
              </w:rPr>
              <w:t>Agriculture, Forestry, Fishing</w:t>
            </w:r>
          </w:p>
        </w:tc>
        <w:tc>
          <w:tcPr>
            <w:tcW w:w="1191" w:type="dxa"/>
            <w:shd w:val="clear" w:color="auto" w:fill="C7E4F3" w:themeFill="accent1" w:themeFillTint="33"/>
          </w:tcPr>
          <w:p w14:paraId="1E7AA047"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w:t>
            </w:r>
          </w:p>
        </w:tc>
        <w:tc>
          <w:tcPr>
            <w:tcW w:w="1191" w:type="dxa"/>
            <w:shd w:val="clear" w:color="auto" w:fill="C7E4F3" w:themeFill="accent1" w:themeFillTint="33"/>
          </w:tcPr>
          <w:p w14:paraId="61638774"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w:t>
            </w:r>
          </w:p>
        </w:tc>
        <w:tc>
          <w:tcPr>
            <w:tcW w:w="1191" w:type="dxa"/>
            <w:shd w:val="clear" w:color="auto" w:fill="C7E4F3" w:themeFill="accent1" w:themeFillTint="33"/>
          </w:tcPr>
          <w:p w14:paraId="425047CE" w14:textId="77777777" w:rsidR="004209E8" w:rsidRPr="004209E8" w:rsidRDefault="004209E8" w:rsidP="00916DD7">
            <w:pPr>
              <w:pStyle w:val="Body"/>
              <w:spacing w:before="40" w:after="4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2.0</w:t>
            </w:r>
          </w:p>
        </w:tc>
        <w:tc>
          <w:tcPr>
            <w:tcW w:w="1191" w:type="dxa"/>
            <w:shd w:val="clear" w:color="auto" w:fill="C7E4F3" w:themeFill="accent1" w:themeFillTint="33"/>
          </w:tcPr>
          <w:p w14:paraId="1CDF7B6F"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w:t>
            </w:r>
          </w:p>
        </w:tc>
        <w:tc>
          <w:tcPr>
            <w:tcW w:w="1191" w:type="dxa"/>
            <w:shd w:val="clear" w:color="auto" w:fill="C7E4F3" w:themeFill="accent1" w:themeFillTint="33"/>
          </w:tcPr>
          <w:p w14:paraId="448F23BF"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2.4</w:t>
            </w:r>
          </w:p>
        </w:tc>
        <w:tc>
          <w:tcPr>
            <w:tcW w:w="1191" w:type="dxa"/>
            <w:shd w:val="clear" w:color="auto" w:fill="C7E4F3" w:themeFill="accent1" w:themeFillTint="33"/>
          </w:tcPr>
          <w:p w14:paraId="425B28BC"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w:t>
            </w:r>
          </w:p>
        </w:tc>
        <w:tc>
          <w:tcPr>
            <w:tcW w:w="1191" w:type="dxa"/>
            <w:shd w:val="clear" w:color="auto" w:fill="C7E4F3" w:themeFill="accent1" w:themeFillTint="33"/>
          </w:tcPr>
          <w:p w14:paraId="3E367FAD"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7.1**</w:t>
            </w:r>
          </w:p>
        </w:tc>
        <w:tc>
          <w:tcPr>
            <w:tcW w:w="1191" w:type="dxa"/>
            <w:shd w:val="clear" w:color="auto" w:fill="C7E4F3" w:themeFill="accent1" w:themeFillTint="33"/>
          </w:tcPr>
          <w:p w14:paraId="4BCCDF59"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5.5</w:t>
            </w:r>
          </w:p>
        </w:tc>
        <w:tc>
          <w:tcPr>
            <w:tcW w:w="1191" w:type="dxa"/>
            <w:shd w:val="clear" w:color="auto" w:fill="C7E4F3" w:themeFill="accent1" w:themeFillTint="33"/>
          </w:tcPr>
          <w:p w14:paraId="0DA12876"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3.4</w:t>
            </w:r>
          </w:p>
        </w:tc>
      </w:tr>
      <w:tr w:rsidR="004209E8" w:rsidRPr="004209E8" w14:paraId="5EB66748" w14:textId="77777777" w:rsidTr="00916DD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025" w:type="dxa"/>
            <w:shd w:val="clear" w:color="auto" w:fill="auto"/>
          </w:tcPr>
          <w:p w14:paraId="7CAC100D" w14:textId="77777777" w:rsidR="004209E8" w:rsidRPr="00916DD7" w:rsidRDefault="004209E8" w:rsidP="00697D91">
            <w:pPr>
              <w:pStyle w:val="Body"/>
              <w:spacing w:before="40" w:after="40" w:line="240" w:lineRule="auto"/>
              <w:ind w:left="284"/>
              <w:rPr>
                <w:rFonts w:cs="Arial"/>
                <w:b w:val="0"/>
                <w:bCs/>
                <w:sz w:val="18"/>
                <w:szCs w:val="18"/>
              </w:rPr>
            </w:pPr>
            <w:r w:rsidRPr="00916DD7">
              <w:rPr>
                <w:rFonts w:cs="Arial"/>
                <w:b w:val="0"/>
                <w:color w:val="000000"/>
                <w:sz w:val="18"/>
                <w:szCs w:val="18"/>
                <w:lang w:eastAsia="en-AU"/>
              </w:rPr>
              <w:t>Mining</w:t>
            </w:r>
          </w:p>
        </w:tc>
        <w:tc>
          <w:tcPr>
            <w:tcW w:w="1191" w:type="dxa"/>
            <w:shd w:val="clear" w:color="auto" w:fill="auto"/>
          </w:tcPr>
          <w:p w14:paraId="6FF0CE9C"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w:t>
            </w:r>
          </w:p>
        </w:tc>
        <w:tc>
          <w:tcPr>
            <w:tcW w:w="1191" w:type="dxa"/>
            <w:shd w:val="clear" w:color="auto" w:fill="auto"/>
          </w:tcPr>
          <w:p w14:paraId="04333BAC"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w:t>
            </w:r>
          </w:p>
        </w:tc>
        <w:tc>
          <w:tcPr>
            <w:tcW w:w="1191" w:type="dxa"/>
            <w:shd w:val="clear" w:color="auto" w:fill="auto"/>
          </w:tcPr>
          <w:p w14:paraId="3C84F8D8" w14:textId="77777777" w:rsidR="004209E8" w:rsidRPr="004209E8" w:rsidRDefault="004209E8" w:rsidP="00916DD7">
            <w:pPr>
              <w:pStyle w:val="Body"/>
              <w:spacing w:before="40" w:after="4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1.5</w:t>
            </w:r>
          </w:p>
        </w:tc>
        <w:tc>
          <w:tcPr>
            <w:tcW w:w="1191" w:type="dxa"/>
            <w:shd w:val="clear" w:color="auto" w:fill="auto"/>
          </w:tcPr>
          <w:p w14:paraId="544B5B9F"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w:t>
            </w:r>
          </w:p>
        </w:tc>
        <w:tc>
          <w:tcPr>
            <w:tcW w:w="1191" w:type="dxa"/>
            <w:shd w:val="clear" w:color="auto" w:fill="auto"/>
          </w:tcPr>
          <w:p w14:paraId="6A06C4D7"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1.2</w:t>
            </w:r>
          </w:p>
        </w:tc>
        <w:tc>
          <w:tcPr>
            <w:tcW w:w="1191" w:type="dxa"/>
            <w:shd w:val="clear" w:color="auto" w:fill="auto"/>
          </w:tcPr>
          <w:p w14:paraId="20BA6365"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w:t>
            </w:r>
          </w:p>
        </w:tc>
        <w:tc>
          <w:tcPr>
            <w:tcW w:w="1191" w:type="dxa"/>
            <w:shd w:val="clear" w:color="auto" w:fill="auto"/>
          </w:tcPr>
          <w:p w14:paraId="2983D3C3"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0.5</w:t>
            </w:r>
          </w:p>
        </w:tc>
        <w:tc>
          <w:tcPr>
            <w:tcW w:w="1191" w:type="dxa"/>
            <w:shd w:val="clear" w:color="auto" w:fill="auto"/>
          </w:tcPr>
          <w:p w14:paraId="415FB0EA"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8.3**</w:t>
            </w:r>
          </w:p>
        </w:tc>
        <w:tc>
          <w:tcPr>
            <w:tcW w:w="1191" w:type="dxa"/>
            <w:shd w:val="clear" w:color="auto" w:fill="auto"/>
          </w:tcPr>
          <w:p w14:paraId="0F12C904"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w:t>
            </w:r>
          </w:p>
        </w:tc>
      </w:tr>
      <w:tr w:rsidR="004209E8" w:rsidRPr="004209E8" w14:paraId="00F13C2D" w14:textId="77777777" w:rsidTr="00916DD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025" w:type="dxa"/>
            <w:shd w:val="clear" w:color="auto" w:fill="C7E4F3" w:themeFill="accent1" w:themeFillTint="33"/>
          </w:tcPr>
          <w:p w14:paraId="16A52447" w14:textId="77777777" w:rsidR="004209E8" w:rsidRPr="00916DD7" w:rsidRDefault="004209E8" w:rsidP="00697D91">
            <w:pPr>
              <w:pStyle w:val="Body"/>
              <w:spacing w:before="40" w:after="40" w:line="240" w:lineRule="auto"/>
              <w:ind w:left="284"/>
              <w:rPr>
                <w:rFonts w:cs="Arial"/>
                <w:b w:val="0"/>
                <w:bCs/>
                <w:sz w:val="18"/>
                <w:szCs w:val="18"/>
              </w:rPr>
            </w:pPr>
            <w:r w:rsidRPr="00916DD7">
              <w:rPr>
                <w:rFonts w:cs="Arial"/>
                <w:b w:val="0"/>
                <w:color w:val="000000"/>
                <w:sz w:val="18"/>
                <w:szCs w:val="18"/>
                <w:lang w:eastAsia="en-AU"/>
              </w:rPr>
              <w:t>Manufacturing</w:t>
            </w:r>
          </w:p>
        </w:tc>
        <w:tc>
          <w:tcPr>
            <w:tcW w:w="1191" w:type="dxa"/>
            <w:shd w:val="clear" w:color="auto" w:fill="C7E4F3" w:themeFill="accent1" w:themeFillTint="33"/>
          </w:tcPr>
          <w:p w14:paraId="586D7994"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3.1</w:t>
            </w:r>
          </w:p>
        </w:tc>
        <w:tc>
          <w:tcPr>
            <w:tcW w:w="1191" w:type="dxa"/>
            <w:shd w:val="clear" w:color="auto" w:fill="C7E4F3" w:themeFill="accent1" w:themeFillTint="33"/>
          </w:tcPr>
          <w:p w14:paraId="7ADE0F09"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0.6*</w:t>
            </w:r>
          </w:p>
        </w:tc>
        <w:tc>
          <w:tcPr>
            <w:tcW w:w="1191" w:type="dxa"/>
            <w:shd w:val="clear" w:color="auto" w:fill="C7E4F3" w:themeFill="accent1" w:themeFillTint="33"/>
          </w:tcPr>
          <w:p w14:paraId="33F3B82B" w14:textId="77777777" w:rsidR="004209E8" w:rsidRPr="004209E8" w:rsidRDefault="004209E8" w:rsidP="00916DD7">
            <w:pPr>
              <w:pStyle w:val="Body"/>
              <w:spacing w:before="40" w:after="4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11.2</w:t>
            </w:r>
          </w:p>
        </w:tc>
        <w:tc>
          <w:tcPr>
            <w:tcW w:w="1191" w:type="dxa"/>
            <w:shd w:val="clear" w:color="auto" w:fill="C7E4F3" w:themeFill="accent1" w:themeFillTint="33"/>
          </w:tcPr>
          <w:p w14:paraId="27ED12AE"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w:t>
            </w:r>
          </w:p>
        </w:tc>
        <w:tc>
          <w:tcPr>
            <w:tcW w:w="1191" w:type="dxa"/>
            <w:shd w:val="clear" w:color="auto" w:fill="C7E4F3" w:themeFill="accent1" w:themeFillTint="33"/>
          </w:tcPr>
          <w:p w14:paraId="4CF25482"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13.1</w:t>
            </w:r>
          </w:p>
        </w:tc>
        <w:tc>
          <w:tcPr>
            <w:tcW w:w="1191" w:type="dxa"/>
            <w:shd w:val="clear" w:color="auto" w:fill="C7E4F3" w:themeFill="accent1" w:themeFillTint="33"/>
          </w:tcPr>
          <w:p w14:paraId="07A0DB04"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w:t>
            </w:r>
          </w:p>
        </w:tc>
        <w:tc>
          <w:tcPr>
            <w:tcW w:w="1191" w:type="dxa"/>
            <w:shd w:val="clear" w:color="auto" w:fill="C7E4F3" w:themeFill="accent1" w:themeFillTint="33"/>
          </w:tcPr>
          <w:p w14:paraId="40FEEF7C"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11.8</w:t>
            </w:r>
          </w:p>
        </w:tc>
        <w:tc>
          <w:tcPr>
            <w:tcW w:w="1191" w:type="dxa"/>
            <w:shd w:val="clear" w:color="auto" w:fill="C7E4F3" w:themeFill="accent1" w:themeFillTint="33"/>
          </w:tcPr>
          <w:p w14:paraId="0F364962"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5.4</w:t>
            </w:r>
          </w:p>
        </w:tc>
        <w:tc>
          <w:tcPr>
            <w:tcW w:w="1191" w:type="dxa"/>
            <w:shd w:val="clear" w:color="auto" w:fill="C7E4F3" w:themeFill="accent1" w:themeFillTint="33"/>
          </w:tcPr>
          <w:p w14:paraId="30A9E635"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12.5</w:t>
            </w:r>
          </w:p>
        </w:tc>
      </w:tr>
      <w:tr w:rsidR="004209E8" w:rsidRPr="004209E8" w14:paraId="1112E669" w14:textId="77777777" w:rsidTr="00916DD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025" w:type="dxa"/>
            <w:shd w:val="clear" w:color="auto" w:fill="auto"/>
          </w:tcPr>
          <w:p w14:paraId="419E3150" w14:textId="77777777" w:rsidR="004209E8" w:rsidRPr="00916DD7" w:rsidRDefault="004209E8" w:rsidP="00697D91">
            <w:pPr>
              <w:pStyle w:val="Body"/>
              <w:spacing w:before="40" w:after="40" w:line="240" w:lineRule="auto"/>
              <w:ind w:left="284"/>
              <w:rPr>
                <w:rFonts w:cs="Arial"/>
                <w:b w:val="0"/>
                <w:bCs/>
                <w:sz w:val="18"/>
                <w:szCs w:val="18"/>
              </w:rPr>
            </w:pPr>
            <w:r w:rsidRPr="00916DD7">
              <w:rPr>
                <w:rFonts w:cs="Arial"/>
                <w:b w:val="0"/>
                <w:color w:val="000000"/>
                <w:sz w:val="18"/>
                <w:szCs w:val="18"/>
                <w:lang w:eastAsia="en-AU"/>
              </w:rPr>
              <w:t>Electricity, Gas, Etc. Services</w:t>
            </w:r>
          </w:p>
        </w:tc>
        <w:tc>
          <w:tcPr>
            <w:tcW w:w="1191" w:type="dxa"/>
            <w:shd w:val="clear" w:color="auto" w:fill="auto"/>
          </w:tcPr>
          <w:p w14:paraId="6CD68EEC"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3.7**</w:t>
            </w:r>
          </w:p>
        </w:tc>
        <w:tc>
          <w:tcPr>
            <w:tcW w:w="1191" w:type="dxa"/>
            <w:shd w:val="clear" w:color="auto" w:fill="auto"/>
          </w:tcPr>
          <w:p w14:paraId="7E35D643"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3.8**</w:t>
            </w:r>
          </w:p>
        </w:tc>
        <w:tc>
          <w:tcPr>
            <w:tcW w:w="1191" w:type="dxa"/>
            <w:shd w:val="clear" w:color="auto" w:fill="auto"/>
          </w:tcPr>
          <w:p w14:paraId="7269C325" w14:textId="77777777" w:rsidR="004209E8" w:rsidRPr="004209E8" w:rsidRDefault="004209E8" w:rsidP="00916DD7">
            <w:pPr>
              <w:pStyle w:val="Body"/>
              <w:spacing w:before="40" w:after="4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1.1</w:t>
            </w:r>
          </w:p>
        </w:tc>
        <w:tc>
          <w:tcPr>
            <w:tcW w:w="1191" w:type="dxa"/>
            <w:shd w:val="clear" w:color="auto" w:fill="auto"/>
          </w:tcPr>
          <w:p w14:paraId="5E70578E"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w:t>
            </w:r>
          </w:p>
        </w:tc>
        <w:tc>
          <w:tcPr>
            <w:tcW w:w="1191" w:type="dxa"/>
            <w:shd w:val="clear" w:color="auto" w:fill="auto"/>
          </w:tcPr>
          <w:p w14:paraId="16DBB8D5"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0.6</w:t>
            </w:r>
          </w:p>
        </w:tc>
        <w:tc>
          <w:tcPr>
            <w:tcW w:w="1191" w:type="dxa"/>
            <w:shd w:val="clear" w:color="auto" w:fill="auto"/>
          </w:tcPr>
          <w:p w14:paraId="064E797B"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w:t>
            </w:r>
          </w:p>
        </w:tc>
        <w:tc>
          <w:tcPr>
            <w:tcW w:w="1191" w:type="dxa"/>
            <w:shd w:val="clear" w:color="auto" w:fill="auto"/>
          </w:tcPr>
          <w:p w14:paraId="0B971CB5"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0.3</w:t>
            </w:r>
          </w:p>
        </w:tc>
        <w:tc>
          <w:tcPr>
            <w:tcW w:w="1191" w:type="dxa"/>
            <w:shd w:val="clear" w:color="auto" w:fill="auto"/>
          </w:tcPr>
          <w:p w14:paraId="3F3507FF"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1.0</w:t>
            </w:r>
          </w:p>
        </w:tc>
        <w:tc>
          <w:tcPr>
            <w:tcW w:w="1191" w:type="dxa"/>
            <w:shd w:val="clear" w:color="auto" w:fill="auto"/>
          </w:tcPr>
          <w:p w14:paraId="70809CF9"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0.8</w:t>
            </w:r>
          </w:p>
        </w:tc>
      </w:tr>
      <w:tr w:rsidR="004209E8" w:rsidRPr="004209E8" w14:paraId="4856BDC3" w14:textId="77777777" w:rsidTr="00916DD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025" w:type="dxa"/>
            <w:shd w:val="clear" w:color="auto" w:fill="C7E4F3" w:themeFill="accent1" w:themeFillTint="33"/>
          </w:tcPr>
          <w:p w14:paraId="1D1DF7A1" w14:textId="77777777" w:rsidR="004209E8" w:rsidRPr="00916DD7" w:rsidRDefault="004209E8" w:rsidP="00697D91">
            <w:pPr>
              <w:pStyle w:val="Body"/>
              <w:spacing w:before="40" w:after="40" w:line="240" w:lineRule="auto"/>
              <w:ind w:left="284"/>
              <w:rPr>
                <w:rFonts w:cs="Arial"/>
                <w:b w:val="0"/>
                <w:bCs/>
                <w:sz w:val="18"/>
                <w:szCs w:val="18"/>
              </w:rPr>
            </w:pPr>
            <w:r w:rsidRPr="00916DD7">
              <w:rPr>
                <w:rFonts w:cs="Arial"/>
                <w:b w:val="0"/>
                <w:color w:val="000000"/>
                <w:sz w:val="18"/>
                <w:szCs w:val="18"/>
                <w:lang w:eastAsia="en-AU"/>
              </w:rPr>
              <w:t>Construction</w:t>
            </w:r>
          </w:p>
        </w:tc>
        <w:tc>
          <w:tcPr>
            <w:tcW w:w="1191" w:type="dxa"/>
            <w:shd w:val="clear" w:color="auto" w:fill="C7E4F3" w:themeFill="accent1" w:themeFillTint="33"/>
          </w:tcPr>
          <w:p w14:paraId="21B198C8"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12.9</w:t>
            </w:r>
          </w:p>
        </w:tc>
        <w:tc>
          <w:tcPr>
            <w:tcW w:w="1191" w:type="dxa"/>
            <w:shd w:val="clear" w:color="auto" w:fill="C7E4F3" w:themeFill="accent1" w:themeFillTint="33"/>
          </w:tcPr>
          <w:p w14:paraId="353EFA76"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1.4*</w:t>
            </w:r>
          </w:p>
        </w:tc>
        <w:tc>
          <w:tcPr>
            <w:tcW w:w="1191" w:type="dxa"/>
            <w:shd w:val="clear" w:color="auto" w:fill="C7E4F3" w:themeFill="accent1" w:themeFillTint="33"/>
          </w:tcPr>
          <w:p w14:paraId="4C1B577C" w14:textId="77777777" w:rsidR="004209E8" w:rsidRPr="004209E8" w:rsidRDefault="004209E8" w:rsidP="00916DD7">
            <w:pPr>
              <w:pStyle w:val="Body"/>
              <w:spacing w:before="40" w:after="4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9.7</w:t>
            </w:r>
          </w:p>
        </w:tc>
        <w:tc>
          <w:tcPr>
            <w:tcW w:w="1191" w:type="dxa"/>
            <w:shd w:val="clear" w:color="auto" w:fill="C7E4F3" w:themeFill="accent1" w:themeFillTint="33"/>
          </w:tcPr>
          <w:p w14:paraId="4FF808FC"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w:t>
            </w:r>
          </w:p>
        </w:tc>
        <w:tc>
          <w:tcPr>
            <w:tcW w:w="1191" w:type="dxa"/>
            <w:shd w:val="clear" w:color="auto" w:fill="C7E4F3" w:themeFill="accent1" w:themeFillTint="33"/>
          </w:tcPr>
          <w:p w14:paraId="797D9CAF"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8.5</w:t>
            </w:r>
          </w:p>
        </w:tc>
        <w:tc>
          <w:tcPr>
            <w:tcW w:w="1191" w:type="dxa"/>
            <w:shd w:val="clear" w:color="auto" w:fill="C7E4F3" w:themeFill="accent1" w:themeFillTint="33"/>
          </w:tcPr>
          <w:p w14:paraId="62F0F06A"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w:t>
            </w:r>
          </w:p>
        </w:tc>
        <w:tc>
          <w:tcPr>
            <w:tcW w:w="1191" w:type="dxa"/>
            <w:shd w:val="clear" w:color="auto" w:fill="C7E4F3" w:themeFill="accent1" w:themeFillTint="33"/>
          </w:tcPr>
          <w:p w14:paraId="504402AD"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12.1</w:t>
            </w:r>
          </w:p>
        </w:tc>
        <w:tc>
          <w:tcPr>
            <w:tcW w:w="1191" w:type="dxa"/>
            <w:shd w:val="clear" w:color="auto" w:fill="C7E4F3" w:themeFill="accent1" w:themeFillTint="33"/>
          </w:tcPr>
          <w:p w14:paraId="5C277D77"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18.6**</w:t>
            </w:r>
          </w:p>
        </w:tc>
        <w:tc>
          <w:tcPr>
            <w:tcW w:w="1191" w:type="dxa"/>
            <w:shd w:val="clear" w:color="auto" w:fill="C7E4F3" w:themeFill="accent1" w:themeFillTint="33"/>
          </w:tcPr>
          <w:p w14:paraId="7205172B"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6.9</w:t>
            </w:r>
          </w:p>
        </w:tc>
      </w:tr>
      <w:tr w:rsidR="004209E8" w:rsidRPr="004209E8" w14:paraId="5992803D" w14:textId="77777777" w:rsidTr="004209E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025" w:type="dxa"/>
            <w:shd w:val="clear" w:color="auto" w:fill="auto"/>
          </w:tcPr>
          <w:p w14:paraId="42BAC678" w14:textId="77777777" w:rsidR="004209E8" w:rsidRPr="00916DD7" w:rsidRDefault="004209E8" w:rsidP="00697D91">
            <w:pPr>
              <w:pStyle w:val="Body"/>
              <w:spacing w:before="40" w:after="40" w:line="240" w:lineRule="auto"/>
              <w:ind w:left="284"/>
              <w:rPr>
                <w:rFonts w:cs="Arial"/>
                <w:b w:val="0"/>
                <w:bCs/>
                <w:sz w:val="18"/>
                <w:szCs w:val="18"/>
              </w:rPr>
            </w:pPr>
            <w:r w:rsidRPr="00916DD7">
              <w:rPr>
                <w:rFonts w:cs="Arial"/>
                <w:b w:val="0"/>
                <w:color w:val="000000"/>
                <w:sz w:val="18"/>
                <w:szCs w:val="18"/>
                <w:lang w:eastAsia="en-AU"/>
              </w:rPr>
              <w:t>Wholesale Trade</w:t>
            </w:r>
          </w:p>
        </w:tc>
        <w:tc>
          <w:tcPr>
            <w:tcW w:w="1191" w:type="dxa"/>
            <w:shd w:val="clear" w:color="auto" w:fill="auto"/>
          </w:tcPr>
          <w:p w14:paraId="125CC143"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2.9</w:t>
            </w:r>
          </w:p>
        </w:tc>
        <w:tc>
          <w:tcPr>
            <w:tcW w:w="1191" w:type="dxa"/>
            <w:shd w:val="clear" w:color="auto" w:fill="auto"/>
          </w:tcPr>
          <w:p w14:paraId="0B6EEEC0"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w:t>
            </w:r>
          </w:p>
        </w:tc>
        <w:tc>
          <w:tcPr>
            <w:tcW w:w="1191" w:type="dxa"/>
            <w:shd w:val="clear" w:color="auto" w:fill="auto"/>
          </w:tcPr>
          <w:p w14:paraId="39C9F333" w14:textId="77777777" w:rsidR="004209E8" w:rsidRPr="004209E8" w:rsidRDefault="004209E8" w:rsidP="00916DD7">
            <w:pPr>
              <w:pStyle w:val="Body"/>
              <w:spacing w:before="40" w:after="4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5.3</w:t>
            </w:r>
          </w:p>
        </w:tc>
        <w:tc>
          <w:tcPr>
            <w:tcW w:w="1191" w:type="dxa"/>
            <w:shd w:val="clear" w:color="auto" w:fill="auto"/>
          </w:tcPr>
          <w:p w14:paraId="1383AEE4"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w:t>
            </w:r>
          </w:p>
        </w:tc>
        <w:tc>
          <w:tcPr>
            <w:tcW w:w="1191" w:type="dxa"/>
            <w:shd w:val="clear" w:color="auto" w:fill="auto"/>
          </w:tcPr>
          <w:p w14:paraId="3DD91F9E"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3.4</w:t>
            </w:r>
          </w:p>
        </w:tc>
        <w:tc>
          <w:tcPr>
            <w:tcW w:w="1191" w:type="dxa"/>
            <w:shd w:val="clear" w:color="auto" w:fill="auto"/>
          </w:tcPr>
          <w:p w14:paraId="4D9ED27B"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w:t>
            </w:r>
          </w:p>
        </w:tc>
        <w:tc>
          <w:tcPr>
            <w:tcW w:w="1191" w:type="dxa"/>
            <w:shd w:val="clear" w:color="auto" w:fill="auto"/>
          </w:tcPr>
          <w:p w14:paraId="60FD899B"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2.7</w:t>
            </w:r>
          </w:p>
        </w:tc>
        <w:tc>
          <w:tcPr>
            <w:tcW w:w="1191" w:type="dxa"/>
            <w:shd w:val="clear" w:color="auto" w:fill="auto"/>
          </w:tcPr>
          <w:p w14:paraId="7994DFBD"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2.0</w:t>
            </w:r>
          </w:p>
        </w:tc>
        <w:tc>
          <w:tcPr>
            <w:tcW w:w="1191" w:type="dxa"/>
            <w:shd w:val="clear" w:color="auto" w:fill="auto"/>
          </w:tcPr>
          <w:p w14:paraId="5F584D18"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5.2</w:t>
            </w:r>
          </w:p>
        </w:tc>
      </w:tr>
      <w:tr w:rsidR="004209E8" w:rsidRPr="004209E8" w14:paraId="0A48A74B" w14:textId="77777777" w:rsidTr="00916DD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025" w:type="dxa"/>
            <w:shd w:val="clear" w:color="auto" w:fill="C7E4F3" w:themeFill="accent1" w:themeFillTint="33"/>
          </w:tcPr>
          <w:p w14:paraId="644E7AED" w14:textId="77777777" w:rsidR="004209E8" w:rsidRPr="00916DD7" w:rsidRDefault="004209E8" w:rsidP="00697D91">
            <w:pPr>
              <w:pStyle w:val="Body"/>
              <w:spacing w:before="40" w:after="40" w:line="240" w:lineRule="auto"/>
              <w:ind w:left="284"/>
              <w:rPr>
                <w:rFonts w:cs="Arial"/>
                <w:b w:val="0"/>
                <w:bCs/>
                <w:sz w:val="18"/>
                <w:szCs w:val="18"/>
              </w:rPr>
            </w:pPr>
            <w:r w:rsidRPr="00916DD7">
              <w:rPr>
                <w:rFonts w:cs="Arial"/>
                <w:b w:val="0"/>
                <w:color w:val="000000"/>
                <w:sz w:val="18"/>
                <w:szCs w:val="18"/>
                <w:lang w:eastAsia="en-AU"/>
              </w:rPr>
              <w:t>Retail Trade</w:t>
            </w:r>
          </w:p>
        </w:tc>
        <w:tc>
          <w:tcPr>
            <w:tcW w:w="1191" w:type="dxa"/>
            <w:shd w:val="clear" w:color="auto" w:fill="C7E4F3" w:themeFill="accent1" w:themeFillTint="33"/>
          </w:tcPr>
          <w:p w14:paraId="31CEBCFA"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15.1**</w:t>
            </w:r>
          </w:p>
        </w:tc>
        <w:tc>
          <w:tcPr>
            <w:tcW w:w="1191" w:type="dxa"/>
            <w:shd w:val="clear" w:color="auto" w:fill="C7E4F3" w:themeFill="accent1" w:themeFillTint="33"/>
          </w:tcPr>
          <w:p w14:paraId="6334855B"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w:t>
            </w:r>
          </w:p>
        </w:tc>
        <w:tc>
          <w:tcPr>
            <w:tcW w:w="1191" w:type="dxa"/>
            <w:shd w:val="clear" w:color="auto" w:fill="C7E4F3" w:themeFill="accent1" w:themeFillTint="33"/>
          </w:tcPr>
          <w:p w14:paraId="70ECD949" w14:textId="77777777" w:rsidR="004209E8" w:rsidRPr="004209E8" w:rsidRDefault="004209E8" w:rsidP="00916DD7">
            <w:pPr>
              <w:pStyle w:val="Body"/>
              <w:spacing w:before="40" w:after="4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6.6</w:t>
            </w:r>
          </w:p>
        </w:tc>
        <w:tc>
          <w:tcPr>
            <w:tcW w:w="1191" w:type="dxa"/>
            <w:shd w:val="clear" w:color="auto" w:fill="C7E4F3" w:themeFill="accent1" w:themeFillTint="33"/>
          </w:tcPr>
          <w:p w14:paraId="4958AE92"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w:t>
            </w:r>
          </w:p>
        </w:tc>
        <w:tc>
          <w:tcPr>
            <w:tcW w:w="1191" w:type="dxa"/>
            <w:shd w:val="clear" w:color="auto" w:fill="C7E4F3" w:themeFill="accent1" w:themeFillTint="33"/>
          </w:tcPr>
          <w:p w14:paraId="6A2DE3FD"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8.9</w:t>
            </w:r>
          </w:p>
        </w:tc>
        <w:tc>
          <w:tcPr>
            <w:tcW w:w="1191" w:type="dxa"/>
            <w:shd w:val="clear" w:color="auto" w:fill="C7E4F3" w:themeFill="accent1" w:themeFillTint="33"/>
          </w:tcPr>
          <w:p w14:paraId="7D904FA7"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w:t>
            </w:r>
          </w:p>
        </w:tc>
        <w:tc>
          <w:tcPr>
            <w:tcW w:w="1191" w:type="dxa"/>
            <w:shd w:val="clear" w:color="auto" w:fill="C7E4F3" w:themeFill="accent1" w:themeFillTint="33"/>
          </w:tcPr>
          <w:p w14:paraId="244CA558"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6.1</w:t>
            </w:r>
          </w:p>
        </w:tc>
        <w:tc>
          <w:tcPr>
            <w:tcW w:w="1191" w:type="dxa"/>
            <w:shd w:val="clear" w:color="auto" w:fill="C7E4F3" w:themeFill="accent1" w:themeFillTint="33"/>
          </w:tcPr>
          <w:p w14:paraId="2B6FD532"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4.5</w:t>
            </w:r>
          </w:p>
        </w:tc>
        <w:tc>
          <w:tcPr>
            <w:tcW w:w="1191" w:type="dxa"/>
            <w:shd w:val="clear" w:color="auto" w:fill="C7E4F3" w:themeFill="accent1" w:themeFillTint="33"/>
          </w:tcPr>
          <w:p w14:paraId="7C52A9CA"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8.9</w:t>
            </w:r>
          </w:p>
        </w:tc>
      </w:tr>
      <w:tr w:rsidR="004209E8" w:rsidRPr="004209E8" w14:paraId="07891540" w14:textId="77777777" w:rsidTr="004209E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025" w:type="dxa"/>
            <w:shd w:val="clear" w:color="auto" w:fill="auto"/>
          </w:tcPr>
          <w:p w14:paraId="204693EE" w14:textId="77777777" w:rsidR="004209E8" w:rsidRPr="00916DD7" w:rsidRDefault="004209E8" w:rsidP="00697D91">
            <w:pPr>
              <w:pStyle w:val="Body"/>
              <w:spacing w:before="40" w:after="40" w:line="240" w:lineRule="auto"/>
              <w:ind w:left="284"/>
              <w:rPr>
                <w:rFonts w:cs="Arial"/>
                <w:b w:val="0"/>
                <w:bCs/>
                <w:sz w:val="18"/>
                <w:szCs w:val="18"/>
              </w:rPr>
            </w:pPr>
            <w:r w:rsidRPr="00916DD7">
              <w:rPr>
                <w:rFonts w:cs="Arial"/>
                <w:b w:val="0"/>
                <w:color w:val="000000"/>
                <w:sz w:val="18"/>
                <w:szCs w:val="18"/>
                <w:lang w:eastAsia="en-AU"/>
              </w:rPr>
              <w:t>Hospitality</w:t>
            </w:r>
          </w:p>
        </w:tc>
        <w:tc>
          <w:tcPr>
            <w:tcW w:w="1191" w:type="dxa"/>
            <w:shd w:val="clear" w:color="auto" w:fill="auto"/>
          </w:tcPr>
          <w:p w14:paraId="4EA5E754"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6.9</w:t>
            </w:r>
          </w:p>
        </w:tc>
        <w:tc>
          <w:tcPr>
            <w:tcW w:w="1191" w:type="dxa"/>
            <w:shd w:val="clear" w:color="auto" w:fill="auto"/>
          </w:tcPr>
          <w:p w14:paraId="4DA86180"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0.1*</w:t>
            </w:r>
          </w:p>
        </w:tc>
        <w:tc>
          <w:tcPr>
            <w:tcW w:w="1191" w:type="dxa"/>
            <w:shd w:val="clear" w:color="auto" w:fill="auto"/>
          </w:tcPr>
          <w:p w14:paraId="4FB13920" w14:textId="77777777" w:rsidR="004209E8" w:rsidRPr="004209E8" w:rsidRDefault="004209E8" w:rsidP="00916DD7">
            <w:pPr>
              <w:pStyle w:val="Body"/>
              <w:spacing w:before="40" w:after="4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5.3</w:t>
            </w:r>
          </w:p>
        </w:tc>
        <w:tc>
          <w:tcPr>
            <w:tcW w:w="1191" w:type="dxa"/>
            <w:shd w:val="clear" w:color="auto" w:fill="auto"/>
          </w:tcPr>
          <w:p w14:paraId="5CE9615B"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w:t>
            </w:r>
          </w:p>
        </w:tc>
        <w:tc>
          <w:tcPr>
            <w:tcW w:w="1191" w:type="dxa"/>
            <w:shd w:val="clear" w:color="auto" w:fill="auto"/>
          </w:tcPr>
          <w:p w14:paraId="0048CD02"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5.5</w:t>
            </w:r>
          </w:p>
        </w:tc>
        <w:tc>
          <w:tcPr>
            <w:tcW w:w="1191" w:type="dxa"/>
            <w:shd w:val="clear" w:color="auto" w:fill="auto"/>
          </w:tcPr>
          <w:p w14:paraId="03ED7D41"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w:t>
            </w:r>
          </w:p>
        </w:tc>
        <w:tc>
          <w:tcPr>
            <w:tcW w:w="1191" w:type="dxa"/>
            <w:shd w:val="clear" w:color="auto" w:fill="auto"/>
          </w:tcPr>
          <w:p w14:paraId="48EACA95"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7.2</w:t>
            </w:r>
          </w:p>
        </w:tc>
        <w:tc>
          <w:tcPr>
            <w:tcW w:w="1191" w:type="dxa"/>
            <w:shd w:val="clear" w:color="auto" w:fill="auto"/>
          </w:tcPr>
          <w:p w14:paraId="726A7F2B"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2.2</w:t>
            </w:r>
          </w:p>
        </w:tc>
        <w:tc>
          <w:tcPr>
            <w:tcW w:w="1191" w:type="dxa"/>
            <w:shd w:val="clear" w:color="auto" w:fill="auto"/>
          </w:tcPr>
          <w:p w14:paraId="7A9D81CA"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4.1</w:t>
            </w:r>
          </w:p>
        </w:tc>
      </w:tr>
      <w:tr w:rsidR="004209E8" w:rsidRPr="004209E8" w14:paraId="1727C370" w14:textId="77777777" w:rsidTr="00916DD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025" w:type="dxa"/>
            <w:shd w:val="clear" w:color="auto" w:fill="C7E4F3" w:themeFill="accent1" w:themeFillTint="33"/>
          </w:tcPr>
          <w:p w14:paraId="3100FD43" w14:textId="77777777" w:rsidR="004209E8" w:rsidRPr="00916DD7" w:rsidRDefault="004209E8" w:rsidP="00697D91">
            <w:pPr>
              <w:pStyle w:val="Body"/>
              <w:spacing w:before="40" w:after="40" w:line="240" w:lineRule="auto"/>
              <w:ind w:left="284"/>
              <w:rPr>
                <w:rFonts w:cs="Arial"/>
                <w:b w:val="0"/>
                <w:bCs/>
                <w:sz w:val="18"/>
                <w:szCs w:val="18"/>
              </w:rPr>
            </w:pPr>
            <w:r w:rsidRPr="00916DD7">
              <w:rPr>
                <w:rFonts w:cs="Arial"/>
                <w:b w:val="0"/>
                <w:color w:val="000000"/>
                <w:sz w:val="18"/>
                <w:szCs w:val="18"/>
                <w:lang w:eastAsia="en-AU"/>
              </w:rPr>
              <w:t>Transport, Postal, Warehousing</w:t>
            </w:r>
          </w:p>
        </w:tc>
        <w:tc>
          <w:tcPr>
            <w:tcW w:w="1191" w:type="dxa"/>
            <w:shd w:val="clear" w:color="auto" w:fill="C7E4F3" w:themeFill="accent1" w:themeFillTint="33"/>
          </w:tcPr>
          <w:p w14:paraId="0E00B1FC"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3.9</w:t>
            </w:r>
          </w:p>
        </w:tc>
        <w:tc>
          <w:tcPr>
            <w:tcW w:w="1191" w:type="dxa"/>
            <w:shd w:val="clear" w:color="auto" w:fill="C7E4F3" w:themeFill="accent1" w:themeFillTint="33"/>
          </w:tcPr>
          <w:p w14:paraId="4BB8BE54"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42.9**</w:t>
            </w:r>
          </w:p>
        </w:tc>
        <w:tc>
          <w:tcPr>
            <w:tcW w:w="1191" w:type="dxa"/>
            <w:shd w:val="clear" w:color="auto" w:fill="C7E4F3" w:themeFill="accent1" w:themeFillTint="33"/>
          </w:tcPr>
          <w:p w14:paraId="096A75AF" w14:textId="77777777" w:rsidR="004209E8" w:rsidRPr="004209E8" w:rsidRDefault="004209E8" w:rsidP="00916DD7">
            <w:pPr>
              <w:pStyle w:val="Body"/>
              <w:spacing w:before="40" w:after="4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6.5</w:t>
            </w:r>
          </w:p>
        </w:tc>
        <w:tc>
          <w:tcPr>
            <w:tcW w:w="1191" w:type="dxa"/>
            <w:shd w:val="clear" w:color="auto" w:fill="C7E4F3" w:themeFill="accent1" w:themeFillTint="33"/>
          </w:tcPr>
          <w:p w14:paraId="543173E5"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w:t>
            </w:r>
          </w:p>
        </w:tc>
        <w:tc>
          <w:tcPr>
            <w:tcW w:w="1191" w:type="dxa"/>
            <w:shd w:val="clear" w:color="auto" w:fill="C7E4F3" w:themeFill="accent1" w:themeFillTint="33"/>
          </w:tcPr>
          <w:p w14:paraId="0837F050"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6.2</w:t>
            </w:r>
          </w:p>
        </w:tc>
        <w:tc>
          <w:tcPr>
            <w:tcW w:w="1191" w:type="dxa"/>
            <w:shd w:val="clear" w:color="auto" w:fill="C7E4F3" w:themeFill="accent1" w:themeFillTint="33"/>
          </w:tcPr>
          <w:p w14:paraId="650AD18D"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100.0**</w:t>
            </w:r>
          </w:p>
        </w:tc>
        <w:tc>
          <w:tcPr>
            <w:tcW w:w="1191" w:type="dxa"/>
            <w:shd w:val="clear" w:color="auto" w:fill="C7E4F3" w:themeFill="accent1" w:themeFillTint="33"/>
          </w:tcPr>
          <w:p w14:paraId="6B15F9AB"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7.7</w:t>
            </w:r>
          </w:p>
        </w:tc>
        <w:tc>
          <w:tcPr>
            <w:tcW w:w="1191" w:type="dxa"/>
            <w:shd w:val="clear" w:color="auto" w:fill="C7E4F3" w:themeFill="accent1" w:themeFillTint="33"/>
          </w:tcPr>
          <w:p w14:paraId="45180118"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7.8</w:t>
            </w:r>
          </w:p>
        </w:tc>
        <w:tc>
          <w:tcPr>
            <w:tcW w:w="1191" w:type="dxa"/>
            <w:shd w:val="clear" w:color="auto" w:fill="C7E4F3" w:themeFill="accent1" w:themeFillTint="33"/>
          </w:tcPr>
          <w:p w14:paraId="44EEC5D1"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10.7</w:t>
            </w:r>
          </w:p>
        </w:tc>
      </w:tr>
      <w:tr w:rsidR="004209E8" w:rsidRPr="004209E8" w14:paraId="7E058C4A" w14:textId="77777777" w:rsidTr="004209E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025" w:type="dxa"/>
            <w:shd w:val="clear" w:color="auto" w:fill="auto"/>
          </w:tcPr>
          <w:p w14:paraId="6B81515D" w14:textId="77777777" w:rsidR="004209E8" w:rsidRPr="00916DD7" w:rsidRDefault="004209E8" w:rsidP="00697D91">
            <w:pPr>
              <w:pStyle w:val="Body"/>
              <w:spacing w:before="40" w:after="40" w:line="240" w:lineRule="auto"/>
              <w:ind w:left="284"/>
              <w:rPr>
                <w:rFonts w:cs="Arial"/>
                <w:b w:val="0"/>
                <w:bCs/>
                <w:sz w:val="18"/>
                <w:szCs w:val="18"/>
              </w:rPr>
            </w:pPr>
            <w:r w:rsidRPr="00916DD7">
              <w:rPr>
                <w:rFonts w:cs="Arial"/>
                <w:b w:val="0"/>
                <w:color w:val="000000"/>
                <w:sz w:val="18"/>
                <w:szCs w:val="18"/>
                <w:lang w:eastAsia="en-AU"/>
              </w:rPr>
              <w:t>Media and Telecommunications</w:t>
            </w:r>
          </w:p>
        </w:tc>
        <w:tc>
          <w:tcPr>
            <w:tcW w:w="1191" w:type="dxa"/>
            <w:shd w:val="clear" w:color="auto" w:fill="auto"/>
          </w:tcPr>
          <w:p w14:paraId="5B1B4708"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2.2**</w:t>
            </w:r>
          </w:p>
        </w:tc>
        <w:tc>
          <w:tcPr>
            <w:tcW w:w="1191" w:type="dxa"/>
            <w:shd w:val="clear" w:color="auto" w:fill="auto"/>
          </w:tcPr>
          <w:p w14:paraId="4080EDA0"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6.4**</w:t>
            </w:r>
          </w:p>
        </w:tc>
        <w:tc>
          <w:tcPr>
            <w:tcW w:w="1191" w:type="dxa"/>
            <w:shd w:val="clear" w:color="auto" w:fill="auto"/>
          </w:tcPr>
          <w:p w14:paraId="2D28E64C" w14:textId="77777777" w:rsidR="004209E8" w:rsidRPr="004209E8" w:rsidRDefault="004209E8" w:rsidP="00916DD7">
            <w:pPr>
              <w:pStyle w:val="Body"/>
              <w:spacing w:before="40" w:after="4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w:t>
            </w:r>
          </w:p>
        </w:tc>
        <w:tc>
          <w:tcPr>
            <w:tcW w:w="1191" w:type="dxa"/>
            <w:shd w:val="clear" w:color="auto" w:fill="auto"/>
          </w:tcPr>
          <w:p w14:paraId="1517BCEA"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w:t>
            </w:r>
          </w:p>
        </w:tc>
        <w:tc>
          <w:tcPr>
            <w:tcW w:w="1191" w:type="dxa"/>
            <w:shd w:val="clear" w:color="auto" w:fill="auto"/>
          </w:tcPr>
          <w:p w14:paraId="4AB7258A"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0.3</w:t>
            </w:r>
          </w:p>
        </w:tc>
        <w:tc>
          <w:tcPr>
            <w:tcW w:w="1191" w:type="dxa"/>
            <w:shd w:val="clear" w:color="auto" w:fill="auto"/>
          </w:tcPr>
          <w:p w14:paraId="6F27F260"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w:t>
            </w:r>
          </w:p>
        </w:tc>
        <w:tc>
          <w:tcPr>
            <w:tcW w:w="1191" w:type="dxa"/>
            <w:shd w:val="clear" w:color="auto" w:fill="auto"/>
          </w:tcPr>
          <w:p w14:paraId="6A8A4582"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0.5</w:t>
            </w:r>
          </w:p>
        </w:tc>
        <w:tc>
          <w:tcPr>
            <w:tcW w:w="1191" w:type="dxa"/>
            <w:shd w:val="clear" w:color="auto" w:fill="auto"/>
          </w:tcPr>
          <w:p w14:paraId="55997726"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w:t>
            </w:r>
          </w:p>
        </w:tc>
        <w:tc>
          <w:tcPr>
            <w:tcW w:w="1191" w:type="dxa"/>
            <w:shd w:val="clear" w:color="auto" w:fill="auto"/>
          </w:tcPr>
          <w:p w14:paraId="7B7CCE5C"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w:t>
            </w:r>
          </w:p>
        </w:tc>
      </w:tr>
      <w:tr w:rsidR="004209E8" w:rsidRPr="004209E8" w14:paraId="2672E0FF" w14:textId="77777777" w:rsidTr="00916DD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025" w:type="dxa"/>
            <w:shd w:val="clear" w:color="auto" w:fill="C7E4F3" w:themeFill="accent1" w:themeFillTint="33"/>
          </w:tcPr>
          <w:p w14:paraId="35E3F03D" w14:textId="77777777" w:rsidR="004209E8" w:rsidRPr="00916DD7" w:rsidRDefault="004209E8" w:rsidP="00697D91">
            <w:pPr>
              <w:pStyle w:val="Body"/>
              <w:spacing w:before="40" w:after="40" w:line="240" w:lineRule="auto"/>
              <w:ind w:left="284"/>
              <w:rPr>
                <w:rFonts w:cs="Arial"/>
                <w:b w:val="0"/>
                <w:bCs/>
                <w:sz w:val="18"/>
                <w:szCs w:val="18"/>
              </w:rPr>
            </w:pPr>
            <w:r w:rsidRPr="00916DD7">
              <w:rPr>
                <w:rFonts w:cs="Arial"/>
                <w:b w:val="0"/>
                <w:color w:val="000000"/>
                <w:sz w:val="18"/>
                <w:szCs w:val="18"/>
                <w:lang w:eastAsia="en-AU"/>
              </w:rPr>
              <w:t>Financial/Insurance Services</w:t>
            </w:r>
          </w:p>
        </w:tc>
        <w:tc>
          <w:tcPr>
            <w:tcW w:w="1191" w:type="dxa"/>
            <w:shd w:val="clear" w:color="auto" w:fill="C7E4F3" w:themeFill="accent1" w:themeFillTint="33"/>
          </w:tcPr>
          <w:p w14:paraId="048429A8"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0.1</w:t>
            </w:r>
          </w:p>
        </w:tc>
        <w:tc>
          <w:tcPr>
            <w:tcW w:w="1191" w:type="dxa"/>
            <w:shd w:val="clear" w:color="auto" w:fill="C7E4F3" w:themeFill="accent1" w:themeFillTint="33"/>
          </w:tcPr>
          <w:p w14:paraId="5D3ECF2C"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2.1**</w:t>
            </w:r>
          </w:p>
        </w:tc>
        <w:tc>
          <w:tcPr>
            <w:tcW w:w="1191" w:type="dxa"/>
            <w:shd w:val="clear" w:color="auto" w:fill="C7E4F3" w:themeFill="accent1" w:themeFillTint="33"/>
          </w:tcPr>
          <w:p w14:paraId="4D9EAD37" w14:textId="77777777" w:rsidR="004209E8" w:rsidRPr="004209E8" w:rsidRDefault="004209E8" w:rsidP="00916DD7">
            <w:pPr>
              <w:pStyle w:val="Body"/>
              <w:spacing w:before="40" w:after="4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0.8</w:t>
            </w:r>
          </w:p>
        </w:tc>
        <w:tc>
          <w:tcPr>
            <w:tcW w:w="1191" w:type="dxa"/>
            <w:shd w:val="clear" w:color="auto" w:fill="C7E4F3" w:themeFill="accent1" w:themeFillTint="33"/>
          </w:tcPr>
          <w:p w14:paraId="5B67F5D7"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w:t>
            </w:r>
          </w:p>
        </w:tc>
        <w:tc>
          <w:tcPr>
            <w:tcW w:w="1191" w:type="dxa"/>
            <w:shd w:val="clear" w:color="auto" w:fill="C7E4F3" w:themeFill="accent1" w:themeFillTint="33"/>
          </w:tcPr>
          <w:p w14:paraId="3E4F114C"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0.2</w:t>
            </w:r>
          </w:p>
        </w:tc>
        <w:tc>
          <w:tcPr>
            <w:tcW w:w="1191" w:type="dxa"/>
            <w:shd w:val="clear" w:color="auto" w:fill="C7E4F3" w:themeFill="accent1" w:themeFillTint="33"/>
          </w:tcPr>
          <w:p w14:paraId="7A57626E"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w:t>
            </w:r>
          </w:p>
        </w:tc>
        <w:tc>
          <w:tcPr>
            <w:tcW w:w="1191" w:type="dxa"/>
            <w:shd w:val="clear" w:color="auto" w:fill="C7E4F3" w:themeFill="accent1" w:themeFillTint="33"/>
          </w:tcPr>
          <w:p w14:paraId="0567FD4A"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0.6</w:t>
            </w:r>
          </w:p>
        </w:tc>
        <w:tc>
          <w:tcPr>
            <w:tcW w:w="1191" w:type="dxa"/>
            <w:shd w:val="clear" w:color="auto" w:fill="C7E4F3" w:themeFill="accent1" w:themeFillTint="33"/>
          </w:tcPr>
          <w:p w14:paraId="016CC5F2"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w:t>
            </w:r>
          </w:p>
        </w:tc>
        <w:tc>
          <w:tcPr>
            <w:tcW w:w="1191" w:type="dxa"/>
            <w:shd w:val="clear" w:color="auto" w:fill="C7E4F3" w:themeFill="accent1" w:themeFillTint="33"/>
          </w:tcPr>
          <w:p w14:paraId="44F28205"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0.8</w:t>
            </w:r>
          </w:p>
        </w:tc>
      </w:tr>
      <w:tr w:rsidR="004209E8" w:rsidRPr="004209E8" w14:paraId="5DAA72D3" w14:textId="77777777" w:rsidTr="004209E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025" w:type="dxa"/>
            <w:shd w:val="clear" w:color="auto" w:fill="auto"/>
          </w:tcPr>
          <w:p w14:paraId="202E5A26" w14:textId="77777777" w:rsidR="004209E8" w:rsidRPr="00916DD7" w:rsidRDefault="004209E8" w:rsidP="00697D91">
            <w:pPr>
              <w:pStyle w:val="Body"/>
              <w:spacing w:before="40" w:after="40" w:line="240" w:lineRule="auto"/>
              <w:ind w:left="284"/>
              <w:rPr>
                <w:rFonts w:cs="Arial"/>
                <w:b w:val="0"/>
                <w:bCs/>
                <w:sz w:val="18"/>
                <w:szCs w:val="18"/>
              </w:rPr>
            </w:pPr>
            <w:r w:rsidRPr="00916DD7">
              <w:rPr>
                <w:rFonts w:cs="Arial"/>
                <w:b w:val="0"/>
                <w:color w:val="000000"/>
                <w:sz w:val="18"/>
                <w:szCs w:val="18"/>
                <w:lang w:eastAsia="en-AU"/>
              </w:rPr>
              <w:t>Rental/Real Estate Services</w:t>
            </w:r>
          </w:p>
        </w:tc>
        <w:tc>
          <w:tcPr>
            <w:tcW w:w="1191" w:type="dxa"/>
            <w:shd w:val="clear" w:color="auto" w:fill="auto"/>
          </w:tcPr>
          <w:p w14:paraId="2D453088"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w:t>
            </w:r>
          </w:p>
        </w:tc>
        <w:tc>
          <w:tcPr>
            <w:tcW w:w="1191" w:type="dxa"/>
            <w:shd w:val="clear" w:color="auto" w:fill="auto"/>
          </w:tcPr>
          <w:p w14:paraId="5263AB3F"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w:t>
            </w:r>
          </w:p>
        </w:tc>
        <w:tc>
          <w:tcPr>
            <w:tcW w:w="1191" w:type="dxa"/>
            <w:shd w:val="clear" w:color="auto" w:fill="auto"/>
          </w:tcPr>
          <w:p w14:paraId="54AD618F" w14:textId="77777777" w:rsidR="004209E8" w:rsidRPr="004209E8" w:rsidRDefault="004209E8" w:rsidP="00916DD7">
            <w:pPr>
              <w:pStyle w:val="Body"/>
              <w:spacing w:before="40" w:after="4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1.9</w:t>
            </w:r>
          </w:p>
        </w:tc>
        <w:tc>
          <w:tcPr>
            <w:tcW w:w="1191" w:type="dxa"/>
            <w:shd w:val="clear" w:color="auto" w:fill="auto"/>
          </w:tcPr>
          <w:p w14:paraId="1A848457"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w:t>
            </w:r>
          </w:p>
        </w:tc>
        <w:tc>
          <w:tcPr>
            <w:tcW w:w="1191" w:type="dxa"/>
            <w:shd w:val="clear" w:color="auto" w:fill="auto"/>
          </w:tcPr>
          <w:p w14:paraId="68D5CBD4"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0.8</w:t>
            </w:r>
          </w:p>
        </w:tc>
        <w:tc>
          <w:tcPr>
            <w:tcW w:w="1191" w:type="dxa"/>
            <w:shd w:val="clear" w:color="auto" w:fill="auto"/>
          </w:tcPr>
          <w:p w14:paraId="6CF97621"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w:t>
            </w:r>
          </w:p>
        </w:tc>
        <w:tc>
          <w:tcPr>
            <w:tcW w:w="1191" w:type="dxa"/>
            <w:shd w:val="clear" w:color="auto" w:fill="auto"/>
          </w:tcPr>
          <w:p w14:paraId="3935C254"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0.2</w:t>
            </w:r>
          </w:p>
        </w:tc>
        <w:tc>
          <w:tcPr>
            <w:tcW w:w="1191" w:type="dxa"/>
            <w:shd w:val="clear" w:color="auto" w:fill="auto"/>
          </w:tcPr>
          <w:p w14:paraId="5E6CF18C"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0.9</w:t>
            </w:r>
          </w:p>
        </w:tc>
        <w:tc>
          <w:tcPr>
            <w:tcW w:w="1191" w:type="dxa"/>
            <w:shd w:val="clear" w:color="auto" w:fill="auto"/>
          </w:tcPr>
          <w:p w14:paraId="147B6A51"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1.6</w:t>
            </w:r>
          </w:p>
        </w:tc>
      </w:tr>
      <w:tr w:rsidR="004209E8" w:rsidRPr="004209E8" w14:paraId="7E95AF4E" w14:textId="77777777" w:rsidTr="00916DD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025" w:type="dxa"/>
            <w:shd w:val="clear" w:color="auto" w:fill="C7E4F3" w:themeFill="accent1" w:themeFillTint="33"/>
          </w:tcPr>
          <w:p w14:paraId="6F03FAD7" w14:textId="77777777" w:rsidR="004209E8" w:rsidRPr="00916DD7" w:rsidRDefault="004209E8" w:rsidP="00697D91">
            <w:pPr>
              <w:pStyle w:val="Body"/>
              <w:spacing w:before="40" w:after="40" w:line="240" w:lineRule="auto"/>
              <w:ind w:left="284"/>
              <w:rPr>
                <w:rFonts w:cs="Arial"/>
                <w:b w:val="0"/>
                <w:bCs/>
                <w:sz w:val="18"/>
                <w:szCs w:val="18"/>
              </w:rPr>
            </w:pPr>
            <w:r w:rsidRPr="00916DD7">
              <w:rPr>
                <w:rFonts w:cs="Arial"/>
                <w:b w:val="0"/>
                <w:color w:val="000000"/>
                <w:sz w:val="18"/>
                <w:szCs w:val="18"/>
                <w:lang w:eastAsia="en-AU"/>
              </w:rPr>
              <w:t>Scientific/Technical Services</w:t>
            </w:r>
          </w:p>
        </w:tc>
        <w:tc>
          <w:tcPr>
            <w:tcW w:w="1191" w:type="dxa"/>
            <w:shd w:val="clear" w:color="auto" w:fill="C7E4F3" w:themeFill="accent1" w:themeFillTint="33"/>
          </w:tcPr>
          <w:p w14:paraId="06BB036B"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11.1**</w:t>
            </w:r>
          </w:p>
        </w:tc>
        <w:tc>
          <w:tcPr>
            <w:tcW w:w="1191" w:type="dxa"/>
            <w:shd w:val="clear" w:color="auto" w:fill="C7E4F3" w:themeFill="accent1" w:themeFillTint="33"/>
          </w:tcPr>
          <w:p w14:paraId="4F7ED658"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1.8</w:t>
            </w:r>
          </w:p>
        </w:tc>
        <w:tc>
          <w:tcPr>
            <w:tcW w:w="1191" w:type="dxa"/>
            <w:shd w:val="clear" w:color="auto" w:fill="C7E4F3" w:themeFill="accent1" w:themeFillTint="33"/>
          </w:tcPr>
          <w:p w14:paraId="4FF1C9D5" w14:textId="77777777" w:rsidR="004209E8" w:rsidRPr="004209E8" w:rsidRDefault="004209E8" w:rsidP="00916DD7">
            <w:pPr>
              <w:pStyle w:val="Body"/>
              <w:spacing w:before="40" w:after="4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2.0</w:t>
            </w:r>
          </w:p>
        </w:tc>
        <w:tc>
          <w:tcPr>
            <w:tcW w:w="1191" w:type="dxa"/>
            <w:shd w:val="clear" w:color="auto" w:fill="C7E4F3" w:themeFill="accent1" w:themeFillTint="33"/>
          </w:tcPr>
          <w:p w14:paraId="09D8BE62"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w:t>
            </w:r>
          </w:p>
        </w:tc>
        <w:tc>
          <w:tcPr>
            <w:tcW w:w="1191" w:type="dxa"/>
            <w:shd w:val="clear" w:color="auto" w:fill="C7E4F3" w:themeFill="accent1" w:themeFillTint="33"/>
          </w:tcPr>
          <w:p w14:paraId="5B0C6C73"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2.2</w:t>
            </w:r>
          </w:p>
        </w:tc>
        <w:tc>
          <w:tcPr>
            <w:tcW w:w="1191" w:type="dxa"/>
            <w:shd w:val="clear" w:color="auto" w:fill="C7E4F3" w:themeFill="accent1" w:themeFillTint="33"/>
          </w:tcPr>
          <w:p w14:paraId="06A9501F"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w:t>
            </w:r>
          </w:p>
        </w:tc>
        <w:tc>
          <w:tcPr>
            <w:tcW w:w="1191" w:type="dxa"/>
            <w:shd w:val="clear" w:color="auto" w:fill="C7E4F3" w:themeFill="accent1" w:themeFillTint="33"/>
          </w:tcPr>
          <w:p w14:paraId="28736EA9"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2.7</w:t>
            </w:r>
          </w:p>
        </w:tc>
        <w:tc>
          <w:tcPr>
            <w:tcW w:w="1191" w:type="dxa"/>
            <w:shd w:val="clear" w:color="auto" w:fill="C7E4F3" w:themeFill="accent1" w:themeFillTint="33"/>
          </w:tcPr>
          <w:p w14:paraId="6F69021D"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1.5</w:t>
            </w:r>
          </w:p>
        </w:tc>
        <w:tc>
          <w:tcPr>
            <w:tcW w:w="1191" w:type="dxa"/>
            <w:shd w:val="clear" w:color="auto" w:fill="C7E4F3" w:themeFill="accent1" w:themeFillTint="33"/>
          </w:tcPr>
          <w:p w14:paraId="2A82FFA2"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2.4</w:t>
            </w:r>
          </w:p>
        </w:tc>
      </w:tr>
      <w:tr w:rsidR="004209E8" w:rsidRPr="004209E8" w14:paraId="2E13AB6D" w14:textId="77777777" w:rsidTr="004209E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025" w:type="dxa"/>
            <w:shd w:val="clear" w:color="auto" w:fill="auto"/>
          </w:tcPr>
          <w:p w14:paraId="4F735226" w14:textId="77777777" w:rsidR="004209E8" w:rsidRPr="00916DD7" w:rsidRDefault="004209E8" w:rsidP="00697D91">
            <w:pPr>
              <w:pStyle w:val="Body"/>
              <w:spacing w:before="40" w:after="40" w:line="240" w:lineRule="auto"/>
              <w:ind w:left="284"/>
              <w:rPr>
                <w:rFonts w:cs="Arial"/>
                <w:b w:val="0"/>
                <w:bCs/>
                <w:sz w:val="18"/>
                <w:szCs w:val="18"/>
              </w:rPr>
            </w:pPr>
            <w:r w:rsidRPr="00916DD7">
              <w:rPr>
                <w:rFonts w:cs="Arial"/>
                <w:b w:val="0"/>
                <w:color w:val="000000"/>
                <w:sz w:val="18"/>
                <w:szCs w:val="18"/>
                <w:lang w:eastAsia="en-AU"/>
              </w:rPr>
              <w:t>Administrative Services</w:t>
            </w:r>
          </w:p>
        </w:tc>
        <w:tc>
          <w:tcPr>
            <w:tcW w:w="1191" w:type="dxa"/>
            <w:shd w:val="clear" w:color="auto" w:fill="auto"/>
          </w:tcPr>
          <w:p w14:paraId="16235DBD"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4.6</w:t>
            </w:r>
          </w:p>
        </w:tc>
        <w:tc>
          <w:tcPr>
            <w:tcW w:w="1191" w:type="dxa"/>
            <w:shd w:val="clear" w:color="auto" w:fill="auto"/>
          </w:tcPr>
          <w:p w14:paraId="65CFDEA5"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w:t>
            </w:r>
          </w:p>
        </w:tc>
        <w:tc>
          <w:tcPr>
            <w:tcW w:w="1191" w:type="dxa"/>
            <w:shd w:val="clear" w:color="auto" w:fill="auto"/>
          </w:tcPr>
          <w:p w14:paraId="729D489D" w14:textId="77777777" w:rsidR="004209E8" w:rsidRPr="004209E8" w:rsidRDefault="004209E8" w:rsidP="00916DD7">
            <w:pPr>
              <w:pStyle w:val="Body"/>
              <w:spacing w:before="40" w:after="4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2.8</w:t>
            </w:r>
          </w:p>
        </w:tc>
        <w:tc>
          <w:tcPr>
            <w:tcW w:w="1191" w:type="dxa"/>
            <w:shd w:val="clear" w:color="auto" w:fill="auto"/>
          </w:tcPr>
          <w:p w14:paraId="16F7A5B9"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w:t>
            </w:r>
          </w:p>
        </w:tc>
        <w:tc>
          <w:tcPr>
            <w:tcW w:w="1191" w:type="dxa"/>
            <w:shd w:val="clear" w:color="auto" w:fill="auto"/>
          </w:tcPr>
          <w:p w14:paraId="359D7942"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5.8</w:t>
            </w:r>
          </w:p>
        </w:tc>
        <w:tc>
          <w:tcPr>
            <w:tcW w:w="1191" w:type="dxa"/>
            <w:shd w:val="clear" w:color="auto" w:fill="auto"/>
          </w:tcPr>
          <w:p w14:paraId="7541A4A7"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w:t>
            </w:r>
          </w:p>
        </w:tc>
        <w:tc>
          <w:tcPr>
            <w:tcW w:w="1191" w:type="dxa"/>
            <w:shd w:val="clear" w:color="auto" w:fill="auto"/>
          </w:tcPr>
          <w:p w14:paraId="7256860A"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3.9</w:t>
            </w:r>
          </w:p>
        </w:tc>
        <w:tc>
          <w:tcPr>
            <w:tcW w:w="1191" w:type="dxa"/>
            <w:shd w:val="clear" w:color="auto" w:fill="auto"/>
          </w:tcPr>
          <w:p w14:paraId="7C6112B5"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1.2</w:t>
            </w:r>
          </w:p>
        </w:tc>
        <w:tc>
          <w:tcPr>
            <w:tcW w:w="1191" w:type="dxa"/>
            <w:shd w:val="clear" w:color="auto" w:fill="auto"/>
          </w:tcPr>
          <w:p w14:paraId="3317AB4E"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5.4</w:t>
            </w:r>
          </w:p>
        </w:tc>
      </w:tr>
      <w:tr w:rsidR="004209E8" w:rsidRPr="004209E8" w14:paraId="548ED55F" w14:textId="77777777" w:rsidTr="00916DD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025" w:type="dxa"/>
            <w:shd w:val="clear" w:color="auto" w:fill="C7E4F3" w:themeFill="accent1" w:themeFillTint="33"/>
          </w:tcPr>
          <w:p w14:paraId="43A43124" w14:textId="77777777" w:rsidR="004209E8" w:rsidRPr="00916DD7" w:rsidRDefault="004209E8" w:rsidP="00697D91">
            <w:pPr>
              <w:pStyle w:val="Body"/>
              <w:spacing w:before="40" w:after="40" w:line="240" w:lineRule="auto"/>
              <w:ind w:left="284"/>
              <w:rPr>
                <w:rFonts w:cs="Arial"/>
                <w:b w:val="0"/>
                <w:bCs/>
                <w:sz w:val="18"/>
                <w:szCs w:val="18"/>
              </w:rPr>
            </w:pPr>
            <w:r w:rsidRPr="00916DD7">
              <w:rPr>
                <w:rFonts w:cs="Arial"/>
                <w:b w:val="0"/>
                <w:color w:val="000000"/>
                <w:sz w:val="18"/>
                <w:szCs w:val="18"/>
                <w:lang w:eastAsia="en-AU"/>
              </w:rPr>
              <w:t>Public Administration</w:t>
            </w:r>
          </w:p>
        </w:tc>
        <w:tc>
          <w:tcPr>
            <w:tcW w:w="1191" w:type="dxa"/>
            <w:shd w:val="clear" w:color="auto" w:fill="C7E4F3" w:themeFill="accent1" w:themeFillTint="33"/>
          </w:tcPr>
          <w:p w14:paraId="0CFE02EE"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0.8*</w:t>
            </w:r>
          </w:p>
        </w:tc>
        <w:tc>
          <w:tcPr>
            <w:tcW w:w="1191" w:type="dxa"/>
            <w:shd w:val="clear" w:color="auto" w:fill="C7E4F3" w:themeFill="accent1" w:themeFillTint="33"/>
          </w:tcPr>
          <w:p w14:paraId="07C31791"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31.8**</w:t>
            </w:r>
          </w:p>
        </w:tc>
        <w:tc>
          <w:tcPr>
            <w:tcW w:w="1191" w:type="dxa"/>
            <w:shd w:val="clear" w:color="auto" w:fill="C7E4F3" w:themeFill="accent1" w:themeFillTint="33"/>
          </w:tcPr>
          <w:p w14:paraId="626BC481" w14:textId="77777777" w:rsidR="004209E8" w:rsidRPr="004209E8" w:rsidRDefault="004209E8" w:rsidP="00916DD7">
            <w:pPr>
              <w:pStyle w:val="Body"/>
              <w:spacing w:before="40" w:after="4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7.1</w:t>
            </w:r>
          </w:p>
        </w:tc>
        <w:tc>
          <w:tcPr>
            <w:tcW w:w="1191" w:type="dxa"/>
            <w:shd w:val="clear" w:color="auto" w:fill="C7E4F3" w:themeFill="accent1" w:themeFillTint="33"/>
          </w:tcPr>
          <w:p w14:paraId="5B5E76DB"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w:t>
            </w:r>
          </w:p>
        </w:tc>
        <w:tc>
          <w:tcPr>
            <w:tcW w:w="1191" w:type="dxa"/>
            <w:shd w:val="clear" w:color="auto" w:fill="C7E4F3" w:themeFill="accent1" w:themeFillTint="33"/>
          </w:tcPr>
          <w:p w14:paraId="5202A246"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8.5</w:t>
            </w:r>
          </w:p>
        </w:tc>
        <w:tc>
          <w:tcPr>
            <w:tcW w:w="1191" w:type="dxa"/>
            <w:shd w:val="clear" w:color="auto" w:fill="C7E4F3" w:themeFill="accent1" w:themeFillTint="33"/>
          </w:tcPr>
          <w:p w14:paraId="4A1834CA"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w:t>
            </w:r>
          </w:p>
        </w:tc>
        <w:tc>
          <w:tcPr>
            <w:tcW w:w="1191" w:type="dxa"/>
            <w:shd w:val="clear" w:color="auto" w:fill="C7E4F3" w:themeFill="accent1" w:themeFillTint="33"/>
          </w:tcPr>
          <w:p w14:paraId="1DAE0FAA"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6.2</w:t>
            </w:r>
          </w:p>
        </w:tc>
        <w:tc>
          <w:tcPr>
            <w:tcW w:w="1191" w:type="dxa"/>
            <w:shd w:val="clear" w:color="auto" w:fill="C7E4F3" w:themeFill="accent1" w:themeFillTint="33"/>
          </w:tcPr>
          <w:p w14:paraId="399B9DE9"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5.9</w:t>
            </w:r>
          </w:p>
        </w:tc>
        <w:tc>
          <w:tcPr>
            <w:tcW w:w="1191" w:type="dxa"/>
            <w:shd w:val="clear" w:color="auto" w:fill="C7E4F3" w:themeFill="accent1" w:themeFillTint="33"/>
          </w:tcPr>
          <w:p w14:paraId="2205D37B"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6.3</w:t>
            </w:r>
          </w:p>
        </w:tc>
      </w:tr>
      <w:tr w:rsidR="004209E8" w:rsidRPr="004209E8" w14:paraId="3D60F7F0" w14:textId="77777777" w:rsidTr="004209E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025" w:type="dxa"/>
            <w:shd w:val="clear" w:color="auto" w:fill="auto"/>
          </w:tcPr>
          <w:p w14:paraId="069C867D" w14:textId="77777777" w:rsidR="004209E8" w:rsidRPr="00916DD7" w:rsidRDefault="004209E8" w:rsidP="00697D91">
            <w:pPr>
              <w:pStyle w:val="Body"/>
              <w:spacing w:before="40" w:after="40" w:line="240" w:lineRule="auto"/>
              <w:ind w:left="284"/>
              <w:rPr>
                <w:rFonts w:cs="Arial"/>
                <w:b w:val="0"/>
                <w:bCs/>
                <w:sz w:val="18"/>
                <w:szCs w:val="18"/>
              </w:rPr>
            </w:pPr>
            <w:r w:rsidRPr="00916DD7">
              <w:rPr>
                <w:rFonts w:cs="Arial"/>
                <w:b w:val="0"/>
                <w:color w:val="000000"/>
                <w:sz w:val="18"/>
                <w:szCs w:val="18"/>
                <w:lang w:eastAsia="en-AU"/>
              </w:rPr>
              <w:t>Education and Training</w:t>
            </w:r>
          </w:p>
        </w:tc>
        <w:tc>
          <w:tcPr>
            <w:tcW w:w="1191" w:type="dxa"/>
            <w:shd w:val="clear" w:color="auto" w:fill="auto"/>
          </w:tcPr>
          <w:p w14:paraId="3DE02F3E"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7.1</w:t>
            </w:r>
          </w:p>
        </w:tc>
        <w:tc>
          <w:tcPr>
            <w:tcW w:w="1191" w:type="dxa"/>
            <w:shd w:val="clear" w:color="auto" w:fill="auto"/>
          </w:tcPr>
          <w:p w14:paraId="5C814273"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3.9*</w:t>
            </w:r>
          </w:p>
        </w:tc>
        <w:tc>
          <w:tcPr>
            <w:tcW w:w="1191" w:type="dxa"/>
            <w:shd w:val="clear" w:color="auto" w:fill="auto"/>
          </w:tcPr>
          <w:p w14:paraId="65DF2951" w14:textId="77777777" w:rsidR="004209E8" w:rsidRPr="004209E8" w:rsidRDefault="004209E8" w:rsidP="00916DD7">
            <w:pPr>
              <w:pStyle w:val="Body"/>
              <w:spacing w:before="40" w:after="4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11.2</w:t>
            </w:r>
          </w:p>
        </w:tc>
        <w:tc>
          <w:tcPr>
            <w:tcW w:w="1191" w:type="dxa"/>
            <w:shd w:val="clear" w:color="auto" w:fill="auto"/>
          </w:tcPr>
          <w:p w14:paraId="3D40E5B6"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w:t>
            </w:r>
          </w:p>
        </w:tc>
        <w:tc>
          <w:tcPr>
            <w:tcW w:w="1191" w:type="dxa"/>
            <w:shd w:val="clear" w:color="auto" w:fill="auto"/>
          </w:tcPr>
          <w:p w14:paraId="7DB9566C"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9.6</w:t>
            </w:r>
          </w:p>
        </w:tc>
        <w:tc>
          <w:tcPr>
            <w:tcW w:w="1191" w:type="dxa"/>
            <w:shd w:val="clear" w:color="auto" w:fill="auto"/>
          </w:tcPr>
          <w:p w14:paraId="4A356F3C"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w:t>
            </w:r>
          </w:p>
        </w:tc>
        <w:tc>
          <w:tcPr>
            <w:tcW w:w="1191" w:type="dxa"/>
            <w:shd w:val="clear" w:color="auto" w:fill="auto"/>
          </w:tcPr>
          <w:p w14:paraId="7EF93054"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2.7*</w:t>
            </w:r>
          </w:p>
        </w:tc>
        <w:tc>
          <w:tcPr>
            <w:tcW w:w="1191" w:type="dxa"/>
            <w:shd w:val="clear" w:color="auto" w:fill="auto"/>
          </w:tcPr>
          <w:p w14:paraId="38BFF70F"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11.7</w:t>
            </w:r>
          </w:p>
        </w:tc>
        <w:tc>
          <w:tcPr>
            <w:tcW w:w="1191" w:type="dxa"/>
            <w:shd w:val="clear" w:color="auto" w:fill="auto"/>
          </w:tcPr>
          <w:p w14:paraId="3775CDB2"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11.4</w:t>
            </w:r>
          </w:p>
        </w:tc>
      </w:tr>
      <w:tr w:rsidR="004209E8" w:rsidRPr="004209E8" w14:paraId="342C31EF" w14:textId="77777777" w:rsidTr="00916DD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025" w:type="dxa"/>
            <w:shd w:val="clear" w:color="auto" w:fill="C7E4F3" w:themeFill="accent1" w:themeFillTint="33"/>
          </w:tcPr>
          <w:p w14:paraId="4C147699" w14:textId="77777777" w:rsidR="004209E8" w:rsidRPr="00916DD7" w:rsidRDefault="004209E8" w:rsidP="00697D91">
            <w:pPr>
              <w:pStyle w:val="Body"/>
              <w:spacing w:before="40" w:after="40" w:line="240" w:lineRule="auto"/>
              <w:ind w:left="284"/>
              <w:rPr>
                <w:rFonts w:cs="Arial"/>
                <w:b w:val="0"/>
                <w:bCs/>
                <w:sz w:val="18"/>
                <w:szCs w:val="18"/>
              </w:rPr>
            </w:pPr>
            <w:r w:rsidRPr="00916DD7">
              <w:rPr>
                <w:rFonts w:cs="Arial"/>
                <w:b w:val="0"/>
                <w:color w:val="000000"/>
                <w:sz w:val="18"/>
                <w:szCs w:val="18"/>
                <w:lang w:eastAsia="en-AU"/>
              </w:rPr>
              <w:t>Health Care/Social Assistance</w:t>
            </w:r>
          </w:p>
        </w:tc>
        <w:tc>
          <w:tcPr>
            <w:tcW w:w="1191" w:type="dxa"/>
            <w:shd w:val="clear" w:color="auto" w:fill="C7E4F3" w:themeFill="accent1" w:themeFillTint="33"/>
          </w:tcPr>
          <w:p w14:paraId="48169F34"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21.9</w:t>
            </w:r>
          </w:p>
        </w:tc>
        <w:tc>
          <w:tcPr>
            <w:tcW w:w="1191" w:type="dxa"/>
            <w:shd w:val="clear" w:color="auto" w:fill="C7E4F3" w:themeFill="accent1" w:themeFillTint="33"/>
          </w:tcPr>
          <w:p w14:paraId="26E65CA4"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4.9*</w:t>
            </w:r>
          </w:p>
        </w:tc>
        <w:tc>
          <w:tcPr>
            <w:tcW w:w="1191" w:type="dxa"/>
            <w:shd w:val="clear" w:color="auto" w:fill="C7E4F3" w:themeFill="accent1" w:themeFillTint="33"/>
          </w:tcPr>
          <w:p w14:paraId="6E7CD5BE" w14:textId="77777777" w:rsidR="004209E8" w:rsidRPr="004209E8" w:rsidRDefault="004209E8" w:rsidP="00916DD7">
            <w:pPr>
              <w:pStyle w:val="Body"/>
              <w:spacing w:before="40" w:after="4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19.0</w:t>
            </w:r>
          </w:p>
        </w:tc>
        <w:tc>
          <w:tcPr>
            <w:tcW w:w="1191" w:type="dxa"/>
            <w:shd w:val="clear" w:color="auto" w:fill="C7E4F3" w:themeFill="accent1" w:themeFillTint="33"/>
          </w:tcPr>
          <w:p w14:paraId="4620D5E1"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w:t>
            </w:r>
          </w:p>
        </w:tc>
        <w:tc>
          <w:tcPr>
            <w:tcW w:w="1191" w:type="dxa"/>
            <w:shd w:val="clear" w:color="auto" w:fill="C7E4F3" w:themeFill="accent1" w:themeFillTint="33"/>
          </w:tcPr>
          <w:p w14:paraId="74B9FC51"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18.1</w:t>
            </w:r>
          </w:p>
        </w:tc>
        <w:tc>
          <w:tcPr>
            <w:tcW w:w="1191" w:type="dxa"/>
            <w:shd w:val="clear" w:color="auto" w:fill="C7E4F3" w:themeFill="accent1" w:themeFillTint="33"/>
          </w:tcPr>
          <w:p w14:paraId="1E1198A1"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w:t>
            </w:r>
          </w:p>
        </w:tc>
        <w:tc>
          <w:tcPr>
            <w:tcW w:w="1191" w:type="dxa"/>
            <w:shd w:val="clear" w:color="auto" w:fill="C7E4F3" w:themeFill="accent1" w:themeFillTint="33"/>
          </w:tcPr>
          <w:p w14:paraId="24190CDD"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22.6</w:t>
            </w:r>
          </w:p>
        </w:tc>
        <w:tc>
          <w:tcPr>
            <w:tcW w:w="1191" w:type="dxa"/>
            <w:shd w:val="clear" w:color="auto" w:fill="C7E4F3" w:themeFill="accent1" w:themeFillTint="33"/>
          </w:tcPr>
          <w:p w14:paraId="700F52D9"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19.6</w:t>
            </w:r>
          </w:p>
        </w:tc>
        <w:tc>
          <w:tcPr>
            <w:tcW w:w="1191" w:type="dxa"/>
            <w:shd w:val="clear" w:color="auto" w:fill="C7E4F3" w:themeFill="accent1" w:themeFillTint="33"/>
          </w:tcPr>
          <w:p w14:paraId="16EA4380"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15.6</w:t>
            </w:r>
          </w:p>
        </w:tc>
      </w:tr>
      <w:tr w:rsidR="004209E8" w:rsidRPr="004209E8" w14:paraId="2F02A1A9" w14:textId="77777777" w:rsidTr="004209E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025" w:type="dxa"/>
            <w:shd w:val="clear" w:color="auto" w:fill="auto"/>
          </w:tcPr>
          <w:p w14:paraId="1E846CA7" w14:textId="77777777" w:rsidR="004209E8" w:rsidRPr="00916DD7" w:rsidRDefault="004209E8" w:rsidP="00697D91">
            <w:pPr>
              <w:pStyle w:val="Body"/>
              <w:spacing w:before="40" w:after="40" w:line="240" w:lineRule="auto"/>
              <w:ind w:left="284"/>
              <w:rPr>
                <w:rFonts w:cs="Arial"/>
                <w:b w:val="0"/>
                <w:bCs/>
                <w:sz w:val="18"/>
                <w:szCs w:val="18"/>
              </w:rPr>
            </w:pPr>
            <w:r w:rsidRPr="00916DD7">
              <w:rPr>
                <w:rFonts w:cs="Arial"/>
                <w:b w:val="0"/>
                <w:color w:val="000000"/>
                <w:sz w:val="18"/>
                <w:szCs w:val="18"/>
                <w:lang w:eastAsia="en-AU"/>
              </w:rPr>
              <w:t>Arts and Recreation Services</w:t>
            </w:r>
          </w:p>
        </w:tc>
        <w:tc>
          <w:tcPr>
            <w:tcW w:w="1191" w:type="dxa"/>
            <w:shd w:val="clear" w:color="auto" w:fill="auto"/>
          </w:tcPr>
          <w:p w14:paraId="5948F970"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1.7</w:t>
            </w:r>
          </w:p>
        </w:tc>
        <w:tc>
          <w:tcPr>
            <w:tcW w:w="1191" w:type="dxa"/>
            <w:shd w:val="clear" w:color="auto" w:fill="auto"/>
          </w:tcPr>
          <w:p w14:paraId="5F96356C"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0.3*</w:t>
            </w:r>
          </w:p>
        </w:tc>
        <w:tc>
          <w:tcPr>
            <w:tcW w:w="1191" w:type="dxa"/>
            <w:shd w:val="clear" w:color="auto" w:fill="auto"/>
          </w:tcPr>
          <w:p w14:paraId="208C541E" w14:textId="77777777" w:rsidR="004209E8" w:rsidRPr="004209E8" w:rsidRDefault="004209E8" w:rsidP="00916DD7">
            <w:pPr>
              <w:pStyle w:val="Body"/>
              <w:spacing w:before="40" w:after="4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2.3</w:t>
            </w:r>
          </w:p>
        </w:tc>
        <w:tc>
          <w:tcPr>
            <w:tcW w:w="1191" w:type="dxa"/>
            <w:shd w:val="clear" w:color="auto" w:fill="auto"/>
          </w:tcPr>
          <w:p w14:paraId="4283BB3F"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w:t>
            </w:r>
          </w:p>
        </w:tc>
        <w:tc>
          <w:tcPr>
            <w:tcW w:w="1191" w:type="dxa"/>
            <w:shd w:val="clear" w:color="auto" w:fill="auto"/>
          </w:tcPr>
          <w:p w14:paraId="52B32A24"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1.9</w:t>
            </w:r>
          </w:p>
        </w:tc>
        <w:tc>
          <w:tcPr>
            <w:tcW w:w="1191" w:type="dxa"/>
            <w:shd w:val="clear" w:color="auto" w:fill="auto"/>
          </w:tcPr>
          <w:p w14:paraId="3E648124"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w:t>
            </w:r>
          </w:p>
        </w:tc>
        <w:tc>
          <w:tcPr>
            <w:tcW w:w="1191" w:type="dxa"/>
            <w:shd w:val="clear" w:color="auto" w:fill="auto"/>
          </w:tcPr>
          <w:p w14:paraId="30BB28A8"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2.2</w:t>
            </w:r>
          </w:p>
        </w:tc>
        <w:tc>
          <w:tcPr>
            <w:tcW w:w="1191" w:type="dxa"/>
            <w:shd w:val="clear" w:color="auto" w:fill="auto"/>
          </w:tcPr>
          <w:p w14:paraId="1713820F"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1.2</w:t>
            </w:r>
          </w:p>
        </w:tc>
        <w:tc>
          <w:tcPr>
            <w:tcW w:w="1191" w:type="dxa"/>
            <w:shd w:val="clear" w:color="auto" w:fill="auto"/>
          </w:tcPr>
          <w:p w14:paraId="627148CC"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2.5</w:t>
            </w:r>
          </w:p>
        </w:tc>
      </w:tr>
      <w:tr w:rsidR="004209E8" w:rsidRPr="004209E8" w14:paraId="5C1B4FB6" w14:textId="77777777" w:rsidTr="00916DD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025" w:type="dxa"/>
            <w:shd w:val="clear" w:color="auto" w:fill="C7E4F3" w:themeFill="accent1" w:themeFillTint="33"/>
          </w:tcPr>
          <w:p w14:paraId="1300AB49" w14:textId="77777777" w:rsidR="004209E8" w:rsidRPr="00916DD7" w:rsidRDefault="004209E8" w:rsidP="00697D91">
            <w:pPr>
              <w:pStyle w:val="Body"/>
              <w:spacing w:before="40" w:after="40" w:line="240" w:lineRule="auto"/>
              <w:ind w:left="284"/>
              <w:rPr>
                <w:rFonts w:cs="Arial"/>
                <w:b w:val="0"/>
                <w:bCs/>
                <w:sz w:val="18"/>
                <w:szCs w:val="18"/>
              </w:rPr>
            </w:pPr>
            <w:r w:rsidRPr="00916DD7">
              <w:rPr>
                <w:rFonts w:cs="Arial"/>
                <w:b w:val="0"/>
                <w:color w:val="000000"/>
                <w:sz w:val="18"/>
                <w:szCs w:val="18"/>
                <w:lang w:eastAsia="en-AU"/>
              </w:rPr>
              <w:t>Other Services</w:t>
            </w:r>
          </w:p>
        </w:tc>
        <w:tc>
          <w:tcPr>
            <w:tcW w:w="1191" w:type="dxa"/>
            <w:shd w:val="clear" w:color="auto" w:fill="C7E4F3" w:themeFill="accent1" w:themeFillTint="33"/>
          </w:tcPr>
          <w:p w14:paraId="1BB7CFA9"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1.8</w:t>
            </w:r>
          </w:p>
        </w:tc>
        <w:tc>
          <w:tcPr>
            <w:tcW w:w="1191" w:type="dxa"/>
            <w:shd w:val="clear" w:color="auto" w:fill="C7E4F3" w:themeFill="accent1" w:themeFillTint="33"/>
          </w:tcPr>
          <w:p w14:paraId="75A64C73"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w:t>
            </w:r>
          </w:p>
        </w:tc>
        <w:tc>
          <w:tcPr>
            <w:tcW w:w="1191" w:type="dxa"/>
            <w:shd w:val="clear" w:color="auto" w:fill="C7E4F3" w:themeFill="accent1" w:themeFillTint="33"/>
          </w:tcPr>
          <w:p w14:paraId="07CFD19D" w14:textId="77777777" w:rsidR="004209E8" w:rsidRPr="004209E8" w:rsidRDefault="004209E8" w:rsidP="00916DD7">
            <w:pPr>
              <w:pStyle w:val="Body"/>
              <w:spacing w:before="40" w:after="40" w:line="240" w:lineRule="auto"/>
              <w:ind w:right="283"/>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3.7</w:t>
            </w:r>
          </w:p>
        </w:tc>
        <w:tc>
          <w:tcPr>
            <w:tcW w:w="1191" w:type="dxa"/>
            <w:shd w:val="clear" w:color="auto" w:fill="C7E4F3" w:themeFill="accent1" w:themeFillTint="33"/>
          </w:tcPr>
          <w:p w14:paraId="4AA934FF"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w:t>
            </w:r>
          </w:p>
        </w:tc>
        <w:tc>
          <w:tcPr>
            <w:tcW w:w="1191" w:type="dxa"/>
            <w:shd w:val="clear" w:color="auto" w:fill="C7E4F3" w:themeFill="accent1" w:themeFillTint="33"/>
          </w:tcPr>
          <w:p w14:paraId="586306FB"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2.8</w:t>
            </w:r>
          </w:p>
        </w:tc>
        <w:tc>
          <w:tcPr>
            <w:tcW w:w="1191" w:type="dxa"/>
            <w:shd w:val="clear" w:color="auto" w:fill="C7E4F3" w:themeFill="accent1" w:themeFillTint="33"/>
          </w:tcPr>
          <w:p w14:paraId="6A0FBE0C"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w:t>
            </w:r>
          </w:p>
        </w:tc>
        <w:tc>
          <w:tcPr>
            <w:tcW w:w="1191" w:type="dxa"/>
            <w:shd w:val="clear" w:color="auto" w:fill="C7E4F3" w:themeFill="accent1" w:themeFillTint="33"/>
          </w:tcPr>
          <w:p w14:paraId="78FABDA7"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2.7</w:t>
            </w:r>
          </w:p>
        </w:tc>
        <w:tc>
          <w:tcPr>
            <w:tcW w:w="1191" w:type="dxa"/>
            <w:shd w:val="clear" w:color="auto" w:fill="C7E4F3" w:themeFill="accent1" w:themeFillTint="33"/>
          </w:tcPr>
          <w:p w14:paraId="464AB411" w14:textId="77777777" w:rsidR="004209E8" w:rsidRPr="00916DD7"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color w:val="000000"/>
                <w:sz w:val="18"/>
                <w:szCs w:val="18"/>
              </w:rPr>
            </w:pPr>
            <w:r w:rsidRPr="00916DD7">
              <w:rPr>
                <w:rFonts w:cs="Arial"/>
                <w:b w:val="0"/>
                <w:color w:val="000000"/>
                <w:sz w:val="18"/>
                <w:szCs w:val="18"/>
              </w:rPr>
              <w:t>2.7</w:t>
            </w:r>
          </w:p>
        </w:tc>
        <w:tc>
          <w:tcPr>
            <w:tcW w:w="1191" w:type="dxa"/>
            <w:shd w:val="clear" w:color="auto" w:fill="C7E4F3" w:themeFill="accent1" w:themeFillTint="33"/>
          </w:tcPr>
          <w:p w14:paraId="3AEAC884" w14:textId="77777777" w:rsidR="004209E8" w:rsidRPr="004209E8" w:rsidRDefault="004209E8" w:rsidP="00916DD7">
            <w:pPr>
              <w:pStyle w:val="Body"/>
              <w:spacing w:before="40" w:after="40" w:line="240" w:lineRule="auto"/>
              <w:ind w:right="340"/>
              <w:jc w:val="righ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16DD7">
              <w:rPr>
                <w:rFonts w:cs="Arial"/>
                <w:b w:val="0"/>
                <w:color w:val="000000"/>
                <w:sz w:val="18"/>
                <w:szCs w:val="18"/>
              </w:rPr>
              <w:t>1.4</w:t>
            </w:r>
          </w:p>
        </w:tc>
      </w:tr>
    </w:tbl>
    <w:p w14:paraId="4B0557CC" w14:textId="5612689C" w:rsidR="009F77CE" w:rsidRPr="00916DD7" w:rsidRDefault="004209E8" w:rsidP="00916DD7">
      <w:pPr>
        <w:pStyle w:val="FigureNote"/>
        <w:rPr>
          <w:rFonts w:cs="Arial"/>
          <w:color w:val="C00000"/>
        </w:rPr>
      </w:pPr>
      <w:r w:rsidRPr="00671908">
        <w:t>Note</w:t>
      </w:r>
      <w:r>
        <w:t>:</w:t>
      </w:r>
      <w:r w:rsidRPr="00671908">
        <w:tab/>
        <w:t>Data taken from sample provided by jurisdictions. Employer size data not provided by Comcare or NT. Industry data not provided by NT. Asterisks indicate statistically significant difference (single asterisk (*) indicates a lower proportion; double asterisk (**) indicates a higher proportion (p-value &lt;=0.05).</w:t>
      </w:r>
    </w:p>
    <w:sectPr w:rsidR="009F77CE" w:rsidRPr="00916DD7" w:rsidSect="00011EAE">
      <w:footerReference w:type="even" r:id="rId66"/>
      <w:footerReference w:type="default" r:id="rId67"/>
      <w:pgSz w:w="16838" w:h="11906" w:orient="landscape" w:code="9"/>
      <w:pgMar w:top="1418" w:right="1418" w:bottom="1418" w:left="96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9EC678" w14:textId="77777777" w:rsidR="00BA30CF" w:rsidRDefault="00BA30CF" w:rsidP="0086398A">
      <w:r>
        <w:separator/>
      </w:r>
    </w:p>
  </w:endnote>
  <w:endnote w:type="continuationSeparator" w:id="0">
    <w:p w14:paraId="6FC64AFE" w14:textId="77777777" w:rsidR="00BA30CF" w:rsidRDefault="00BA30CF" w:rsidP="00863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D2A91" w14:textId="27AB33CD" w:rsidR="00BA30CF" w:rsidRPr="004B2CEA" w:rsidRDefault="00BA30CF" w:rsidP="00313D8E">
    <w:pPr>
      <w:jc w:val="right"/>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9EC43" w14:textId="6DEF0DB2" w:rsidR="00BA30CF" w:rsidRPr="004B2CEA" w:rsidRDefault="00BA30CF" w:rsidP="00411596">
    <w:pPr>
      <w:tabs>
        <w:tab w:val="right" w:pos="9070"/>
      </w:tabs>
      <w:rPr>
        <w:sz w:val="16"/>
        <w:szCs w:val="16"/>
      </w:rPr>
    </w:pPr>
    <w:r>
      <w:rPr>
        <w:sz w:val="16"/>
        <w:szCs w:val="16"/>
      </w:rPr>
      <w:t xml:space="preserve">National Return to Work Survey 2018 – Summary Report </w:t>
    </w:r>
  </w:p>
  <w:p w14:paraId="3DF9AEDE" w14:textId="0DF1C1D2" w:rsidR="00BA30CF" w:rsidRPr="00411596" w:rsidRDefault="00BA30CF" w:rsidP="00411596">
    <w:pPr>
      <w:tabs>
        <w:tab w:val="right" w:pos="9070"/>
      </w:tabs>
      <w:rPr>
        <w:sz w:val="16"/>
        <w:szCs w:val="16"/>
      </w:rPr>
    </w:pPr>
    <w:r w:rsidRPr="004B2CEA">
      <w:rPr>
        <w:sz w:val="16"/>
        <w:szCs w:val="16"/>
      </w:rPr>
      <w:t>Prepared by the Social Research Centre</w:t>
    </w:r>
    <w:r>
      <w:rPr>
        <w:sz w:val="16"/>
        <w:szCs w:val="16"/>
      </w:rPr>
      <w:tab/>
    </w:r>
    <w:r w:rsidRPr="002265C3">
      <w:rPr>
        <w:sz w:val="16"/>
        <w:szCs w:val="16"/>
      </w:rPr>
      <w:fldChar w:fldCharType="begin"/>
    </w:r>
    <w:r w:rsidRPr="002265C3">
      <w:rPr>
        <w:sz w:val="16"/>
        <w:szCs w:val="16"/>
      </w:rPr>
      <w:instrText xml:space="preserve"> PAGE   \* MERGEFORMAT </w:instrText>
    </w:r>
    <w:r w:rsidRPr="002265C3">
      <w:rPr>
        <w:sz w:val="16"/>
        <w:szCs w:val="16"/>
      </w:rPr>
      <w:fldChar w:fldCharType="separate"/>
    </w:r>
    <w:r w:rsidR="005B4845">
      <w:rPr>
        <w:noProof/>
        <w:sz w:val="16"/>
        <w:szCs w:val="16"/>
      </w:rPr>
      <w:t>10</w:t>
    </w:r>
    <w:r w:rsidRPr="002265C3">
      <w:rPr>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DBB39" w14:textId="5A4D5FB5" w:rsidR="00BA30CF" w:rsidRPr="004B2CEA" w:rsidRDefault="00BA30CF" w:rsidP="00464611">
    <w:pPr>
      <w:tabs>
        <w:tab w:val="right" w:pos="9070"/>
      </w:tabs>
      <w:jc w:val="right"/>
      <w:rPr>
        <w:sz w:val="16"/>
        <w:szCs w:val="16"/>
      </w:rPr>
    </w:pPr>
    <w:r>
      <w:rPr>
        <w:sz w:val="16"/>
        <w:szCs w:val="16"/>
      </w:rPr>
      <w:t>National Return to Work Survey 2018 – Summary Report</w:t>
    </w:r>
  </w:p>
  <w:p w14:paraId="393D2A93" w14:textId="78C817A3" w:rsidR="00BA30CF" w:rsidRPr="004B2CEA" w:rsidRDefault="00BA30CF" w:rsidP="00464611">
    <w:pPr>
      <w:tabs>
        <w:tab w:val="right" w:pos="9070"/>
      </w:tabs>
      <w:jc w:val="right"/>
      <w:rPr>
        <w:sz w:val="16"/>
        <w:szCs w:val="16"/>
      </w:rPr>
    </w:pPr>
    <w:r w:rsidRPr="00464611">
      <w:rPr>
        <w:sz w:val="16"/>
        <w:szCs w:val="16"/>
      </w:rPr>
      <w:fldChar w:fldCharType="begin"/>
    </w:r>
    <w:r w:rsidRPr="00464611">
      <w:rPr>
        <w:sz w:val="16"/>
        <w:szCs w:val="16"/>
      </w:rPr>
      <w:instrText xml:space="preserve"> PAGE   \* MERGEFORMAT </w:instrText>
    </w:r>
    <w:r w:rsidRPr="00464611">
      <w:rPr>
        <w:sz w:val="16"/>
        <w:szCs w:val="16"/>
      </w:rPr>
      <w:fldChar w:fldCharType="separate"/>
    </w:r>
    <w:r w:rsidR="005B4845">
      <w:rPr>
        <w:noProof/>
        <w:sz w:val="16"/>
        <w:szCs w:val="16"/>
      </w:rPr>
      <w:t>11</w:t>
    </w:r>
    <w:r w:rsidRPr="00464611">
      <w:rPr>
        <w:noProof/>
        <w:sz w:val="16"/>
        <w:szCs w:val="16"/>
      </w:rPr>
      <w:fldChar w:fldCharType="end"/>
    </w:r>
    <w:r>
      <w:rPr>
        <w:sz w:val="16"/>
        <w:szCs w:val="16"/>
      </w:rPr>
      <w:tab/>
    </w:r>
    <w:r w:rsidRPr="004B2CEA">
      <w:rPr>
        <w:sz w:val="16"/>
        <w:szCs w:val="16"/>
      </w:rPr>
      <w:t>Prepared by the Social Research Centre</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4D716" w14:textId="77777777" w:rsidR="00ED0D21" w:rsidRPr="004B2CEA" w:rsidRDefault="00ED0D21" w:rsidP="00411596">
    <w:pPr>
      <w:tabs>
        <w:tab w:val="right" w:pos="9070"/>
      </w:tabs>
      <w:rPr>
        <w:sz w:val="16"/>
        <w:szCs w:val="16"/>
      </w:rPr>
    </w:pPr>
    <w:r>
      <w:rPr>
        <w:sz w:val="16"/>
        <w:szCs w:val="16"/>
      </w:rPr>
      <w:t xml:space="preserve">Safe Work Australia – Return to Work Survey - Summary Report </w:t>
    </w:r>
  </w:p>
  <w:p w14:paraId="5A8C36A4" w14:textId="1BD5EB8D" w:rsidR="00ED0D21" w:rsidRPr="00411596" w:rsidRDefault="00ED0D21" w:rsidP="00411596">
    <w:pPr>
      <w:tabs>
        <w:tab w:val="right" w:pos="9070"/>
      </w:tabs>
      <w:rPr>
        <w:sz w:val="16"/>
        <w:szCs w:val="16"/>
      </w:rPr>
    </w:pPr>
    <w:r w:rsidRPr="004B2CEA">
      <w:rPr>
        <w:sz w:val="16"/>
        <w:szCs w:val="16"/>
      </w:rPr>
      <w:t>Prepared by the Social Research Centre</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sidRPr="002265C3">
      <w:rPr>
        <w:sz w:val="16"/>
        <w:szCs w:val="16"/>
      </w:rPr>
      <w:fldChar w:fldCharType="begin"/>
    </w:r>
    <w:r w:rsidRPr="002265C3">
      <w:rPr>
        <w:sz w:val="16"/>
        <w:szCs w:val="16"/>
      </w:rPr>
      <w:instrText xml:space="preserve"> PAGE   \* MERGEFORMAT </w:instrText>
    </w:r>
    <w:r w:rsidRPr="002265C3">
      <w:rPr>
        <w:sz w:val="16"/>
        <w:szCs w:val="16"/>
      </w:rPr>
      <w:fldChar w:fldCharType="separate"/>
    </w:r>
    <w:r w:rsidR="005B4845">
      <w:rPr>
        <w:noProof/>
        <w:sz w:val="16"/>
        <w:szCs w:val="16"/>
      </w:rPr>
      <w:t>52</w:t>
    </w:r>
    <w:r w:rsidRPr="002265C3">
      <w:rPr>
        <w:noProof/>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782AC" w14:textId="77777777" w:rsidR="00BA30CF" w:rsidRPr="004B2CEA" w:rsidRDefault="00BA30CF" w:rsidP="001566DC">
    <w:pPr>
      <w:tabs>
        <w:tab w:val="right" w:pos="9070"/>
      </w:tabs>
      <w:jc w:val="right"/>
      <w:rPr>
        <w:sz w:val="16"/>
        <w:szCs w:val="16"/>
      </w:rPr>
    </w:pPr>
    <w:r>
      <w:rPr>
        <w:sz w:val="16"/>
        <w:szCs w:val="16"/>
      </w:rPr>
      <w:t xml:space="preserve">Safe Work Australia – Return to Work Survey - Summary Report </w:t>
    </w:r>
  </w:p>
  <w:p w14:paraId="79FCC231" w14:textId="0F67024D" w:rsidR="00BA30CF" w:rsidRPr="004B2CEA" w:rsidRDefault="00BA30CF" w:rsidP="001566DC">
    <w:pPr>
      <w:tabs>
        <w:tab w:val="left" w:pos="224"/>
        <w:tab w:val="right" w:pos="9070"/>
        <w:tab w:val="right" w:pos="14456"/>
      </w:tabs>
      <w:rPr>
        <w:sz w:val="16"/>
        <w:szCs w:val="16"/>
      </w:rPr>
    </w:pPr>
    <w:r>
      <w:rPr>
        <w:sz w:val="16"/>
        <w:szCs w:val="16"/>
      </w:rPr>
      <w:tab/>
    </w:r>
    <w:r w:rsidRPr="001566DC">
      <w:rPr>
        <w:sz w:val="16"/>
        <w:szCs w:val="16"/>
      </w:rPr>
      <w:fldChar w:fldCharType="begin"/>
    </w:r>
    <w:r w:rsidRPr="001566DC">
      <w:rPr>
        <w:sz w:val="16"/>
        <w:szCs w:val="16"/>
      </w:rPr>
      <w:instrText xml:space="preserve"> PAGE   \* MERGEFORMAT </w:instrText>
    </w:r>
    <w:r w:rsidRPr="001566DC">
      <w:rPr>
        <w:sz w:val="16"/>
        <w:szCs w:val="16"/>
      </w:rPr>
      <w:fldChar w:fldCharType="separate"/>
    </w:r>
    <w:r w:rsidR="005B4845">
      <w:rPr>
        <w:noProof/>
        <w:sz w:val="16"/>
        <w:szCs w:val="16"/>
      </w:rPr>
      <w:t>53</w:t>
    </w:r>
    <w:r w:rsidRPr="001566DC">
      <w:rPr>
        <w:noProof/>
        <w:sz w:val="16"/>
        <w:szCs w:val="16"/>
      </w:rPr>
      <w:fldChar w:fldCharType="end"/>
    </w:r>
    <w:r>
      <w:rPr>
        <w:sz w:val="16"/>
        <w:szCs w:val="16"/>
      </w:rPr>
      <w:tab/>
    </w:r>
    <w:r>
      <w:rPr>
        <w:sz w:val="16"/>
        <w:szCs w:val="16"/>
      </w:rPr>
      <w:tab/>
    </w:r>
    <w:r w:rsidRPr="004B2CEA">
      <w:rPr>
        <w:sz w:val="16"/>
        <w:szCs w:val="16"/>
      </w:rPr>
      <w:t>Prepared by the Social Research Centre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52F48B" w14:textId="77777777" w:rsidR="00BA30CF" w:rsidRDefault="00BA30CF" w:rsidP="0086398A">
      <w:r>
        <w:separator/>
      </w:r>
    </w:p>
  </w:footnote>
  <w:footnote w:type="continuationSeparator" w:id="0">
    <w:p w14:paraId="6463FF6E" w14:textId="77777777" w:rsidR="00BA30CF" w:rsidRDefault="00BA30CF" w:rsidP="0086398A">
      <w:r>
        <w:continuationSeparator/>
      </w:r>
    </w:p>
  </w:footnote>
  <w:footnote w:id="1">
    <w:p w14:paraId="08689C44" w14:textId="431A9FE5" w:rsidR="00BA30CF" w:rsidRDefault="005B4845">
      <w:pPr>
        <w:pStyle w:val="FootnoteText"/>
      </w:pPr>
      <w:hyperlink r:id="rId1" w:tooltip="2016 headline measures report" w:history="1">
        <w:r w:rsidR="00BA30CF" w:rsidRPr="004A4217">
          <w:rPr>
            <w:rStyle w:val="Hyperlink"/>
            <w:sz w:val="16"/>
            <w:vertAlign w:val="superscript"/>
          </w:rPr>
          <w:footnoteRef/>
        </w:r>
        <w:r w:rsidR="00BA30CF" w:rsidRPr="004A4217">
          <w:rPr>
            <w:rStyle w:val="Hyperlink"/>
            <w:sz w:val="16"/>
          </w:rPr>
          <w:t xml:space="preserve"> https://www.safeworkaustralia.gov.au/doc/return-work-survey-2016-headline-measures-report-australian-and-new-zealand</w:t>
        </w:r>
      </w:hyperlink>
    </w:p>
  </w:footnote>
  <w:footnote w:id="2">
    <w:p w14:paraId="62414DFD" w14:textId="3F38E2A7" w:rsidR="00BA30CF" w:rsidRPr="00A87FF6" w:rsidRDefault="00BA30CF">
      <w:pPr>
        <w:pStyle w:val="FootnoteText"/>
        <w:rPr>
          <w:sz w:val="16"/>
          <w:szCs w:val="16"/>
        </w:rPr>
      </w:pPr>
      <w:r w:rsidRPr="00A87FF6">
        <w:rPr>
          <w:rStyle w:val="FootnoteReference"/>
          <w:sz w:val="16"/>
          <w:szCs w:val="16"/>
        </w:rPr>
        <w:footnoteRef/>
      </w:r>
      <w:r w:rsidRPr="00A87FF6">
        <w:rPr>
          <w:sz w:val="16"/>
          <w:szCs w:val="16"/>
        </w:rPr>
        <w:t xml:space="preserve"> </w:t>
      </w:r>
      <w:r w:rsidRPr="008123D3">
        <w:rPr>
          <w:sz w:val="16"/>
          <w:szCs w:val="16"/>
        </w:rPr>
        <w:t>Loisel,</w:t>
      </w:r>
      <w:r>
        <w:rPr>
          <w:sz w:val="16"/>
          <w:szCs w:val="16"/>
        </w:rPr>
        <w:t xml:space="preserve"> P, </w:t>
      </w:r>
      <w:r w:rsidRPr="008123D3">
        <w:rPr>
          <w:sz w:val="16"/>
          <w:szCs w:val="16"/>
        </w:rPr>
        <w:t>Buchbinder,</w:t>
      </w:r>
      <w:r>
        <w:rPr>
          <w:sz w:val="16"/>
          <w:szCs w:val="16"/>
        </w:rPr>
        <w:t xml:space="preserve"> R,</w:t>
      </w:r>
      <w:r w:rsidRPr="008123D3">
        <w:rPr>
          <w:sz w:val="16"/>
          <w:szCs w:val="16"/>
        </w:rPr>
        <w:t xml:space="preserve"> Hazard</w:t>
      </w:r>
      <w:r>
        <w:rPr>
          <w:sz w:val="16"/>
          <w:szCs w:val="16"/>
        </w:rPr>
        <w:t>, R,</w:t>
      </w:r>
      <w:r w:rsidRPr="008123D3">
        <w:rPr>
          <w:sz w:val="16"/>
          <w:szCs w:val="16"/>
        </w:rPr>
        <w:t xml:space="preserve"> </w:t>
      </w:r>
      <w:r w:rsidRPr="00A87FF6">
        <w:rPr>
          <w:sz w:val="16"/>
          <w:szCs w:val="16"/>
        </w:rPr>
        <w:t>Keller</w:t>
      </w:r>
      <w:r>
        <w:rPr>
          <w:sz w:val="16"/>
          <w:szCs w:val="16"/>
        </w:rPr>
        <w:t>,</w:t>
      </w:r>
      <w:r w:rsidRPr="00A87FF6">
        <w:rPr>
          <w:sz w:val="16"/>
          <w:szCs w:val="16"/>
        </w:rPr>
        <w:t xml:space="preserve"> R, Scheel</w:t>
      </w:r>
      <w:r>
        <w:rPr>
          <w:sz w:val="16"/>
          <w:szCs w:val="16"/>
        </w:rPr>
        <w:t>,</w:t>
      </w:r>
      <w:r w:rsidRPr="00A87FF6">
        <w:rPr>
          <w:sz w:val="16"/>
          <w:szCs w:val="16"/>
        </w:rPr>
        <w:t xml:space="preserve"> I, van Tulder</w:t>
      </w:r>
      <w:r>
        <w:rPr>
          <w:sz w:val="16"/>
          <w:szCs w:val="16"/>
        </w:rPr>
        <w:t>,</w:t>
      </w:r>
      <w:r w:rsidRPr="00A87FF6">
        <w:rPr>
          <w:sz w:val="16"/>
          <w:szCs w:val="16"/>
        </w:rPr>
        <w:t xml:space="preserve"> M, </w:t>
      </w:r>
      <w:r>
        <w:rPr>
          <w:sz w:val="16"/>
          <w:szCs w:val="16"/>
        </w:rPr>
        <w:t xml:space="preserve">&amp; </w:t>
      </w:r>
      <w:r w:rsidRPr="00A87FF6">
        <w:rPr>
          <w:sz w:val="16"/>
          <w:szCs w:val="16"/>
        </w:rPr>
        <w:t>Webster</w:t>
      </w:r>
      <w:r>
        <w:rPr>
          <w:sz w:val="16"/>
          <w:szCs w:val="16"/>
        </w:rPr>
        <w:t>,</w:t>
      </w:r>
      <w:r w:rsidRPr="00A87FF6">
        <w:rPr>
          <w:sz w:val="16"/>
          <w:szCs w:val="16"/>
        </w:rPr>
        <w:t xml:space="preserve"> B.</w:t>
      </w:r>
      <w:r w:rsidRPr="00334952">
        <w:rPr>
          <w:i/>
          <w:sz w:val="16"/>
          <w:szCs w:val="16"/>
        </w:rPr>
        <w:t xml:space="preserve"> </w:t>
      </w:r>
      <w:r w:rsidRPr="008123D3">
        <w:rPr>
          <w:sz w:val="16"/>
          <w:szCs w:val="16"/>
        </w:rPr>
        <w:t xml:space="preserve">‘Prevention of work disability due to musculoskeletal disorders: The challenge of implementing evidence’, </w:t>
      </w:r>
      <w:r w:rsidRPr="00A87FF6">
        <w:rPr>
          <w:i/>
          <w:sz w:val="16"/>
          <w:szCs w:val="16"/>
        </w:rPr>
        <w:t>Journal of Occupational Rehabilitation</w:t>
      </w:r>
      <w:r>
        <w:rPr>
          <w:sz w:val="16"/>
          <w:szCs w:val="16"/>
        </w:rPr>
        <w:t xml:space="preserve">, </w:t>
      </w:r>
      <w:r w:rsidRPr="008123D3">
        <w:rPr>
          <w:sz w:val="16"/>
          <w:szCs w:val="16"/>
        </w:rPr>
        <w:t>15</w:t>
      </w:r>
      <w:r>
        <w:rPr>
          <w:sz w:val="16"/>
          <w:szCs w:val="16"/>
        </w:rPr>
        <w:t>(</w:t>
      </w:r>
      <w:r w:rsidRPr="008123D3">
        <w:rPr>
          <w:sz w:val="16"/>
          <w:szCs w:val="16"/>
        </w:rPr>
        <w:t>4</w:t>
      </w:r>
      <w:r>
        <w:rPr>
          <w:sz w:val="16"/>
          <w:szCs w:val="16"/>
        </w:rPr>
        <w:t>), 2005, pp. </w:t>
      </w:r>
      <w:r w:rsidRPr="008123D3">
        <w:rPr>
          <w:sz w:val="16"/>
          <w:szCs w:val="16"/>
        </w:rPr>
        <w:t>507-24.</w:t>
      </w:r>
    </w:p>
  </w:footnote>
  <w:footnote w:id="3">
    <w:p w14:paraId="24C25DFB" w14:textId="20708588" w:rsidR="00BA30CF" w:rsidRDefault="005B4845">
      <w:pPr>
        <w:pStyle w:val="FootnoteText"/>
      </w:pPr>
      <w:hyperlink r:id="rId2" w:tooltip="TOOCS 3rd Edition" w:history="1">
        <w:r w:rsidR="00BA30CF" w:rsidRPr="004A4217">
          <w:rPr>
            <w:rStyle w:val="Hyperlink"/>
            <w:sz w:val="16"/>
            <w:vertAlign w:val="superscript"/>
          </w:rPr>
          <w:footnoteRef/>
        </w:r>
        <w:r w:rsidR="00BA30CF" w:rsidRPr="004A4217">
          <w:rPr>
            <w:rStyle w:val="Hyperlink"/>
            <w:sz w:val="16"/>
          </w:rPr>
          <w:t xml:space="preserve"> </w:t>
        </w:r>
        <w:r w:rsidR="00BA30CF" w:rsidRPr="004A4217">
          <w:rPr>
            <w:rStyle w:val="Hyperlink"/>
          </w:rPr>
          <w:t>https://www.safeworkaustralia.gov.au/doc/type-occurrence-classification-system-toocs-3rd-edition-may-2008</w:t>
        </w:r>
      </w:hyperlink>
    </w:p>
  </w:footnote>
  <w:footnote w:id="4">
    <w:p w14:paraId="17329F21" w14:textId="2D3032BC" w:rsidR="00BA30CF" w:rsidRPr="001D5FF1" w:rsidRDefault="005B4845" w:rsidP="004046A8">
      <w:pPr>
        <w:pStyle w:val="FootnoteText"/>
        <w:rPr>
          <w:sz w:val="16"/>
          <w:szCs w:val="16"/>
        </w:rPr>
      </w:pPr>
      <w:hyperlink r:id="rId3" w:tooltip="ABS website" w:history="1">
        <w:r w:rsidR="00BA30CF" w:rsidRPr="004A4217">
          <w:rPr>
            <w:rStyle w:val="Hyperlink"/>
            <w:sz w:val="16"/>
            <w:szCs w:val="16"/>
            <w:vertAlign w:val="superscript"/>
          </w:rPr>
          <w:footnoteRef/>
        </w:r>
        <w:r w:rsidR="00BA30CF" w:rsidRPr="004A4217">
          <w:rPr>
            <w:rStyle w:val="Hyperlink"/>
            <w:sz w:val="16"/>
            <w:szCs w:val="16"/>
          </w:rPr>
          <w:t xml:space="preserve"> http://www.abs.gov.au/ausstats/abs@.nsf/lookup/4817.0.55.001Chapter92007-08</w:t>
        </w:r>
      </w:hyperlink>
    </w:p>
  </w:footnote>
  <w:footnote w:id="5">
    <w:p w14:paraId="0C0F797A" w14:textId="597B611E" w:rsidR="00BA30CF" w:rsidRPr="00742EE9" w:rsidRDefault="00BA30CF" w:rsidP="004046A8">
      <w:pPr>
        <w:pStyle w:val="FootnoteText"/>
        <w:rPr>
          <w:sz w:val="16"/>
          <w:szCs w:val="16"/>
        </w:rPr>
      </w:pPr>
      <w:r>
        <w:rPr>
          <w:rStyle w:val="FootnoteReference"/>
        </w:rPr>
        <w:footnoteRef/>
      </w:r>
      <w:r>
        <w:rPr>
          <w:rStyle w:val="FigureNoteChar"/>
        </w:rPr>
        <w:t xml:space="preserve"> </w:t>
      </w:r>
      <w:r w:rsidRPr="00CF166F">
        <w:rPr>
          <w:rStyle w:val="FigureNoteChar"/>
        </w:rPr>
        <w:t>Charlson, M, Szatrowski</w:t>
      </w:r>
      <w:r>
        <w:rPr>
          <w:rStyle w:val="FigureNoteChar"/>
        </w:rPr>
        <w:t>,</w:t>
      </w:r>
      <w:r w:rsidRPr="00CF166F">
        <w:rPr>
          <w:rStyle w:val="FigureNoteChar"/>
        </w:rPr>
        <w:t xml:space="preserve"> TP, Peterson, J, </w:t>
      </w:r>
      <w:r>
        <w:rPr>
          <w:rStyle w:val="FigureNoteChar"/>
        </w:rPr>
        <w:t xml:space="preserve">&amp; </w:t>
      </w:r>
      <w:r w:rsidRPr="00CF166F">
        <w:rPr>
          <w:rStyle w:val="FigureNoteChar"/>
        </w:rPr>
        <w:t>Gold, J. 1994 ‘Validation of a Combined Comorbidity Index’</w:t>
      </w:r>
      <w:r>
        <w:rPr>
          <w:rStyle w:val="FigureNoteChar"/>
        </w:rPr>
        <w:t>,</w:t>
      </w:r>
      <w:r w:rsidRPr="00CF166F">
        <w:rPr>
          <w:rStyle w:val="FigureNoteChar"/>
        </w:rPr>
        <w:t xml:space="preserve"> </w:t>
      </w:r>
      <w:r w:rsidRPr="00A87FF6">
        <w:rPr>
          <w:rStyle w:val="FigureNoteChar"/>
          <w:i/>
        </w:rPr>
        <w:t>Journal of Clinical Epidemiology</w:t>
      </w:r>
      <w:r w:rsidRPr="00CF166F">
        <w:rPr>
          <w:rStyle w:val="FigureNoteChar"/>
        </w:rPr>
        <w:t>, 47</w:t>
      </w:r>
      <w:r>
        <w:rPr>
          <w:rStyle w:val="FigureNoteChar"/>
        </w:rPr>
        <w:t>(</w:t>
      </w:r>
      <w:r w:rsidRPr="00CF166F">
        <w:rPr>
          <w:rStyle w:val="FigureNoteChar"/>
        </w:rPr>
        <w:t>11</w:t>
      </w:r>
      <w:r>
        <w:rPr>
          <w:rStyle w:val="FigureNoteChar"/>
        </w:rPr>
        <w:t>),</w:t>
      </w:r>
      <w:r w:rsidRPr="00CF166F">
        <w:rPr>
          <w:rStyle w:val="FigureNoteChar"/>
        </w:rPr>
        <w:t xml:space="preserve"> pp 1,245</w:t>
      </w:r>
      <w:r>
        <w:rPr>
          <w:rStyle w:val="FigureNoteChar"/>
        </w:rPr>
        <w:t>-</w:t>
      </w:r>
      <w:r w:rsidRPr="00CF166F">
        <w:rPr>
          <w:rStyle w:val="FigureNoteChar"/>
        </w:rPr>
        <w:t>51</w:t>
      </w:r>
      <w:r>
        <w:rPr>
          <w:rStyle w:val="FigureNoteChar"/>
        </w:rPr>
        <w:t>.</w:t>
      </w:r>
    </w:p>
  </w:footnote>
  <w:footnote w:id="6">
    <w:p w14:paraId="16289A36" w14:textId="34A589C3" w:rsidR="00BA30CF" w:rsidRDefault="00BA30CF">
      <w:pPr>
        <w:pStyle w:val="FootnoteText"/>
      </w:pPr>
      <w:r>
        <w:rPr>
          <w:rStyle w:val="FootnoteReference"/>
        </w:rPr>
        <w:footnoteRef/>
      </w:r>
      <w:r>
        <w:t xml:space="preserve"> </w:t>
      </w:r>
      <w:r w:rsidRPr="00CF166F">
        <w:rPr>
          <w:rStyle w:val="FigureNoteChar"/>
        </w:rPr>
        <w:t xml:space="preserve">Prawitz, </w:t>
      </w:r>
      <w:r>
        <w:rPr>
          <w:rStyle w:val="FigureNoteChar"/>
        </w:rPr>
        <w:t xml:space="preserve">AD, </w:t>
      </w:r>
      <w:r w:rsidRPr="00CF166F">
        <w:rPr>
          <w:rStyle w:val="FigureNoteChar"/>
        </w:rPr>
        <w:t>Garman,</w:t>
      </w:r>
      <w:r>
        <w:rPr>
          <w:rStyle w:val="FigureNoteChar"/>
        </w:rPr>
        <w:t xml:space="preserve"> ET,</w:t>
      </w:r>
      <w:r w:rsidRPr="00CF166F">
        <w:rPr>
          <w:rStyle w:val="FigureNoteChar"/>
        </w:rPr>
        <w:t xml:space="preserve"> Sorhaindo,</w:t>
      </w:r>
      <w:r>
        <w:rPr>
          <w:rStyle w:val="FigureNoteChar"/>
        </w:rPr>
        <w:t xml:space="preserve"> B,</w:t>
      </w:r>
      <w:r w:rsidRPr="00CF166F">
        <w:rPr>
          <w:rStyle w:val="FigureNoteChar"/>
        </w:rPr>
        <w:t xml:space="preserve"> O’Neill,</w:t>
      </w:r>
      <w:r>
        <w:rPr>
          <w:rStyle w:val="FigureNoteChar"/>
        </w:rPr>
        <w:t xml:space="preserve"> B,</w:t>
      </w:r>
      <w:r w:rsidRPr="00CF166F">
        <w:rPr>
          <w:rStyle w:val="FigureNoteChar"/>
        </w:rPr>
        <w:t xml:space="preserve"> Kim,</w:t>
      </w:r>
      <w:r>
        <w:rPr>
          <w:rStyle w:val="FigureNoteChar"/>
        </w:rPr>
        <w:t xml:space="preserve"> J</w:t>
      </w:r>
      <w:r w:rsidRPr="00CF166F">
        <w:rPr>
          <w:rStyle w:val="FigureNoteChar"/>
        </w:rPr>
        <w:t xml:space="preserve"> </w:t>
      </w:r>
      <w:r>
        <w:rPr>
          <w:rStyle w:val="FigureNoteChar"/>
        </w:rPr>
        <w:t>&amp;</w:t>
      </w:r>
      <w:r w:rsidRPr="00CF166F">
        <w:rPr>
          <w:rStyle w:val="FigureNoteChar"/>
        </w:rPr>
        <w:t xml:space="preserve"> Drentea</w:t>
      </w:r>
      <w:r>
        <w:rPr>
          <w:rStyle w:val="FigureNoteChar"/>
        </w:rPr>
        <w:t>, P. 2006,</w:t>
      </w:r>
      <w:r w:rsidRPr="00CF166F">
        <w:rPr>
          <w:rStyle w:val="FigureNoteChar"/>
        </w:rPr>
        <w:t xml:space="preserve"> ‘InCharge Financial Distress/Financial Well</w:t>
      </w:r>
      <w:r>
        <w:rPr>
          <w:rStyle w:val="FigureNoteChar"/>
        </w:rPr>
        <w:noBreakHyphen/>
      </w:r>
      <w:r w:rsidRPr="00CF166F">
        <w:rPr>
          <w:rStyle w:val="FigureNoteChar"/>
        </w:rPr>
        <w:t>Being Scale: Development, Administration, and Score Interpretation’</w:t>
      </w:r>
      <w:r>
        <w:rPr>
          <w:rStyle w:val="FigureNoteChar"/>
        </w:rPr>
        <w:t>,</w:t>
      </w:r>
      <w:r w:rsidRPr="00CF166F">
        <w:rPr>
          <w:rStyle w:val="FigureNoteChar"/>
        </w:rPr>
        <w:t xml:space="preserve"> </w:t>
      </w:r>
      <w:r w:rsidRPr="00A87FF6">
        <w:rPr>
          <w:rStyle w:val="FigureNoteChar"/>
          <w:i/>
        </w:rPr>
        <w:t>Association for Financial Counseling and Planning Education</w:t>
      </w:r>
      <w:r>
        <w:rPr>
          <w:rStyle w:val="FigureNoteChar"/>
        </w:rPr>
        <w:t>, 17(1), pp.34-50.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D2A8F" w14:textId="77777777" w:rsidR="00BA30CF" w:rsidRDefault="00BA30CF" w:rsidP="00473BEB">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26B30"/>
    <w:multiLevelType w:val="hybridMultilevel"/>
    <w:tmpl w:val="A10854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B92DFD"/>
    <w:multiLevelType w:val="hybridMultilevel"/>
    <w:tmpl w:val="1958B804"/>
    <w:lvl w:ilvl="0" w:tplc="D0F4E0E0">
      <w:start w:val="366"/>
      <w:numFmt w:val="bullet"/>
      <w:lvlText w:val=""/>
      <w:lvlJc w:val="left"/>
      <w:pPr>
        <w:ind w:left="720" w:hanging="360"/>
      </w:pPr>
      <w:rPr>
        <w:rFonts w:ascii="Wingdings" w:eastAsia="Times New Roman" w:hAnsi="Wingdings" w:cs="Calibri"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4C7D8D"/>
    <w:multiLevelType w:val="multilevel"/>
    <w:tmpl w:val="B7EED6C8"/>
    <w:lvl w:ilvl="0">
      <w:start w:val="1"/>
      <w:numFmt w:val="decimal"/>
      <w:lvlText w:val="%1."/>
      <w:lvlJc w:val="left"/>
      <w:pPr>
        <w:ind w:left="567" w:hanging="567"/>
      </w:pPr>
      <w:rPr>
        <w:rFonts w:ascii="Arial" w:hAnsi="Arial" w:hint="default"/>
        <w:b w:val="0"/>
        <w:i w:val="0"/>
        <w:color w:val="1E3287"/>
        <w:sz w:val="36"/>
      </w:rPr>
    </w:lvl>
    <w:lvl w:ilvl="1">
      <w:start w:val="1"/>
      <w:numFmt w:val="decimal"/>
      <w:lvlText w:val="%1.%2."/>
      <w:lvlJc w:val="left"/>
      <w:pPr>
        <w:ind w:left="1134" w:hanging="567"/>
      </w:pPr>
      <w:rPr>
        <w:rFonts w:hint="default"/>
        <w:color w:val="1F688D"/>
      </w:rPr>
    </w:lvl>
    <w:lvl w:ilvl="2">
      <w:start w:val="1"/>
      <w:numFmt w:val="decimal"/>
      <w:lvlText w:val="%1.%2.%3."/>
      <w:lvlJc w:val="left"/>
      <w:pPr>
        <w:ind w:left="1134"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9675B19"/>
    <w:multiLevelType w:val="hybridMultilevel"/>
    <w:tmpl w:val="27D0D9E6"/>
    <w:lvl w:ilvl="0" w:tplc="2B688A2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DC72BAE"/>
    <w:multiLevelType w:val="hybridMultilevel"/>
    <w:tmpl w:val="CA280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156E89"/>
    <w:multiLevelType w:val="hybridMultilevel"/>
    <w:tmpl w:val="77EE7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B316A5"/>
    <w:multiLevelType w:val="hybridMultilevel"/>
    <w:tmpl w:val="ED52E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927C19"/>
    <w:multiLevelType w:val="hybridMultilevel"/>
    <w:tmpl w:val="B616FBFC"/>
    <w:lvl w:ilvl="0" w:tplc="AD344C8A">
      <w:start w:val="366"/>
      <w:numFmt w:val="bullet"/>
      <w:lvlText w:val=""/>
      <w:lvlJc w:val="left"/>
      <w:pPr>
        <w:ind w:left="720" w:hanging="360"/>
      </w:pPr>
      <w:rPr>
        <w:rFonts w:ascii="Wingdings" w:eastAsia="Times New Roman" w:hAnsi="Wingdings" w:cs="Calibri"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C93869"/>
    <w:multiLevelType w:val="hybridMultilevel"/>
    <w:tmpl w:val="BF4C3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E859D9"/>
    <w:multiLevelType w:val="hybridMultilevel"/>
    <w:tmpl w:val="5DD08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290102"/>
    <w:multiLevelType w:val="hybridMultilevel"/>
    <w:tmpl w:val="C29A1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C76562"/>
    <w:multiLevelType w:val="hybridMultilevel"/>
    <w:tmpl w:val="44280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9B22EE"/>
    <w:multiLevelType w:val="hybridMultilevel"/>
    <w:tmpl w:val="5D4A3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2E1180"/>
    <w:multiLevelType w:val="hybridMultilevel"/>
    <w:tmpl w:val="15D86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2A04CC"/>
    <w:multiLevelType w:val="hybridMultilevel"/>
    <w:tmpl w:val="9A228A20"/>
    <w:lvl w:ilvl="0" w:tplc="D0F4E0E0">
      <w:start w:val="366"/>
      <w:numFmt w:val="bullet"/>
      <w:lvlText w:val=""/>
      <w:lvlJc w:val="left"/>
      <w:pPr>
        <w:ind w:left="720" w:hanging="360"/>
      </w:pPr>
      <w:rPr>
        <w:rFonts w:ascii="Wingdings" w:eastAsia="Times New Roman" w:hAnsi="Wingdings" w:cs="Calibri"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D8841FF"/>
    <w:multiLevelType w:val="multilevel"/>
    <w:tmpl w:val="306E4E4C"/>
    <w:lvl w:ilvl="0">
      <w:start w:val="1"/>
      <w:numFmt w:val="bullet"/>
      <w:pStyle w:val="Bullets1"/>
      <w:lvlText w:val=""/>
      <w:lvlJc w:val="left"/>
      <w:pPr>
        <w:tabs>
          <w:tab w:val="num" w:pos="425"/>
        </w:tabs>
        <w:ind w:left="851" w:hanging="426"/>
      </w:pPr>
      <w:rPr>
        <w:rFonts w:ascii="Symbol" w:hAnsi="Symbol" w:hint="default"/>
        <w:u w:color="1C365F"/>
      </w:rPr>
    </w:lvl>
    <w:lvl w:ilvl="1">
      <w:start w:val="1"/>
      <w:numFmt w:val="bullet"/>
      <w:pStyle w:val="Bullets2"/>
      <w:lvlText w:val="o"/>
      <w:lvlJc w:val="left"/>
      <w:pPr>
        <w:ind w:left="1418" w:hanging="426"/>
      </w:pPr>
      <w:rPr>
        <w:rFonts w:ascii="Courier New" w:hAnsi="Courier New" w:hint="default"/>
      </w:rPr>
    </w:lvl>
    <w:lvl w:ilvl="2">
      <w:start w:val="1"/>
      <w:numFmt w:val="bullet"/>
      <w:pStyle w:val="Bullets3"/>
      <w:lvlText w:val=""/>
      <w:lvlJc w:val="left"/>
      <w:pPr>
        <w:ind w:left="1985" w:hanging="426"/>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3DEB17FE"/>
    <w:multiLevelType w:val="hybridMultilevel"/>
    <w:tmpl w:val="38684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0704E8F"/>
    <w:multiLevelType w:val="hybridMultilevel"/>
    <w:tmpl w:val="01625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715A0D"/>
    <w:multiLevelType w:val="hybridMultilevel"/>
    <w:tmpl w:val="F9524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EC76D24"/>
    <w:multiLevelType w:val="hybridMultilevel"/>
    <w:tmpl w:val="76BEDD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547512F"/>
    <w:multiLevelType w:val="hybridMultilevel"/>
    <w:tmpl w:val="6D06D9A2"/>
    <w:lvl w:ilvl="0" w:tplc="0C090001">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6466981"/>
    <w:multiLevelType w:val="hybridMultilevel"/>
    <w:tmpl w:val="ECB20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0F6655B"/>
    <w:multiLevelType w:val="hybridMultilevel"/>
    <w:tmpl w:val="21980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7EE34A6"/>
    <w:multiLevelType w:val="hybridMultilevel"/>
    <w:tmpl w:val="0CDA7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8A77C77"/>
    <w:multiLevelType w:val="hybridMultilevel"/>
    <w:tmpl w:val="65328C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AB0CB6"/>
    <w:multiLevelType w:val="multilevel"/>
    <w:tmpl w:val="24F679A4"/>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D0F7268"/>
    <w:multiLevelType w:val="hybridMultilevel"/>
    <w:tmpl w:val="9500B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25"/>
  </w:num>
  <w:num w:numId="3">
    <w:abstractNumId w:val="10"/>
  </w:num>
  <w:num w:numId="4">
    <w:abstractNumId w:val="16"/>
  </w:num>
  <w:num w:numId="5">
    <w:abstractNumId w:val="19"/>
  </w:num>
  <w:num w:numId="6">
    <w:abstractNumId w:val="24"/>
  </w:num>
  <w:num w:numId="7">
    <w:abstractNumId w:val="5"/>
  </w:num>
  <w:num w:numId="8">
    <w:abstractNumId w:val="23"/>
  </w:num>
  <w:num w:numId="9">
    <w:abstractNumId w:val="0"/>
  </w:num>
  <w:num w:numId="10">
    <w:abstractNumId w:val="4"/>
  </w:num>
  <w:num w:numId="11">
    <w:abstractNumId w:val="6"/>
  </w:num>
  <w:num w:numId="12">
    <w:abstractNumId w:val="17"/>
  </w:num>
  <w:num w:numId="13">
    <w:abstractNumId w:val="9"/>
  </w:num>
  <w:num w:numId="14">
    <w:abstractNumId w:val="8"/>
  </w:num>
  <w:num w:numId="15">
    <w:abstractNumId w:val="25"/>
  </w:num>
  <w:num w:numId="16">
    <w:abstractNumId w:val="25"/>
  </w:num>
  <w:num w:numId="17">
    <w:abstractNumId w:val="26"/>
  </w:num>
  <w:num w:numId="18">
    <w:abstractNumId w:val="25"/>
  </w:num>
  <w:num w:numId="19">
    <w:abstractNumId w:val="25"/>
  </w:num>
  <w:num w:numId="20">
    <w:abstractNumId w:val="18"/>
  </w:num>
  <w:num w:numId="21">
    <w:abstractNumId w:val="3"/>
  </w:num>
  <w:num w:numId="22">
    <w:abstractNumId w:val="2"/>
  </w:num>
  <w:num w:numId="23">
    <w:abstractNumId w:val="25"/>
  </w:num>
  <w:num w:numId="24">
    <w:abstractNumId w:val="25"/>
  </w:num>
  <w:num w:numId="25">
    <w:abstractNumId w:val="25"/>
  </w:num>
  <w:num w:numId="26">
    <w:abstractNumId w:val="7"/>
  </w:num>
  <w:num w:numId="27">
    <w:abstractNumId w:val="14"/>
  </w:num>
  <w:num w:numId="28">
    <w:abstractNumId w:val="1"/>
  </w:num>
  <w:num w:numId="29">
    <w:abstractNumId w:val="20"/>
  </w:num>
  <w:num w:numId="30">
    <w:abstractNumId w:val="11"/>
  </w:num>
  <w:num w:numId="31">
    <w:abstractNumId w:val="13"/>
  </w:num>
  <w:num w:numId="32">
    <w:abstractNumId w:val="21"/>
  </w:num>
  <w:num w:numId="33">
    <w:abstractNumId w:val="12"/>
  </w:num>
  <w:num w:numId="34">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968"/>
    <w:rsid w:val="00001A7D"/>
    <w:rsid w:val="00002CA7"/>
    <w:rsid w:val="00002CBC"/>
    <w:rsid w:val="00002D54"/>
    <w:rsid w:val="00011EAE"/>
    <w:rsid w:val="00011EE8"/>
    <w:rsid w:val="00013ECC"/>
    <w:rsid w:val="000167D4"/>
    <w:rsid w:val="00016ED9"/>
    <w:rsid w:val="0002120C"/>
    <w:rsid w:val="000252E8"/>
    <w:rsid w:val="000259B1"/>
    <w:rsid w:val="00026038"/>
    <w:rsid w:val="00026884"/>
    <w:rsid w:val="00026E66"/>
    <w:rsid w:val="000275DE"/>
    <w:rsid w:val="00032C63"/>
    <w:rsid w:val="000344BC"/>
    <w:rsid w:val="000373BE"/>
    <w:rsid w:val="000426A4"/>
    <w:rsid w:val="00043CE2"/>
    <w:rsid w:val="00047BDE"/>
    <w:rsid w:val="000537FC"/>
    <w:rsid w:val="00053877"/>
    <w:rsid w:val="0005754C"/>
    <w:rsid w:val="00060330"/>
    <w:rsid w:val="00073996"/>
    <w:rsid w:val="00073B67"/>
    <w:rsid w:val="00073BF2"/>
    <w:rsid w:val="0007410E"/>
    <w:rsid w:val="0007575F"/>
    <w:rsid w:val="00075B50"/>
    <w:rsid w:val="00075E1D"/>
    <w:rsid w:val="0008229C"/>
    <w:rsid w:val="00082EBD"/>
    <w:rsid w:val="000859AB"/>
    <w:rsid w:val="00086E9C"/>
    <w:rsid w:val="00086FE5"/>
    <w:rsid w:val="00092C0D"/>
    <w:rsid w:val="00096871"/>
    <w:rsid w:val="000A3560"/>
    <w:rsid w:val="000A5087"/>
    <w:rsid w:val="000A6BEF"/>
    <w:rsid w:val="000C0B90"/>
    <w:rsid w:val="000C2E7E"/>
    <w:rsid w:val="000C6DD6"/>
    <w:rsid w:val="000C7E29"/>
    <w:rsid w:val="000D2D61"/>
    <w:rsid w:val="000D33C8"/>
    <w:rsid w:val="000D3DD5"/>
    <w:rsid w:val="000D62DB"/>
    <w:rsid w:val="000D6818"/>
    <w:rsid w:val="000E2676"/>
    <w:rsid w:val="000E5060"/>
    <w:rsid w:val="000E78EA"/>
    <w:rsid w:val="000F14A2"/>
    <w:rsid w:val="000F25C9"/>
    <w:rsid w:val="000F3C9F"/>
    <w:rsid w:val="000F6B4C"/>
    <w:rsid w:val="00100EB9"/>
    <w:rsid w:val="0010201F"/>
    <w:rsid w:val="00114D60"/>
    <w:rsid w:val="001262D7"/>
    <w:rsid w:val="00126C24"/>
    <w:rsid w:val="00130242"/>
    <w:rsid w:val="00130BF0"/>
    <w:rsid w:val="00130C5F"/>
    <w:rsid w:val="0013110A"/>
    <w:rsid w:val="00132C5C"/>
    <w:rsid w:val="00134C25"/>
    <w:rsid w:val="0013773C"/>
    <w:rsid w:val="001408A5"/>
    <w:rsid w:val="001411F3"/>
    <w:rsid w:val="0014167C"/>
    <w:rsid w:val="00142472"/>
    <w:rsid w:val="00142D0E"/>
    <w:rsid w:val="00144D09"/>
    <w:rsid w:val="00145781"/>
    <w:rsid w:val="001478F3"/>
    <w:rsid w:val="001510A0"/>
    <w:rsid w:val="00155B0F"/>
    <w:rsid w:val="001566DC"/>
    <w:rsid w:val="00157805"/>
    <w:rsid w:val="00163EB8"/>
    <w:rsid w:val="00167B9A"/>
    <w:rsid w:val="00172147"/>
    <w:rsid w:val="00172463"/>
    <w:rsid w:val="00172B20"/>
    <w:rsid w:val="00175732"/>
    <w:rsid w:val="00175E85"/>
    <w:rsid w:val="00176181"/>
    <w:rsid w:val="0017689E"/>
    <w:rsid w:val="001910F7"/>
    <w:rsid w:val="0019337F"/>
    <w:rsid w:val="00197ED0"/>
    <w:rsid w:val="001A288C"/>
    <w:rsid w:val="001A2E7A"/>
    <w:rsid w:val="001A431C"/>
    <w:rsid w:val="001A6169"/>
    <w:rsid w:val="001B0E1C"/>
    <w:rsid w:val="001B1FBE"/>
    <w:rsid w:val="001B3911"/>
    <w:rsid w:val="001B6266"/>
    <w:rsid w:val="001B644C"/>
    <w:rsid w:val="001B68DC"/>
    <w:rsid w:val="001B7A07"/>
    <w:rsid w:val="001B7FCD"/>
    <w:rsid w:val="001C65AF"/>
    <w:rsid w:val="001D0683"/>
    <w:rsid w:val="001D0D13"/>
    <w:rsid w:val="001D1329"/>
    <w:rsid w:val="001D5FF1"/>
    <w:rsid w:val="001E46DD"/>
    <w:rsid w:val="001E4FB1"/>
    <w:rsid w:val="001E52D2"/>
    <w:rsid w:val="001E5783"/>
    <w:rsid w:val="001E77CB"/>
    <w:rsid w:val="001F1563"/>
    <w:rsid w:val="001F2214"/>
    <w:rsid w:val="001F2BFA"/>
    <w:rsid w:val="001F5F7D"/>
    <w:rsid w:val="001F6F73"/>
    <w:rsid w:val="002011B3"/>
    <w:rsid w:val="0020309C"/>
    <w:rsid w:val="002060B4"/>
    <w:rsid w:val="0020677B"/>
    <w:rsid w:val="00206D7A"/>
    <w:rsid w:val="002124E2"/>
    <w:rsid w:val="0021348F"/>
    <w:rsid w:val="0021479E"/>
    <w:rsid w:val="002178F6"/>
    <w:rsid w:val="00217D51"/>
    <w:rsid w:val="002220B3"/>
    <w:rsid w:val="00222167"/>
    <w:rsid w:val="002265B7"/>
    <w:rsid w:val="00236404"/>
    <w:rsid w:val="00245EB8"/>
    <w:rsid w:val="00247DCD"/>
    <w:rsid w:val="0025300B"/>
    <w:rsid w:val="00254452"/>
    <w:rsid w:val="00255195"/>
    <w:rsid w:val="00266E3E"/>
    <w:rsid w:val="00266F04"/>
    <w:rsid w:val="002675D4"/>
    <w:rsid w:val="00267AB5"/>
    <w:rsid w:val="002728A3"/>
    <w:rsid w:val="00272A55"/>
    <w:rsid w:val="00273DFF"/>
    <w:rsid w:val="002743AA"/>
    <w:rsid w:val="00275C2A"/>
    <w:rsid w:val="00280468"/>
    <w:rsid w:val="0028077B"/>
    <w:rsid w:val="00283E8F"/>
    <w:rsid w:val="002870E5"/>
    <w:rsid w:val="00291665"/>
    <w:rsid w:val="00296D90"/>
    <w:rsid w:val="002A1C20"/>
    <w:rsid w:val="002A37D3"/>
    <w:rsid w:val="002A5226"/>
    <w:rsid w:val="002A683D"/>
    <w:rsid w:val="002A7F73"/>
    <w:rsid w:val="002B468E"/>
    <w:rsid w:val="002B4BE5"/>
    <w:rsid w:val="002C001D"/>
    <w:rsid w:val="002C170E"/>
    <w:rsid w:val="002C4247"/>
    <w:rsid w:val="002C60B6"/>
    <w:rsid w:val="002D1862"/>
    <w:rsid w:val="002E361F"/>
    <w:rsid w:val="002E3D44"/>
    <w:rsid w:val="002E76EC"/>
    <w:rsid w:val="002E7BF5"/>
    <w:rsid w:val="002F0F11"/>
    <w:rsid w:val="002F4E1A"/>
    <w:rsid w:val="002F6514"/>
    <w:rsid w:val="00300560"/>
    <w:rsid w:val="00300DB3"/>
    <w:rsid w:val="00302D21"/>
    <w:rsid w:val="00303C9B"/>
    <w:rsid w:val="00304646"/>
    <w:rsid w:val="003063AB"/>
    <w:rsid w:val="00313D8E"/>
    <w:rsid w:val="0031421F"/>
    <w:rsid w:val="00314B02"/>
    <w:rsid w:val="00314EE3"/>
    <w:rsid w:val="00316A21"/>
    <w:rsid w:val="003216CD"/>
    <w:rsid w:val="00321EB7"/>
    <w:rsid w:val="003240BC"/>
    <w:rsid w:val="003276E3"/>
    <w:rsid w:val="0033393F"/>
    <w:rsid w:val="00333BDD"/>
    <w:rsid w:val="00334952"/>
    <w:rsid w:val="00345889"/>
    <w:rsid w:val="00345ED1"/>
    <w:rsid w:val="00345ED4"/>
    <w:rsid w:val="00346212"/>
    <w:rsid w:val="003502E0"/>
    <w:rsid w:val="003535E3"/>
    <w:rsid w:val="00360F9D"/>
    <w:rsid w:val="00362845"/>
    <w:rsid w:val="0037285E"/>
    <w:rsid w:val="00372A03"/>
    <w:rsid w:val="0037604C"/>
    <w:rsid w:val="003778B6"/>
    <w:rsid w:val="003807A7"/>
    <w:rsid w:val="00382A2B"/>
    <w:rsid w:val="003846C5"/>
    <w:rsid w:val="003919D2"/>
    <w:rsid w:val="003948BF"/>
    <w:rsid w:val="00394BCC"/>
    <w:rsid w:val="00395E7D"/>
    <w:rsid w:val="003A0349"/>
    <w:rsid w:val="003A36B1"/>
    <w:rsid w:val="003A3B31"/>
    <w:rsid w:val="003A4EB6"/>
    <w:rsid w:val="003B1AD6"/>
    <w:rsid w:val="003B2013"/>
    <w:rsid w:val="003B2390"/>
    <w:rsid w:val="003B3ACE"/>
    <w:rsid w:val="003B5D9B"/>
    <w:rsid w:val="003B5EBC"/>
    <w:rsid w:val="003B6788"/>
    <w:rsid w:val="003B6D39"/>
    <w:rsid w:val="003B6E9B"/>
    <w:rsid w:val="003B6F3B"/>
    <w:rsid w:val="003B7154"/>
    <w:rsid w:val="003B73B7"/>
    <w:rsid w:val="003C0D36"/>
    <w:rsid w:val="003C39E1"/>
    <w:rsid w:val="003C4BE6"/>
    <w:rsid w:val="003C657D"/>
    <w:rsid w:val="003D1A69"/>
    <w:rsid w:val="003D4DC6"/>
    <w:rsid w:val="003D5683"/>
    <w:rsid w:val="003D5790"/>
    <w:rsid w:val="003D6248"/>
    <w:rsid w:val="003D6582"/>
    <w:rsid w:val="003D6678"/>
    <w:rsid w:val="003E25AE"/>
    <w:rsid w:val="003E47FF"/>
    <w:rsid w:val="003E563E"/>
    <w:rsid w:val="003F7B50"/>
    <w:rsid w:val="003F7DEB"/>
    <w:rsid w:val="004027F1"/>
    <w:rsid w:val="004046A8"/>
    <w:rsid w:val="004107C3"/>
    <w:rsid w:val="0041100F"/>
    <w:rsid w:val="00411596"/>
    <w:rsid w:val="00416F96"/>
    <w:rsid w:val="004177CB"/>
    <w:rsid w:val="004209E8"/>
    <w:rsid w:val="00433A5F"/>
    <w:rsid w:val="0043442D"/>
    <w:rsid w:val="004374ED"/>
    <w:rsid w:val="00441633"/>
    <w:rsid w:val="004417DF"/>
    <w:rsid w:val="00445CFC"/>
    <w:rsid w:val="00447D23"/>
    <w:rsid w:val="00455EB8"/>
    <w:rsid w:val="00457639"/>
    <w:rsid w:val="00462298"/>
    <w:rsid w:val="00464611"/>
    <w:rsid w:val="00464E59"/>
    <w:rsid w:val="00465F00"/>
    <w:rsid w:val="00467D4A"/>
    <w:rsid w:val="0047208B"/>
    <w:rsid w:val="00473BEB"/>
    <w:rsid w:val="004852B0"/>
    <w:rsid w:val="00494015"/>
    <w:rsid w:val="0049407C"/>
    <w:rsid w:val="00494D08"/>
    <w:rsid w:val="004954F7"/>
    <w:rsid w:val="004A4217"/>
    <w:rsid w:val="004B2AAD"/>
    <w:rsid w:val="004B2E42"/>
    <w:rsid w:val="004B4C3C"/>
    <w:rsid w:val="004B5063"/>
    <w:rsid w:val="004C2A53"/>
    <w:rsid w:val="004C2F8A"/>
    <w:rsid w:val="004C6558"/>
    <w:rsid w:val="004D0B4A"/>
    <w:rsid w:val="004D46F8"/>
    <w:rsid w:val="004D4F1C"/>
    <w:rsid w:val="004D59E8"/>
    <w:rsid w:val="004D7BB3"/>
    <w:rsid w:val="004E028B"/>
    <w:rsid w:val="004E4108"/>
    <w:rsid w:val="004E45CD"/>
    <w:rsid w:val="004E517C"/>
    <w:rsid w:val="004E5D78"/>
    <w:rsid w:val="004F18D5"/>
    <w:rsid w:val="004F20CB"/>
    <w:rsid w:val="004F2A10"/>
    <w:rsid w:val="004F42BC"/>
    <w:rsid w:val="004F5A9B"/>
    <w:rsid w:val="004F6F8C"/>
    <w:rsid w:val="00500B9B"/>
    <w:rsid w:val="00501468"/>
    <w:rsid w:val="00502C05"/>
    <w:rsid w:val="005049B6"/>
    <w:rsid w:val="005050E6"/>
    <w:rsid w:val="0051086E"/>
    <w:rsid w:val="005110B2"/>
    <w:rsid w:val="0051569D"/>
    <w:rsid w:val="00515A8A"/>
    <w:rsid w:val="005204C9"/>
    <w:rsid w:val="005225D8"/>
    <w:rsid w:val="0052538F"/>
    <w:rsid w:val="00530310"/>
    <w:rsid w:val="0053081D"/>
    <w:rsid w:val="005320D2"/>
    <w:rsid w:val="005324CC"/>
    <w:rsid w:val="00534357"/>
    <w:rsid w:val="00535635"/>
    <w:rsid w:val="00540DA7"/>
    <w:rsid w:val="00545E21"/>
    <w:rsid w:val="00547812"/>
    <w:rsid w:val="00553DEC"/>
    <w:rsid w:val="005667D5"/>
    <w:rsid w:val="0057261C"/>
    <w:rsid w:val="005727EC"/>
    <w:rsid w:val="00572E92"/>
    <w:rsid w:val="005755C8"/>
    <w:rsid w:val="005773C6"/>
    <w:rsid w:val="00580A7C"/>
    <w:rsid w:val="00581BE4"/>
    <w:rsid w:val="0058463B"/>
    <w:rsid w:val="005902A8"/>
    <w:rsid w:val="00591791"/>
    <w:rsid w:val="00592A76"/>
    <w:rsid w:val="00592D59"/>
    <w:rsid w:val="005A2E56"/>
    <w:rsid w:val="005B19A0"/>
    <w:rsid w:val="005B21FC"/>
    <w:rsid w:val="005B3A7F"/>
    <w:rsid w:val="005B4845"/>
    <w:rsid w:val="005B66B3"/>
    <w:rsid w:val="005B7B50"/>
    <w:rsid w:val="005C0C08"/>
    <w:rsid w:val="005C37E2"/>
    <w:rsid w:val="005C5B6E"/>
    <w:rsid w:val="005C63FC"/>
    <w:rsid w:val="005C6FB6"/>
    <w:rsid w:val="005C7FED"/>
    <w:rsid w:val="005D241E"/>
    <w:rsid w:val="005D2B06"/>
    <w:rsid w:val="005D2D52"/>
    <w:rsid w:val="005D43FC"/>
    <w:rsid w:val="005E074F"/>
    <w:rsid w:val="005F07DA"/>
    <w:rsid w:val="005F0D87"/>
    <w:rsid w:val="005F2128"/>
    <w:rsid w:val="005F30D1"/>
    <w:rsid w:val="005F4328"/>
    <w:rsid w:val="005F43BA"/>
    <w:rsid w:val="005F6213"/>
    <w:rsid w:val="006023E3"/>
    <w:rsid w:val="00602D71"/>
    <w:rsid w:val="00610B1B"/>
    <w:rsid w:val="00611565"/>
    <w:rsid w:val="00611DE9"/>
    <w:rsid w:val="0061326C"/>
    <w:rsid w:val="006136D7"/>
    <w:rsid w:val="0061505D"/>
    <w:rsid w:val="00615231"/>
    <w:rsid w:val="00615631"/>
    <w:rsid w:val="00616D45"/>
    <w:rsid w:val="00617B79"/>
    <w:rsid w:val="00620384"/>
    <w:rsid w:val="006205B1"/>
    <w:rsid w:val="00622D0A"/>
    <w:rsid w:val="00624D3C"/>
    <w:rsid w:val="00625766"/>
    <w:rsid w:val="00626857"/>
    <w:rsid w:val="006338B5"/>
    <w:rsid w:val="00633B9D"/>
    <w:rsid w:val="0063438F"/>
    <w:rsid w:val="006361E3"/>
    <w:rsid w:val="0063704C"/>
    <w:rsid w:val="0064079F"/>
    <w:rsid w:val="006414BA"/>
    <w:rsid w:val="006416C6"/>
    <w:rsid w:val="00641E10"/>
    <w:rsid w:val="00647C85"/>
    <w:rsid w:val="00653402"/>
    <w:rsid w:val="00662C3F"/>
    <w:rsid w:val="00664F90"/>
    <w:rsid w:val="00665A14"/>
    <w:rsid w:val="0066788B"/>
    <w:rsid w:val="00672410"/>
    <w:rsid w:val="00674ACE"/>
    <w:rsid w:val="00674F9D"/>
    <w:rsid w:val="00677891"/>
    <w:rsid w:val="00680021"/>
    <w:rsid w:val="00682989"/>
    <w:rsid w:val="00685143"/>
    <w:rsid w:val="00685FA3"/>
    <w:rsid w:val="0068697C"/>
    <w:rsid w:val="0068741D"/>
    <w:rsid w:val="00690E76"/>
    <w:rsid w:val="00692A6C"/>
    <w:rsid w:val="00693C67"/>
    <w:rsid w:val="00695058"/>
    <w:rsid w:val="00697D91"/>
    <w:rsid w:val="006A0889"/>
    <w:rsid w:val="006A2841"/>
    <w:rsid w:val="006A68A9"/>
    <w:rsid w:val="006A6E36"/>
    <w:rsid w:val="006B0471"/>
    <w:rsid w:val="006B15B6"/>
    <w:rsid w:val="006B2170"/>
    <w:rsid w:val="006B26CA"/>
    <w:rsid w:val="006B40BC"/>
    <w:rsid w:val="006B7BAA"/>
    <w:rsid w:val="006C4EDE"/>
    <w:rsid w:val="006C51CD"/>
    <w:rsid w:val="006C5C2A"/>
    <w:rsid w:val="006C6E74"/>
    <w:rsid w:val="006D0D50"/>
    <w:rsid w:val="006D30CD"/>
    <w:rsid w:val="006D4048"/>
    <w:rsid w:val="006D4294"/>
    <w:rsid w:val="006D4A1B"/>
    <w:rsid w:val="006D5B03"/>
    <w:rsid w:val="006D7605"/>
    <w:rsid w:val="006E03FB"/>
    <w:rsid w:val="006E19C7"/>
    <w:rsid w:val="006E72F3"/>
    <w:rsid w:val="006E76C2"/>
    <w:rsid w:val="006F09B4"/>
    <w:rsid w:val="006F0E11"/>
    <w:rsid w:val="006F2BDD"/>
    <w:rsid w:val="006F41A4"/>
    <w:rsid w:val="006F6B4F"/>
    <w:rsid w:val="006F6F27"/>
    <w:rsid w:val="007000C9"/>
    <w:rsid w:val="0070293D"/>
    <w:rsid w:val="00702C32"/>
    <w:rsid w:val="0070424F"/>
    <w:rsid w:val="00704526"/>
    <w:rsid w:val="00715990"/>
    <w:rsid w:val="00723D77"/>
    <w:rsid w:val="007350DD"/>
    <w:rsid w:val="00736DEB"/>
    <w:rsid w:val="00737733"/>
    <w:rsid w:val="00741F25"/>
    <w:rsid w:val="00742EE9"/>
    <w:rsid w:val="007524AD"/>
    <w:rsid w:val="0075251F"/>
    <w:rsid w:val="00752D9B"/>
    <w:rsid w:val="00754B12"/>
    <w:rsid w:val="00754DA3"/>
    <w:rsid w:val="00757AAC"/>
    <w:rsid w:val="00762D91"/>
    <w:rsid w:val="00764B5A"/>
    <w:rsid w:val="00765C35"/>
    <w:rsid w:val="0077036B"/>
    <w:rsid w:val="0077169A"/>
    <w:rsid w:val="007731E5"/>
    <w:rsid w:val="00774E19"/>
    <w:rsid w:val="007833B9"/>
    <w:rsid w:val="00783A35"/>
    <w:rsid w:val="00783DB9"/>
    <w:rsid w:val="00784056"/>
    <w:rsid w:val="00785796"/>
    <w:rsid w:val="0079209F"/>
    <w:rsid w:val="0079237A"/>
    <w:rsid w:val="00792EB5"/>
    <w:rsid w:val="007A081F"/>
    <w:rsid w:val="007A0A41"/>
    <w:rsid w:val="007A43D8"/>
    <w:rsid w:val="007A6657"/>
    <w:rsid w:val="007A7D70"/>
    <w:rsid w:val="007B0567"/>
    <w:rsid w:val="007B757E"/>
    <w:rsid w:val="007C22F6"/>
    <w:rsid w:val="007C3B98"/>
    <w:rsid w:val="007C4F25"/>
    <w:rsid w:val="007C7299"/>
    <w:rsid w:val="007D1F2F"/>
    <w:rsid w:val="007D5C3A"/>
    <w:rsid w:val="007E502C"/>
    <w:rsid w:val="007E6607"/>
    <w:rsid w:val="007E7D2D"/>
    <w:rsid w:val="007F14A7"/>
    <w:rsid w:val="007F16F7"/>
    <w:rsid w:val="007F3FC9"/>
    <w:rsid w:val="007F63F4"/>
    <w:rsid w:val="0080099A"/>
    <w:rsid w:val="00802D11"/>
    <w:rsid w:val="0080309A"/>
    <w:rsid w:val="008053EA"/>
    <w:rsid w:val="00805E7B"/>
    <w:rsid w:val="00810D9B"/>
    <w:rsid w:val="008113E0"/>
    <w:rsid w:val="008123D3"/>
    <w:rsid w:val="00812983"/>
    <w:rsid w:val="008163B2"/>
    <w:rsid w:val="00816809"/>
    <w:rsid w:val="00817DA5"/>
    <w:rsid w:val="00821992"/>
    <w:rsid w:val="00823D4D"/>
    <w:rsid w:val="0082615F"/>
    <w:rsid w:val="00830C03"/>
    <w:rsid w:val="00831254"/>
    <w:rsid w:val="00831CF9"/>
    <w:rsid w:val="00834437"/>
    <w:rsid w:val="008367AB"/>
    <w:rsid w:val="00841C11"/>
    <w:rsid w:val="00841DAB"/>
    <w:rsid w:val="00842821"/>
    <w:rsid w:val="00843503"/>
    <w:rsid w:val="008448E5"/>
    <w:rsid w:val="00846D7C"/>
    <w:rsid w:val="0085583A"/>
    <w:rsid w:val="00856100"/>
    <w:rsid w:val="008574D7"/>
    <w:rsid w:val="008612EF"/>
    <w:rsid w:val="00861FA6"/>
    <w:rsid w:val="0086398A"/>
    <w:rsid w:val="00863C70"/>
    <w:rsid w:val="00864789"/>
    <w:rsid w:val="00867350"/>
    <w:rsid w:val="008717CE"/>
    <w:rsid w:val="00871F0B"/>
    <w:rsid w:val="00874A9E"/>
    <w:rsid w:val="00883B78"/>
    <w:rsid w:val="00885BFA"/>
    <w:rsid w:val="00895AC2"/>
    <w:rsid w:val="008A0636"/>
    <w:rsid w:val="008A0651"/>
    <w:rsid w:val="008A21E3"/>
    <w:rsid w:val="008A2CB7"/>
    <w:rsid w:val="008A46E0"/>
    <w:rsid w:val="008A56C3"/>
    <w:rsid w:val="008A793D"/>
    <w:rsid w:val="008A7A85"/>
    <w:rsid w:val="008A7ADE"/>
    <w:rsid w:val="008B078B"/>
    <w:rsid w:val="008B1347"/>
    <w:rsid w:val="008B2C65"/>
    <w:rsid w:val="008B4A74"/>
    <w:rsid w:val="008B6C8A"/>
    <w:rsid w:val="008B7597"/>
    <w:rsid w:val="008B78D6"/>
    <w:rsid w:val="008B7FBB"/>
    <w:rsid w:val="008C169A"/>
    <w:rsid w:val="008D0932"/>
    <w:rsid w:val="008D0ED2"/>
    <w:rsid w:val="008D2409"/>
    <w:rsid w:val="008D3AAC"/>
    <w:rsid w:val="008D5AC5"/>
    <w:rsid w:val="008E09C0"/>
    <w:rsid w:val="008E2E1A"/>
    <w:rsid w:val="008E46D0"/>
    <w:rsid w:val="008E6918"/>
    <w:rsid w:val="008E7D6B"/>
    <w:rsid w:val="008F0571"/>
    <w:rsid w:val="008F1945"/>
    <w:rsid w:val="008F5B3D"/>
    <w:rsid w:val="008F7A77"/>
    <w:rsid w:val="00902487"/>
    <w:rsid w:val="009054D5"/>
    <w:rsid w:val="009058CE"/>
    <w:rsid w:val="00911AC5"/>
    <w:rsid w:val="00916DD7"/>
    <w:rsid w:val="00925795"/>
    <w:rsid w:val="00926AD1"/>
    <w:rsid w:val="00926CEE"/>
    <w:rsid w:val="00931616"/>
    <w:rsid w:val="009329F1"/>
    <w:rsid w:val="009351B3"/>
    <w:rsid w:val="0093712A"/>
    <w:rsid w:val="009429B6"/>
    <w:rsid w:val="00946C7A"/>
    <w:rsid w:val="0095219A"/>
    <w:rsid w:val="00956E9D"/>
    <w:rsid w:val="00960E84"/>
    <w:rsid w:val="00962C7D"/>
    <w:rsid w:val="009630C0"/>
    <w:rsid w:val="00965FEE"/>
    <w:rsid w:val="00972137"/>
    <w:rsid w:val="0097245D"/>
    <w:rsid w:val="009734BF"/>
    <w:rsid w:val="00974668"/>
    <w:rsid w:val="009772EA"/>
    <w:rsid w:val="00977A51"/>
    <w:rsid w:val="00977E92"/>
    <w:rsid w:val="00980291"/>
    <w:rsid w:val="00983291"/>
    <w:rsid w:val="009851F6"/>
    <w:rsid w:val="0099154F"/>
    <w:rsid w:val="009970D4"/>
    <w:rsid w:val="009A0EC5"/>
    <w:rsid w:val="009A31DA"/>
    <w:rsid w:val="009A3CED"/>
    <w:rsid w:val="009A48D8"/>
    <w:rsid w:val="009A7AC8"/>
    <w:rsid w:val="009A7EEA"/>
    <w:rsid w:val="009B0169"/>
    <w:rsid w:val="009B18D7"/>
    <w:rsid w:val="009B68A7"/>
    <w:rsid w:val="009B74DB"/>
    <w:rsid w:val="009C28FA"/>
    <w:rsid w:val="009C3345"/>
    <w:rsid w:val="009C4CA2"/>
    <w:rsid w:val="009C53DA"/>
    <w:rsid w:val="009C608D"/>
    <w:rsid w:val="009C6643"/>
    <w:rsid w:val="009C7018"/>
    <w:rsid w:val="009D092C"/>
    <w:rsid w:val="009D203D"/>
    <w:rsid w:val="009D2D3D"/>
    <w:rsid w:val="009D40B0"/>
    <w:rsid w:val="009D7FB6"/>
    <w:rsid w:val="009F152C"/>
    <w:rsid w:val="009F273D"/>
    <w:rsid w:val="009F6114"/>
    <w:rsid w:val="009F6921"/>
    <w:rsid w:val="009F77CE"/>
    <w:rsid w:val="00A023BD"/>
    <w:rsid w:val="00A02446"/>
    <w:rsid w:val="00A02CD2"/>
    <w:rsid w:val="00A071BF"/>
    <w:rsid w:val="00A1060F"/>
    <w:rsid w:val="00A1357A"/>
    <w:rsid w:val="00A20B76"/>
    <w:rsid w:val="00A20DB5"/>
    <w:rsid w:val="00A2250D"/>
    <w:rsid w:val="00A23A36"/>
    <w:rsid w:val="00A24C58"/>
    <w:rsid w:val="00A313F5"/>
    <w:rsid w:val="00A33859"/>
    <w:rsid w:val="00A40849"/>
    <w:rsid w:val="00A41653"/>
    <w:rsid w:val="00A42232"/>
    <w:rsid w:val="00A43E38"/>
    <w:rsid w:val="00A44BDB"/>
    <w:rsid w:val="00A44ED6"/>
    <w:rsid w:val="00A65D3B"/>
    <w:rsid w:val="00A67A2A"/>
    <w:rsid w:val="00A72531"/>
    <w:rsid w:val="00A7470B"/>
    <w:rsid w:val="00A83858"/>
    <w:rsid w:val="00A86952"/>
    <w:rsid w:val="00A86E73"/>
    <w:rsid w:val="00A87FF6"/>
    <w:rsid w:val="00A9740F"/>
    <w:rsid w:val="00AA007A"/>
    <w:rsid w:val="00AA0E2B"/>
    <w:rsid w:val="00AA1F2E"/>
    <w:rsid w:val="00AA5106"/>
    <w:rsid w:val="00AB0DA6"/>
    <w:rsid w:val="00AB2CB6"/>
    <w:rsid w:val="00AB3067"/>
    <w:rsid w:val="00AC440D"/>
    <w:rsid w:val="00AC6551"/>
    <w:rsid w:val="00AC6DAF"/>
    <w:rsid w:val="00AC7A8C"/>
    <w:rsid w:val="00AD0548"/>
    <w:rsid w:val="00AD181D"/>
    <w:rsid w:val="00AD26CC"/>
    <w:rsid w:val="00AD3CC9"/>
    <w:rsid w:val="00AD3D0D"/>
    <w:rsid w:val="00AD6CD9"/>
    <w:rsid w:val="00AE0851"/>
    <w:rsid w:val="00AE0C50"/>
    <w:rsid w:val="00AE1C37"/>
    <w:rsid w:val="00AE47B3"/>
    <w:rsid w:val="00AF2D94"/>
    <w:rsid w:val="00AF7432"/>
    <w:rsid w:val="00AF778A"/>
    <w:rsid w:val="00AF7C99"/>
    <w:rsid w:val="00AF7DE4"/>
    <w:rsid w:val="00B0283C"/>
    <w:rsid w:val="00B0297A"/>
    <w:rsid w:val="00B10586"/>
    <w:rsid w:val="00B1073E"/>
    <w:rsid w:val="00B140E5"/>
    <w:rsid w:val="00B222CA"/>
    <w:rsid w:val="00B246A0"/>
    <w:rsid w:val="00B30425"/>
    <w:rsid w:val="00B30ABF"/>
    <w:rsid w:val="00B31D64"/>
    <w:rsid w:val="00B32619"/>
    <w:rsid w:val="00B369C9"/>
    <w:rsid w:val="00B409BB"/>
    <w:rsid w:val="00B43BAC"/>
    <w:rsid w:val="00B46CC6"/>
    <w:rsid w:val="00B46F77"/>
    <w:rsid w:val="00B47EF9"/>
    <w:rsid w:val="00B53A90"/>
    <w:rsid w:val="00B54850"/>
    <w:rsid w:val="00B57090"/>
    <w:rsid w:val="00B63325"/>
    <w:rsid w:val="00B634C8"/>
    <w:rsid w:val="00B63582"/>
    <w:rsid w:val="00B64859"/>
    <w:rsid w:val="00B64B1D"/>
    <w:rsid w:val="00B70AA7"/>
    <w:rsid w:val="00B74689"/>
    <w:rsid w:val="00B8018B"/>
    <w:rsid w:val="00B82FDB"/>
    <w:rsid w:val="00B84780"/>
    <w:rsid w:val="00B873CC"/>
    <w:rsid w:val="00B9340A"/>
    <w:rsid w:val="00B9385F"/>
    <w:rsid w:val="00B960EA"/>
    <w:rsid w:val="00B96903"/>
    <w:rsid w:val="00BA10E2"/>
    <w:rsid w:val="00BA30CF"/>
    <w:rsid w:val="00BA4270"/>
    <w:rsid w:val="00BB17C1"/>
    <w:rsid w:val="00BB3F94"/>
    <w:rsid w:val="00BB7225"/>
    <w:rsid w:val="00BC118B"/>
    <w:rsid w:val="00BC153F"/>
    <w:rsid w:val="00BC3BB7"/>
    <w:rsid w:val="00BC497D"/>
    <w:rsid w:val="00BC6CDD"/>
    <w:rsid w:val="00BC6E84"/>
    <w:rsid w:val="00BC7968"/>
    <w:rsid w:val="00BD34CB"/>
    <w:rsid w:val="00BD54B9"/>
    <w:rsid w:val="00BE1036"/>
    <w:rsid w:val="00BE20F5"/>
    <w:rsid w:val="00BE2AF5"/>
    <w:rsid w:val="00BE4B2B"/>
    <w:rsid w:val="00BE4DBA"/>
    <w:rsid w:val="00BE7651"/>
    <w:rsid w:val="00BE7C55"/>
    <w:rsid w:val="00BE7EDF"/>
    <w:rsid w:val="00BF2E43"/>
    <w:rsid w:val="00BF3203"/>
    <w:rsid w:val="00BF58A1"/>
    <w:rsid w:val="00BF6131"/>
    <w:rsid w:val="00BF7AE5"/>
    <w:rsid w:val="00C01A57"/>
    <w:rsid w:val="00C01FD0"/>
    <w:rsid w:val="00C02146"/>
    <w:rsid w:val="00C07098"/>
    <w:rsid w:val="00C109BA"/>
    <w:rsid w:val="00C11794"/>
    <w:rsid w:val="00C12BBA"/>
    <w:rsid w:val="00C2129F"/>
    <w:rsid w:val="00C21A50"/>
    <w:rsid w:val="00C220C0"/>
    <w:rsid w:val="00C2215D"/>
    <w:rsid w:val="00C2341D"/>
    <w:rsid w:val="00C26BF2"/>
    <w:rsid w:val="00C2728A"/>
    <w:rsid w:val="00C27E30"/>
    <w:rsid w:val="00C320B0"/>
    <w:rsid w:val="00C33C8C"/>
    <w:rsid w:val="00C34DE6"/>
    <w:rsid w:val="00C35B7D"/>
    <w:rsid w:val="00C35B89"/>
    <w:rsid w:val="00C35D1B"/>
    <w:rsid w:val="00C40723"/>
    <w:rsid w:val="00C44085"/>
    <w:rsid w:val="00C4560D"/>
    <w:rsid w:val="00C56135"/>
    <w:rsid w:val="00C56A9C"/>
    <w:rsid w:val="00C74107"/>
    <w:rsid w:val="00C748F5"/>
    <w:rsid w:val="00C77103"/>
    <w:rsid w:val="00C807E3"/>
    <w:rsid w:val="00C81D54"/>
    <w:rsid w:val="00C831D4"/>
    <w:rsid w:val="00C8738A"/>
    <w:rsid w:val="00C977F3"/>
    <w:rsid w:val="00CA005A"/>
    <w:rsid w:val="00CA1C8C"/>
    <w:rsid w:val="00CA2312"/>
    <w:rsid w:val="00CA241F"/>
    <w:rsid w:val="00CA70B1"/>
    <w:rsid w:val="00CB12E8"/>
    <w:rsid w:val="00CB3531"/>
    <w:rsid w:val="00CB5CAC"/>
    <w:rsid w:val="00CB71C7"/>
    <w:rsid w:val="00CC05BC"/>
    <w:rsid w:val="00CC66A5"/>
    <w:rsid w:val="00CC7D73"/>
    <w:rsid w:val="00CD0F8E"/>
    <w:rsid w:val="00CD2DE4"/>
    <w:rsid w:val="00CD39CA"/>
    <w:rsid w:val="00CD4ABE"/>
    <w:rsid w:val="00CD64F0"/>
    <w:rsid w:val="00CD75B1"/>
    <w:rsid w:val="00CE6795"/>
    <w:rsid w:val="00CF0273"/>
    <w:rsid w:val="00CF0EF0"/>
    <w:rsid w:val="00CF166F"/>
    <w:rsid w:val="00CF687C"/>
    <w:rsid w:val="00CF7445"/>
    <w:rsid w:val="00D01D5E"/>
    <w:rsid w:val="00D0461D"/>
    <w:rsid w:val="00D0511A"/>
    <w:rsid w:val="00D10B9E"/>
    <w:rsid w:val="00D134E2"/>
    <w:rsid w:val="00D16DA3"/>
    <w:rsid w:val="00D16E64"/>
    <w:rsid w:val="00D17E58"/>
    <w:rsid w:val="00D22268"/>
    <w:rsid w:val="00D23388"/>
    <w:rsid w:val="00D23849"/>
    <w:rsid w:val="00D245EA"/>
    <w:rsid w:val="00D2691E"/>
    <w:rsid w:val="00D27673"/>
    <w:rsid w:val="00D327A9"/>
    <w:rsid w:val="00D36059"/>
    <w:rsid w:val="00D43394"/>
    <w:rsid w:val="00D45226"/>
    <w:rsid w:val="00D50840"/>
    <w:rsid w:val="00D52223"/>
    <w:rsid w:val="00D620E4"/>
    <w:rsid w:val="00D62259"/>
    <w:rsid w:val="00D635BF"/>
    <w:rsid w:val="00D641C5"/>
    <w:rsid w:val="00D70A09"/>
    <w:rsid w:val="00D7469B"/>
    <w:rsid w:val="00D76969"/>
    <w:rsid w:val="00D8155C"/>
    <w:rsid w:val="00D85811"/>
    <w:rsid w:val="00D870E7"/>
    <w:rsid w:val="00D911EB"/>
    <w:rsid w:val="00D916F4"/>
    <w:rsid w:val="00D9661A"/>
    <w:rsid w:val="00D96C8A"/>
    <w:rsid w:val="00DA0069"/>
    <w:rsid w:val="00DA284B"/>
    <w:rsid w:val="00DA4688"/>
    <w:rsid w:val="00DA5B1A"/>
    <w:rsid w:val="00DA6F0A"/>
    <w:rsid w:val="00DB03AC"/>
    <w:rsid w:val="00DB070A"/>
    <w:rsid w:val="00DB3DBF"/>
    <w:rsid w:val="00DB7EC8"/>
    <w:rsid w:val="00DC04D2"/>
    <w:rsid w:val="00DC1091"/>
    <w:rsid w:val="00DC2210"/>
    <w:rsid w:val="00DC455A"/>
    <w:rsid w:val="00DC5A3F"/>
    <w:rsid w:val="00DC7E3A"/>
    <w:rsid w:val="00DE5F3E"/>
    <w:rsid w:val="00DE766C"/>
    <w:rsid w:val="00DF3FDF"/>
    <w:rsid w:val="00DF4C24"/>
    <w:rsid w:val="00E05F04"/>
    <w:rsid w:val="00E06325"/>
    <w:rsid w:val="00E07574"/>
    <w:rsid w:val="00E07C58"/>
    <w:rsid w:val="00E10103"/>
    <w:rsid w:val="00E11918"/>
    <w:rsid w:val="00E1221B"/>
    <w:rsid w:val="00E138E1"/>
    <w:rsid w:val="00E14098"/>
    <w:rsid w:val="00E14D59"/>
    <w:rsid w:val="00E20719"/>
    <w:rsid w:val="00E231C5"/>
    <w:rsid w:val="00E27B05"/>
    <w:rsid w:val="00E27C37"/>
    <w:rsid w:val="00E27E0B"/>
    <w:rsid w:val="00E330C7"/>
    <w:rsid w:val="00E33A16"/>
    <w:rsid w:val="00E43C7C"/>
    <w:rsid w:val="00E44830"/>
    <w:rsid w:val="00E526DE"/>
    <w:rsid w:val="00E5290E"/>
    <w:rsid w:val="00E5370C"/>
    <w:rsid w:val="00E55E0F"/>
    <w:rsid w:val="00E56EC2"/>
    <w:rsid w:val="00E6148E"/>
    <w:rsid w:val="00E63055"/>
    <w:rsid w:val="00E64004"/>
    <w:rsid w:val="00E6590C"/>
    <w:rsid w:val="00E704B8"/>
    <w:rsid w:val="00E72F51"/>
    <w:rsid w:val="00E7484E"/>
    <w:rsid w:val="00E8168D"/>
    <w:rsid w:val="00E838E6"/>
    <w:rsid w:val="00E83DF4"/>
    <w:rsid w:val="00E85B08"/>
    <w:rsid w:val="00E92085"/>
    <w:rsid w:val="00E922E2"/>
    <w:rsid w:val="00E92B2B"/>
    <w:rsid w:val="00E96605"/>
    <w:rsid w:val="00E96777"/>
    <w:rsid w:val="00EA016B"/>
    <w:rsid w:val="00EB01F3"/>
    <w:rsid w:val="00EB0ADA"/>
    <w:rsid w:val="00EC03FB"/>
    <w:rsid w:val="00EC1B22"/>
    <w:rsid w:val="00EC4574"/>
    <w:rsid w:val="00EC4C8C"/>
    <w:rsid w:val="00EC6644"/>
    <w:rsid w:val="00EC7150"/>
    <w:rsid w:val="00ED0D21"/>
    <w:rsid w:val="00ED2192"/>
    <w:rsid w:val="00ED2B2E"/>
    <w:rsid w:val="00ED32FA"/>
    <w:rsid w:val="00ED5B12"/>
    <w:rsid w:val="00ED65B6"/>
    <w:rsid w:val="00ED67B8"/>
    <w:rsid w:val="00ED7E43"/>
    <w:rsid w:val="00EE1A09"/>
    <w:rsid w:val="00EE22D6"/>
    <w:rsid w:val="00EE5366"/>
    <w:rsid w:val="00EF41CB"/>
    <w:rsid w:val="00EF4CAB"/>
    <w:rsid w:val="00EF56BD"/>
    <w:rsid w:val="00EF7D41"/>
    <w:rsid w:val="00F0161C"/>
    <w:rsid w:val="00F04783"/>
    <w:rsid w:val="00F0509F"/>
    <w:rsid w:val="00F11B10"/>
    <w:rsid w:val="00F14A22"/>
    <w:rsid w:val="00F1525E"/>
    <w:rsid w:val="00F1762B"/>
    <w:rsid w:val="00F27BDF"/>
    <w:rsid w:val="00F3024B"/>
    <w:rsid w:val="00F32321"/>
    <w:rsid w:val="00F32633"/>
    <w:rsid w:val="00F42ED0"/>
    <w:rsid w:val="00F544FF"/>
    <w:rsid w:val="00F61F8D"/>
    <w:rsid w:val="00F66B4B"/>
    <w:rsid w:val="00F712F0"/>
    <w:rsid w:val="00F73A6D"/>
    <w:rsid w:val="00F7741A"/>
    <w:rsid w:val="00F81A56"/>
    <w:rsid w:val="00F84262"/>
    <w:rsid w:val="00F8783B"/>
    <w:rsid w:val="00F92976"/>
    <w:rsid w:val="00FA0EF6"/>
    <w:rsid w:val="00FA4AFE"/>
    <w:rsid w:val="00FA7A15"/>
    <w:rsid w:val="00FB0F6C"/>
    <w:rsid w:val="00FB1914"/>
    <w:rsid w:val="00FB2133"/>
    <w:rsid w:val="00FB4F16"/>
    <w:rsid w:val="00FC17AD"/>
    <w:rsid w:val="00FC2EE3"/>
    <w:rsid w:val="00FC415A"/>
    <w:rsid w:val="00FC5207"/>
    <w:rsid w:val="00FC62B4"/>
    <w:rsid w:val="00FC6BEF"/>
    <w:rsid w:val="00FD1E3B"/>
    <w:rsid w:val="00FD1F1F"/>
    <w:rsid w:val="00FD3931"/>
    <w:rsid w:val="00FD4255"/>
    <w:rsid w:val="00FD723E"/>
    <w:rsid w:val="00FE001D"/>
    <w:rsid w:val="00FE2445"/>
    <w:rsid w:val="00FE6E0D"/>
    <w:rsid w:val="00FF1AF0"/>
    <w:rsid w:val="00FF1FE1"/>
    <w:rsid w:val="00FF6B07"/>
    <w:rsid w:val="00FF7B40"/>
    <w:rsid w:val="00FF7B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8129"/>
    <o:shapelayout v:ext="edit">
      <o:idmap v:ext="edit" data="1"/>
    </o:shapelayout>
  </w:shapeDefaults>
  <w:decimalSymbol w:val="."/>
  <w:listSeparator w:val=","/>
  <w14:docId w14:val="393D29BC"/>
  <w15:chartTrackingRefBased/>
  <w15:docId w15:val="{55E513EE-BAC8-4331-B19B-8DAAE8461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463B"/>
    <w:rPr>
      <w:rFonts w:ascii="Arial" w:hAnsi="Arial"/>
      <w:sz w:val="20"/>
    </w:rPr>
  </w:style>
  <w:style w:type="paragraph" w:styleId="Heading1">
    <w:name w:val="heading 1"/>
    <w:basedOn w:val="Normal"/>
    <w:next w:val="Body"/>
    <w:link w:val="Heading1Char"/>
    <w:uiPriority w:val="9"/>
    <w:qFormat/>
    <w:rsid w:val="00F712F0"/>
    <w:pPr>
      <w:pageBreakBefore/>
      <w:numPr>
        <w:numId w:val="2"/>
      </w:numPr>
      <w:spacing w:after="240"/>
      <w:ind w:left="851" w:hanging="851"/>
      <w:outlineLvl w:val="0"/>
    </w:pPr>
    <w:rPr>
      <w:b/>
      <w:color w:val="1F688D"/>
      <w:sz w:val="40"/>
      <w:szCs w:val="40"/>
    </w:rPr>
  </w:style>
  <w:style w:type="paragraph" w:styleId="Heading2">
    <w:name w:val="heading 2"/>
    <w:basedOn w:val="Normal"/>
    <w:next w:val="Body"/>
    <w:link w:val="Heading2Char"/>
    <w:uiPriority w:val="9"/>
    <w:qFormat/>
    <w:rsid w:val="005755C8"/>
    <w:pPr>
      <w:keepNext/>
      <w:keepLines/>
      <w:numPr>
        <w:ilvl w:val="1"/>
        <w:numId w:val="2"/>
      </w:numPr>
      <w:spacing w:before="240" w:after="240"/>
      <w:ind w:hanging="792"/>
      <w:outlineLvl w:val="1"/>
    </w:pPr>
    <w:rPr>
      <w:rFonts w:eastAsiaTheme="majorEastAsia" w:cstheme="majorBidi"/>
      <w:b/>
      <w:bCs/>
      <w:color w:val="1F688D"/>
      <w:sz w:val="32"/>
      <w:szCs w:val="26"/>
    </w:rPr>
  </w:style>
  <w:style w:type="paragraph" w:styleId="Heading3">
    <w:name w:val="heading 3"/>
    <w:basedOn w:val="Normal"/>
    <w:next w:val="Body"/>
    <w:link w:val="Heading3Char"/>
    <w:uiPriority w:val="9"/>
    <w:qFormat/>
    <w:rsid w:val="0070424F"/>
    <w:pPr>
      <w:keepNext/>
      <w:keepLines/>
      <w:numPr>
        <w:ilvl w:val="2"/>
        <w:numId w:val="2"/>
      </w:numPr>
      <w:spacing w:before="240" w:after="240"/>
      <w:ind w:left="851" w:hanging="851"/>
      <w:jc w:val="both"/>
      <w:outlineLvl w:val="2"/>
    </w:pPr>
    <w:rPr>
      <w:rFonts w:eastAsiaTheme="majorEastAsia" w:cstheme="majorBidi"/>
      <w:b/>
      <w:bCs/>
      <w:color w:val="1F688D"/>
      <w:sz w:val="24"/>
    </w:rPr>
  </w:style>
  <w:style w:type="paragraph" w:styleId="Heading4">
    <w:name w:val="heading 4"/>
    <w:basedOn w:val="Normal"/>
    <w:next w:val="Body"/>
    <w:link w:val="Heading4Char"/>
    <w:uiPriority w:val="9"/>
    <w:unhideWhenUsed/>
    <w:qFormat/>
    <w:rsid w:val="00B84780"/>
    <w:pPr>
      <w:keepNext/>
      <w:keepLines/>
      <w:spacing w:before="240" w:after="120"/>
      <w:jc w:val="both"/>
      <w:outlineLvl w:val="3"/>
    </w:pPr>
    <w:rPr>
      <w:b/>
      <w:color w:val="1F688D"/>
      <w:sz w:val="22"/>
    </w:rPr>
  </w:style>
  <w:style w:type="paragraph" w:styleId="Heading5">
    <w:name w:val="heading 5"/>
    <w:basedOn w:val="Normal"/>
    <w:next w:val="Body"/>
    <w:link w:val="Heading5Char"/>
    <w:uiPriority w:val="9"/>
    <w:unhideWhenUsed/>
    <w:qFormat/>
    <w:rsid w:val="0070424F"/>
    <w:pPr>
      <w:keepNext/>
      <w:keepLines/>
      <w:spacing w:before="240" w:after="240"/>
      <w:jc w:val="both"/>
      <w:outlineLvl w:val="4"/>
    </w:pPr>
    <w:rPr>
      <w:i/>
      <w:color w:val="1F688D"/>
    </w:rPr>
  </w:style>
  <w:style w:type="paragraph" w:styleId="Heading6">
    <w:name w:val="heading 6"/>
    <w:basedOn w:val="Body"/>
    <w:next w:val="Body"/>
    <w:link w:val="Heading6Char"/>
    <w:uiPriority w:val="9"/>
    <w:unhideWhenUsed/>
    <w:qFormat/>
    <w:rsid w:val="0070424F"/>
    <w:pPr>
      <w:keepNext/>
      <w:keepLines/>
      <w:spacing w:before="240" w:after="240" w:line="240" w:lineRule="auto"/>
      <w:jc w:val="both"/>
      <w:outlineLvl w:val="5"/>
    </w:pPr>
    <w:rPr>
      <w:color w:val="1F688D"/>
      <w:u w:val="single"/>
    </w:rPr>
  </w:style>
  <w:style w:type="paragraph" w:styleId="Heading7">
    <w:name w:val="heading 7"/>
    <w:basedOn w:val="Normal"/>
    <w:next w:val="Normal"/>
    <w:link w:val="Heading7Char"/>
    <w:uiPriority w:val="9"/>
    <w:unhideWhenUsed/>
    <w:rsid w:val="00314EE3"/>
    <w:pPr>
      <w:keepNext/>
      <w:keepLines/>
      <w:spacing w:before="40"/>
      <w:outlineLvl w:val="6"/>
    </w:pPr>
    <w:rPr>
      <w:rFonts w:eastAsiaTheme="majorEastAsia" w:cs="Arial"/>
      <w:i/>
      <w:iCs/>
      <w:color w:val="1F688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Body"/>
    <w:uiPriority w:val="35"/>
    <w:unhideWhenUsed/>
    <w:qFormat/>
    <w:rsid w:val="00D0461D"/>
    <w:pPr>
      <w:spacing w:before="240" w:after="120"/>
      <w:ind w:left="1418" w:hanging="1418"/>
    </w:pPr>
    <w:rPr>
      <w:rFonts w:eastAsia="Times New Roman" w:cs="Arial"/>
      <w:b/>
      <w:bCs/>
      <w:color w:val="1F688D"/>
      <w:szCs w:val="18"/>
    </w:rPr>
  </w:style>
  <w:style w:type="character" w:customStyle="1" w:styleId="Heading7Char">
    <w:name w:val="Heading 7 Char"/>
    <w:basedOn w:val="DefaultParagraphFont"/>
    <w:link w:val="Heading7"/>
    <w:uiPriority w:val="9"/>
    <w:rsid w:val="00314EE3"/>
    <w:rPr>
      <w:rFonts w:ascii="Arial" w:eastAsiaTheme="majorEastAsia" w:hAnsi="Arial" w:cs="Arial"/>
      <w:i/>
      <w:iCs/>
      <w:color w:val="1F688D"/>
      <w:sz w:val="20"/>
    </w:rPr>
  </w:style>
  <w:style w:type="paragraph" w:customStyle="1" w:styleId="Bullets1">
    <w:name w:val="Bullets 1"/>
    <w:basedOn w:val="Normal"/>
    <w:qFormat/>
    <w:rsid w:val="00977A51"/>
    <w:pPr>
      <w:numPr>
        <w:numId w:val="1"/>
      </w:numPr>
      <w:spacing w:before="120" w:after="120" w:line="300" w:lineRule="auto"/>
    </w:pPr>
    <w:rPr>
      <w:rFonts w:eastAsia="Times New Roman" w:cs="Times New Roman"/>
      <w:szCs w:val="20"/>
    </w:rPr>
  </w:style>
  <w:style w:type="character" w:customStyle="1" w:styleId="Heading1Char">
    <w:name w:val="Heading 1 Char"/>
    <w:basedOn w:val="DefaultParagraphFont"/>
    <w:link w:val="Heading1"/>
    <w:uiPriority w:val="9"/>
    <w:rsid w:val="00F712F0"/>
    <w:rPr>
      <w:rFonts w:ascii="Arial" w:hAnsi="Arial"/>
      <w:b/>
      <w:color w:val="1F688D"/>
      <w:sz w:val="40"/>
      <w:szCs w:val="40"/>
    </w:rPr>
  </w:style>
  <w:style w:type="character" w:customStyle="1" w:styleId="Heading2Char">
    <w:name w:val="Heading 2 Char"/>
    <w:basedOn w:val="DefaultParagraphFont"/>
    <w:link w:val="Heading2"/>
    <w:uiPriority w:val="9"/>
    <w:rsid w:val="005755C8"/>
    <w:rPr>
      <w:rFonts w:ascii="Arial" w:eastAsiaTheme="majorEastAsia" w:hAnsi="Arial" w:cstheme="majorBidi"/>
      <w:b/>
      <w:bCs/>
      <w:color w:val="1F688D"/>
      <w:sz w:val="32"/>
      <w:szCs w:val="26"/>
    </w:rPr>
  </w:style>
  <w:style w:type="character" w:customStyle="1" w:styleId="Heading3Char">
    <w:name w:val="Heading 3 Char"/>
    <w:basedOn w:val="DefaultParagraphFont"/>
    <w:link w:val="Heading3"/>
    <w:uiPriority w:val="9"/>
    <w:rsid w:val="0070424F"/>
    <w:rPr>
      <w:rFonts w:ascii="Arial" w:eastAsiaTheme="majorEastAsia" w:hAnsi="Arial" w:cstheme="majorBidi"/>
      <w:b/>
      <w:bCs/>
      <w:color w:val="1F688D"/>
      <w:sz w:val="24"/>
    </w:rPr>
  </w:style>
  <w:style w:type="paragraph" w:customStyle="1" w:styleId="AppendixHeading">
    <w:name w:val="Appendix Heading"/>
    <w:basedOn w:val="Heading1"/>
    <w:next w:val="Body"/>
    <w:link w:val="AppendixHeadingChar"/>
    <w:qFormat/>
    <w:rsid w:val="00D620E4"/>
    <w:pPr>
      <w:numPr>
        <w:numId w:val="0"/>
      </w:numPr>
    </w:pPr>
  </w:style>
  <w:style w:type="character" w:customStyle="1" w:styleId="AppendixHeadingChar">
    <w:name w:val="Appendix Heading Char"/>
    <w:basedOn w:val="Heading1Char"/>
    <w:link w:val="AppendixHeading"/>
    <w:rsid w:val="00D620E4"/>
    <w:rPr>
      <w:rFonts w:ascii="Arial" w:hAnsi="Arial"/>
      <w:b/>
      <w:color w:val="1F688D"/>
      <w:sz w:val="40"/>
      <w:szCs w:val="40"/>
    </w:rPr>
  </w:style>
  <w:style w:type="paragraph" w:customStyle="1" w:styleId="Bullets2">
    <w:name w:val="Bullets 2"/>
    <w:basedOn w:val="Normal"/>
    <w:autoRedefine/>
    <w:qFormat/>
    <w:rsid w:val="00977A51"/>
    <w:pPr>
      <w:numPr>
        <w:ilvl w:val="1"/>
        <w:numId w:val="1"/>
      </w:numPr>
      <w:spacing w:before="120" w:after="120" w:line="300" w:lineRule="auto"/>
      <w:jc w:val="both"/>
    </w:pPr>
    <w:rPr>
      <w:rFonts w:eastAsia="Times New Roman" w:cs="Times New Roman"/>
      <w:szCs w:val="20"/>
    </w:rPr>
  </w:style>
  <w:style w:type="paragraph" w:customStyle="1" w:styleId="Bullets3">
    <w:name w:val="Bullets 3"/>
    <w:basedOn w:val="Normal"/>
    <w:qFormat/>
    <w:rsid w:val="00977A51"/>
    <w:pPr>
      <w:numPr>
        <w:ilvl w:val="2"/>
        <w:numId w:val="1"/>
      </w:numPr>
      <w:spacing w:before="120" w:after="120" w:line="300" w:lineRule="auto"/>
      <w:jc w:val="both"/>
    </w:pPr>
    <w:rPr>
      <w:rFonts w:eastAsia="Times New Roman" w:cs="Times New Roman"/>
      <w:szCs w:val="20"/>
    </w:rPr>
  </w:style>
  <w:style w:type="paragraph" w:customStyle="1" w:styleId="SubHeading1">
    <w:name w:val="Sub Heading 1"/>
    <w:basedOn w:val="Subtitle"/>
    <w:next w:val="Body"/>
    <w:link w:val="SubHeading1Char"/>
    <w:qFormat/>
    <w:rsid w:val="00ED5B12"/>
    <w:pPr>
      <w:spacing w:before="240" w:after="240"/>
      <w:outlineLvl w:val="1"/>
    </w:pPr>
    <w:rPr>
      <w:color w:val="1F688D"/>
      <w:sz w:val="32"/>
      <w:szCs w:val="32"/>
    </w:rPr>
  </w:style>
  <w:style w:type="character" w:customStyle="1" w:styleId="SubHeading1Char">
    <w:name w:val="Sub Heading 1 Char"/>
    <w:basedOn w:val="DefaultParagraphFont"/>
    <w:link w:val="SubHeading1"/>
    <w:rsid w:val="00ED5B12"/>
    <w:rPr>
      <w:rFonts w:ascii="Arial" w:hAnsi="Arial"/>
      <w:b/>
      <w:color w:val="1F688D"/>
      <w:sz w:val="32"/>
      <w:szCs w:val="32"/>
    </w:rPr>
  </w:style>
  <w:style w:type="paragraph" w:customStyle="1" w:styleId="CentreSubHeading2">
    <w:name w:val="Centre Sub Heading 2"/>
    <w:basedOn w:val="Normal"/>
    <w:next w:val="Normal"/>
    <w:rsid w:val="001411F3"/>
    <w:pPr>
      <w:tabs>
        <w:tab w:val="center" w:pos="4678"/>
      </w:tabs>
      <w:spacing w:after="60" w:line="300" w:lineRule="auto"/>
      <w:jc w:val="center"/>
    </w:pPr>
    <w:rPr>
      <w:rFonts w:ascii="Arial Bold" w:hAnsi="Arial Bold" w:cs="Arial"/>
      <w:b/>
      <w:color w:val="1F688D"/>
      <w:sz w:val="22"/>
    </w:rPr>
  </w:style>
  <w:style w:type="paragraph" w:styleId="TOC1">
    <w:name w:val="toc 1"/>
    <w:basedOn w:val="Normal"/>
    <w:next w:val="Normal"/>
    <w:autoRedefine/>
    <w:uiPriority w:val="39"/>
    <w:unhideWhenUsed/>
    <w:qFormat/>
    <w:rsid w:val="008D0932"/>
    <w:pPr>
      <w:tabs>
        <w:tab w:val="right" w:leader="dot" w:pos="9072"/>
      </w:tabs>
      <w:spacing w:before="120" w:after="120"/>
      <w:ind w:left="567" w:hanging="567"/>
    </w:pPr>
    <w:rPr>
      <w:rFonts w:eastAsia="Times New Roman" w:cs="Times New Roman"/>
      <w:b/>
      <w:noProof/>
      <w:szCs w:val="20"/>
    </w:rPr>
  </w:style>
  <w:style w:type="paragraph" w:styleId="TOC2">
    <w:name w:val="toc 2"/>
    <w:basedOn w:val="Normal"/>
    <w:next w:val="Normal"/>
    <w:link w:val="TOC2Char"/>
    <w:uiPriority w:val="39"/>
    <w:unhideWhenUsed/>
    <w:qFormat/>
    <w:rsid w:val="00785796"/>
    <w:pPr>
      <w:tabs>
        <w:tab w:val="right" w:leader="dot" w:pos="9072"/>
      </w:tabs>
      <w:spacing w:before="60" w:after="60"/>
      <w:ind w:left="1418" w:hanging="851"/>
      <w:jc w:val="both"/>
    </w:pPr>
    <w:rPr>
      <w:rFonts w:eastAsia="Times New Roman" w:cs="Times New Roman"/>
      <w:szCs w:val="20"/>
    </w:rPr>
  </w:style>
  <w:style w:type="character" w:customStyle="1" w:styleId="TOC2Char">
    <w:name w:val="TOC 2 Char"/>
    <w:basedOn w:val="DefaultParagraphFont"/>
    <w:link w:val="TOC2"/>
    <w:uiPriority w:val="39"/>
    <w:rsid w:val="00785796"/>
    <w:rPr>
      <w:rFonts w:ascii="Arial" w:eastAsia="Times New Roman" w:hAnsi="Arial" w:cs="Times New Roman"/>
      <w:sz w:val="20"/>
      <w:szCs w:val="20"/>
    </w:rPr>
  </w:style>
  <w:style w:type="paragraph" w:styleId="TOC3">
    <w:name w:val="toc 3"/>
    <w:basedOn w:val="Normal"/>
    <w:next w:val="Normal"/>
    <w:uiPriority w:val="39"/>
    <w:unhideWhenUsed/>
    <w:qFormat/>
    <w:rsid w:val="00641E10"/>
    <w:pPr>
      <w:tabs>
        <w:tab w:val="left" w:pos="2268"/>
        <w:tab w:val="right" w:leader="dot" w:pos="9072"/>
      </w:tabs>
      <w:spacing w:before="60" w:after="60"/>
      <w:ind w:left="2268" w:right="-2" w:hanging="851"/>
      <w:jc w:val="both"/>
    </w:pPr>
    <w:rPr>
      <w:rFonts w:eastAsia="Times New Roman" w:cs="Times New Roman"/>
      <w:noProof/>
      <w:szCs w:val="20"/>
    </w:rPr>
  </w:style>
  <w:style w:type="paragraph" w:customStyle="1" w:styleId="Body">
    <w:name w:val="Body"/>
    <w:basedOn w:val="Normal"/>
    <w:link w:val="BodyChar"/>
    <w:qFormat/>
    <w:rsid w:val="00977A51"/>
    <w:pPr>
      <w:spacing w:before="120" w:after="120" w:line="300" w:lineRule="auto"/>
    </w:pPr>
    <w:rPr>
      <w:rFonts w:eastAsia="Times New Roman" w:cs="Times New Roman"/>
      <w:szCs w:val="20"/>
    </w:rPr>
  </w:style>
  <w:style w:type="character" w:customStyle="1" w:styleId="BodyChar">
    <w:name w:val="Body Char"/>
    <w:link w:val="Body"/>
    <w:rsid w:val="00977A51"/>
    <w:rPr>
      <w:rFonts w:ascii="Arial" w:eastAsia="Times New Roman" w:hAnsi="Arial" w:cs="Times New Roman"/>
      <w:sz w:val="20"/>
      <w:szCs w:val="20"/>
    </w:rPr>
  </w:style>
  <w:style w:type="character" w:styleId="BookTitle">
    <w:name w:val="Book Title"/>
    <w:basedOn w:val="DefaultParagraphFont"/>
    <w:uiPriority w:val="33"/>
    <w:qFormat/>
    <w:rsid w:val="00D620E4"/>
    <w:rPr>
      <w:b/>
      <w:bCs/>
      <w:i/>
      <w:iCs/>
      <w:spacing w:val="5"/>
    </w:rPr>
  </w:style>
  <w:style w:type="paragraph" w:styleId="ListParagraph">
    <w:name w:val="List Paragraph"/>
    <w:basedOn w:val="Normal"/>
    <w:uiPriority w:val="34"/>
    <w:rsid w:val="003B1AD6"/>
    <w:pPr>
      <w:spacing w:before="60" w:after="60" w:line="300" w:lineRule="auto"/>
    </w:pPr>
  </w:style>
  <w:style w:type="paragraph" w:customStyle="1" w:styleId="FigureNote">
    <w:name w:val="Figure Note"/>
    <w:basedOn w:val="Normal"/>
    <w:link w:val="FigureNoteChar"/>
    <w:qFormat/>
    <w:rsid w:val="009A7AC8"/>
    <w:pPr>
      <w:spacing w:before="60"/>
      <w:ind w:left="720" w:hanging="720"/>
      <w:jc w:val="both"/>
    </w:pPr>
    <w:rPr>
      <w:rFonts w:eastAsia="Calibri" w:cs="Times New Roman"/>
      <w:sz w:val="16"/>
      <w:lang w:val="en-GB"/>
    </w:rPr>
  </w:style>
  <w:style w:type="character" w:customStyle="1" w:styleId="FigureNoteChar">
    <w:name w:val="Figure Note Char"/>
    <w:basedOn w:val="DefaultParagraphFont"/>
    <w:link w:val="FigureNote"/>
    <w:rsid w:val="009A7AC8"/>
    <w:rPr>
      <w:rFonts w:ascii="Arial" w:eastAsia="Calibri" w:hAnsi="Arial" w:cs="Times New Roman"/>
      <w:sz w:val="16"/>
      <w:lang w:val="en-GB"/>
    </w:rPr>
  </w:style>
  <w:style w:type="character" w:customStyle="1" w:styleId="Heading4Char">
    <w:name w:val="Heading 4 Char"/>
    <w:basedOn w:val="DefaultParagraphFont"/>
    <w:link w:val="Heading4"/>
    <w:uiPriority w:val="9"/>
    <w:rsid w:val="00B84780"/>
    <w:rPr>
      <w:rFonts w:ascii="Arial" w:hAnsi="Arial"/>
      <w:b/>
      <w:color w:val="1F688D"/>
    </w:rPr>
  </w:style>
  <w:style w:type="character" w:customStyle="1" w:styleId="Heading5Char">
    <w:name w:val="Heading 5 Char"/>
    <w:basedOn w:val="DefaultParagraphFont"/>
    <w:link w:val="Heading5"/>
    <w:uiPriority w:val="9"/>
    <w:rsid w:val="0070424F"/>
    <w:rPr>
      <w:rFonts w:ascii="Arial" w:hAnsi="Arial"/>
      <w:i/>
      <w:color w:val="1F688D"/>
      <w:sz w:val="20"/>
    </w:rPr>
  </w:style>
  <w:style w:type="character" w:customStyle="1" w:styleId="Heading6Char">
    <w:name w:val="Heading 6 Char"/>
    <w:basedOn w:val="DefaultParagraphFont"/>
    <w:link w:val="Heading6"/>
    <w:uiPriority w:val="9"/>
    <w:rsid w:val="0070424F"/>
    <w:rPr>
      <w:rFonts w:ascii="Arial" w:eastAsia="Times New Roman" w:hAnsi="Arial" w:cs="Times New Roman"/>
      <w:color w:val="1F688D"/>
      <w:sz w:val="20"/>
      <w:szCs w:val="20"/>
      <w:u w:val="single"/>
    </w:rPr>
  </w:style>
  <w:style w:type="paragraph" w:styleId="Quote">
    <w:name w:val="Quote"/>
    <w:basedOn w:val="Normal"/>
    <w:next w:val="Normal"/>
    <w:link w:val="QuoteChar"/>
    <w:uiPriority w:val="29"/>
    <w:qFormat/>
    <w:rsid w:val="00977A51"/>
    <w:pPr>
      <w:spacing w:before="120" w:after="120" w:line="300" w:lineRule="auto"/>
      <w:ind w:left="567" w:right="567"/>
    </w:pPr>
    <w:rPr>
      <w:i/>
      <w:iCs/>
      <w:color w:val="404040" w:themeColor="text1" w:themeTint="BF"/>
    </w:rPr>
  </w:style>
  <w:style w:type="character" w:customStyle="1" w:styleId="QuoteChar">
    <w:name w:val="Quote Char"/>
    <w:basedOn w:val="DefaultParagraphFont"/>
    <w:link w:val="Quote"/>
    <w:uiPriority w:val="29"/>
    <w:rsid w:val="00977A51"/>
    <w:rPr>
      <w:rFonts w:ascii="Arial" w:hAnsi="Arial"/>
      <w:i/>
      <w:iCs/>
      <w:color w:val="404040" w:themeColor="text1" w:themeTint="BF"/>
      <w:sz w:val="20"/>
    </w:rPr>
  </w:style>
  <w:style w:type="paragraph" w:styleId="Title">
    <w:name w:val="Title"/>
    <w:basedOn w:val="Normal"/>
    <w:next w:val="Body"/>
    <w:link w:val="TitleChar"/>
    <w:uiPriority w:val="10"/>
    <w:qFormat/>
    <w:rsid w:val="00D620E4"/>
    <w:rPr>
      <w:b/>
      <w:color w:val="1F688D"/>
      <w:sz w:val="56"/>
      <w:szCs w:val="56"/>
    </w:rPr>
  </w:style>
  <w:style w:type="character" w:customStyle="1" w:styleId="TitleChar">
    <w:name w:val="Title Char"/>
    <w:basedOn w:val="DefaultParagraphFont"/>
    <w:link w:val="Title"/>
    <w:uiPriority w:val="10"/>
    <w:rsid w:val="00D620E4"/>
    <w:rPr>
      <w:rFonts w:ascii="Arial" w:hAnsi="Arial"/>
      <w:b/>
      <w:color w:val="1F688D"/>
      <w:sz w:val="56"/>
      <w:szCs w:val="56"/>
    </w:rPr>
  </w:style>
  <w:style w:type="paragraph" w:styleId="Subtitle">
    <w:name w:val="Subtitle"/>
    <w:basedOn w:val="Title"/>
    <w:next w:val="Body"/>
    <w:link w:val="SubtitleChar"/>
    <w:uiPriority w:val="11"/>
    <w:qFormat/>
    <w:rsid w:val="00D620E4"/>
    <w:pPr>
      <w:spacing w:before="120"/>
    </w:pPr>
    <w:rPr>
      <w:color w:val="000000" w:themeColor="text1"/>
      <w:sz w:val="44"/>
      <w:szCs w:val="44"/>
    </w:rPr>
  </w:style>
  <w:style w:type="character" w:customStyle="1" w:styleId="SubtitleChar">
    <w:name w:val="Subtitle Char"/>
    <w:basedOn w:val="DefaultParagraphFont"/>
    <w:link w:val="Subtitle"/>
    <w:uiPriority w:val="11"/>
    <w:rsid w:val="00D620E4"/>
    <w:rPr>
      <w:rFonts w:ascii="Arial" w:hAnsi="Arial"/>
      <w:b/>
      <w:color w:val="000000" w:themeColor="text1"/>
      <w:sz w:val="44"/>
      <w:szCs w:val="44"/>
    </w:rPr>
  </w:style>
  <w:style w:type="character" w:styleId="PlaceholderText">
    <w:name w:val="Placeholder Text"/>
    <w:basedOn w:val="DefaultParagraphFont"/>
    <w:uiPriority w:val="99"/>
    <w:semiHidden/>
    <w:rsid w:val="007E502C"/>
    <w:rPr>
      <w:color w:val="808080"/>
    </w:rPr>
  </w:style>
  <w:style w:type="paragraph" w:styleId="BalloonText">
    <w:name w:val="Balloon Text"/>
    <w:basedOn w:val="Normal"/>
    <w:link w:val="BalloonTextChar"/>
    <w:uiPriority w:val="99"/>
    <w:semiHidden/>
    <w:unhideWhenUsed/>
    <w:rsid w:val="00805E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5E7B"/>
    <w:rPr>
      <w:rFonts w:ascii="Segoe UI" w:hAnsi="Segoe UI" w:cs="Segoe UI"/>
      <w:sz w:val="18"/>
      <w:szCs w:val="18"/>
    </w:rPr>
  </w:style>
  <w:style w:type="paragraph" w:styleId="Header">
    <w:name w:val="header"/>
    <w:basedOn w:val="Normal"/>
    <w:link w:val="HeaderChar"/>
    <w:uiPriority w:val="99"/>
    <w:unhideWhenUsed/>
    <w:rsid w:val="0086398A"/>
    <w:pPr>
      <w:tabs>
        <w:tab w:val="center" w:pos="4513"/>
        <w:tab w:val="right" w:pos="9026"/>
      </w:tabs>
    </w:pPr>
  </w:style>
  <w:style w:type="character" w:customStyle="1" w:styleId="HeaderChar">
    <w:name w:val="Header Char"/>
    <w:basedOn w:val="DefaultParagraphFont"/>
    <w:link w:val="Header"/>
    <w:uiPriority w:val="99"/>
    <w:rsid w:val="0086398A"/>
    <w:rPr>
      <w:rFonts w:ascii="Arial" w:hAnsi="Arial"/>
      <w:sz w:val="20"/>
    </w:rPr>
  </w:style>
  <w:style w:type="paragraph" w:customStyle="1" w:styleId="MajorHeading">
    <w:name w:val="Major Heading"/>
    <w:basedOn w:val="Heading1"/>
    <w:next w:val="Body"/>
    <w:link w:val="MajorHeadingChar"/>
    <w:qFormat/>
    <w:rsid w:val="00A313F5"/>
    <w:pPr>
      <w:keepNext/>
      <w:keepLines/>
      <w:pageBreakBefore w:val="0"/>
      <w:numPr>
        <w:numId w:val="0"/>
      </w:numPr>
    </w:pPr>
    <w:rPr>
      <w:rFonts w:eastAsiaTheme="majorEastAsia" w:cstheme="majorBidi"/>
      <w:bCs/>
    </w:rPr>
  </w:style>
  <w:style w:type="character" w:customStyle="1" w:styleId="MajorHeadingChar">
    <w:name w:val="Major Heading Char"/>
    <w:basedOn w:val="Heading1Char"/>
    <w:link w:val="MajorHeading"/>
    <w:rsid w:val="00A313F5"/>
    <w:rPr>
      <w:rFonts w:ascii="Arial" w:eastAsiaTheme="majorEastAsia" w:hAnsi="Arial" w:cstheme="majorBidi"/>
      <w:b/>
      <w:bCs/>
      <w:color w:val="1F688D"/>
      <w:sz w:val="40"/>
      <w:szCs w:val="40"/>
    </w:rPr>
  </w:style>
  <w:style w:type="character" w:styleId="Hyperlink">
    <w:name w:val="Hyperlink"/>
    <w:basedOn w:val="DefaultParagraphFont"/>
    <w:uiPriority w:val="99"/>
    <w:unhideWhenUsed/>
    <w:rsid w:val="00E07C58"/>
    <w:rPr>
      <w:color w:val="4B7CCA" w:themeColor="hyperlink"/>
      <w:u w:val="single"/>
    </w:rPr>
  </w:style>
  <w:style w:type="paragraph" w:styleId="Footer">
    <w:name w:val="footer"/>
    <w:basedOn w:val="Normal"/>
    <w:link w:val="FooterChar"/>
    <w:uiPriority w:val="99"/>
    <w:unhideWhenUsed/>
    <w:rsid w:val="0086398A"/>
    <w:pPr>
      <w:tabs>
        <w:tab w:val="center" w:pos="4513"/>
        <w:tab w:val="right" w:pos="9026"/>
      </w:tabs>
    </w:pPr>
  </w:style>
  <w:style w:type="character" w:customStyle="1" w:styleId="FooterChar">
    <w:name w:val="Footer Char"/>
    <w:basedOn w:val="DefaultParagraphFont"/>
    <w:link w:val="Footer"/>
    <w:uiPriority w:val="99"/>
    <w:rsid w:val="0086398A"/>
    <w:rPr>
      <w:rFonts w:ascii="Arial" w:hAnsi="Arial"/>
      <w:sz w:val="20"/>
    </w:rPr>
  </w:style>
  <w:style w:type="character" w:styleId="FollowedHyperlink">
    <w:name w:val="FollowedHyperlink"/>
    <w:basedOn w:val="DefaultParagraphFont"/>
    <w:uiPriority w:val="99"/>
    <w:semiHidden/>
    <w:unhideWhenUsed/>
    <w:rsid w:val="002F6514"/>
    <w:rPr>
      <w:color w:val="7030A0" w:themeColor="followedHyperlink"/>
      <w:u w:val="single"/>
    </w:rPr>
  </w:style>
  <w:style w:type="table" w:styleId="TableGrid">
    <w:name w:val="Table Grid"/>
    <w:aliases w:val="SRC 2"/>
    <w:basedOn w:val="TableNormal"/>
    <w:uiPriority w:val="39"/>
    <w:rsid w:val="00C44085"/>
    <w:rPr>
      <w:rFonts w:ascii="Arial" w:hAnsi="Arial"/>
      <w:sz w:val="18"/>
    </w:rPr>
    <w:tblPr>
      <w:tblStyleRowBandSize w:val="1"/>
      <w:tblStyleColBandSize w:val="1"/>
      <w:tblBorders>
        <w:bottom w:val="single" w:sz="4" w:space="0" w:color="1F698E" w:themeColor="accent1"/>
      </w:tblBorders>
    </w:tblPr>
    <w:tblStylePr w:type="firstRow">
      <w:pPr>
        <w:wordWrap/>
        <w:spacing w:beforeLines="0" w:before="60" w:beforeAutospacing="0" w:afterLines="0" w:after="60" w:afterAutospacing="0" w:line="240" w:lineRule="auto"/>
        <w:contextualSpacing w:val="0"/>
        <w:jc w:val="center"/>
      </w:pPr>
      <w:rPr>
        <w:rFonts w:ascii="Arial" w:hAnsi="Arial"/>
        <w:b/>
        <w:color w:val="FFFFFF" w:themeColor="background1"/>
        <w:sz w:val="18"/>
      </w:rPr>
      <w:tblPr/>
      <w:tcPr>
        <w:tcBorders>
          <w:top w:val="nil"/>
          <w:left w:val="nil"/>
          <w:bottom w:val="nil"/>
          <w:right w:val="nil"/>
          <w:insideH w:val="nil"/>
          <w:insideV w:val="nil"/>
          <w:tl2br w:val="nil"/>
          <w:tr2bl w:val="nil"/>
        </w:tcBorders>
        <w:shd w:val="clear" w:color="auto" w:fill="1F698E" w:themeFill="accent1"/>
      </w:tcPr>
    </w:tblStylePr>
    <w:tblStylePr w:type="lastRow">
      <w:pPr>
        <w:wordWrap/>
        <w:spacing w:beforeLines="0" w:before="60" w:beforeAutospacing="0" w:afterLines="0" w:after="60" w:afterAutospacing="0" w:line="240" w:lineRule="auto"/>
        <w:contextualSpacing w:val="0"/>
      </w:pPr>
      <w:tblPr/>
      <w:tcPr>
        <w:tcBorders>
          <w:top w:val="nil"/>
          <w:left w:val="nil"/>
          <w:bottom w:val="single" w:sz="6" w:space="0" w:color="1F698E" w:themeColor="accent1"/>
          <w:right w:val="nil"/>
          <w:insideH w:val="nil"/>
          <w:insideV w:val="nil"/>
          <w:tl2br w:val="nil"/>
          <w:tr2bl w:val="nil"/>
        </w:tcBorders>
      </w:tcPr>
    </w:tblStylePr>
    <w:tblStylePr w:type="firstCol">
      <w:pPr>
        <w:jc w:val="left"/>
      </w:pPr>
      <w:rPr>
        <w:rFonts w:ascii="Arial" w:hAnsi="Arial"/>
        <w:sz w:val="18"/>
      </w:rPr>
      <w:tblPr/>
      <w:tcPr>
        <w:tcBorders>
          <w:top w:val="nil"/>
          <w:left w:val="nil"/>
          <w:bottom w:val="nil"/>
          <w:right w:val="nil"/>
          <w:insideH w:val="nil"/>
          <w:insideV w:val="nil"/>
          <w:tl2br w:val="nil"/>
          <w:tr2bl w:val="nil"/>
        </w:tcBorders>
      </w:tcPr>
    </w:tblStylePr>
    <w:tblStylePr w:type="lastCol">
      <w:pPr>
        <w:jc w:val="right"/>
      </w:pPr>
      <w:tblPr/>
      <w:tcPr>
        <w:tcBorders>
          <w:bottom w:val="nil"/>
        </w:tcBorders>
        <w:vAlign w:val="center"/>
      </w:tcPr>
    </w:tblStylePr>
    <w:tblStylePr w:type="band1Vert">
      <w:pPr>
        <w:jc w:val="right"/>
      </w:pPr>
      <w:tblPr/>
      <w:tcPr>
        <w:tcBorders>
          <w:top w:val="nil"/>
          <w:left w:val="nil"/>
          <w:bottom w:val="nil"/>
          <w:right w:val="nil"/>
          <w:insideH w:val="nil"/>
          <w:insideV w:val="nil"/>
          <w:tl2br w:val="nil"/>
          <w:tr2bl w:val="nil"/>
        </w:tcBorders>
      </w:tcPr>
    </w:tblStylePr>
    <w:tblStylePr w:type="band2Vert">
      <w:pPr>
        <w:jc w:val="right"/>
      </w:pPr>
      <w:tblPr/>
      <w:tcPr>
        <w:tcBorders>
          <w:top w:val="nil"/>
          <w:left w:val="nil"/>
          <w:bottom w:val="nil"/>
          <w:right w:val="nil"/>
          <w:insideH w:val="nil"/>
          <w:insideV w:val="nil"/>
          <w:tl2br w:val="nil"/>
          <w:tr2bl w:val="nil"/>
        </w:tcBorders>
      </w:tcPr>
    </w:tblStylePr>
    <w:tblStylePr w:type="band1Horz">
      <w:pPr>
        <w:wordWrap/>
        <w:spacing w:beforeLines="0" w:before="60" w:beforeAutospacing="0" w:afterLines="0" w:after="60" w:afterAutospacing="0" w:line="240" w:lineRule="auto"/>
        <w:contextualSpacing w:val="0"/>
        <w:jc w:val="right"/>
      </w:p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7E4F3" w:themeFill="accent1" w:themeFillTint="33"/>
      </w:tcPr>
    </w:tblStylePr>
    <w:tblStylePr w:type="band2Horz">
      <w:pPr>
        <w:wordWrap/>
        <w:spacing w:beforeLines="0" w:before="60" w:beforeAutospacing="0" w:afterLines="0" w:after="60" w:afterAutospacing="0" w:line="240" w:lineRule="auto"/>
        <w:contextualSpacing w:val="0"/>
        <w:jc w:val="right"/>
      </w:pPr>
      <w:rPr>
        <w:rFonts w:ascii="Arial" w:hAnsi="Arial"/>
        <w:sz w:val="18"/>
      </w:rPr>
      <w:tblPr/>
      <w:tcPr>
        <w:tcBorders>
          <w:top w:val="nil"/>
          <w:left w:val="nil"/>
          <w:bottom w:val="nil"/>
          <w:right w:val="nil"/>
          <w:insideH w:val="nil"/>
          <w:insideV w:val="nil"/>
          <w:tl2br w:val="nil"/>
          <w:tr2bl w:val="nil"/>
        </w:tcBorders>
        <w:vAlign w:val="center"/>
      </w:tcPr>
    </w:tblStylePr>
  </w:style>
  <w:style w:type="table" w:styleId="ListTable4-Accent5">
    <w:name w:val="List Table 4 Accent 5"/>
    <w:basedOn w:val="TableNormal"/>
    <w:uiPriority w:val="49"/>
    <w:rsid w:val="00A83858"/>
    <w:tblPr>
      <w:tblStyleRowBandSize w:val="1"/>
      <w:tblStyleColBandSize w:val="1"/>
      <w:tblBorders>
        <w:top w:val="single" w:sz="4" w:space="0" w:color="83A4B3" w:themeColor="accent5" w:themeTint="99"/>
        <w:left w:val="single" w:sz="4" w:space="0" w:color="83A4B3" w:themeColor="accent5" w:themeTint="99"/>
        <w:bottom w:val="single" w:sz="4" w:space="0" w:color="83A4B3" w:themeColor="accent5" w:themeTint="99"/>
        <w:right w:val="single" w:sz="4" w:space="0" w:color="83A4B3" w:themeColor="accent5" w:themeTint="99"/>
        <w:insideH w:val="single" w:sz="4" w:space="0" w:color="83A4B3" w:themeColor="accent5" w:themeTint="99"/>
      </w:tblBorders>
    </w:tblPr>
    <w:tblStylePr w:type="firstRow">
      <w:rPr>
        <w:b/>
        <w:bCs/>
        <w:color w:val="FFFFFF" w:themeColor="background1"/>
      </w:rPr>
      <w:tblPr/>
      <w:tcPr>
        <w:tcBorders>
          <w:top w:val="single" w:sz="4" w:space="0" w:color="44626F" w:themeColor="accent5"/>
          <w:left w:val="single" w:sz="4" w:space="0" w:color="44626F" w:themeColor="accent5"/>
          <w:bottom w:val="single" w:sz="4" w:space="0" w:color="44626F" w:themeColor="accent5"/>
          <w:right w:val="single" w:sz="4" w:space="0" w:color="44626F" w:themeColor="accent5"/>
          <w:insideH w:val="nil"/>
        </w:tcBorders>
        <w:shd w:val="clear" w:color="auto" w:fill="44626F" w:themeFill="accent5"/>
      </w:tcPr>
    </w:tblStylePr>
    <w:tblStylePr w:type="lastRow">
      <w:rPr>
        <w:b/>
        <w:bCs/>
      </w:rPr>
      <w:tblPr/>
      <w:tcPr>
        <w:tcBorders>
          <w:top w:val="double" w:sz="4" w:space="0" w:color="83A4B3" w:themeColor="accent5" w:themeTint="99"/>
        </w:tcBorders>
      </w:tcPr>
    </w:tblStylePr>
    <w:tblStylePr w:type="firstCol">
      <w:rPr>
        <w:b/>
        <w:bCs/>
      </w:rPr>
    </w:tblStylePr>
    <w:tblStylePr w:type="lastCol">
      <w:rPr>
        <w:b/>
        <w:bCs/>
      </w:rPr>
    </w:tblStylePr>
    <w:tblStylePr w:type="band1Vert">
      <w:tblPr/>
      <w:tcPr>
        <w:shd w:val="clear" w:color="auto" w:fill="D5E0E5" w:themeFill="accent5" w:themeFillTint="33"/>
      </w:tcPr>
    </w:tblStylePr>
    <w:tblStylePr w:type="band1Horz">
      <w:tblPr/>
      <w:tcPr>
        <w:shd w:val="clear" w:color="auto" w:fill="D5E0E5" w:themeFill="accent5" w:themeFillTint="33"/>
      </w:tcPr>
    </w:tblStylePr>
  </w:style>
  <w:style w:type="table" w:styleId="GridTable2-Accent1">
    <w:name w:val="Grid Table 2 Accent 1"/>
    <w:basedOn w:val="TableNormal"/>
    <w:uiPriority w:val="47"/>
    <w:rsid w:val="00704526"/>
    <w:tblPr>
      <w:tblStyleRowBandSize w:val="1"/>
      <w:tblStyleColBandSize w:val="1"/>
      <w:tblBorders>
        <w:top w:val="single" w:sz="2" w:space="0" w:color="58AFDA" w:themeColor="accent1" w:themeTint="99"/>
        <w:bottom w:val="single" w:sz="2" w:space="0" w:color="58AFDA" w:themeColor="accent1" w:themeTint="99"/>
        <w:insideH w:val="single" w:sz="2" w:space="0" w:color="58AFDA" w:themeColor="accent1" w:themeTint="99"/>
        <w:insideV w:val="single" w:sz="2" w:space="0" w:color="58AFDA" w:themeColor="accent1" w:themeTint="99"/>
      </w:tblBorders>
    </w:tblPr>
    <w:tblStylePr w:type="firstRow">
      <w:rPr>
        <w:b/>
        <w:bCs/>
      </w:rPr>
      <w:tblPr/>
      <w:tcPr>
        <w:tcBorders>
          <w:top w:val="nil"/>
          <w:bottom w:val="single" w:sz="12" w:space="0" w:color="58AFDA" w:themeColor="accent1" w:themeTint="99"/>
          <w:insideH w:val="nil"/>
          <w:insideV w:val="nil"/>
        </w:tcBorders>
        <w:shd w:val="clear" w:color="auto" w:fill="FFFFFF" w:themeFill="background1"/>
      </w:tcPr>
    </w:tblStylePr>
    <w:tblStylePr w:type="lastRow">
      <w:rPr>
        <w:b/>
        <w:bCs/>
      </w:rPr>
      <w:tblPr/>
      <w:tcPr>
        <w:tcBorders>
          <w:top w:val="double" w:sz="2" w:space="0" w:color="58AFD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4F3" w:themeFill="accent1" w:themeFillTint="33"/>
      </w:tcPr>
    </w:tblStylePr>
    <w:tblStylePr w:type="band1Horz">
      <w:tblPr/>
      <w:tcPr>
        <w:shd w:val="clear" w:color="auto" w:fill="C7E4F3" w:themeFill="accent1" w:themeFillTint="33"/>
      </w:tcPr>
    </w:tblStylePr>
  </w:style>
  <w:style w:type="table" w:styleId="GridTable2-Accent2">
    <w:name w:val="Grid Table 2 Accent 2"/>
    <w:basedOn w:val="TableNormal"/>
    <w:uiPriority w:val="47"/>
    <w:rsid w:val="00704526"/>
    <w:tblPr>
      <w:tblStyleRowBandSize w:val="1"/>
      <w:tblStyleColBandSize w:val="1"/>
      <w:tblBorders>
        <w:top w:val="single" w:sz="2" w:space="0" w:color="9BD9F0" w:themeColor="accent2" w:themeTint="99"/>
        <w:bottom w:val="single" w:sz="2" w:space="0" w:color="9BD9F0" w:themeColor="accent2" w:themeTint="99"/>
        <w:insideH w:val="single" w:sz="2" w:space="0" w:color="9BD9F0" w:themeColor="accent2" w:themeTint="99"/>
        <w:insideV w:val="single" w:sz="2" w:space="0" w:color="9BD9F0" w:themeColor="accent2" w:themeTint="99"/>
      </w:tblBorders>
    </w:tblPr>
    <w:tblStylePr w:type="firstRow">
      <w:rPr>
        <w:b/>
        <w:bCs/>
      </w:rPr>
      <w:tblPr/>
      <w:tcPr>
        <w:tcBorders>
          <w:top w:val="nil"/>
          <w:bottom w:val="single" w:sz="12" w:space="0" w:color="9BD9F0" w:themeColor="accent2" w:themeTint="99"/>
          <w:insideH w:val="nil"/>
          <w:insideV w:val="nil"/>
        </w:tcBorders>
        <w:shd w:val="clear" w:color="auto" w:fill="FFFFFF" w:themeFill="background1"/>
      </w:tcPr>
    </w:tblStylePr>
    <w:tblStylePr w:type="lastRow">
      <w:rPr>
        <w:b/>
        <w:bCs/>
      </w:rPr>
      <w:tblPr/>
      <w:tcPr>
        <w:tcBorders>
          <w:top w:val="double" w:sz="2" w:space="0" w:color="9BD9F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F2FA" w:themeFill="accent2" w:themeFillTint="33"/>
      </w:tcPr>
    </w:tblStylePr>
    <w:tblStylePr w:type="band1Horz">
      <w:tblPr/>
      <w:tcPr>
        <w:shd w:val="clear" w:color="auto" w:fill="DDF2FA" w:themeFill="accent2" w:themeFillTint="33"/>
      </w:tcPr>
    </w:tblStylePr>
  </w:style>
  <w:style w:type="table" w:styleId="GridTable2-Accent3">
    <w:name w:val="Grid Table 2 Accent 3"/>
    <w:basedOn w:val="TableNormal"/>
    <w:uiPriority w:val="47"/>
    <w:rsid w:val="00704526"/>
    <w:tblPr>
      <w:tblStyleRowBandSize w:val="1"/>
      <w:tblStyleColBandSize w:val="1"/>
      <w:tblBorders>
        <w:top w:val="single" w:sz="2" w:space="0" w:color="D9F4FA" w:themeColor="accent3" w:themeTint="99"/>
        <w:bottom w:val="single" w:sz="2" w:space="0" w:color="D9F4FA" w:themeColor="accent3" w:themeTint="99"/>
        <w:insideH w:val="single" w:sz="2" w:space="0" w:color="D9F4FA" w:themeColor="accent3" w:themeTint="99"/>
        <w:insideV w:val="single" w:sz="2" w:space="0" w:color="D9F4FA" w:themeColor="accent3" w:themeTint="99"/>
      </w:tblBorders>
    </w:tblPr>
    <w:tblStylePr w:type="firstRow">
      <w:rPr>
        <w:b/>
        <w:bCs/>
      </w:rPr>
      <w:tblPr/>
      <w:tcPr>
        <w:tcBorders>
          <w:top w:val="nil"/>
          <w:bottom w:val="single" w:sz="12" w:space="0" w:color="D9F4FA" w:themeColor="accent3" w:themeTint="99"/>
          <w:insideH w:val="nil"/>
          <w:insideV w:val="nil"/>
        </w:tcBorders>
        <w:shd w:val="clear" w:color="auto" w:fill="FFFFFF" w:themeFill="background1"/>
      </w:tcPr>
    </w:tblStylePr>
    <w:tblStylePr w:type="lastRow">
      <w:rPr>
        <w:b/>
        <w:bCs/>
      </w:rPr>
      <w:tblPr/>
      <w:tcPr>
        <w:tcBorders>
          <w:top w:val="double" w:sz="2" w:space="0" w:color="D9F4F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BFD" w:themeFill="accent3" w:themeFillTint="33"/>
      </w:tcPr>
    </w:tblStylePr>
    <w:tblStylePr w:type="band1Horz">
      <w:tblPr/>
      <w:tcPr>
        <w:shd w:val="clear" w:color="auto" w:fill="F2FBFD" w:themeFill="accent3" w:themeFillTint="33"/>
      </w:tcPr>
    </w:tblStylePr>
  </w:style>
  <w:style w:type="table" w:styleId="GridTable3-Accent1">
    <w:name w:val="Grid Table 3 Accent 1"/>
    <w:basedOn w:val="TableNormal"/>
    <w:uiPriority w:val="48"/>
    <w:rsid w:val="00704526"/>
    <w:tblPr>
      <w:tblStyleRowBandSize w:val="1"/>
      <w:tblStyleColBandSize w:val="1"/>
      <w:tblBorders>
        <w:top w:val="single" w:sz="4" w:space="0" w:color="58AFDA" w:themeColor="accent1" w:themeTint="99"/>
        <w:left w:val="single" w:sz="4" w:space="0" w:color="58AFDA" w:themeColor="accent1" w:themeTint="99"/>
        <w:bottom w:val="single" w:sz="4" w:space="0" w:color="58AFDA" w:themeColor="accent1" w:themeTint="99"/>
        <w:right w:val="single" w:sz="4" w:space="0" w:color="58AFDA" w:themeColor="accent1" w:themeTint="99"/>
        <w:insideH w:val="single" w:sz="4" w:space="0" w:color="58AFDA" w:themeColor="accent1" w:themeTint="99"/>
        <w:insideV w:val="single" w:sz="4" w:space="0" w:color="58AFD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4F3" w:themeFill="accent1" w:themeFillTint="33"/>
      </w:tcPr>
    </w:tblStylePr>
    <w:tblStylePr w:type="band1Horz">
      <w:tblPr/>
      <w:tcPr>
        <w:shd w:val="clear" w:color="auto" w:fill="C7E4F3" w:themeFill="accent1" w:themeFillTint="33"/>
      </w:tcPr>
    </w:tblStylePr>
    <w:tblStylePr w:type="neCell">
      <w:tblPr/>
      <w:tcPr>
        <w:tcBorders>
          <w:bottom w:val="single" w:sz="4" w:space="0" w:color="58AFDA" w:themeColor="accent1" w:themeTint="99"/>
        </w:tcBorders>
      </w:tcPr>
    </w:tblStylePr>
    <w:tblStylePr w:type="nwCell">
      <w:tblPr/>
      <w:tcPr>
        <w:tcBorders>
          <w:bottom w:val="single" w:sz="4" w:space="0" w:color="58AFDA" w:themeColor="accent1" w:themeTint="99"/>
        </w:tcBorders>
      </w:tcPr>
    </w:tblStylePr>
    <w:tblStylePr w:type="seCell">
      <w:tblPr/>
      <w:tcPr>
        <w:tcBorders>
          <w:top w:val="single" w:sz="4" w:space="0" w:color="58AFDA" w:themeColor="accent1" w:themeTint="99"/>
        </w:tcBorders>
      </w:tcPr>
    </w:tblStylePr>
    <w:tblStylePr w:type="swCell">
      <w:tblPr/>
      <w:tcPr>
        <w:tcBorders>
          <w:top w:val="single" w:sz="4" w:space="0" w:color="58AFDA" w:themeColor="accent1" w:themeTint="99"/>
        </w:tcBorders>
      </w:tcPr>
    </w:tblStylePr>
  </w:style>
  <w:style w:type="table" w:styleId="GridTable3-Accent2">
    <w:name w:val="Grid Table 3 Accent 2"/>
    <w:basedOn w:val="TableNormal"/>
    <w:uiPriority w:val="48"/>
    <w:rsid w:val="00704526"/>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insideV w:val="single" w:sz="4" w:space="0" w:color="9BD9F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2FA" w:themeFill="accent2" w:themeFillTint="33"/>
      </w:tcPr>
    </w:tblStylePr>
    <w:tblStylePr w:type="band1Horz">
      <w:tblPr/>
      <w:tcPr>
        <w:shd w:val="clear" w:color="auto" w:fill="DDF2FA" w:themeFill="accent2" w:themeFillTint="33"/>
      </w:tcPr>
    </w:tblStylePr>
    <w:tblStylePr w:type="neCell">
      <w:tblPr/>
      <w:tcPr>
        <w:tcBorders>
          <w:bottom w:val="single" w:sz="4" w:space="0" w:color="9BD9F0" w:themeColor="accent2" w:themeTint="99"/>
        </w:tcBorders>
      </w:tcPr>
    </w:tblStylePr>
    <w:tblStylePr w:type="nwCell">
      <w:tblPr/>
      <w:tcPr>
        <w:tcBorders>
          <w:bottom w:val="single" w:sz="4" w:space="0" w:color="9BD9F0" w:themeColor="accent2" w:themeTint="99"/>
        </w:tcBorders>
      </w:tcPr>
    </w:tblStylePr>
    <w:tblStylePr w:type="seCell">
      <w:tblPr/>
      <w:tcPr>
        <w:tcBorders>
          <w:top w:val="single" w:sz="4" w:space="0" w:color="9BD9F0" w:themeColor="accent2" w:themeTint="99"/>
        </w:tcBorders>
      </w:tcPr>
    </w:tblStylePr>
    <w:tblStylePr w:type="swCell">
      <w:tblPr/>
      <w:tcPr>
        <w:tcBorders>
          <w:top w:val="single" w:sz="4" w:space="0" w:color="9BD9F0" w:themeColor="accent2" w:themeTint="99"/>
        </w:tcBorders>
      </w:tcPr>
    </w:tblStylePr>
  </w:style>
  <w:style w:type="table" w:styleId="GridTable3-Accent6">
    <w:name w:val="Grid Table 3 Accent 6"/>
    <w:basedOn w:val="TableNormal"/>
    <w:uiPriority w:val="48"/>
    <w:rsid w:val="00704526"/>
    <w:tblPr>
      <w:tblStyleRowBandSize w:val="1"/>
      <w:tblStyleColBandSize w:val="1"/>
      <w:tblBorders>
        <w:top w:val="single" w:sz="4" w:space="0" w:color="4B7CCA" w:themeColor="accent6" w:themeTint="99"/>
        <w:left w:val="single" w:sz="4" w:space="0" w:color="4B7CCA" w:themeColor="accent6" w:themeTint="99"/>
        <w:bottom w:val="single" w:sz="4" w:space="0" w:color="4B7CCA" w:themeColor="accent6" w:themeTint="99"/>
        <w:right w:val="single" w:sz="4" w:space="0" w:color="4B7CCA" w:themeColor="accent6" w:themeTint="99"/>
        <w:insideH w:val="single" w:sz="4" w:space="0" w:color="4B7CCA" w:themeColor="accent6" w:themeTint="99"/>
        <w:insideV w:val="single" w:sz="4" w:space="0" w:color="4B7CC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D3ED" w:themeFill="accent6" w:themeFillTint="33"/>
      </w:tcPr>
    </w:tblStylePr>
    <w:tblStylePr w:type="band1Horz">
      <w:tblPr/>
      <w:tcPr>
        <w:shd w:val="clear" w:color="auto" w:fill="C3D3ED" w:themeFill="accent6" w:themeFillTint="33"/>
      </w:tcPr>
    </w:tblStylePr>
    <w:tblStylePr w:type="neCell">
      <w:tblPr/>
      <w:tcPr>
        <w:tcBorders>
          <w:bottom w:val="single" w:sz="4" w:space="0" w:color="4B7CCA" w:themeColor="accent6" w:themeTint="99"/>
        </w:tcBorders>
      </w:tcPr>
    </w:tblStylePr>
    <w:tblStylePr w:type="nwCell">
      <w:tblPr/>
      <w:tcPr>
        <w:tcBorders>
          <w:bottom w:val="single" w:sz="4" w:space="0" w:color="4B7CCA" w:themeColor="accent6" w:themeTint="99"/>
        </w:tcBorders>
      </w:tcPr>
    </w:tblStylePr>
    <w:tblStylePr w:type="seCell">
      <w:tblPr/>
      <w:tcPr>
        <w:tcBorders>
          <w:top w:val="single" w:sz="4" w:space="0" w:color="4B7CCA" w:themeColor="accent6" w:themeTint="99"/>
        </w:tcBorders>
      </w:tcPr>
    </w:tblStylePr>
    <w:tblStylePr w:type="swCell">
      <w:tblPr/>
      <w:tcPr>
        <w:tcBorders>
          <w:top w:val="single" w:sz="4" w:space="0" w:color="4B7CCA" w:themeColor="accent6" w:themeTint="99"/>
        </w:tcBorders>
      </w:tcPr>
    </w:tblStylePr>
  </w:style>
  <w:style w:type="table" w:styleId="GridTable4-Accent2">
    <w:name w:val="Grid Table 4 Accent 2"/>
    <w:basedOn w:val="TableNormal"/>
    <w:uiPriority w:val="49"/>
    <w:rsid w:val="00704526"/>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insideV w:val="single" w:sz="4" w:space="0" w:color="9BD9F0" w:themeColor="accent2" w:themeTint="99"/>
      </w:tblBorders>
    </w:tblPr>
    <w:tblStylePr w:type="firstRow">
      <w:rPr>
        <w:b/>
        <w:bCs/>
        <w:color w:val="FFFFFF" w:themeColor="background1"/>
      </w:rPr>
      <w:tblPr/>
      <w:tcPr>
        <w:tcBorders>
          <w:top w:val="single" w:sz="4" w:space="0" w:color="5AC0E7" w:themeColor="accent2"/>
          <w:left w:val="single" w:sz="4" w:space="0" w:color="5AC0E7" w:themeColor="accent2"/>
          <w:bottom w:val="single" w:sz="4" w:space="0" w:color="5AC0E7" w:themeColor="accent2"/>
          <w:right w:val="single" w:sz="4" w:space="0" w:color="5AC0E7" w:themeColor="accent2"/>
          <w:insideH w:val="nil"/>
          <w:insideV w:val="nil"/>
        </w:tcBorders>
        <w:shd w:val="clear" w:color="auto" w:fill="5AC0E7" w:themeFill="accent2"/>
      </w:tcPr>
    </w:tblStylePr>
    <w:tblStylePr w:type="lastRow">
      <w:rPr>
        <w:b/>
        <w:bCs/>
      </w:rPr>
      <w:tblPr/>
      <w:tcPr>
        <w:tcBorders>
          <w:top w:val="double" w:sz="4" w:space="0" w:color="5AC0E7" w:themeColor="accent2"/>
        </w:tcBorders>
      </w:tcPr>
    </w:tblStylePr>
    <w:tblStylePr w:type="firstCol">
      <w:rPr>
        <w:b/>
        <w:bCs/>
      </w:rPr>
    </w:tblStylePr>
    <w:tblStylePr w:type="lastCol">
      <w:rPr>
        <w:b/>
        <w:bCs/>
      </w:rPr>
    </w:tblStylePr>
    <w:tblStylePr w:type="band1Vert">
      <w:tblPr/>
      <w:tcPr>
        <w:shd w:val="clear" w:color="auto" w:fill="DDF2FA" w:themeFill="accent2" w:themeFillTint="33"/>
      </w:tcPr>
    </w:tblStylePr>
    <w:tblStylePr w:type="band1Horz">
      <w:tblPr/>
      <w:tcPr>
        <w:shd w:val="clear" w:color="auto" w:fill="DDF2FA" w:themeFill="accent2" w:themeFillTint="33"/>
      </w:tcPr>
    </w:tblStylePr>
  </w:style>
  <w:style w:type="table" w:styleId="TableGridLight">
    <w:name w:val="Grid Table Light"/>
    <w:basedOn w:val="TableNormal"/>
    <w:uiPriority w:val="40"/>
    <w:rsid w:val="00C01A5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2">
    <w:name w:val="List Table 4 Accent 2"/>
    <w:basedOn w:val="TableNormal"/>
    <w:uiPriority w:val="49"/>
    <w:rsid w:val="00E05F04"/>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tblBorders>
    </w:tblPr>
    <w:tblStylePr w:type="firstRow">
      <w:rPr>
        <w:b/>
        <w:bCs/>
        <w:color w:val="FFFFFF" w:themeColor="background1"/>
      </w:rPr>
      <w:tblPr/>
      <w:tcPr>
        <w:tcBorders>
          <w:top w:val="single" w:sz="4" w:space="0" w:color="5AC0E7" w:themeColor="accent2"/>
          <w:left w:val="single" w:sz="4" w:space="0" w:color="5AC0E7" w:themeColor="accent2"/>
          <w:bottom w:val="single" w:sz="4" w:space="0" w:color="5AC0E7" w:themeColor="accent2"/>
          <w:right w:val="single" w:sz="4" w:space="0" w:color="5AC0E7" w:themeColor="accent2"/>
          <w:insideH w:val="nil"/>
        </w:tcBorders>
        <w:shd w:val="clear" w:color="auto" w:fill="5AC0E7" w:themeFill="accent2"/>
      </w:tcPr>
    </w:tblStylePr>
    <w:tblStylePr w:type="lastRow">
      <w:rPr>
        <w:b/>
        <w:bCs/>
      </w:rPr>
      <w:tblPr/>
      <w:tcPr>
        <w:tcBorders>
          <w:top w:val="double" w:sz="4" w:space="0" w:color="9BD9F0" w:themeColor="accent2" w:themeTint="99"/>
        </w:tcBorders>
      </w:tcPr>
    </w:tblStylePr>
    <w:tblStylePr w:type="firstCol">
      <w:rPr>
        <w:b/>
        <w:bCs/>
      </w:rPr>
    </w:tblStylePr>
    <w:tblStylePr w:type="lastCol">
      <w:rPr>
        <w:b/>
        <w:bCs/>
      </w:rPr>
    </w:tblStylePr>
    <w:tblStylePr w:type="band1Vert">
      <w:tblPr/>
      <w:tcPr>
        <w:shd w:val="clear" w:color="auto" w:fill="DDF2FA" w:themeFill="accent2" w:themeFillTint="33"/>
      </w:tcPr>
    </w:tblStylePr>
    <w:tblStylePr w:type="band1Horz">
      <w:tblPr/>
      <w:tcPr>
        <w:shd w:val="clear" w:color="auto" w:fill="DDF2FA" w:themeFill="accent2" w:themeFillTint="33"/>
      </w:tcPr>
    </w:tblStylePr>
  </w:style>
  <w:style w:type="table" w:customStyle="1" w:styleId="SRC1">
    <w:name w:val="SRC 1"/>
    <w:basedOn w:val="TableNormal"/>
    <w:uiPriority w:val="99"/>
    <w:rsid w:val="004E517C"/>
    <w:pPr>
      <w:spacing w:before="60" w:after="60"/>
    </w:pPr>
    <w:rPr>
      <w:rFonts w:ascii="Arial" w:hAnsi="Arial"/>
      <w:sz w:val="18"/>
    </w:rPr>
    <w:tblPr>
      <w:tblStyleRowBandSize w:val="1"/>
      <w:tblStyleColBandSize w:val="1"/>
      <w:tblBorders>
        <w:bottom w:val="single" w:sz="4" w:space="0" w:color="1F698E" w:themeColor="accent1"/>
      </w:tblBorders>
    </w:tblPr>
    <w:tblStylePr w:type="firstRow">
      <w:pPr>
        <w:wordWrap/>
        <w:spacing w:beforeLines="0" w:before="60" w:beforeAutospacing="0" w:afterLines="0" w:after="60" w:afterAutospacing="0" w:line="240" w:lineRule="auto"/>
        <w:contextualSpacing w:val="0"/>
        <w:jc w:val="left"/>
      </w:pPr>
      <w:rPr>
        <w:rFonts w:ascii="Arial" w:hAnsi="Arial"/>
        <w:b/>
        <w:color w:val="FFFFFF" w:themeColor="background1"/>
        <w:sz w:val="18"/>
      </w:rPr>
      <w:tblPr/>
      <w:tcPr>
        <w:shd w:val="clear" w:color="auto" w:fill="1F698E" w:themeFill="accent1"/>
        <w:vAlign w:val="center"/>
      </w:tcPr>
    </w:tblStylePr>
    <w:tblStylePr w:type="lastRow">
      <w:pPr>
        <w:wordWrap/>
        <w:spacing w:beforeLines="0" w:before="60" w:beforeAutospacing="0" w:afterLines="0" w:after="60" w:afterAutospacing="0" w:line="240" w:lineRule="auto"/>
        <w:contextualSpacing w:val="0"/>
        <w:jc w:val="left"/>
      </w:pPr>
      <w:rPr>
        <w:rFonts w:ascii="Arial" w:hAnsi="Arial"/>
        <w:sz w:val="18"/>
      </w:rPr>
    </w:tblStylePr>
    <w:tblStylePr w:type="firstCol">
      <w:pPr>
        <w:wordWrap/>
        <w:spacing w:beforeLines="0" w:before="60" w:beforeAutospacing="0" w:afterLines="0" w:after="60" w:afterAutospacing="0" w:line="240" w:lineRule="auto"/>
        <w:contextualSpacing w:val="0"/>
        <w:jc w:val="left"/>
      </w:pPr>
      <w:rPr>
        <w:rFonts w:ascii="Arial" w:hAnsi="Arial"/>
        <w:sz w:val="18"/>
      </w:rPr>
      <w:tblPr/>
      <w:tcPr>
        <w:vAlign w:val="center"/>
      </w:tcPr>
    </w:tblStylePr>
    <w:tblStylePr w:type="lastCol">
      <w:rPr>
        <w:rFonts w:ascii="Arial" w:hAnsi="Arial"/>
        <w:sz w:val="18"/>
      </w:rPr>
    </w:tblStylePr>
    <w:tblStylePr w:type="band1Vert">
      <w:pPr>
        <w:wordWrap/>
        <w:spacing w:beforeLines="0" w:before="60" w:beforeAutospacing="0" w:afterLines="0" w:after="60" w:afterAutospacing="0" w:line="240" w:lineRule="auto"/>
        <w:ind w:rightChars="0" w:right="113"/>
        <w:contextualSpacing w:val="0"/>
        <w:jc w:val="left"/>
        <w:outlineLvl w:val="9"/>
      </w:pPr>
      <w:rPr>
        <w:rFonts w:ascii="Arial" w:hAnsi="Arial"/>
        <w:sz w:val="18"/>
      </w:rPr>
      <w:tblPr/>
      <w:tcPr>
        <w:vAlign w:val="center"/>
      </w:tcPr>
    </w:tblStylePr>
    <w:tblStylePr w:type="band2Vert">
      <w:pPr>
        <w:wordWrap/>
        <w:spacing w:beforeLines="0" w:before="60" w:beforeAutospacing="0" w:afterLines="0" w:after="60" w:afterAutospacing="0" w:line="240" w:lineRule="auto"/>
        <w:ind w:rightChars="0" w:right="113"/>
        <w:contextualSpacing w:val="0"/>
        <w:jc w:val="left"/>
      </w:pPr>
      <w:rPr>
        <w:rFonts w:ascii="Arial" w:hAnsi="Arial"/>
        <w:sz w:val="18"/>
      </w:r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left"/>
      </w:pPr>
      <w:rPr>
        <w:rFonts w:ascii="Arial" w:hAnsi="Arial"/>
        <w:sz w:val="18"/>
      </w:rPr>
      <w:tblPr/>
      <w:tcPr>
        <w:shd w:val="clear" w:color="auto" w:fill="C7E4F3" w:themeFill="accent1" w:themeFillTint="33"/>
        <w:vAlign w:val="center"/>
      </w:tcPr>
    </w:tblStylePr>
    <w:tblStylePr w:type="band2Horz">
      <w:pPr>
        <w:wordWrap/>
        <w:spacing w:beforeLines="0" w:before="60" w:beforeAutospacing="0" w:afterLines="0" w:after="60" w:afterAutospacing="0"/>
        <w:contextualSpacing w:val="0"/>
        <w:jc w:val="left"/>
      </w:pPr>
      <w:rPr>
        <w:rFonts w:ascii="Arial" w:hAnsi="Arial"/>
        <w:sz w:val="18"/>
      </w:rPr>
      <w:tblPr/>
      <w:tcPr>
        <w:vAlign w:val="center"/>
      </w:tcPr>
    </w:tblStylePr>
    <w:tblStylePr w:type="neCell">
      <w:rPr>
        <w:rFonts w:ascii="Arial" w:hAnsi="Arial"/>
        <w:sz w:val="18"/>
      </w:rPr>
    </w:tblStylePr>
    <w:tblStylePr w:type="nwCell">
      <w:rPr>
        <w:rFonts w:ascii="Arial" w:hAnsi="Arial"/>
        <w:sz w:val="18"/>
      </w:rPr>
    </w:tblStylePr>
    <w:tblStylePr w:type="seCell">
      <w:rPr>
        <w:rFonts w:ascii="Arial" w:hAnsi="Arial"/>
        <w:sz w:val="18"/>
      </w:rPr>
    </w:tblStylePr>
    <w:tblStylePr w:type="swCell">
      <w:rPr>
        <w:rFonts w:ascii="Arial" w:hAnsi="Arial"/>
        <w:sz w:val="18"/>
      </w:rPr>
    </w:tblStylePr>
  </w:style>
  <w:style w:type="table" w:styleId="ListTable4-Accent1">
    <w:name w:val="List Table 4 Accent 1"/>
    <w:basedOn w:val="TableNormal"/>
    <w:uiPriority w:val="49"/>
    <w:rsid w:val="00592D59"/>
    <w:tblPr>
      <w:tblStyleRowBandSize w:val="1"/>
      <w:tblStyleColBandSize w:val="1"/>
      <w:tblBorders>
        <w:top w:val="single" w:sz="4" w:space="0" w:color="58AFDA" w:themeColor="accent1" w:themeTint="99"/>
        <w:left w:val="single" w:sz="4" w:space="0" w:color="58AFDA" w:themeColor="accent1" w:themeTint="99"/>
        <w:bottom w:val="single" w:sz="4" w:space="0" w:color="58AFDA" w:themeColor="accent1" w:themeTint="99"/>
        <w:right w:val="single" w:sz="4" w:space="0" w:color="58AFDA" w:themeColor="accent1" w:themeTint="99"/>
        <w:insideH w:val="single" w:sz="4" w:space="0" w:color="58AFDA" w:themeColor="accent1" w:themeTint="99"/>
      </w:tblBorders>
    </w:tblPr>
    <w:tblStylePr w:type="firstRow">
      <w:rPr>
        <w:b/>
        <w:bCs/>
        <w:color w:val="FFFFFF" w:themeColor="background1"/>
      </w:rPr>
      <w:tblPr/>
      <w:tcPr>
        <w:tcBorders>
          <w:top w:val="single" w:sz="4" w:space="0" w:color="1F698E" w:themeColor="accent1"/>
          <w:left w:val="single" w:sz="4" w:space="0" w:color="1F698E" w:themeColor="accent1"/>
          <w:bottom w:val="single" w:sz="4" w:space="0" w:color="1F698E" w:themeColor="accent1"/>
          <w:right w:val="single" w:sz="4" w:space="0" w:color="1F698E" w:themeColor="accent1"/>
          <w:insideH w:val="nil"/>
        </w:tcBorders>
        <w:shd w:val="clear" w:color="auto" w:fill="1F698E" w:themeFill="accent1"/>
      </w:tcPr>
    </w:tblStylePr>
    <w:tblStylePr w:type="lastRow">
      <w:rPr>
        <w:b/>
        <w:bCs/>
      </w:rPr>
      <w:tblPr/>
      <w:tcPr>
        <w:tcBorders>
          <w:top w:val="double" w:sz="4" w:space="0" w:color="58AFDA" w:themeColor="accent1" w:themeTint="99"/>
        </w:tcBorders>
      </w:tcPr>
    </w:tblStylePr>
    <w:tblStylePr w:type="firstCol">
      <w:rPr>
        <w:b/>
        <w:bCs/>
      </w:rPr>
    </w:tblStylePr>
    <w:tblStylePr w:type="lastCol">
      <w:rPr>
        <w:b/>
        <w:bCs/>
      </w:rPr>
    </w:tblStylePr>
    <w:tblStylePr w:type="band1Vert">
      <w:tblPr/>
      <w:tcPr>
        <w:shd w:val="clear" w:color="auto" w:fill="C7E4F3" w:themeFill="accent1" w:themeFillTint="33"/>
      </w:tcPr>
    </w:tblStylePr>
    <w:tblStylePr w:type="band1Horz">
      <w:tblPr/>
      <w:tcPr>
        <w:shd w:val="clear" w:color="auto" w:fill="C7E4F3" w:themeFill="accent1" w:themeFillTint="33"/>
      </w:tcPr>
    </w:tblStylePr>
  </w:style>
  <w:style w:type="table" w:styleId="GridTable4">
    <w:name w:val="Grid Table 4"/>
    <w:basedOn w:val="TableNormal"/>
    <w:uiPriority w:val="49"/>
    <w:rsid w:val="00592D5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92D59"/>
    <w:tblPr>
      <w:tblStyleRowBandSize w:val="1"/>
      <w:tblStyleColBandSize w:val="1"/>
      <w:tblBorders>
        <w:top w:val="single" w:sz="4" w:space="0" w:color="58AFDA" w:themeColor="accent1" w:themeTint="99"/>
        <w:left w:val="single" w:sz="4" w:space="0" w:color="58AFDA" w:themeColor="accent1" w:themeTint="99"/>
        <w:bottom w:val="single" w:sz="4" w:space="0" w:color="58AFDA" w:themeColor="accent1" w:themeTint="99"/>
        <w:right w:val="single" w:sz="4" w:space="0" w:color="58AFDA" w:themeColor="accent1" w:themeTint="99"/>
        <w:insideH w:val="single" w:sz="4" w:space="0" w:color="58AFDA" w:themeColor="accent1" w:themeTint="99"/>
        <w:insideV w:val="single" w:sz="4" w:space="0" w:color="58AFDA" w:themeColor="accent1" w:themeTint="99"/>
      </w:tblBorders>
    </w:tblPr>
    <w:tblStylePr w:type="firstRow">
      <w:rPr>
        <w:b/>
        <w:bCs/>
        <w:color w:val="FFFFFF" w:themeColor="background1"/>
      </w:rPr>
      <w:tblPr/>
      <w:tcPr>
        <w:tcBorders>
          <w:top w:val="single" w:sz="4" w:space="0" w:color="1F698E" w:themeColor="accent1"/>
          <w:left w:val="single" w:sz="4" w:space="0" w:color="1F698E" w:themeColor="accent1"/>
          <w:bottom w:val="single" w:sz="4" w:space="0" w:color="1F698E" w:themeColor="accent1"/>
          <w:right w:val="single" w:sz="4" w:space="0" w:color="1F698E" w:themeColor="accent1"/>
          <w:insideH w:val="nil"/>
          <w:insideV w:val="nil"/>
        </w:tcBorders>
        <w:shd w:val="clear" w:color="auto" w:fill="1F698E" w:themeFill="accent1"/>
      </w:tcPr>
    </w:tblStylePr>
    <w:tblStylePr w:type="lastRow">
      <w:rPr>
        <w:b/>
        <w:bCs/>
      </w:rPr>
      <w:tblPr/>
      <w:tcPr>
        <w:tcBorders>
          <w:top w:val="double" w:sz="4" w:space="0" w:color="1F698E" w:themeColor="accent1"/>
        </w:tcBorders>
      </w:tcPr>
    </w:tblStylePr>
    <w:tblStylePr w:type="firstCol">
      <w:rPr>
        <w:b/>
        <w:bCs/>
      </w:rPr>
    </w:tblStylePr>
    <w:tblStylePr w:type="lastCol">
      <w:rPr>
        <w:b/>
        <w:bCs/>
      </w:rPr>
    </w:tblStylePr>
    <w:tblStylePr w:type="band1Vert">
      <w:tblPr/>
      <w:tcPr>
        <w:shd w:val="clear" w:color="auto" w:fill="C7E4F3" w:themeFill="accent1" w:themeFillTint="33"/>
      </w:tcPr>
    </w:tblStylePr>
    <w:tblStylePr w:type="band1Horz">
      <w:tblPr/>
      <w:tcPr>
        <w:shd w:val="clear" w:color="auto" w:fill="C7E4F3" w:themeFill="accent1" w:themeFillTint="33"/>
      </w:tcPr>
    </w:tblStylePr>
  </w:style>
  <w:style w:type="table" w:styleId="GridTable4-Accent3">
    <w:name w:val="Grid Table 4 Accent 3"/>
    <w:basedOn w:val="TableNormal"/>
    <w:uiPriority w:val="49"/>
    <w:rsid w:val="00592D59"/>
    <w:tblPr>
      <w:tblStyleRowBandSize w:val="1"/>
      <w:tblStyleColBandSize w:val="1"/>
      <w:tblBorders>
        <w:top w:val="single" w:sz="4" w:space="0" w:color="D9F4FA" w:themeColor="accent3" w:themeTint="99"/>
        <w:left w:val="single" w:sz="4" w:space="0" w:color="D9F4FA" w:themeColor="accent3" w:themeTint="99"/>
        <w:bottom w:val="single" w:sz="4" w:space="0" w:color="D9F4FA" w:themeColor="accent3" w:themeTint="99"/>
        <w:right w:val="single" w:sz="4" w:space="0" w:color="D9F4FA" w:themeColor="accent3" w:themeTint="99"/>
        <w:insideH w:val="single" w:sz="4" w:space="0" w:color="D9F4FA" w:themeColor="accent3" w:themeTint="99"/>
        <w:insideV w:val="single" w:sz="4" w:space="0" w:color="D9F4FA" w:themeColor="accent3" w:themeTint="99"/>
      </w:tblBorders>
    </w:tblPr>
    <w:tblStylePr w:type="firstRow">
      <w:rPr>
        <w:b/>
        <w:bCs/>
        <w:color w:val="FFFFFF" w:themeColor="background1"/>
      </w:rPr>
      <w:tblPr/>
      <w:tcPr>
        <w:tcBorders>
          <w:top w:val="single" w:sz="4" w:space="0" w:color="C0EDF8" w:themeColor="accent3"/>
          <w:left w:val="single" w:sz="4" w:space="0" w:color="C0EDF8" w:themeColor="accent3"/>
          <w:bottom w:val="single" w:sz="4" w:space="0" w:color="C0EDF8" w:themeColor="accent3"/>
          <w:right w:val="single" w:sz="4" w:space="0" w:color="C0EDF8" w:themeColor="accent3"/>
          <w:insideH w:val="nil"/>
          <w:insideV w:val="nil"/>
        </w:tcBorders>
        <w:shd w:val="clear" w:color="auto" w:fill="C0EDF8" w:themeFill="accent3"/>
      </w:tcPr>
    </w:tblStylePr>
    <w:tblStylePr w:type="lastRow">
      <w:rPr>
        <w:b/>
        <w:bCs/>
      </w:rPr>
      <w:tblPr/>
      <w:tcPr>
        <w:tcBorders>
          <w:top w:val="double" w:sz="4" w:space="0" w:color="C0EDF8" w:themeColor="accent3"/>
        </w:tcBorders>
      </w:tcPr>
    </w:tblStylePr>
    <w:tblStylePr w:type="firstCol">
      <w:rPr>
        <w:b/>
        <w:bCs/>
      </w:rPr>
    </w:tblStylePr>
    <w:tblStylePr w:type="lastCol">
      <w:rPr>
        <w:b/>
        <w:bCs/>
      </w:rPr>
    </w:tblStylePr>
    <w:tblStylePr w:type="band1Vert">
      <w:tblPr/>
      <w:tcPr>
        <w:shd w:val="clear" w:color="auto" w:fill="F2FBFD" w:themeFill="accent3" w:themeFillTint="33"/>
      </w:tcPr>
    </w:tblStylePr>
    <w:tblStylePr w:type="band1Horz">
      <w:tblPr/>
      <w:tcPr>
        <w:shd w:val="clear" w:color="auto" w:fill="F2FBFD" w:themeFill="accent3" w:themeFillTint="33"/>
      </w:tcPr>
    </w:tblStylePr>
  </w:style>
  <w:style w:type="table" w:styleId="GridTable4-Accent4">
    <w:name w:val="Grid Table 4 Accent 4"/>
    <w:basedOn w:val="TableNormal"/>
    <w:uiPriority w:val="49"/>
    <w:rsid w:val="00592D59"/>
    <w:tblPr>
      <w:tblStyleRowBandSize w:val="1"/>
      <w:tblStyleColBandSize w:val="1"/>
      <w:tblBorders>
        <w:top w:val="single" w:sz="4" w:space="0" w:color="68E9C9" w:themeColor="accent4" w:themeTint="99"/>
        <w:left w:val="single" w:sz="4" w:space="0" w:color="68E9C9" w:themeColor="accent4" w:themeTint="99"/>
        <w:bottom w:val="single" w:sz="4" w:space="0" w:color="68E9C9" w:themeColor="accent4" w:themeTint="99"/>
        <w:right w:val="single" w:sz="4" w:space="0" w:color="68E9C9" w:themeColor="accent4" w:themeTint="99"/>
        <w:insideH w:val="single" w:sz="4" w:space="0" w:color="68E9C9" w:themeColor="accent4" w:themeTint="99"/>
        <w:insideV w:val="single" w:sz="4" w:space="0" w:color="68E9C9" w:themeColor="accent4" w:themeTint="99"/>
      </w:tblBorders>
    </w:tblPr>
    <w:tblStylePr w:type="firstRow">
      <w:rPr>
        <w:b/>
        <w:bCs/>
        <w:color w:val="FFFFFF" w:themeColor="background1"/>
      </w:rPr>
      <w:tblPr/>
      <w:tcPr>
        <w:tcBorders>
          <w:top w:val="single" w:sz="4" w:space="0" w:color="1CC49B" w:themeColor="accent4"/>
          <w:left w:val="single" w:sz="4" w:space="0" w:color="1CC49B" w:themeColor="accent4"/>
          <w:bottom w:val="single" w:sz="4" w:space="0" w:color="1CC49B" w:themeColor="accent4"/>
          <w:right w:val="single" w:sz="4" w:space="0" w:color="1CC49B" w:themeColor="accent4"/>
          <w:insideH w:val="nil"/>
          <w:insideV w:val="nil"/>
        </w:tcBorders>
        <w:shd w:val="clear" w:color="auto" w:fill="1CC49B" w:themeFill="accent4"/>
      </w:tcPr>
    </w:tblStylePr>
    <w:tblStylePr w:type="lastRow">
      <w:rPr>
        <w:b/>
        <w:bCs/>
      </w:rPr>
      <w:tblPr/>
      <w:tcPr>
        <w:tcBorders>
          <w:top w:val="double" w:sz="4" w:space="0" w:color="1CC49B" w:themeColor="accent4"/>
        </w:tcBorders>
      </w:tcPr>
    </w:tblStylePr>
    <w:tblStylePr w:type="firstCol">
      <w:rPr>
        <w:b/>
        <w:bCs/>
      </w:rPr>
    </w:tblStylePr>
    <w:tblStylePr w:type="lastCol">
      <w:rPr>
        <w:b/>
        <w:bCs/>
      </w:rPr>
    </w:tblStylePr>
    <w:tblStylePr w:type="band1Vert">
      <w:tblPr/>
      <w:tcPr>
        <w:shd w:val="clear" w:color="auto" w:fill="CCF7ED" w:themeFill="accent4" w:themeFillTint="33"/>
      </w:tcPr>
    </w:tblStylePr>
    <w:tblStylePr w:type="band1Horz">
      <w:tblPr/>
      <w:tcPr>
        <w:shd w:val="clear" w:color="auto" w:fill="CCF7ED" w:themeFill="accent4" w:themeFillTint="33"/>
      </w:tcPr>
    </w:tblStylePr>
  </w:style>
  <w:style w:type="table" w:styleId="GridTable4-Accent5">
    <w:name w:val="Grid Table 4 Accent 5"/>
    <w:basedOn w:val="TableNormal"/>
    <w:uiPriority w:val="49"/>
    <w:rsid w:val="00592D59"/>
    <w:tblPr>
      <w:tblStyleRowBandSize w:val="1"/>
      <w:tblStyleColBandSize w:val="1"/>
      <w:tblBorders>
        <w:top w:val="single" w:sz="4" w:space="0" w:color="83A4B3" w:themeColor="accent5" w:themeTint="99"/>
        <w:left w:val="single" w:sz="4" w:space="0" w:color="83A4B3" w:themeColor="accent5" w:themeTint="99"/>
        <w:bottom w:val="single" w:sz="4" w:space="0" w:color="83A4B3" w:themeColor="accent5" w:themeTint="99"/>
        <w:right w:val="single" w:sz="4" w:space="0" w:color="83A4B3" w:themeColor="accent5" w:themeTint="99"/>
        <w:insideH w:val="single" w:sz="4" w:space="0" w:color="83A4B3" w:themeColor="accent5" w:themeTint="99"/>
        <w:insideV w:val="single" w:sz="4" w:space="0" w:color="83A4B3" w:themeColor="accent5" w:themeTint="99"/>
      </w:tblBorders>
    </w:tblPr>
    <w:tblStylePr w:type="firstRow">
      <w:rPr>
        <w:b/>
        <w:bCs/>
        <w:color w:val="FFFFFF" w:themeColor="background1"/>
      </w:rPr>
      <w:tblPr/>
      <w:tcPr>
        <w:tcBorders>
          <w:top w:val="single" w:sz="4" w:space="0" w:color="44626F" w:themeColor="accent5"/>
          <w:left w:val="single" w:sz="4" w:space="0" w:color="44626F" w:themeColor="accent5"/>
          <w:bottom w:val="single" w:sz="4" w:space="0" w:color="44626F" w:themeColor="accent5"/>
          <w:right w:val="single" w:sz="4" w:space="0" w:color="44626F" w:themeColor="accent5"/>
          <w:insideH w:val="nil"/>
          <w:insideV w:val="nil"/>
        </w:tcBorders>
        <w:shd w:val="clear" w:color="auto" w:fill="44626F" w:themeFill="accent5"/>
      </w:tcPr>
    </w:tblStylePr>
    <w:tblStylePr w:type="lastRow">
      <w:rPr>
        <w:b/>
        <w:bCs/>
      </w:rPr>
      <w:tblPr/>
      <w:tcPr>
        <w:tcBorders>
          <w:top w:val="double" w:sz="4" w:space="0" w:color="44626F" w:themeColor="accent5"/>
        </w:tcBorders>
      </w:tcPr>
    </w:tblStylePr>
    <w:tblStylePr w:type="firstCol">
      <w:rPr>
        <w:b/>
        <w:bCs/>
      </w:rPr>
    </w:tblStylePr>
    <w:tblStylePr w:type="lastCol">
      <w:rPr>
        <w:b/>
        <w:bCs/>
      </w:rPr>
    </w:tblStylePr>
    <w:tblStylePr w:type="band1Vert">
      <w:tblPr/>
      <w:tcPr>
        <w:shd w:val="clear" w:color="auto" w:fill="D5E0E5" w:themeFill="accent5" w:themeFillTint="33"/>
      </w:tcPr>
    </w:tblStylePr>
    <w:tblStylePr w:type="band1Horz">
      <w:tblPr/>
      <w:tcPr>
        <w:shd w:val="clear" w:color="auto" w:fill="D5E0E5" w:themeFill="accent5" w:themeFillTint="33"/>
      </w:tcPr>
    </w:tblStylePr>
  </w:style>
  <w:style w:type="table" w:styleId="GridTable4-Accent6">
    <w:name w:val="Grid Table 4 Accent 6"/>
    <w:basedOn w:val="TableNormal"/>
    <w:uiPriority w:val="49"/>
    <w:rsid w:val="00592D59"/>
    <w:tblPr>
      <w:tblStyleRowBandSize w:val="1"/>
      <w:tblStyleColBandSize w:val="1"/>
      <w:tblBorders>
        <w:top w:val="single" w:sz="4" w:space="0" w:color="4B7CCA" w:themeColor="accent6" w:themeTint="99"/>
        <w:left w:val="single" w:sz="4" w:space="0" w:color="4B7CCA" w:themeColor="accent6" w:themeTint="99"/>
        <w:bottom w:val="single" w:sz="4" w:space="0" w:color="4B7CCA" w:themeColor="accent6" w:themeTint="99"/>
        <w:right w:val="single" w:sz="4" w:space="0" w:color="4B7CCA" w:themeColor="accent6" w:themeTint="99"/>
        <w:insideH w:val="single" w:sz="4" w:space="0" w:color="4B7CCA" w:themeColor="accent6" w:themeTint="99"/>
        <w:insideV w:val="single" w:sz="4" w:space="0" w:color="4B7CCA" w:themeColor="accent6" w:themeTint="99"/>
      </w:tblBorders>
    </w:tblPr>
    <w:tblStylePr w:type="firstRow">
      <w:rPr>
        <w:b/>
        <w:bCs/>
        <w:color w:val="FFFFFF" w:themeColor="background1"/>
      </w:rPr>
      <w:tblPr/>
      <w:tcPr>
        <w:tcBorders>
          <w:top w:val="single" w:sz="4" w:space="0" w:color="1C365F" w:themeColor="accent6"/>
          <w:left w:val="single" w:sz="4" w:space="0" w:color="1C365F" w:themeColor="accent6"/>
          <w:bottom w:val="single" w:sz="4" w:space="0" w:color="1C365F" w:themeColor="accent6"/>
          <w:right w:val="single" w:sz="4" w:space="0" w:color="1C365F" w:themeColor="accent6"/>
          <w:insideH w:val="nil"/>
          <w:insideV w:val="nil"/>
        </w:tcBorders>
        <w:shd w:val="clear" w:color="auto" w:fill="1C365F" w:themeFill="accent6"/>
      </w:tcPr>
    </w:tblStylePr>
    <w:tblStylePr w:type="lastRow">
      <w:rPr>
        <w:b/>
        <w:bCs/>
      </w:rPr>
      <w:tblPr/>
      <w:tcPr>
        <w:tcBorders>
          <w:top w:val="double" w:sz="4" w:space="0" w:color="1C365F" w:themeColor="accent6"/>
        </w:tcBorders>
      </w:tcPr>
    </w:tblStylePr>
    <w:tblStylePr w:type="firstCol">
      <w:rPr>
        <w:b/>
        <w:bCs/>
      </w:rPr>
    </w:tblStylePr>
    <w:tblStylePr w:type="lastCol">
      <w:rPr>
        <w:b/>
        <w:bCs/>
      </w:rPr>
    </w:tblStylePr>
    <w:tblStylePr w:type="band1Vert">
      <w:tblPr/>
      <w:tcPr>
        <w:shd w:val="clear" w:color="auto" w:fill="C3D3ED" w:themeFill="accent6" w:themeFillTint="33"/>
      </w:tcPr>
    </w:tblStylePr>
    <w:tblStylePr w:type="band1Horz">
      <w:tblPr/>
      <w:tcPr>
        <w:shd w:val="clear" w:color="auto" w:fill="C3D3ED" w:themeFill="accent6" w:themeFillTint="33"/>
      </w:tcPr>
    </w:tblStylePr>
  </w:style>
  <w:style w:type="table" w:styleId="GridTable5Dark">
    <w:name w:val="Grid Table 5 Dark"/>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2">
    <w:name w:val="Grid Table 5 Dark Accent 2"/>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F2F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C0E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C0E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C0E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C0E7" w:themeFill="accent2"/>
      </w:tcPr>
    </w:tblStylePr>
    <w:tblStylePr w:type="band1Vert">
      <w:tblPr/>
      <w:tcPr>
        <w:shd w:val="clear" w:color="auto" w:fill="BCE5F5" w:themeFill="accent2" w:themeFillTint="66"/>
      </w:tcPr>
    </w:tblStylePr>
    <w:tblStylePr w:type="band1Horz">
      <w:tblPr/>
      <w:tcPr>
        <w:shd w:val="clear" w:color="auto" w:fill="BCE5F5" w:themeFill="accent2" w:themeFillTint="66"/>
      </w:tcPr>
    </w:tblStylePr>
  </w:style>
  <w:style w:type="table" w:styleId="GridTable5Dark-Accent3">
    <w:name w:val="Grid Table 5 Dark Accent 3"/>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BF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EDF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EDF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EDF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EDF8" w:themeFill="accent3"/>
      </w:tcPr>
    </w:tblStylePr>
    <w:tblStylePr w:type="band1Vert">
      <w:tblPr/>
      <w:tcPr>
        <w:shd w:val="clear" w:color="auto" w:fill="E5F7FC" w:themeFill="accent3" w:themeFillTint="66"/>
      </w:tcPr>
    </w:tblStylePr>
    <w:tblStylePr w:type="band1Horz">
      <w:tblPr/>
      <w:tcPr>
        <w:shd w:val="clear" w:color="auto" w:fill="E5F7FC" w:themeFill="accent3" w:themeFillTint="66"/>
      </w:tcPr>
    </w:tblStylePr>
  </w:style>
  <w:style w:type="table" w:styleId="GridTable5Dark-Accent4">
    <w:name w:val="Grid Table 5 Dark Accent 4"/>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F7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C49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C49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C49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C49B" w:themeFill="accent4"/>
      </w:tcPr>
    </w:tblStylePr>
    <w:tblStylePr w:type="band1Vert">
      <w:tblPr/>
      <w:tcPr>
        <w:shd w:val="clear" w:color="auto" w:fill="9AF0DB" w:themeFill="accent4" w:themeFillTint="66"/>
      </w:tcPr>
    </w:tblStylePr>
    <w:tblStylePr w:type="band1Horz">
      <w:tblPr/>
      <w:tcPr>
        <w:shd w:val="clear" w:color="auto" w:fill="9AF0DB" w:themeFill="accent4" w:themeFillTint="66"/>
      </w:tcPr>
    </w:tblStylePr>
  </w:style>
  <w:style w:type="table" w:styleId="GridTable5Dark-Accent5">
    <w:name w:val="Grid Table 5 Dark Accent 5"/>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0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626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626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626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626F" w:themeFill="accent5"/>
      </w:tcPr>
    </w:tblStylePr>
    <w:tblStylePr w:type="band1Vert">
      <w:tblPr/>
      <w:tcPr>
        <w:shd w:val="clear" w:color="auto" w:fill="ACC2CC" w:themeFill="accent5" w:themeFillTint="66"/>
      </w:tcPr>
    </w:tblStylePr>
    <w:tblStylePr w:type="band1Horz">
      <w:tblPr/>
      <w:tcPr>
        <w:shd w:val="clear" w:color="auto" w:fill="ACC2CC" w:themeFill="accent5" w:themeFillTint="66"/>
      </w:tcPr>
    </w:tblStylePr>
  </w:style>
  <w:style w:type="table" w:styleId="GridTable5Dark-Accent6">
    <w:name w:val="Grid Table 5 Dark Accent 6"/>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D3E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365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365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365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365F" w:themeFill="accent6"/>
      </w:tcPr>
    </w:tblStylePr>
    <w:tblStylePr w:type="band1Vert">
      <w:tblPr/>
      <w:tcPr>
        <w:shd w:val="clear" w:color="auto" w:fill="87A7DB" w:themeFill="accent6" w:themeFillTint="66"/>
      </w:tcPr>
    </w:tblStylePr>
    <w:tblStylePr w:type="band1Horz">
      <w:tblPr/>
      <w:tcPr>
        <w:shd w:val="clear" w:color="auto" w:fill="87A7DB" w:themeFill="accent6" w:themeFillTint="66"/>
      </w:tcPr>
    </w:tblStylePr>
  </w:style>
  <w:style w:type="table" w:styleId="GridTable6Colorful">
    <w:name w:val="Grid Table 6 Colorful"/>
    <w:basedOn w:val="TableNormal"/>
    <w:uiPriority w:val="51"/>
    <w:rsid w:val="00592D5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92D59"/>
    <w:rPr>
      <w:color w:val="174E6A" w:themeColor="accent1" w:themeShade="BF"/>
    </w:rPr>
    <w:tblPr>
      <w:tblStyleRowBandSize w:val="1"/>
      <w:tblStyleColBandSize w:val="1"/>
      <w:tblBorders>
        <w:top w:val="single" w:sz="4" w:space="0" w:color="58AFDA" w:themeColor="accent1" w:themeTint="99"/>
        <w:left w:val="single" w:sz="4" w:space="0" w:color="58AFDA" w:themeColor="accent1" w:themeTint="99"/>
        <w:bottom w:val="single" w:sz="4" w:space="0" w:color="58AFDA" w:themeColor="accent1" w:themeTint="99"/>
        <w:right w:val="single" w:sz="4" w:space="0" w:color="58AFDA" w:themeColor="accent1" w:themeTint="99"/>
        <w:insideH w:val="single" w:sz="4" w:space="0" w:color="58AFDA" w:themeColor="accent1" w:themeTint="99"/>
        <w:insideV w:val="single" w:sz="4" w:space="0" w:color="58AFDA" w:themeColor="accent1" w:themeTint="99"/>
      </w:tblBorders>
    </w:tblPr>
    <w:tblStylePr w:type="firstRow">
      <w:rPr>
        <w:b/>
        <w:bCs/>
      </w:rPr>
      <w:tblPr/>
      <w:tcPr>
        <w:tcBorders>
          <w:bottom w:val="single" w:sz="12" w:space="0" w:color="58AFDA" w:themeColor="accent1" w:themeTint="99"/>
        </w:tcBorders>
      </w:tcPr>
    </w:tblStylePr>
    <w:tblStylePr w:type="lastRow">
      <w:rPr>
        <w:b/>
        <w:bCs/>
      </w:rPr>
      <w:tblPr/>
      <w:tcPr>
        <w:tcBorders>
          <w:top w:val="double" w:sz="4" w:space="0" w:color="58AFDA" w:themeColor="accent1" w:themeTint="99"/>
        </w:tcBorders>
      </w:tcPr>
    </w:tblStylePr>
    <w:tblStylePr w:type="firstCol">
      <w:rPr>
        <w:b/>
        <w:bCs/>
      </w:rPr>
    </w:tblStylePr>
    <w:tblStylePr w:type="lastCol">
      <w:rPr>
        <w:b/>
        <w:bCs/>
      </w:rPr>
    </w:tblStylePr>
    <w:tblStylePr w:type="band1Vert">
      <w:tblPr/>
      <w:tcPr>
        <w:shd w:val="clear" w:color="auto" w:fill="C7E4F3" w:themeFill="accent1" w:themeFillTint="33"/>
      </w:tcPr>
    </w:tblStylePr>
    <w:tblStylePr w:type="band1Horz">
      <w:tblPr/>
      <w:tcPr>
        <w:shd w:val="clear" w:color="auto" w:fill="C7E4F3" w:themeFill="accent1" w:themeFillTint="33"/>
      </w:tcPr>
    </w:tblStylePr>
  </w:style>
  <w:style w:type="table" w:styleId="GridTable6Colorful-Accent2">
    <w:name w:val="Grid Table 6 Colorful Accent 2"/>
    <w:basedOn w:val="TableNormal"/>
    <w:uiPriority w:val="51"/>
    <w:rsid w:val="00592D59"/>
    <w:rPr>
      <w:color w:val="1E9FD1" w:themeColor="accent2" w:themeShade="BF"/>
    </w:rPr>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insideV w:val="single" w:sz="4" w:space="0" w:color="9BD9F0" w:themeColor="accent2" w:themeTint="99"/>
      </w:tblBorders>
    </w:tblPr>
    <w:tblStylePr w:type="firstRow">
      <w:rPr>
        <w:b/>
        <w:bCs/>
      </w:rPr>
      <w:tblPr/>
      <w:tcPr>
        <w:tcBorders>
          <w:bottom w:val="single" w:sz="12" w:space="0" w:color="9BD9F0" w:themeColor="accent2" w:themeTint="99"/>
        </w:tcBorders>
      </w:tcPr>
    </w:tblStylePr>
    <w:tblStylePr w:type="lastRow">
      <w:rPr>
        <w:b/>
        <w:bCs/>
      </w:rPr>
      <w:tblPr/>
      <w:tcPr>
        <w:tcBorders>
          <w:top w:val="double" w:sz="4" w:space="0" w:color="9BD9F0" w:themeColor="accent2" w:themeTint="99"/>
        </w:tcBorders>
      </w:tcPr>
    </w:tblStylePr>
    <w:tblStylePr w:type="firstCol">
      <w:rPr>
        <w:b/>
        <w:bCs/>
      </w:rPr>
    </w:tblStylePr>
    <w:tblStylePr w:type="lastCol">
      <w:rPr>
        <w:b/>
        <w:bCs/>
      </w:rPr>
    </w:tblStylePr>
    <w:tblStylePr w:type="band1Vert">
      <w:tblPr/>
      <w:tcPr>
        <w:shd w:val="clear" w:color="auto" w:fill="DDF2FA" w:themeFill="accent2" w:themeFillTint="33"/>
      </w:tcPr>
    </w:tblStylePr>
    <w:tblStylePr w:type="band1Horz">
      <w:tblPr/>
      <w:tcPr>
        <w:shd w:val="clear" w:color="auto" w:fill="DDF2FA" w:themeFill="accent2" w:themeFillTint="33"/>
      </w:tcPr>
    </w:tblStylePr>
  </w:style>
  <w:style w:type="table" w:styleId="GridTable6Colorful-Accent3">
    <w:name w:val="Grid Table 6 Colorful Accent 3"/>
    <w:basedOn w:val="TableNormal"/>
    <w:uiPriority w:val="51"/>
    <w:rsid w:val="00592D59"/>
    <w:rPr>
      <w:color w:val="5CD0ED" w:themeColor="accent3" w:themeShade="BF"/>
    </w:rPr>
    <w:tblPr>
      <w:tblStyleRowBandSize w:val="1"/>
      <w:tblStyleColBandSize w:val="1"/>
      <w:tblBorders>
        <w:top w:val="single" w:sz="4" w:space="0" w:color="D9F4FA" w:themeColor="accent3" w:themeTint="99"/>
        <w:left w:val="single" w:sz="4" w:space="0" w:color="D9F4FA" w:themeColor="accent3" w:themeTint="99"/>
        <w:bottom w:val="single" w:sz="4" w:space="0" w:color="D9F4FA" w:themeColor="accent3" w:themeTint="99"/>
        <w:right w:val="single" w:sz="4" w:space="0" w:color="D9F4FA" w:themeColor="accent3" w:themeTint="99"/>
        <w:insideH w:val="single" w:sz="4" w:space="0" w:color="D9F4FA" w:themeColor="accent3" w:themeTint="99"/>
        <w:insideV w:val="single" w:sz="4" w:space="0" w:color="D9F4FA" w:themeColor="accent3" w:themeTint="99"/>
      </w:tblBorders>
    </w:tblPr>
    <w:tblStylePr w:type="firstRow">
      <w:rPr>
        <w:b/>
        <w:bCs/>
      </w:rPr>
      <w:tblPr/>
      <w:tcPr>
        <w:tcBorders>
          <w:bottom w:val="single" w:sz="12" w:space="0" w:color="D9F4FA" w:themeColor="accent3" w:themeTint="99"/>
        </w:tcBorders>
      </w:tcPr>
    </w:tblStylePr>
    <w:tblStylePr w:type="lastRow">
      <w:rPr>
        <w:b/>
        <w:bCs/>
      </w:rPr>
      <w:tblPr/>
      <w:tcPr>
        <w:tcBorders>
          <w:top w:val="double" w:sz="4" w:space="0" w:color="D9F4FA" w:themeColor="accent3" w:themeTint="99"/>
        </w:tcBorders>
      </w:tcPr>
    </w:tblStylePr>
    <w:tblStylePr w:type="firstCol">
      <w:rPr>
        <w:b/>
        <w:bCs/>
      </w:rPr>
    </w:tblStylePr>
    <w:tblStylePr w:type="lastCol">
      <w:rPr>
        <w:b/>
        <w:bCs/>
      </w:rPr>
    </w:tblStylePr>
    <w:tblStylePr w:type="band1Vert">
      <w:tblPr/>
      <w:tcPr>
        <w:shd w:val="clear" w:color="auto" w:fill="F2FBFD" w:themeFill="accent3" w:themeFillTint="33"/>
      </w:tcPr>
    </w:tblStylePr>
    <w:tblStylePr w:type="band1Horz">
      <w:tblPr/>
      <w:tcPr>
        <w:shd w:val="clear" w:color="auto" w:fill="F2FBFD" w:themeFill="accent3" w:themeFillTint="33"/>
      </w:tcPr>
    </w:tblStylePr>
  </w:style>
  <w:style w:type="table" w:styleId="GridTable6Colorful-Accent4">
    <w:name w:val="Grid Table 6 Colorful Accent 4"/>
    <w:basedOn w:val="TableNormal"/>
    <w:uiPriority w:val="51"/>
    <w:rsid w:val="00592D59"/>
    <w:rPr>
      <w:color w:val="159273" w:themeColor="accent4" w:themeShade="BF"/>
    </w:rPr>
    <w:tblPr>
      <w:tblStyleRowBandSize w:val="1"/>
      <w:tblStyleColBandSize w:val="1"/>
      <w:tblBorders>
        <w:top w:val="single" w:sz="4" w:space="0" w:color="68E9C9" w:themeColor="accent4" w:themeTint="99"/>
        <w:left w:val="single" w:sz="4" w:space="0" w:color="68E9C9" w:themeColor="accent4" w:themeTint="99"/>
        <w:bottom w:val="single" w:sz="4" w:space="0" w:color="68E9C9" w:themeColor="accent4" w:themeTint="99"/>
        <w:right w:val="single" w:sz="4" w:space="0" w:color="68E9C9" w:themeColor="accent4" w:themeTint="99"/>
        <w:insideH w:val="single" w:sz="4" w:space="0" w:color="68E9C9" w:themeColor="accent4" w:themeTint="99"/>
        <w:insideV w:val="single" w:sz="4" w:space="0" w:color="68E9C9" w:themeColor="accent4" w:themeTint="99"/>
      </w:tblBorders>
    </w:tblPr>
    <w:tblStylePr w:type="firstRow">
      <w:rPr>
        <w:b/>
        <w:bCs/>
      </w:rPr>
      <w:tblPr/>
      <w:tcPr>
        <w:tcBorders>
          <w:bottom w:val="single" w:sz="12" w:space="0" w:color="68E9C9" w:themeColor="accent4" w:themeTint="99"/>
        </w:tcBorders>
      </w:tcPr>
    </w:tblStylePr>
    <w:tblStylePr w:type="lastRow">
      <w:rPr>
        <w:b/>
        <w:bCs/>
      </w:rPr>
      <w:tblPr/>
      <w:tcPr>
        <w:tcBorders>
          <w:top w:val="double" w:sz="4" w:space="0" w:color="68E9C9" w:themeColor="accent4" w:themeTint="99"/>
        </w:tcBorders>
      </w:tcPr>
    </w:tblStylePr>
    <w:tblStylePr w:type="firstCol">
      <w:rPr>
        <w:b/>
        <w:bCs/>
      </w:rPr>
    </w:tblStylePr>
    <w:tblStylePr w:type="lastCol">
      <w:rPr>
        <w:b/>
        <w:bCs/>
      </w:rPr>
    </w:tblStylePr>
    <w:tblStylePr w:type="band1Vert">
      <w:tblPr/>
      <w:tcPr>
        <w:shd w:val="clear" w:color="auto" w:fill="CCF7ED" w:themeFill="accent4" w:themeFillTint="33"/>
      </w:tcPr>
    </w:tblStylePr>
    <w:tblStylePr w:type="band1Horz">
      <w:tblPr/>
      <w:tcPr>
        <w:shd w:val="clear" w:color="auto" w:fill="CCF7ED" w:themeFill="accent4" w:themeFillTint="33"/>
      </w:tcPr>
    </w:tblStylePr>
  </w:style>
  <w:style w:type="table" w:styleId="GridTable6Colorful-Accent5">
    <w:name w:val="Grid Table 6 Colorful Accent 5"/>
    <w:basedOn w:val="TableNormal"/>
    <w:uiPriority w:val="51"/>
    <w:rsid w:val="00592D59"/>
    <w:rPr>
      <w:color w:val="334953" w:themeColor="accent5" w:themeShade="BF"/>
    </w:rPr>
    <w:tblPr>
      <w:tblStyleRowBandSize w:val="1"/>
      <w:tblStyleColBandSize w:val="1"/>
      <w:tblBorders>
        <w:top w:val="single" w:sz="4" w:space="0" w:color="83A4B3" w:themeColor="accent5" w:themeTint="99"/>
        <w:left w:val="single" w:sz="4" w:space="0" w:color="83A4B3" w:themeColor="accent5" w:themeTint="99"/>
        <w:bottom w:val="single" w:sz="4" w:space="0" w:color="83A4B3" w:themeColor="accent5" w:themeTint="99"/>
        <w:right w:val="single" w:sz="4" w:space="0" w:color="83A4B3" w:themeColor="accent5" w:themeTint="99"/>
        <w:insideH w:val="single" w:sz="4" w:space="0" w:color="83A4B3" w:themeColor="accent5" w:themeTint="99"/>
        <w:insideV w:val="single" w:sz="4" w:space="0" w:color="83A4B3" w:themeColor="accent5" w:themeTint="99"/>
      </w:tblBorders>
    </w:tblPr>
    <w:tblStylePr w:type="firstRow">
      <w:rPr>
        <w:b/>
        <w:bCs/>
      </w:rPr>
      <w:tblPr/>
      <w:tcPr>
        <w:tcBorders>
          <w:bottom w:val="single" w:sz="12" w:space="0" w:color="83A4B3" w:themeColor="accent5" w:themeTint="99"/>
        </w:tcBorders>
      </w:tcPr>
    </w:tblStylePr>
    <w:tblStylePr w:type="lastRow">
      <w:rPr>
        <w:b/>
        <w:bCs/>
      </w:rPr>
      <w:tblPr/>
      <w:tcPr>
        <w:tcBorders>
          <w:top w:val="double" w:sz="4" w:space="0" w:color="83A4B3" w:themeColor="accent5" w:themeTint="99"/>
        </w:tcBorders>
      </w:tcPr>
    </w:tblStylePr>
    <w:tblStylePr w:type="firstCol">
      <w:rPr>
        <w:b/>
        <w:bCs/>
      </w:rPr>
    </w:tblStylePr>
    <w:tblStylePr w:type="lastCol">
      <w:rPr>
        <w:b/>
        <w:bCs/>
      </w:rPr>
    </w:tblStylePr>
    <w:tblStylePr w:type="band1Vert">
      <w:tblPr/>
      <w:tcPr>
        <w:shd w:val="clear" w:color="auto" w:fill="D5E0E5" w:themeFill="accent5" w:themeFillTint="33"/>
      </w:tcPr>
    </w:tblStylePr>
    <w:tblStylePr w:type="band1Horz">
      <w:tblPr/>
      <w:tcPr>
        <w:shd w:val="clear" w:color="auto" w:fill="D5E0E5" w:themeFill="accent5" w:themeFillTint="33"/>
      </w:tcPr>
    </w:tblStylePr>
  </w:style>
  <w:style w:type="table" w:styleId="GridTable6Colorful-Accent6">
    <w:name w:val="Grid Table 6 Colorful Accent 6"/>
    <w:basedOn w:val="TableNormal"/>
    <w:uiPriority w:val="51"/>
    <w:rsid w:val="00592D59"/>
    <w:rPr>
      <w:color w:val="152847" w:themeColor="accent6" w:themeShade="BF"/>
    </w:rPr>
    <w:tblPr>
      <w:tblStyleRowBandSize w:val="1"/>
      <w:tblStyleColBandSize w:val="1"/>
      <w:tblBorders>
        <w:top w:val="single" w:sz="4" w:space="0" w:color="4B7CCA" w:themeColor="accent6" w:themeTint="99"/>
        <w:left w:val="single" w:sz="4" w:space="0" w:color="4B7CCA" w:themeColor="accent6" w:themeTint="99"/>
        <w:bottom w:val="single" w:sz="4" w:space="0" w:color="4B7CCA" w:themeColor="accent6" w:themeTint="99"/>
        <w:right w:val="single" w:sz="4" w:space="0" w:color="4B7CCA" w:themeColor="accent6" w:themeTint="99"/>
        <w:insideH w:val="single" w:sz="4" w:space="0" w:color="4B7CCA" w:themeColor="accent6" w:themeTint="99"/>
        <w:insideV w:val="single" w:sz="4" w:space="0" w:color="4B7CCA" w:themeColor="accent6" w:themeTint="99"/>
      </w:tblBorders>
    </w:tblPr>
    <w:tblStylePr w:type="firstRow">
      <w:rPr>
        <w:b/>
        <w:bCs/>
      </w:rPr>
      <w:tblPr/>
      <w:tcPr>
        <w:tcBorders>
          <w:bottom w:val="single" w:sz="12" w:space="0" w:color="4B7CCA" w:themeColor="accent6" w:themeTint="99"/>
        </w:tcBorders>
      </w:tcPr>
    </w:tblStylePr>
    <w:tblStylePr w:type="lastRow">
      <w:rPr>
        <w:b/>
        <w:bCs/>
      </w:rPr>
      <w:tblPr/>
      <w:tcPr>
        <w:tcBorders>
          <w:top w:val="double" w:sz="4" w:space="0" w:color="4B7CCA" w:themeColor="accent6" w:themeTint="99"/>
        </w:tcBorders>
      </w:tcPr>
    </w:tblStylePr>
    <w:tblStylePr w:type="firstCol">
      <w:rPr>
        <w:b/>
        <w:bCs/>
      </w:rPr>
    </w:tblStylePr>
    <w:tblStylePr w:type="lastCol">
      <w:rPr>
        <w:b/>
        <w:bCs/>
      </w:rPr>
    </w:tblStylePr>
    <w:tblStylePr w:type="band1Vert">
      <w:tblPr/>
      <w:tcPr>
        <w:shd w:val="clear" w:color="auto" w:fill="C3D3ED" w:themeFill="accent6" w:themeFillTint="33"/>
      </w:tcPr>
    </w:tblStylePr>
    <w:tblStylePr w:type="band1Horz">
      <w:tblPr/>
      <w:tcPr>
        <w:shd w:val="clear" w:color="auto" w:fill="C3D3ED" w:themeFill="accent6" w:themeFillTint="33"/>
      </w:tcPr>
    </w:tblStylePr>
  </w:style>
  <w:style w:type="table" w:styleId="GridTable7Colorful">
    <w:name w:val="Grid Table 7 Colorful"/>
    <w:basedOn w:val="TableNormal"/>
    <w:uiPriority w:val="52"/>
    <w:rsid w:val="00592D5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92D59"/>
    <w:rPr>
      <w:color w:val="174E6A" w:themeColor="accent1" w:themeShade="BF"/>
    </w:rPr>
    <w:tblPr>
      <w:tblStyleRowBandSize w:val="1"/>
      <w:tblStyleColBandSize w:val="1"/>
      <w:tblBorders>
        <w:top w:val="single" w:sz="4" w:space="0" w:color="58AFDA" w:themeColor="accent1" w:themeTint="99"/>
        <w:left w:val="single" w:sz="4" w:space="0" w:color="58AFDA" w:themeColor="accent1" w:themeTint="99"/>
        <w:bottom w:val="single" w:sz="4" w:space="0" w:color="58AFDA" w:themeColor="accent1" w:themeTint="99"/>
        <w:right w:val="single" w:sz="4" w:space="0" w:color="58AFDA" w:themeColor="accent1" w:themeTint="99"/>
        <w:insideH w:val="single" w:sz="4" w:space="0" w:color="58AFDA" w:themeColor="accent1" w:themeTint="99"/>
        <w:insideV w:val="single" w:sz="4" w:space="0" w:color="58AFD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4F3" w:themeFill="accent1" w:themeFillTint="33"/>
      </w:tcPr>
    </w:tblStylePr>
    <w:tblStylePr w:type="band1Horz">
      <w:tblPr/>
      <w:tcPr>
        <w:shd w:val="clear" w:color="auto" w:fill="C7E4F3" w:themeFill="accent1" w:themeFillTint="33"/>
      </w:tcPr>
    </w:tblStylePr>
    <w:tblStylePr w:type="neCell">
      <w:tblPr/>
      <w:tcPr>
        <w:tcBorders>
          <w:bottom w:val="single" w:sz="4" w:space="0" w:color="58AFDA" w:themeColor="accent1" w:themeTint="99"/>
        </w:tcBorders>
      </w:tcPr>
    </w:tblStylePr>
    <w:tblStylePr w:type="nwCell">
      <w:tblPr/>
      <w:tcPr>
        <w:tcBorders>
          <w:bottom w:val="single" w:sz="4" w:space="0" w:color="58AFDA" w:themeColor="accent1" w:themeTint="99"/>
        </w:tcBorders>
      </w:tcPr>
    </w:tblStylePr>
    <w:tblStylePr w:type="seCell">
      <w:tblPr/>
      <w:tcPr>
        <w:tcBorders>
          <w:top w:val="single" w:sz="4" w:space="0" w:color="58AFDA" w:themeColor="accent1" w:themeTint="99"/>
        </w:tcBorders>
      </w:tcPr>
    </w:tblStylePr>
    <w:tblStylePr w:type="swCell">
      <w:tblPr/>
      <w:tcPr>
        <w:tcBorders>
          <w:top w:val="single" w:sz="4" w:space="0" w:color="58AFDA" w:themeColor="accent1" w:themeTint="99"/>
        </w:tcBorders>
      </w:tcPr>
    </w:tblStylePr>
  </w:style>
  <w:style w:type="table" w:styleId="GridTable7Colorful-Accent2">
    <w:name w:val="Grid Table 7 Colorful Accent 2"/>
    <w:basedOn w:val="TableNormal"/>
    <w:uiPriority w:val="52"/>
    <w:rsid w:val="00592D59"/>
    <w:rPr>
      <w:color w:val="1E9FD1" w:themeColor="accent2" w:themeShade="BF"/>
    </w:rPr>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insideV w:val="single" w:sz="4" w:space="0" w:color="9BD9F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2FA" w:themeFill="accent2" w:themeFillTint="33"/>
      </w:tcPr>
    </w:tblStylePr>
    <w:tblStylePr w:type="band1Horz">
      <w:tblPr/>
      <w:tcPr>
        <w:shd w:val="clear" w:color="auto" w:fill="DDF2FA" w:themeFill="accent2" w:themeFillTint="33"/>
      </w:tcPr>
    </w:tblStylePr>
    <w:tblStylePr w:type="neCell">
      <w:tblPr/>
      <w:tcPr>
        <w:tcBorders>
          <w:bottom w:val="single" w:sz="4" w:space="0" w:color="9BD9F0" w:themeColor="accent2" w:themeTint="99"/>
        </w:tcBorders>
      </w:tcPr>
    </w:tblStylePr>
    <w:tblStylePr w:type="nwCell">
      <w:tblPr/>
      <w:tcPr>
        <w:tcBorders>
          <w:bottom w:val="single" w:sz="4" w:space="0" w:color="9BD9F0" w:themeColor="accent2" w:themeTint="99"/>
        </w:tcBorders>
      </w:tcPr>
    </w:tblStylePr>
    <w:tblStylePr w:type="seCell">
      <w:tblPr/>
      <w:tcPr>
        <w:tcBorders>
          <w:top w:val="single" w:sz="4" w:space="0" w:color="9BD9F0" w:themeColor="accent2" w:themeTint="99"/>
        </w:tcBorders>
      </w:tcPr>
    </w:tblStylePr>
    <w:tblStylePr w:type="swCell">
      <w:tblPr/>
      <w:tcPr>
        <w:tcBorders>
          <w:top w:val="single" w:sz="4" w:space="0" w:color="9BD9F0" w:themeColor="accent2" w:themeTint="99"/>
        </w:tcBorders>
      </w:tcPr>
    </w:tblStylePr>
  </w:style>
  <w:style w:type="table" w:styleId="GridTable7Colorful-Accent3">
    <w:name w:val="Grid Table 7 Colorful Accent 3"/>
    <w:basedOn w:val="TableNormal"/>
    <w:uiPriority w:val="52"/>
    <w:rsid w:val="00592D59"/>
    <w:rPr>
      <w:color w:val="5CD0ED" w:themeColor="accent3" w:themeShade="BF"/>
    </w:rPr>
    <w:tblPr>
      <w:tblStyleRowBandSize w:val="1"/>
      <w:tblStyleColBandSize w:val="1"/>
      <w:tblBorders>
        <w:top w:val="single" w:sz="4" w:space="0" w:color="D9F4FA" w:themeColor="accent3" w:themeTint="99"/>
        <w:left w:val="single" w:sz="4" w:space="0" w:color="D9F4FA" w:themeColor="accent3" w:themeTint="99"/>
        <w:bottom w:val="single" w:sz="4" w:space="0" w:color="D9F4FA" w:themeColor="accent3" w:themeTint="99"/>
        <w:right w:val="single" w:sz="4" w:space="0" w:color="D9F4FA" w:themeColor="accent3" w:themeTint="99"/>
        <w:insideH w:val="single" w:sz="4" w:space="0" w:color="D9F4FA" w:themeColor="accent3" w:themeTint="99"/>
        <w:insideV w:val="single" w:sz="4" w:space="0" w:color="D9F4F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BFD" w:themeFill="accent3" w:themeFillTint="33"/>
      </w:tcPr>
    </w:tblStylePr>
    <w:tblStylePr w:type="band1Horz">
      <w:tblPr/>
      <w:tcPr>
        <w:shd w:val="clear" w:color="auto" w:fill="F2FBFD" w:themeFill="accent3" w:themeFillTint="33"/>
      </w:tcPr>
    </w:tblStylePr>
    <w:tblStylePr w:type="neCell">
      <w:tblPr/>
      <w:tcPr>
        <w:tcBorders>
          <w:bottom w:val="single" w:sz="4" w:space="0" w:color="D9F4FA" w:themeColor="accent3" w:themeTint="99"/>
        </w:tcBorders>
      </w:tcPr>
    </w:tblStylePr>
    <w:tblStylePr w:type="nwCell">
      <w:tblPr/>
      <w:tcPr>
        <w:tcBorders>
          <w:bottom w:val="single" w:sz="4" w:space="0" w:color="D9F4FA" w:themeColor="accent3" w:themeTint="99"/>
        </w:tcBorders>
      </w:tcPr>
    </w:tblStylePr>
    <w:tblStylePr w:type="seCell">
      <w:tblPr/>
      <w:tcPr>
        <w:tcBorders>
          <w:top w:val="single" w:sz="4" w:space="0" w:color="D9F4FA" w:themeColor="accent3" w:themeTint="99"/>
        </w:tcBorders>
      </w:tcPr>
    </w:tblStylePr>
    <w:tblStylePr w:type="swCell">
      <w:tblPr/>
      <w:tcPr>
        <w:tcBorders>
          <w:top w:val="single" w:sz="4" w:space="0" w:color="D9F4FA" w:themeColor="accent3" w:themeTint="99"/>
        </w:tcBorders>
      </w:tcPr>
    </w:tblStylePr>
  </w:style>
  <w:style w:type="table" w:styleId="GridTable7Colorful-Accent4">
    <w:name w:val="Grid Table 7 Colorful Accent 4"/>
    <w:basedOn w:val="TableNormal"/>
    <w:uiPriority w:val="52"/>
    <w:rsid w:val="00592D59"/>
    <w:rPr>
      <w:color w:val="159273" w:themeColor="accent4" w:themeShade="BF"/>
    </w:rPr>
    <w:tblPr>
      <w:tblStyleRowBandSize w:val="1"/>
      <w:tblStyleColBandSize w:val="1"/>
      <w:tblBorders>
        <w:top w:val="single" w:sz="4" w:space="0" w:color="68E9C9" w:themeColor="accent4" w:themeTint="99"/>
        <w:left w:val="single" w:sz="4" w:space="0" w:color="68E9C9" w:themeColor="accent4" w:themeTint="99"/>
        <w:bottom w:val="single" w:sz="4" w:space="0" w:color="68E9C9" w:themeColor="accent4" w:themeTint="99"/>
        <w:right w:val="single" w:sz="4" w:space="0" w:color="68E9C9" w:themeColor="accent4" w:themeTint="99"/>
        <w:insideH w:val="single" w:sz="4" w:space="0" w:color="68E9C9" w:themeColor="accent4" w:themeTint="99"/>
        <w:insideV w:val="single" w:sz="4" w:space="0" w:color="68E9C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7ED" w:themeFill="accent4" w:themeFillTint="33"/>
      </w:tcPr>
    </w:tblStylePr>
    <w:tblStylePr w:type="band1Horz">
      <w:tblPr/>
      <w:tcPr>
        <w:shd w:val="clear" w:color="auto" w:fill="CCF7ED" w:themeFill="accent4" w:themeFillTint="33"/>
      </w:tcPr>
    </w:tblStylePr>
    <w:tblStylePr w:type="neCell">
      <w:tblPr/>
      <w:tcPr>
        <w:tcBorders>
          <w:bottom w:val="single" w:sz="4" w:space="0" w:color="68E9C9" w:themeColor="accent4" w:themeTint="99"/>
        </w:tcBorders>
      </w:tcPr>
    </w:tblStylePr>
    <w:tblStylePr w:type="nwCell">
      <w:tblPr/>
      <w:tcPr>
        <w:tcBorders>
          <w:bottom w:val="single" w:sz="4" w:space="0" w:color="68E9C9" w:themeColor="accent4" w:themeTint="99"/>
        </w:tcBorders>
      </w:tcPr>
    </w:tblStylePr>
    <w:tblStylePr w:type="seCell">
      <w:tblPr/>
      <w:tcPr>
        <w:tcBorders>
          <w:top w:val="single" w:sz="4" w:space="0" w:color="68E9C9" w:themeColor="accent4" w:themeTint="99"/>
        </w:tcBorders>
      </w:tcPr>
    </w:tblStylePr>
    <w:tblStylePr w:type="swCell">
      <w:tblPr/>
      <w:tcPr>
        <w:tcBorders>
          <w:top w:val="single" w:sz="4" w:space="0" w:color="68E9C9" w:themeColor="accent4" w:themeTint="99"/>
        </w:tcBorders>
      </w:tcPr>
    </w:tblStylePr>
  </w:style>
  <w:style w:type="table" w:styleId="GridTable7Colorful-Accent5">
    <w:name w:val="Grid Table 7 Colorful Accent 5"/>
    <w:basedOn w:val="TableNormal"/>
    <w:uiPriority w:val="52"/>
    <w:rsid w:val="00592D59"/>
    <w:rPr>
      <w:color w:val="334953" w:themeColor="accent5" w:themeShade="BF"/>
    </w:rPr>
    <w:tblPr>
      <w:tblStyleRowBandSize w:val="1"/>
      <w:tblStyleColBandSize w:val="1"/>
      <w:tblBorders>
        <w:top w:val="single" w:sz="4" w:space="0" w:color="83A4B3" w:themeColor="accent5" w:themeTint="99"/>
        <w:left w:val="single" w:sz="4" w:space="0" w:color="83A4B3" w:themeColor="accent5" w:themeTint="99"/>
        <w:bottom w:val="single" w:sz="4" w:space="0" w:color="83A4B3" w:themeColor="accent5" w:themeTint="99"/>
        <w:right w:val="single" w:sz="4" w:space="0" w:color="83A4B3" w:themeColor="accent5" w:themeTint="99"/>
        <w:insideH w:val="single" w:sz="4" w:space="0" w:color="83A4B3" w:themeColor="accent5" w:themeTint="99"/>
        <w:insideV w:val="single" w:sz="4" w:space="0" w:color="83A4B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0E5" w:themeFill="accent5" w:themeFillTint="33"/>
      </w:tcPr>
    </w:tblStylePr>
    <w:tblStylePr w:type="band1Horz">
      <w:tblPr/>
      <w:tcPr>
        <w:shd w:val="clear" w:color="auto" w:fill="D5E0E5" w:themeFill="accent5" w:themeFillTint="33"/>
      </w:tcPr>
    </w:tblStylePr>
    <w:tblStylePr w:type="neCell">
      <w:tblPr/>
      <w:tcPr>
        <w:tcBorders>
          <w:bottom w:val="single" w:sz="4" w:space="0" w:color="83A4B3" w:themeColor="accent5" w:themeTint="99"/>
        </w:tcBorders>
      </w:tcPr>
    </w:tblStylePr>
    <w:tblStylePr w:type="nwCell">
      <w:tblPr/>
      <w:tcPr>
        <w:tcBorders>
          <w:bottom w:val="single" w:sz="4" w:space="0" w:color="83A4B3" w:themeColor="accent5" w:themeTint="99"/>
        </w:tcBorders>
      </w:tcPr>
    </w:tblStylePr>
    <w:tblStylePr w:type="seCell">
      <w:tblPr/>
      <w:tcPr>
        <w:tcBorders>
          <w:top w:val="single" w:sz="4" w:space="0" w:color="83A4B3" w:themeColor="accent5" w:themeTint="99"/>
        </w:tcBorders>
      </w:tcPr>
    </w:tblStylePr>
    <w:tblStylePr w:type="swCell">
      <w:tblPr/>
      <w:tcPr>
        <w:tcBorders>
          <w:top w:val="single" w:sz="4" w:space="0" w:color="83A4B3" w:themeColor="accent5" w:themeTint="99"/>
        </w:tcBorders>
      </w:tcPr>
    </w:tblStylePr>
  </w:style>
  <w:style w:type="table" w:styleId="ListTable7Colorful-Accent6">
    <w:name w:val="List Table 7 Colorful Accent 6"/>
    <w:basedOn w:val="TableNormal"/>
    <w:uiPriority w:val="52"/>
    <w:rsid w:val="00592D59"/>
    <w:rPr>
      <w:color w:val="15284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C365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C365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C365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C365F" w:themeColor="accent6"/>
        </w:tcBorders>
        <w:shd w:val="clear" w:color="auto" w:fill="FFFFFF" w:themeFill="background1"/>
      </w:tcPr>
    </w:tblStylePr>
    <w:tblStylePr w:type="band1Vert">
      <w:tblPr/>
      <w:tcPr>
        <w:shd w:val="clear" w:color="auto" w:fill="C3D3ED" w:themeFill="accent6" w:themeFillTint="33"/>
      </w:tcPr>
    </w:tblStylePr>
    <w:tblStylePr w:type="band1Horz">
      <w:tblPr/>
      <w:tcPr>
        <w:shd w:val="clear" w:color="auto" w:fill="C3D3E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92D59"/>
    <w:rPr>
      <w:color w:val="33495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626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626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626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626F" w:themeColor="accent5"/>
        </w:tcBorders>
        <w:shd w:val="clear" w:color="auto" w:fill="FFFFFF" w:themeFill="background1"/>
      </w:tcPr>
    </w:tblStylePr>
    <w:tblStylePr w:type="band1Vert">
      <w:tblPr/>
      <w:tcPr>
        <w:shd w:val="clear" w:color="auto" w:fill="D5E0E5" w:themeFill="accent5" w:themeFillTint="33"/>
      </w:tcPr>
    </w:tblStylePr>
    <w:tblStylePr w:type="band1Horz">
      <w:tblPr/>
      <w:tcPr>
        <w:shd w:val="clear" w:color="auto" w:fill="D5E0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92D59"/>
    <w:rPr>
      <w:color w:val="15927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CC49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CC49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CC49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CC49B" w:themeColor="accent4"/>
        </w:tcBorders>
        <w:shd w:val="clear" w:color="auto" w:fill="FFFFFF" w:themeFill="background1"/>
      </w:tcPr>
    </w:tblStylePr>
    <w:tblStylePr w:type="band1Vert">
      <w:tblPr/>
      <w:tcPr>
        <w:shd w:val="clear" w:color="auto" w:fill="CCF7ED" w:themeFill="accent4" w:themeFillTint="33"/>
      </w:tcPr>
    </w:tblStylePr>
    <w:tblStylePr w:type="band1Horz">
      <w:tblPr/>
      <w:tcPr>
        <w:shd w:val="clear" w:color="auto" w:fill="CCF7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92D59"/>
    <w:rPr>
      <w:color w:val="5CD0ED"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EDF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EDF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EDF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EDF8" w:themeColor="accent3"/>
        </w:tcBorders>
        <w:shd w:val="clear" w:color="auto" w:fill="FFFFFF" w:themeFill="background1"/>
      </w:tcPr>
    </w:tblStylePr>
    <w:tblStylePr w:type="band1Vert">
      <w:tblPr/>
      <w:tcPr>
        <w:shd w:val="clear" w:color="auto" w:fill="F2FBFD" w:themeFill="accent3" w:themeFillTint="33"/>
      </w:tcPr>
    </w:tblStylePr>
    <w:tblStylePr w:type="band1Horz">
      <w:tblPr/>
      <w:tcPr>
        <w:shd w:val="clear" w:color="auto" w:fill="F2FBF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Format">
    <w:name w:val="Table Format"/>
    <w:basedOn w:val="Body"/>
    <w:next w:val="Body"/>
    <w:qFormat/>
    <w:rsid w:val="00D36059"/>
    <w:pPr>
      <w:spacing w:before="60" w:after="60" w:line="240" w:lineRule="auto"/>
    </w:pPr>
    <w:rPr>
      <w:sz w:val="18"/>
    </w:rPr>
  </w:style>
  <w:style w:type="paragraph" w:styleId="TableofFigures">
    <w:name w:val="table of figures"/>
    <w:basedOn w:val="Normal"/>
    <w:next w:val="Normal"/>
    <w:uiPriority w:val="99"/>
    <w:unhideWhenUsed/>
    <w:rsid w:val="00302D21"/>
    <w:pPr>
      <w:spacing w:before="60" w:after="60"/>
      <w:ind w:left="1418" w:right="567" w:hanging="1418"/>
    </w:pPr>
  </w:style>
  <w:style w:type="paragraph" w:customStyle="1" w:styleId="BodyIndent">
    <w:name w:val="Body Indent"/>
    <w:basedOn w:val="Body"/>
    <w:qFormat/>
    <w:rsid w:val="00902487"/>
    <w:pPr>
      <w:ind w:left="851"/>
    </w:pPr>
  </w:style>
  <w:style w:type="table" w:styleId="PlainTable1">
    <w:name w:val="Plain Table 1"/>
    <w:basedOn w:val="TableNormal"/>
    <w:uiPriority w:val="41"/>
    <w:rsid w:val="004F20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455EB8"/>
    <w:rPr>
      <w:szCs w:val="20"/>
    </w:rPr>
  </w:style>
  <w:style w:type="character" w:customStyle="1" w:styleId="FootnoteTextChar">
    <w:name w:val="Footnote Text Char"/>
    <w:basedOn w:val="DefaultParagraphFont"/>
    <w:link w:val="FootnoteText"/>
    <w:uiPriority w:val="99"/>
    <w:semiHidden/>
    <w:rsid w:val="00455EB8"/>
    <w:rPr>
      <w:rFonts w:ascii="Arial" w:hAnsi="Arial"/>
      <w:sz w:val="20"/>
      <w:szCs w:val="20"/>
    </w:rPr>
  </w:style>
  <w:style w:type="character" w:styleId="FootnoteReference">
    <w:name w:val="footnote reference"/>
    <w:basedOn w:val="DefaultParagraphFont"/>
    <w:uiPriority w:val="99"/>
    <w:semiHidden/>
    <w:unhideWhenUsed/>
    <w:rsid w:val="00455EB8"/>
    <w:rPr>
      <w:vertAlign w:val="superscript"/>
    </w:rPr>
  </w:style>
  <w:style w:type="paragraph" w:customStyle="1" w:styleId="Codeframe">
    <w:name w:val="Codeframe"/>
    <w:basedOn w:val="Normal"/>
    <w:link w:val="CodeframeChar"/>
    <w:qFormat/>
    <w:rsid w:val="004177CB"/>
    <w:pPr>
      <w:suppressAutoHyphens/>
      <w:ind w:left="1276" w:hanging="426"/>
      <w:jc w:val="both"/>
    </w:pPr>
    <w:rPr>
      <w:rFonts w:cs="Arial"/>
      <w:noProof/>
      <w:color w:val="000000"/>
      <w:spacing w:val="-3"/>
      <w:szCs w:val="20"/>
    </w:rPr>
  </w:style>
  <w:style w:type="character" w:customStyle="1" w:styleId="CodeframeChar">
    <w:name w:val="Codeframe Char"/>
    <w:link w:val="Codeframe"/>
    <w:rsid w:val="004177CB"/>
    <w:rPr>
      <w:rFonts w:ascii="Arial" w:hAnsi="Arial" w:cs="Arial"/>
      <w:noProof/>
      <w:color w:val="000000"/>
      <w:spacing w:val="-3"/>
      <w:sz w:val="20"/>
      <w:szCs w:val="20"/>
    </w:rPr>
  </w:style>
  <w:style w:type="character" w:styleId="CommentReference">
    <w:name w:val="annotation reference"/>
    <w:basedOn w:val="DefaultParagraphFont"/>
    <w:uiPriority w:val="99"/>
    <w:semiHidden/>
    <w:unhideWhenUsed/>
    <w:rsid w:val="00A071BF"/>
    <w:rPr>
      <w:sz w:val="16"/>
      <w:szCs w:val="16"/>
    </w:rPr>
  </w:style>
  <w:style w:type="paragraph" w:styleId="CommentText">
    <w:name w:val="annotation text"/>
    <w:basedOn w:val="Normal"/>
    <w:link w:val="CommentTextChar"/>
    <w:uiPriority w:val="99"/>
    <w:semiHidden/>
    <w:unhideWhenUsed/>
    <w:rsid w:val="00A071BF"/>
    <w:rPr>
      <w:szCs w:val="20"/>
    </w:rPr>
  </w:style>
  <w:style w:type="character" w:customStyle="1" w:styleId="CommentTextChar">
    <w:name w:val="Comment Text Char"/>
    <w:basedOn w:val="DefaultParagraphFont"/>
    <w:link w:val="CommentText"/>
    <w:uiPriority w:val="99"/>
    <w:semiHidden/>
    <w:rsid w:val="00A071B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07574"/>
    <w:rPr>
      <w:b/>
      <w:bCs/>
    </w:rPr>
  </w:style>
  <w:style w:type="character" w:customStyle="1" w:styleId="CommentSubjectChar">
    <w:name w:val="Comment Subject Char"/>
    <w:basedOn w:val="CommentTextChar"/>
    <w:link w:val="CommentSubject"/>
    <w:uiPriority w:val="99"/>
    <w:semiHidden/>
    <w:rsid w:val="00E07574"/>
    <w:rPr>
      <w:rFonts w:ascii="Arial" w:hAnsi="Arial"/>
      <w:b/>
      <w:bCs/>
      <w:sz w:val="20"/>
      <w:szCs w:val="20"/>
    </w:rPr>
  </w:style>
  <w:style w:type="paragraph" w:styleId="EndnoteText">
    <w:name w:val="endnote text"/>
    <w:basedOn w:val="Normal"/>
    <w:link w:val="EndnoteTextChar"/>
    <w:uiPriority w:val="99"/>
    <w:semiHidden/>
    <w:unhideWhenUsed/>
    <w:rsid w:val="00C33C8C"/>
    <w:rPr>
      <w:szCs w:val="20"/>
    </w:rPr>
  </w:style>
  <w:style w:type="character" w:customStyle="1" w:styleId="EndnoteTextChar">
    <w:name w:val="Endnote Text Char"/>
    <w:basedOn w:val="DefaultParagraphFont"/>
    <w:link w:val="EndnoteText"/>
    <w:uiPriority w:val="99"/>
    <w:semiHidden/>
    <w:rsid w:val="00C33C8C"/>
    <w:rPr>
      <w:rFonts w:ascii="Arial" w:hAnsi="Arial"/>
      <w:sz w:val="20"/>
      <w:szCs w:val="20"/>
    </w:rPr>
  </w:style>
  <w:style w:type="character" w:styleId="EndnoteReference">
    <w:name w:val="endnote reference"/>
    <w:basedOn w:val="DefaultParagraphFont"/>
    <w:uiPriority w:val="99"/>
    <w:semiHidden/>
    <w:unhideWhenUsed/>
    <w:rsid w:val="00C33C8C"/>
    <w:rPr>
      <w:vertAlign w:val="superscript"/>
    </w:rPr>
  </w:style>
  <w:style w:type="paragraph" w:styleId="Revision">
    <w:name w:val="Revision"/>
    <w:hidden/>
    <w:uiPriority w:val="99"/>
    <w:semiHidden/>
    <w:rsid w:val="003D6248"/>
    <w:rPr>
      <w:rFonts w:ascii="Arial" w:hAnsi="Arial"/>
      <w:sz w:val="20"/>
    </w:rPr>
  </w:style>
  <w:style w:type="table" w:customStyle="1" w:styleId="SRC21">
    <w:name w:val="SRC 21"/>
    <w:basedOn w:val="TableNormal"/>
    <w:next w:val="TableGrid"/>
    <w:uiPriority w:val="39"/>
    <w:rsid w:val="003D6248"/>
    <w:rPr>
      <w:rFonts w:ascii="Arial" w:hAnsi="Arial"/>
      <w:sz w:val="18"/>
    </w:rPr>
    <w:tblPr>
      <w:tblStyleRowBandSize w:val="1"/>
      <w:tblStyleColBandSize w:val="1"/>
      <w:tblBorders>
        <w:bottom w:val="single" w:sz="4" w:space="0" w:color="1F698E" w:themeColor="accent1"/>
      </w:tblBorders>
    </w:tblPr>
    <w:tblStylePr w:type="firstRow">
      <w:pPr>
        <w:wordWrap/>
        <w:spacing w:beforeLines="0" w:before="60" w:beforeAutospacing="0" w:afterLines="0" w:after="60" w:afterAutospacing="0" w:line="240" w:lineRule="auto"/>
        <w:contextualSpacing w:val="0"/>
        <w:jc w:val="center"/>
      </w:pPr>
      <w:rPr>
        <w:rFonts w:ascii="Arial" w:hAnsi="Arial"/>
        <w:b/>
        <w:color w:val="FFFFFF" w:themeColor="background1"/>
        <w:sz w:val="18"/>
      </w:rPr>
      <w:tblPr/>
      <w:tcPr>
        <w:tcBorders>
          <w:top w:val="nil"/>
          <w:left w:val="nil"/>
          <w:bottom w:val="nil"/>
          <w:right w:val="nil"/>
          <w:insideH w:val="nil"/>
          <w:insideV w:val="nil"/>
          <w:tl2br w:val="nil"/>
          <w:tr2bl w:val="nil"/>
        </w:tcBorders>
        <w:shd w:val="clear" w:color="auto" w:fill="1F698E" w:themeFill="accent1"/>
      </w:tcPr>
    </w:tblStylePr>
    <w:tblStylePr w:type="lastRow">
      <w:pPr>
        <w:wordWrap/>
        <w:spacing w:beforeLines="0" w:before="60" w:beforeAutospacing="0" w:afterLines="0" w:after="60" w:afterAutospacing="0" w:line="240" w:lineRule="auto"/>
        <w:contextualSpacing w:val="0"/>
      </w:pPr>
      <w:tblPr/>
      <w:tcPr>
        <w:tcBorders>
          <w:top w:val="nil"/>
          <w:left w:val="nil"/>
          <w:bottom w:val="single" w:sz="6" w:space="0" w:color="1F698E" w:themeColor="accent1"/>
          <w:right w:val="nil"/>
          <w:insideH w:val="nil"/>
          <w:insideV w:val="nil"/>
          <w:tl2br w:val="nil"/>
          <w:tr2bl w:val="nil"/>
        </w:tcBorders>
      </w:tcPr>
    </w:tblStylePr>
    <w:tblStylePr w:type="firstCol">
      <w:pPr>
        <w:jc w:val="left"/>
      </w:pPr>
      <w:rPr>
        <w:rFonts w:ascii="Arial" w:hAnsi="Arial"/>
        <w:sz w:val="18"/>
      </w:rPr>
      <w:tblPr/>
      <w:tcPr>
        <w:tcBorders>
          <w:top w:val="nil"/>
          <w:left w:val="nil"/>
          <w:bottom w:val="nil"/>
          <w:right w:val="nil"/>
          <w:insideH w:val="nil"/>
          <w:insideV w:val="nil"/>
          <w:tl2br w:val="nil"/>
          <w:tr2bl w:val="nil"/>
        </w:tcBorders>
      </w:tcPr>
    </w:tblStylePr>
    <w:tblStylePr w:type="lastCol">
      <w:pPr>
        <w:jc w:val="right"/>
      </w:pPr>
      <w:tblPr/>
      <w:tcPr>
        <w:tcBorders>
          <w:bottom w:val="nil"/>
        </w:tcBorders>
        <w:vAlign w:val="center"/>
      </w:tcPr>
    </w:tblStylePr>
    <w:tblStylePr w:type="band1Vert">
      <w:pPr>
        <w:jc w:val="right"/>
      </w:pPr>
      <w:tblPr/>
      <w:tcPr>
        <w:tcBorders>
          <w:top w:val="nil"/>
          <w:left w:val="nil"/>
          <w:bottom w:val="nil"/>
          <w:right w:val="nil"/>
          <w:insideH w:val="nil"/>
          <w:insideV w:val="nil"/>
          <w:tl2br w:val="nil"/>
          <w:tr2bl w:val="nil"/>
        </w:tcBorders>
      </w:tcPr>
    </w:tblStylePr>
    <w:tblStylePr w:type="band2Vert">
      <w:pPr>
        <w:jc w:val="right"/>
      </w:pPr>
      <w:tblPr/>
      <w:tcPr>
        <w:tcBorders>
          <w:top w:val="nil"/>
          <w:left w:val="nil"/>
          <w:bottom w:val="nil"/>
          <w:right w:val="nil"/>
          <w:insideH w:val="nil"/>
          <w:insideV w:val="nil"/>
          <w:tl2br w:val="nil"/>
          <w:tr2bl w:val="nil"/>
        </w:tcBorders>
      </w:tcPr>
    </w:tblStylePr>
    <w:tblStylePr w:type="band1Horz">
      <w:pPr>
        <w:wordWrap/>
        <w:spacing w:beforeLines="0" w:before="60" w:beforeAutospacing="0" w:afterLines="0" w:after="60" w:afterAutospacing="0" w:line="240" w:lineRule="auto"/>
        <w:contextualSpacing w:val="0"/>
        <w:jc w:val="right"/>
      </w:p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7E4F3" w:themeFill="accent1" w:themeFillTint="33"/>
      </w:tcPr>
    </w:tblStylePr>
    <w:tblStylePr w:type="band2Horz">
      <w:pPr>
        <w:wordWrap/>
        <w:spacing w:beforeLines="0" w:before="60" w:beforeAutospacing="0" w:afterLines="0" w:after="60" w:afterAutospacing="0" w:line="240" w:lineRule="auto"/>
        <w:contextualSpacing w:val="0"/>
        <w:jc w:val="right"/>
      </w:pPr>
      <w:rPr>
        <w:rFonts w:ascii="Arial" w:hAnsi="Arial"/>
        <w:sz w:val="18"/>
      </w:rPr>
      <w:tblPr/>
      <w:tcPr>
        <w:tcBorders>
          <w:top w:val="nil"/>
          <w:left w:val="nil"/>
          <w:bottom w:val="nil"/>
          <w:right w:val="nil"/>
          <w:insideH w:val="nil"/>
          <w:insideV w:val="nil"/>
          <w:tl2br w:val="nil"/>
          <w:tr2bl w:val="nil"/>
        </w:tcBorders>
        <w:vAlign w:val="center"/>
      </w:tcPr>
    </w:tblStylePr>
  </w:style>
  <w:style w:type="table" w:customStyle="1" w:styleId="SRC11">
    <w:name w:val="SRC 11"/>
    <w:basedOn w:val="TableNormal"/>
    <w:uiPriority w:val="99"/>
    <w:rsid w:val="005050E6"/>
    <w:pPr>
      <w:spacing w:before="60" w:after="60"/>
    </w:pPr>
    <w:rPr>
      <w:rFonts w:ascii="Arial" w:hAnsi="Arial"/>
      <w:sz w:val="18"/>
    </w:rPr>
    <w:tblPr>
      <w:tblStyleRowBandSize w:val="1"/>
      <w:tblStyleColBandSize w:val="1"/>
      <w:tblBorders>
        <w:bottom w:val="single" w:sz="4" w:space="0" w:color="1F698E" w:themeColor="accent1"/>
      </w:tblBorders>
    </w:tblPr>
    <w:tblStylePr w:type="firstRow">
      <w:pPr>
        <w:wordWrap/>
        <w:spacing w:beforeLines="0" w:before="60" w:beforeAutospacing="0" w:afterLines="0" w:after="60" w:afterAutospacing="0" w:line="240" w:lineRule="auto"/>
        <w:contextualSpacing w:val="0"/>
        <w:jc w:val="left"/>
      </w:pPr>
      <w:rPr>
        <w:rFonts w:ascii="Arial" w:hAnsi="Arial"/>
        <w:b/>
        <w:color w:val="FFFFFF" w:themeColor="background1"/>
        <w:sz w:val="18"/>
      </w:rPr>
      <w:tblPr/>
      <w:tcPr>
        <w:shd w:val="clear" w:color="auto" w:fill="1F698E" w:themeFill="accent1"/>
        <w:vAlign w:val="center"/>
      </w:tcPr>
    </w:tblStylePr>
    <w:tblStylePr w:type="lastRow">
      <w:pPr>
        <w:wordWrap/>
        <w:spacing w:beforeLines="0" w:before="60" w:beforeAutospacing="0" w:afterLines="0" w:after="60" w:afterAutospacing="0" w:line="240" w:lineRule="auto"/>
        <w:contextualSpacing w:val="0"/>
        <w:jc w:val="left"/>
      </w:pPr>
      <w:rPr>
        <w:rFonts w:ascii="Arial" w:hAnsi="Arial"/>
        <w:sz w:val="18"/>
      </w:rPr>
    </w:tblStylePr>
    <w:tblStylePr w:type="firstCol">
      <w:pPr>
        <w:wordWrap/>
        <w:spacing w:beforeLines="0" w:before="60" w:beforeAutospacing="0" w:afterLines="0" w:after="60" w:afterAutospacing="0" w:line="240" w:lineRule="auto"/>
        <w:contextualSpacing w:val="0"/>
        <w:jc w:val="left"/>
      </w:pPr>
      <w:rPr>
        <w:rFonts w:ascii="Arial" w:hAnsi="Arial"/>
        <w:sz w:val="18"/>
      </w:rPr>
      <w:tblPr/>
      <w:tcPr>
        <w:vAlign w:val="center"/>
      </w:tcPr>
    </w:tblStylePr>
    <w:tblStylePr w:type="lastCol">
      <w:rPr>
        <w:rFonts w:ascii="Arial" w:hAnsi="Arial"/>
        <w:sz w:val="18"/>
      </w:rPr>
    </w:tblStylePr>
    <w:tblStylePr w:type="band1Vert">
      <w:pPr>
        <w:wordWrap/>
        <w:spacing w:beforeLines="0" w:before="60" w:beforeAutospacing="0" w:afterLines="0" w:after="60" w:afterAutospacing="0" w:line="240" w:lineRule="auto"/>
        <w:ind w:rightChars="0" w:right="113"/>
        <w:contextualSpacing w:val="0"/>
        <w:jc w:val="left"/>
        <w:outlineLvl w:val="9"/>
      </w:pPr>
      <w:rPr>
        <w:rFonts w:ascii="Arial" w:hAnsi="Arial"/>
        <w:sz w:val="18"/>
      </w:rPr>
      <w:tblPr/>
      <w:tcPr>
        <w:vAlign w:val="center"/>
      </w:tcPr>
    </w:tblStylePr>
    <w:tblStylePr w:type="band2Vert">
      <w:pPr>
        <w:wordWrap/>
        <w:spacing w:beforeLines="0" w:before="60" w:beforeAutospacing="0" w:afterLines="0" w:after="60" w:afterAutospacing="0" w:line="240" w:lineRule="auto"/>
        <w:ind w:rightChars="0" w:right="113"/>
        <w:contextualSpacing w:val="0"/>
        <w:jc w:val="left"/>
      </w:pPr>
      <w:rPr>
        <w:rFonts w:ascii="Arial" w:hAnsi="Arial"/>
        <w:sz w:val="18"/>
      </w:r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left"/>
      </w:pPr>
      <w:rPr>
        <w:rFonts w:ascii="Arial" w:hAnsi="Arial"/>
        <w:sz w:val="18"/>
      </w:rPr>
      <w:tblPr/>
      <w:tcPr>
        <w:shd w:val="clear" w:color="auto" w:fill="C7E4F3" w:themeFill="accent1" w:themeFillTint="33"/>
        <w:vAlign w:val="center"/>
      </w:tcPr>
    </w:tblStylePr>
    <w:tblStylePr w:type="band2Horz">
      <w:pPr>
        <w:wordWrap/>
        <w:spacing w:beforeLines="0" w:before="60" w:beforeAutospacing="0" w:afterLines="0" w:after="60" w:afterAutospacing="0"/>
        <w:contextualSpacing w:val="0"/>
        <w:jc w:val="left"/>
      </w:pPr>
      <w:rPr>
        <w:rFonts w:ascii="Arial" w:hAnsi="Arial"/>
        <w:sz w:val="18"/>
      </w:rPr>
      <w:tblPr/>
      <w:tcPr>
        <w:vAlign w:val="center"/>
      </w:tcPr>
    </w:tblStylePr>
    <w:tblStylePr w:type="neCell">
      <w:rPr>
        <w:rFonts w:ascii="Arial" w:hAnsi="Arial"/>
        <w:sz w:val="18"/>
      </w:rPr>
    </w:tblStylePr>
    <w:tblStylePr w:type="nwCell">
      <w:rPr>
        <w:rFonts w:ascii="Arial" w:hAnsi="Arial"/>
        <w:sz w:val="18"/>
      </w:rPr>
    </w:tblStylePr>
    <w:tblStylePr w:type="seCell">
      <w:rPr>
        <w:rFonts w:ascii="Arial" w:hAnsi="Arial"/>
        <w:sz w:val="18"/>
      </w:rPr>
    </w:tblStylePr>
    <w:tblStylePr w:type="swCell">
      <w:rPr>
        <w:rFonts w:ascii="Arial" w:hAnsi="Arial"/>
        <w:sz w:val="18"/>
      </w:rPr>
    </w:tblStylePr>
  </w:style>
  <w:style w:type="table" w:customStyle="1" w:styleId="SRC12">
    <w:name w:val="SRC 12"/>
    <w:basedOn w:val="TableNormal"/>
    <w:uiPriority w:val="99"/>
    <w:rsid w:val="00AD6CD9"/>
    <w:pPr>
      <w:spacing w:before="60" w:after="60"/>
    </w:pPr>
    <w:rPr>
      <w:rFonts w:ascii="Arial" w:hAnsi="Arial"/>
      <w:sz w:val="18"/>
    </w:rPr>
    <w:tblPr>
      <w:tblStyleRowBandSize w:val="1"/>
      <w:tblStyleColBandSize w:val="1"/>
      <w:tblBorders>
        <w:bottom w:val="single" w:sz="4" w:space="0" w:color="1F698E" w:themeColor="accent1"/>
      </w:tblBorders>
    </w:tblPr>
    <w:tblStylePr w:type="firstRow">
      <w:pPr>
        <w:wordWrap/>
        <w:spacing w:beforeLines="0" w:before="60" w:beforeAutospacing="0" w:afterLines="0" w:after="60" w:afterAutospacing="0" w:line="240" w:lineRule="auto"/>
        <w:contextualSpacing w:val="0"/>
        <w:jc w:val="left"/>
      </w:pPr>
      <w:rPr>
        <w:rFonts w:ascii="Arial" w:hAnsi="Arial"/>
        <w:b/>
        <w:color w:val="FFFFFF" w:themeColor="background1"/>
        <w:sz w:val="18"/>
      </w:rPr>
      <w:tblPr/>
      <w:tcPr>
        <w:shd w:val="clear" w:color="auto" w:fill="1F698E" w:themeFill="accent1"/>
        <w:vAlign w:val="center"/>
      </w:tcPr>
    </w:tblStylePr>
    <w:tblStylePr w:type="lastRow">
      <w:pPr>
        <w:wordWrap/>
        <w:spacing w:beforeLines="0" w:before="60" w:beforeAutospacing="0" w:afterLines="0" w:after="60" w:afterAutospacing="0" w:line="240" w:lineRule="auto"/>
        <w:contextualSpacing w:val="0"/>
        <w:jc w:val="left"/>
      </w:pPr>
      <w:rPr>
        <w:rFonts w:ascii="Arial" w:hAnsi="Arial"/>
        <w:sz w:val="18"/>
      </w:rPr>
    </w:tblStylePr>
    <w:tblStylePr w:type="firstCol">
      <w:pPr>
        <w:wordWrap/>
        <w:spacing w:beforeLines="0" w:before="60" w:beforeAutospacing="0" w:afterLines="0" w:after="60" w:afterAutospacing="0" w:line="240" w:lineRule="auto"/>
        <w:contextualSpacing w:val="0"/>
        <w:jc w:val="left"/>
      </w:pPr>
      <w:rPr>
        <w:rFonts w:ascii="Arial" w:hAnsi="Arial"/>
        <w:sz w:val="18"/>
      </w:rPr>
      <w:tblPr/>
      <w:tcPr>
        <w:vAlign w:val="center"/>
      </w:tcPr>
    </w:tblStylePr>
    <w:tblStylePr w:type="lastCol">
      <w:rPr>
        <w:rFonts w:ascii="Arial" w:hAnsi="Arial"/>
        <w:sz w:val="18"/>
      </w:rPr>
    </w:tblStylePr>
    <w:tblStylePr w:type="band1Vert">
      <w:pPr>
        <w:wordWrap/>
        <w:spacing w:beforeLines="0" w:before="60" w:beforeAutospacing="0" w:afterLines="0" w:after="60" w:afterAutospacing="0" w:line="240" w:lineRule="auto"/>
        <w:ind w:rightChars="0" w:right="113"/>
        <w:contextualSpacing w:val="0"/>
        <w:jc w:val="left"/>
        <w:outlineLvl w:val="9"/>
      </w:pPr>
      <w:rPr>
        <w:rFonts w:ascii="Arial" w:hAnsi="Arial"/>
        <w:sz w:val="18"/>
      </w:rPr>
      <w:tblPr/>
      <w:tcPr>
        <w:vAlign w:val="center"/>
      </w:tcPr>
    </w:tblStylePr>
    <w:tblStylePr w:type="band2Vert">
      <w:pPr>
        <w:wordWrap/>
        <w:spacing w:beforeLines="0" w:before="60" w:beforeAutospacing="0" w:afterLines="0" w:after="60" w:afterAutospacing="0" w:line="240" w:lineRule="auto"/>
        <w:ind w:rightChars="0" w:right="113"/>
        <w:contextualSpacing w:val="0"/>
        <w:jc w:val="left"/>
      </w:pPr>
      <w:rPr>
        <w:rFonts w:ascii="Arial" w:hAnsi="Arial"/>
        <w:sz w:val="18"/>
      </w:r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left"/>
      </w:pPr>
      <w:rPr>
        <w:rFonts w:ascii="Arial" w:hAnsi="Arial"/>
        <w:sz w:val="18"/>
      </w:rPr>
      <w:tblPr/>
      <w:tcPr>
        <w:shd w:val="clear" w:color="auto" w:fill="C7E4F3" w:themeFill="accent1" w:themeFillTint="33"/>
        <w:vAlign w:val="center"/>
      </w:tcPr>
    </w:tblStylePr>
    <w:tblStylePr w:type="band2Horz">
      <w:pPr>
        <w:wordWrap/>
        <w:spacing w:beforeLines="0" w:before="60" w:beforeAutospacing="0" w:afterLines="0" w:after="60" w:afterAutospacing="0"/>
        <w:contextualSpacing w:val="0"/>
        <w:jc w:val="left"/>
      </w:pPr>
      <w:rPr>
        <w:rFonts w:ascii="Arial" w:hAnsi="Arial"/>
        <w:sz w:val="18"/>
      </w:rPr>
      <w:tblPr/>
      <w:tcPr>
        <w:vAlign w:val="center"/>
      </w:tcPr>
    </w:tblStylePr>
    <w:tblStylePr w:type="neCell">
      <w:rPr>
        <w:rFonts w:ascii="Arial" w:hAnsi="Arial"/>
        <w:sz w:val="18"/>
      </w:rPr>
    </w:tblStylePr>
    <w:tblStylePr w:type="nwCell">
      <w:rPr>
        <w:rFonts w:ascii="Arial" w:hAnsi="Arial"/>
        <w:sz w:val="18"/>
      </w:rPr>
    </w:tblStylePr>
    <w:tblStylePr w:type="seCell">
      <w:rPr>
        <w:rFonts w:ascii="Arial" w:hAnsi="Arial"/>
        <w:sz w:val="18"/>
      </w:rPr>
    </w:tblStylePr>
    <w:tblStylePr w:type="swCell">
      <w:rPr>
        <w:rFonts w:ascii="Arial" w:hAnsi="Arial"/>
        <w:sz w:val="18"/>
      </w:rPr>
    </w:tblStylePr>
  </w:style>
  <w:style w:type="paragraph" w:styleId="NormalWeb">
    <w:name w:val="Normal (Web)"/>
    <w:basedOn w:val="Normal"/>
    <w:uiPriority w:val="99"/>
    <w:semiHidden/>
    <w:unhideWhenUsed/>
    <w:rsid w:val="007B757E"/>
    <w:pPr>
      <w:spacing w:before="100" w:beforeAutospacing="1" w:after="100" w:afterAutospacing="1"/>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23146">
      <w:bodyDiv w:val="1"/>
      <w:marLeft w:val="0"/>
      <w:marRight w:val="0"/>
      <w:marTop w:val="0"/>
      <w:marBottom w:val="0"/>
      <w:divBdr>
        <w:top w:val="none" w:sz="0" w:space="0" w:color="auto"/>
        <w:left w:val="none" w:sz="0" w:space="0" w:color="auto"/>
        <w:bottom w:val="none" w:sz="0" w:space="0" w:color="auto"/>
        <w:right w:val="none" w:sz="0" w:space="0" w:color="auto"/>
      </w:divBdr>
    </w:div>
    <w:div w:id="75447980">
      <w:bodyDiv w:val="1"/>
      <w:marLeft w:val="0"/>
      <w:marRight w:val="0"/>
      <w:marTop w:val="0"/>
      <w:marBottom w:val="0"/>
      <w:divBdr>
        <w:top w:val="none" w:sz="0" w:space="0" w:color="auto"/>
        <w:left w:val="none" w:sz="0" w:space="0" w:color="auto"/>
        <w:bottom w:val="none" w:sz="0" w:space="0" w:color="auto"/>
        <w:right w:val="none" w:sz="0" w:space="0" w:color="auto"/>
      </w:divBdr>
    </w:div>
    <w:div w:id="115413485">
      <w:bodyDiv w:val="1"/>
      <w:marLeft w:val="0"/>
      <w:marRight w:val="0"/>
      <w:marTop w:val="0"/>
      <w:marBottom w:val="0"/>
      <w:divBdr>
        <w:top w:val="none" w:sz="0" w:space="0" w:color="auto"/>
        <w:left w:val="none" w:sz="0" w:space="0" w:color="auto"/>
        <w:bottom w:val="none" w:sz="0" w:space="0" w:color="auto"/>
        <w:right w:val="none" w:sz="0" w:space="0" w:color="auto"/>
      </w:divBdr>
    </w:div>
    <w:div w:id="138884248">
      <w:bodyDiv w:val="1"/>
      <w:marLeft w:val="0"/>
      <w:marRight w:val="0"/>
      <w:marTop w:val="0"/>
      <w:marBottom w:val="0"/>
      <w:divBdr>
        <w:top w:val="none" w:sz="0" w:space="0" w:color="auto"/>
        <w:left w:val="none" w:sz="0" w:space="0" w:color="auto"/>
        <w:bottom w:val="none" w:sz="0" w:space="0" w:color="auto"/>
        <w:right w:val="none" w:sz="0" w:space="0" w:color="auto"/>
      </w:divBdr>
    </w:div>
    <w:div w:id="153885277">
      <w:bodyDiv w:val="1"/>
      <w:marLeft w:val="0"/>
      <w:marRight w:val="0"/>
      <w:marTop w:val="0"/>
      <w:marBottom w:val="0"/>
      <w:divBdr>
        <w:top w:val="none" w:sz="0" w:space="0" w:color="auto"/>
        <w:left w:val="none" w:sz="0" w:space="0" w:color="auto"/>
        <w:bottom w:val="none" w:sz="0" w:space="0" w:color="auto"/>
        <w:right w:val="none" w:sz="0" w:space="0" w:color="auto"/>
      </w:divBdr>
    </w:div>
    <w:div w:id="230384792">
      <w:bodyDiv w:val="1"/>
      <w:marLeft w:val="0"/>
      <w:marRight w:val="0"/>
      <w:marTop w:val="0"/>
      <w:marBottom w:val="0"/>
      <w:divBdr>
        <w:top w:val="none" w:sz="0" w:space="0" w:color="auto"/>
        <w:left w:val="none" w:sz="0" w:space="0" w:color="auto"/>
        <w:bottom w:val="none" w:sz="0" w:space="0" w:color="auto"/>
        <w:right w:val="none" w:sz="0" w:space="0" w:color="auto"/>
      </w:divBdr>
    </w:div>
    <w:div w:id="262763707">
      <w:bodyDiv w:val="1"/>
      <w:marLeft w:val="0"/>
      <w:marRight w:val="0"/>
      <w:marTop w:val="0"/>
      <w:marBottom w:val="0"/>
      <w:divBdr>
        <w:top w:val="none" w:sz="0" w:space="0" w:color="auto"/>
        <w:left w:val="none" w:sz="0" w:space="0" w:color="auto"/>
        <w:bottom w:val="none" w:sz="0" w:space="0" w:color="auto"/>
        <w:right w:val="none" w:sz="0" w:space="0" w:color="auto"/>
      </w:divBdr>
    </w:div>
    <w:div w:id="303582862">
      <w:bodyDiv w:val="1"/>
      <w:marLeft w:val="0"/>
      <w:marRight w:val="0"/>
      <w:marTop w:val="0"/>
      <w:marBottom w:val="0"/>
      <w:divBdr>
        <w:top w:val="none" w:sz="0" w:space="0" w:color="auto"/>
        <w:left w:val="none" w:sz="0" w:space="0" w:color="auto"/>
        <w:bottom w:val="none" w:sz="0" w:space="0" w:color="auto"/>
        <w:right w:val="none" w:sz="0" w:space="0" w:color="auto"/>
      </w:divBdr>
    </w:div>
    <w:div w:id="365377210">
      <w:bodyDiv w:val="1"/>
      <w:marLeft w:val="0"/>
      <w:marRight w:val="0"/>
      <w:marTop w:val="0"/>
      <w:marBottom w:val="0"/>
      <w:divBdr>
        <w:top w:val="none" w:sz="0" w:space="0" w:color="auto"/>
        <w:left w:val="none" w:sz="0" w:space="0" w:color="auto"/>
        <w:bottom w:val="none" w:sz="0" w:space="0" w:color="auto"/>
        <w:right w:val="none" w:sz="0" w:space="0" w:color="auto"/>
      </w:divBdr>
    </w:div>
    <w:div w:id="476068934">
      <w:bodyDiv w:val="1"/>
      <w:marLeft w:val="0"/>
      <w:marRight w:val="0"/>
      <w:marTop w:val="0"/>
      <w:marBottom w:val="0"/>
      <w:divBdr>
        <w:top w:val="none" w:sz="0" w:space="0" w:color="auto"/>
        <w:left w:val="none" w:sz="0" w:space="0" w:color="auto"/>
        <w:bottom w:val="none" w:sz="0" w:space="0" w:color="auto"/>
        <w:right w:val="none" w:sz="0" w:space="0" w:color="auto"/>
      </w:divBdr>
    </w:div>
    <w:div w:id="492647277">
      <w:bodyDiv w:val="1"/>
      <w:marLeft w:val="0"/>
      <w:marRight w:val="0"/>
      <w:marTop w:val="0"/>
      <w:marBottom w:val="0"/>
      <w:divBdr>
        <w:top w:val="none" w:sz="0" w:space="0" w:color="auto"/>
        <w:left w:val="none" w:sz="0" w:space="0" w:color="auto"/>
        <w:bottom w:val="none" w:sz="0" w:space="0" w:color="auto"/>
        <w:right w:val="none" w:sz="0" w:space="0" w:color="auto"/>
      </w:divBdr>
    </w:div>
    <w:div w:id="606809170">
      <w:bodyDiv w:val="1"/>
      <w:marLeft w:val="0"/>
      <w:marRight w:val="0"/>
      <w:marTop w:val="0"/>
      <w:marBottom w:val="0"/>
      <w:divBdr>
        <w:top w:val="none" w:sz="0" w:space="0" w:color="auto"/>
        <w:left w:val="none" w:sz="0" w:space="0" w:color="auto"/>
        <w:bottom w:val="none" w:sz="0" w:space="0" w:color="auto"/>
        <w:right w:val="none" w:sz="0" w:space="0" w:color="auto"/>
      </w:divBdr>
    </w:div>
    <w:div w:id="650644550">
      <w:bodyDiv w:val="1"/>
      <w:marLeft w:val="0"/>
      <w:marRight w:val="0"/>
      <w:marTop w:val="0"/>
      <w:marBottom w:val="0"/>
      <w:divBdr>
        <w:top w:val="none" w:sz="0" w:space="0" w:color="auto"/>
        <w:left w:val="none" w:sz="0" w:space="0" w:color="auto"/>
        <w:bottom w:val="none" w:sz="0" w:space="0" w:color="auto"/>
        <w:right w:val="none" w:sz="0" w:space="0" w:color="auto"/>
      </w:divBdr>
    </w:div>
    <w:div w:id="941496676">
      <w:bodyDiv w:val="1"/>
      <w:marLeft w:val="0"/>
      <w:marRight w:val="0"/>
      <w:marTop w:val="0"/>
      <w:marBottom w:val="0"/>
      <w:divBdr>
        <w:top w:val="none" w:sz="0" w:space="0" w:color="auto"/>
        <w:left w:val="none" w:sz="0" w:space="0" w:color="auto"/>
        <w:bottom w:val="none" w:sz="0" w:space="0" w:color="auto"/>
        <w:right w:val="none" w:sz="0" w:space="0" w:color="auto"/>
      </w:divBdr>
    </w:div>
    <w:div w:id="950864587">
      <w:bodyDiv w:val="1"/>
      <w:marLeft w:val="0"/>
      <w:marRight w:val="0"/>
      <w:marTop w:val="0"/>
      <w:marBottom w:val="0"/>
      <w:divBdr>
        <w:top w:val="none" w:sz="0" w:space="0" w:color="auto"/>
        <w:left w:val="none" w:sz="0" w:space="0" w:color="auto"/>
        <w:bottom w:val="none" w:sz="0" w:space="0" w:color="auto"/>
        <w:right w:val="none" w:sz="0" w:space="0" w:color="auto"/>
      </w:divBdr>
      <w:divsChild>
        <w:div w:id="1082529705">
          <w:marLeft w:val="0"/>
          <w:marRight w:val="0"/>
          <w:marTop w:val="0"/>
          <w:marBottom w:val="0"/>
          <w:divBdr>
            <w:top w:val="single" w:sz="6" w:space="0" w:color="auto"/>
            <w:left w:val="single" w:sz="6" w:space="0" w:color="auto"/>
            <w:bottom w:val="single" w:sz="6" w:space="0" w:color="auto"/>
            <w:right w:val="single" w:sz="6" w:space="0" w:color="auto"/>
          </w:divBdr>
          <w:divsChild>
            <w:div w:id="1815755912">
              <w:marLeft w:val="0"/>
              <w:marRight w:val="0"/>
              <w:marTop w:val="0"/>
              <w:marBottom w:val="0"/>
              <w:divBdr>
                <w:top w:val="none" w:sz="0" w:space="0" w:color="auto"/>
                <w:left w:val="none" w:sz="0" w:space="0" w:color="auto"/>
                <w:bottom w:val="none" w:sz="0" w:space="0" w:color="auto"/>
                <w:right w:val="none" w:sz="0" w:space="0" w:color="auto"/>
              </w:divBdr>
              <w:divsChild>
                <w:div w:id="1089040254">
                  <w:marLeft w:val="0"/>
                  <w:marRight w:val="0"/>
                  <w:marTop w:val="0"/>
                  <w:marBottom w:val="0"/>
                  <w:divBdr>
                    <w:top w:val="none" w:sz="0" w:space="0" w:color="auto"/>
                    <w:left w:val="none" w:sz="0" w:space="0" w:color="auto"/>
                    <w:bottom w:val="none" w:sz="0" w:space="0" w:color="auto"/>
                    <w:right w:val="none" w:sz="0" w:space="0" w:color="auto"/>
                  </w:divBdr>
                  <w:divsChild>
                    <w:div w:id="214315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650846">
      <w:bodyDiv w:val="1"/>
      <w:marLeft w:val="0"/>
      <w:marRight w:val="0"/>
      <w:marTop w:val="0"/>
      <w:marBottom w:val="0"/>
      <w:divBdr>
        <w:top w:val="none" w:sz="0" w:space="0" w:color="auto"/>
        <w:left w:val="none" w:sz="0" w:space="0" w:color="auto"/>
        <w:bottom w:val="none" w:sz="0" w:space="0" w:color="auto"/>
        <w:right w:val="none" w:sz="0" w:space="0" w:color="auto"/>
      </w:divBdr>
    </w:div>
    <w:div w:id="1280919125">
      <w:bodyDiv w:val="1"/>
      <w:marLeft w:val="0"/>
      <w:marRight w:val="0"/>
      <w:marTop w:val="0"/>
      <w:marBottom w:val="0"/>
      <w:divBdr>
        <w:top w:val="none" w:sz="0" w:space="0" w:color="auto"/>
        <w:left w:val="none" w:sz="0" w:space="0" w:color="auto"/>
        <w:bottom w:val="none" w:sz="0" w:space="0" w:color="auto"/>
        <w:right w:val="none" w:sz="0" w:space="0" w:color="auto"/>
      </w:divBdr>
    </w:div>
    <w:div w:id="1376470131">
      <w:bodyDiv w:val="1"/>
      <w:marLeft w:val="0"/>
      <w:marRight w:val="0"/>
      <w:marTop w:val="0"/>
      <w:marBottom w:val="0"/>
      <w:divBdr>
        <w:top w:val="none" w:sz="0" w:space="0" w:color="auto"/>
        <w:left w:val="none" w:sz="0" w:space="0" w:color="auto"/>
        <w:bottom w:val="none" w:sz="0" w:space="0" w:color="auto"/>
        <w:right w:val="none" w:sz="0" w:space="0" w:color="auto"/>
      </w:divBdr>
    </w:div>
    <w:div w:id="1458453311">
      <w:bodyDiv w:val="1"/>
      <w:marLeft w:val="0"/>
      <w:marRight w:val="0"/>
      <w:marTop w:val="0"/>
      <w:marBottom w:val="0"/>
      <w:divBdr>
        <w:top w:val="none" w:sz="0" w:space="0" w:color="auto"/>
        <w:left w:val="none" w:sz="0" w:space="0" w:color="auto"/>
        <w:bottom w:val="none" w:sz="0" w:space="0" w:color="auto"/>
        <w:right w:val="none" w:sz="0" w:space="0" w:color="auto"/>
      </w:divBdr>
    </w:div>
    <w:div w:id="1551922911">
      <w:bodyDiv w:val="1"/>
      <w:marLeft w:val="0"/>
      <w:marRight w:val="0"/>
      <w:marTop w:val="0"/>
      <w:marBottom w:val="0"/>
      <w:divBdr>
        <w:top w:val="none" w:sz="0" w:space="0" w:color="auto"/>
        <w:left w:val="none" w:sz="0" w:space="0" w:color="auto"/>
        <w:bottom w:val="none" w:sz="0" w:space="0" w:color="auto"/>
        <w:right w:val="none" w:sz="0" w:space="0" w:color="auto"/>
      </w:divBdr>
    </w:div>
    <w:div w:id="1597060581">
      <w:bodyDiv w:val="1"/>
      <w:marLeft w:val="0"/>
      <w:marRight w:val="0"/>
      <w:marTop w:val="0"/>
      <w:marBottom w:val="0"/>
      <w:divBdr>
        <w:top w:val="none" w:sz="0" w:space="0" w:color="auto"/>
        <w:left w:val="none" w:sz="0" w:space="0" w:color="auto"/>
        <w:bottom w:val="none" w:sz="0" w:space="0" w:color="auto"/>
        <w:right w:val="none" w:sz="0" w:space="0" w:color="auto"/>
      </w:divBdr>
    </w:div>
    <w:div w:id="1602760565">
      <w:bodyDiv w:val="1"/>
      <w:marLeft w:val="0"/>
      <w:marRight w:val="0"/>
      <w:marTop w:val="0"/>
      <w:marBottom w:val="0"/>
      <w:divBdr>
        <w:top w:val="none" w:sz="0" w:space="0" w:color="auto"/>
        <w:left w:val="none" w:sz="0" w:space="0" w:color="auto"/>
        <w:bottom w:val="none" w:sz="0" w:space="0" w:color="auto"/>
        <w:right w:val="none" w:sz="0" w:space="0" w:color="auto"/>
      </w:divBdr>
    </w:div>
    <w:div w:id="1618683693">
      <w:bodyDiv w:val="1"/>
      <w:marLeft w:val="0"/>
      <w:marRight w:val="0"/>
      <w:marTop w:val="0"/>
      <w:marBottom w:val="0"/>
      <w:divBdr>
        <w:top w:val="none" w:sz="0" w:space="0" w:color="auto"/>
        <w:left w:val="none" w:sz="0" w:space="0" w:color="auto"/>
        <w:bottom w:val="none" w:sz="0" w:space="0" w:color="auto"/>
        <w:right w:val="none" w:sz="0" w:space="0" w:color="auto"/>
      </w:divBdr>
    </w:div>
    <w:div w:id="1629700737">
      <w:bodyDiv w:val="1"/>
      <w:marLeft w:val="0"/>
      <w:marRight w:val="0"/>
      <w:marTop w:val="0"/>
      <w:marBottom w:val="0"/>
      <w:divBdr>
        <w:top w:val="none" w:sz="0" w:space="0" w:color="auto"/>
        <w:left w:val="none" w:sz="0" w:space="0" w:color="auto"/>
        <w:bottom w:val="none" w:sz="0" w:space="0" w:color="auto"/>
        <w:right w:val="none" w:sz="0" w:space="0" w:color="auto"/>
      </w:divBdr>
    </w:div>
    <w:div w:id="1648977095">
      <w:bodyDiv w:val="1"/>
      <w:marLeft w:val="0"/>
      <w:marRight w:val="0"/>
      <w:marTop w:val="0"/>
      <w:marBottom w:val="0"/>
      <w:divBdr>
        <w:top w:val="none" w:sz="0" w:space="0" w:color="auto"/>
        <w:left w:val="none" w:sz="0" w:space="0" w:color="auto"/>
        <w:bottom w:val="none" w:sz="0" w:space="0" w:color="auto"/>
        <w:right w:val="none" w:sz="0" w:space="0" w:color="auto"/>
      </w:divBdr>
    </w:div>
    <w:div w:id="1752775279">
      <w:bodyDiv w:val="1"/>
      <w:marLeft w:val="0"/>
      <w:marRight w:val="0"/>
      <w:marTop w:val="0"/>
      <w:marBottom w:val="0"/>
      <w:divBdr>
        <w:top w:val="none" w:sz="0" w:space="0" w:color="auto"/>
        <w:left w:val="none" w:sz="0" w:space="0" w:color="auto"/>
        <w:bottom w:val="none" w:sz="0" w:space="0" w:color="auto"/>
        <w:right w:val="none" w:sz="0" w:space="0" w:color="auto"/>
      </w:divBdr>
    </w:div>
    <w:div w:id="1753965701">
      <w:bodyDiv w:val="1"/>
      <w:marLeft w:val="0"/>
      <w:marRight w:val="0"/>
      <w:marTop w:val="0"/>
      <w:marBottom w:val="0"/>
      <w:divBdr>
        <w:top w:val="none" w:sz="0" w:space="0" w:color="auto"/>
        <w:left w:val="none" w:sz="0" w:space="0" w:color="auto"/>
        <w:bottom w:val="none" w:sz="0" w:space="0" w:color="auto"/>
        <w:right w:val="none" w:sz="0" w:space="0" w:color="auto"/>
      </w:divBdr>
    </w:div>
    <w:div w:id="1798138502">
      <w:bodyDiv w:val="1"/>
      <w:marLeft w:val="0"/>
      <w:marRight w:val="0"/>
      <w:marTop w:val="0"/>
      <w:marBottom w:val="0"/>
      <w:divBdr>
        <w:top w:val="none" w:sz="0" w:space="0" w:color="auto"/>
        <w:left w:val="none" w:sz="0" w:space="0" w:color="auto"/>
        <w:bottom w:val="none" w:sz="0" w:space="0" w:color="auto"/>
        <w:right w:val="none" w:sz="0" w:space="0" w:color="auto"/>
      </w:divBdr>
    </w:div>
    <w:div w:id="1829440075">
      <w:bodyDiv w:val="1"/>
      <w:marLeft w:val="0"/>
      <w:marRight w:val="0"/>
      <w:marTop w:val="0"/>
      <w:marBottom w:val="0"/>
      <w:divBdr>
        <w:top w:val="none" w:sz="0" w:space="0" w:color="auto"/>
        <w:left w:val="none" w:sz="0" w:space="0" w:color="auto"/>
        <w:bottom w:val="none" w:sz="0" w:space="0" w:color="auto"/>
        <w:right w:val="none" w:sz="0" w:space="0" w:color="auto"/>
      </w:divBdr>
    </w:div>
    <w:div w:id="1855147032">
      <w:bodyDiv w:val="1"/>
      <w:marLeft w:val="0"/>
      <w:marRight w:val="0"/>
      <w:marTop w:val="0"/>
      <w:marBottom w:val="0"/>
      <w:divBdr>
        <w:top w:val="none" w:sz="0" w:space="0" w:color="auto"/>
        <w:left w:val="none" w:sz="0" w:space="0" w:color="auto"/>
        <w:bottom w:val="none" w:sz="0" w:space="0" w:color="auto"/>
        <w:right w:val="none" w:sz="0" w:space="0" w:color="auto"/>
      </w:divBdr>
    </w:div>
    <w:div w:id="1861815153">
      <w:bodyDiv w:val="1"/>
      <w:marLeft w:val="0"/>
      <w:marRight w:val="0"/>
      <w:marTop w:val="0"/>
      <w:marBottom w:val="0"/>
      <w:divBdr>
        <w:top w:val="none" w:sz="0" w:space="0" w:color="auto"/>
        <w:left w:val="none" w:sz="0" w:space="0" w:color="auto"/>
        <w:bottom w:val="none" w:sz="0" w:space="0" w:color="auto"/>
        <w:right w:val="none" w:sz="0" w:space="0" w:color="auto"/>
      </w:divBdr>
    </w:div>
    <w:div w:id="2086755443">
      <w:bodyDiv w:val="1"/>
      <w:marLeft w:val="0"/>
      <w:marRight w:val="0"/>
      <w:marTop w:val="0"/>
      <w:marBottom w:val="0"/>
      <w:divBdr>
        <w:top w:val="none" w:sz="0" w:space="0" w:color="auto"/>
        <w:left w:val="none" w:sz="0" w:space="0" w:color="auto"/>
        <w:bottom w:val="none" w:sz="0" w:space="0" w:color="auto"/>
        <w:right w:val="none" w:sz="0" w:space="0" w:color="auto"/>
      </w:divBdr>
    </w:div>
    <w:div w:id="2111243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https://www.safeworkaustralia.gov.au/doc/return-work-survey-2018-headline-measures-report-australian-and-new-zealand" TargetMode="External"/><Relationship Id="rId39" Type="http://schemas.openxmlformats.org/officeDocument/2006/relationships/image" Target="media/image10.png"/><Relationship Id="rId21" Type="http://schemas.openxmlformats.org/officeDocument/2006/relationships/hyperlink" Target="mailto:copyrightrequests@safeworkaustralia.gov.au" TargetMode="External"/><Relationship Id="rId34" Type="http://schemas.openxmlformats.org/officeDocument/2006/relationships/chart" Target="charts/chart7.xml"/><Relationship Id="rId47" Type="http://schemas.openxmlformats.org/officeDocument/2006/relationships/chart" Target="charts/chart12.xml"/><Relationship Id="rId50" Type="http://schemas.openxmlformats.org/officeDocument/2006/relationships/chart" Target="charts/chart15.xml"/><Relationship Id="rId55" Type="http://schemas.openxmlformats.org/officeDocument/2006/relationships/chart" Target="charts/chart20.xml"/><Relationship Id="rId63" Type="http://schemas.openxmlformats.org/officeDocument/2006/relationships/chart" Target="charts/chart28.xm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creativecommons.org/licenses/by/3.0/au/deed.en" TargetMode="External"/><Relationship Id="rId29" Type="http://schemas.openxmlformats.org/officeDocument/2006/relationships/chart" Target="charts/chart2.xml"/><Relationship Id="rId54" Type="http://schemas.openxmlformats.org/officeDocument/2006/relationships/chart" Target="charts/chart19.xml"/><Relationship Id="rId62" Type="http://schemas.openxmlformats.org/officeDocument/2006/relationships/chart" Target="charts/chart2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chart" Target="charts/chart5.xml"/><Relationship Id="rId37" Type="http://schemas.openxmlformats.org/officeDocument/2006/relationships/chart" Target="charts/chart10.xml"/><Relationship Id="rId53" Type="http://schemas.openxmlformats.org/officeDocument/2006/relationships/chart" Target="charts/chart18.xml"/><Relationship Id="rId58" Type="http://schemas.openxmlformats.org/officeDocument/2006/relationships/chart" Target="charts/chart23.xml"/><Relationship Id="rId66"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chart" Target="charts/chart1.xml"/><Relationship Id="rId36" Type="http://schemas.openxmlformats.org/officeDocument/2006/relationships/chart" Target="charts/chart9.xml"/><Relationship Id="rId49" Type="http://schemas.openxmlformats.org/officeDocument/2006/relationships/chart" Target="charts/chart14.xml"/><Relationship Id="rId57" Type="http://schemas.openxmlformats.org/officeDocument/2006/relationships/chart" Target="charts/chart22.xml"/><Relationship Id="rId61" Type="http://schemas.openxmlformats.org/officeDocument/2006/relationships/chart" Target="charts/chart26.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chart" Target="charts/chart4.xml"/><Relationship Id="rId52" Type="http://schemas.openxmlformats.org/officeDocument/2006/relationships/chart" Target="charts/chart17.xml"/><Relationship Id="rId60" Type="http://schemas.openxmlformats.org/officeDocument/2006/relationships/chart" Target="charts/chart25.xml"/><Relationship Id="rId65" Type="http://schemas.openxmlformats.org/officeDocument/2006/relationships/chart" Target="charts/chart30.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eader" Target="header1.xml"/><Relationship Id="rId27" Type="http://schemas.openxmlformats.org/officeDocument/2006/relationships/image" Target="media/image9.png"/><Relationship Id="rId30" Type="http://schemas.openxmlformats.org/officeDocument/2006/relationships/chart" Target="charts/chart3.xml"/><Relationship Id="rId35" Type="http://schemas.openxmlformats.org/officeDocument/2006/relationships/chart" Target="charts/chart8.xml"/><Relationship Id="rId48" Type="http://schemas.openxmlformats.org/officeDocument/2006/relationships/chart" Target="charts/chart13.xml"/><Relationship Id="rId56" Type="http://schemas.openxmlformats.org/officeDocument/2006/relationships/chart" Target="charts/chart21.xml"/><Relationship Id="rId64" Type="http://schemas.openxmlformats.org/officeDocument/2006/relationships/chart" Target="charts/chart29.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chart" Target="charts/chart16.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footer" Target="footer3.xml"/><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image" Target="media/image11.png"/><Relationship Id="rId59" Type="http://schemas.openxmlformats.org/officeDocument/2006/relationships/chart" Target="charts/chart24.xml"/><Relationship Id="rId67" Type="http://schemas.openxmlformats.org/officeDocument/2006/relationships/footer" Target="footer5.xml"/></Relationships>
</file>

<file path=word/_rels/footnotes.xml.rels><?xml version="1.0" encoding="UTF-8" standalone="yes"?>
<Relationships xmlns="http://schemas.openxmlformats.org/package/2006/relationships"><Relationship Id="rId3" Type="http://schemas.openxmlformats.org/officeDocument/2006/relationships/hyperlink" Target="http://www.abs.gov.au/ausstats/abs@.nsf/lookup/4817.0.55.001Chapter92007-08" TargetMode="External"/><Relationship Id="rId2" Type="http://schemas.openxmlformats.org/officeDocument/2006/relationships/hyperlink" Target="https://www.safeworkaustralia.gov.au/doc/type-occurrence-classification-system-toocs-3rd-edition-may-2008" TargetMode="External"/><Relationship Id="rId1" Type="http://schemas.openxmlformats.org/officeDocument/2006/relationships/hyperlink" Target="https://www.safeworkaustralia.gov.au/doc/return-work-survey-2016-headline-measures-report-australian-and-new-zealan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Z:\QA\Consulting%20QA\Examples%20&amp;%20Templates\Report%20Templates\2018%20Report%20Template.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NULL" TargetMode="Externa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8.xml"/><Relationship Id="rId1" Type="http://schemas.microsoft.com/office/2011/relationships/chartStyle" Target="style18.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9.xml"/><Relationship Id="rId1" Type="http://schemas.microsoft.com/office/2011/relationships/chartStyle" Target="style19.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20.xml"/><Relationship Id="rId1" Type="http://schemas.microsoft.com/office/2011/relationships/chartStyle" Target="style20.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21.xml"/><Relationship Id="rId1" Type="http://schemas.microsoft.com/office/2011/relationships/chartStyle" Target="style21.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22.xml"/><Relationship Id="rId1" Type="http://schemas.microsoft.com/office/2011/relationships/chartStyle" Target="style22.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23.xml"/><Relationship Id="rId1" Type="http://schemas.microsoft.com/office/2011/relationships/chartStyle" Target="style23.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4.xml"/><Relationship Id="rId1" Type="http://schemas.microsoft.com/office/2011/relationships/chartStyle" Target="style24.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5.xml"/><Relationship Id="rId1" Type="http://schemas.microsoft.com/office/2011/relationships/chartStyle" Target="style25.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6.xml"/><Relationship Id="rId1" Type="http://schemas.microsoft.com/office/2011/relationships/chartStyle" Target="style26.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8.xml"/><Relationship Id="rId1" Type="http://schemas.microsoft.com/office/2011/relationships/chartStyle" Target="style28.xm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181953137886425E-2"/>
          <c:y val="0.15740740740740741"/>
          <c:w val="0.9424561373047774"/>
          <c:h val="0.7089193312758868"/>
        </c:manualLayout>
      </c:layout>
      <c:barChart>
        <c:barDir val="col"/>
        <c:grouping val="clustered"/>
        <c:varyColors val="0"/>
        <c:ser>
          <c:idx val="0"/>
          <c:order val="0"/>
          <c:tx>
            <c:strRef>
              <c:f>'RTW and current to 2013'!$A$4</c:f>
              <c:strCache>
                <c:ptCount val="1"/>
                <c:pt idx="0">
                  <c:v>% </c:v>
                </c:pt>
              </c:strCache>
            </c:strRef>
          </c:tx>
          <c:spPr>
            <a:solidFill>
              <a:schemeClr val="accent1"/>
            </a:solidFill>
            <a:ln>
              <a:noFill/>
            </a:ln>
            <a:effectLst/>
          </c:spPr>
          <c:invertIfNegative val="0"/>
          <c:dLbls>
            <c:dLbl>
              <c:idx val="1"/>
              <c:tx>
                <c:rich>
                  <a:bodyPr/>
                  <a:lstStyle/>
                  <a:p>
                    <a:fld id="{10F59FA7-48F3-4399-B2EF-9A239135E3CB}" type="VALUE">
                      <a:rPr lang="en-US">
                        <a:solidFill>
                          <a:sysClr val="windowText" lastClr="000000"/>
                        </a:solidFill>
                      </a:rPr>
                      <a:pPr/>
                      <a:t>[VALUE]</a:t>
                    </a:fld>
                    <a:r>
                      <a:rPr lang="en-US">
                        <a:solidFill>
                          <a:sysClr val="windowText" lastClr="000000"/>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310-468C-9038-6EFC20BFA2E4}"/>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itchFamily="34" charset="0"/>
                    <a:ea typeface="+mn-ea"/>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'RTW and current to 2013'!$B$3:$E$3</c:f>
              <c:numCache>
                <c:formatCode>General</c:formatCode>
                <c:ptCount val="4"/>
                <c:pt idx="0">
                  <c:v>2013</c:v>
                </c:pt>
                <c:pt idx="1">
                  <c:v>2014</c:v>
                </c:pt>
                <c:pt idx="2">
                  <c:v>2016</c:v>
                </c:pt>
                <c:pt idx="3">
                  <c:v>2018</c:v>
                </c:pt>
              </c:numCache>
            </c:numRef>
          </c:cat>
          <c:val>
            <c:numRef>
              <c:f>'RTW and current to 2013'!$B$4:$E$4</c:f>
              <c:numCache>
                <c:formatCode>0</c:formatCode>
                <c:ptCount val="4"/>
                <c:pt idx="0">
                  <c:v>88.630012756707416</c:v>
                </c:pt>
                <c:pt idx="1">
                  <c:v>93.667591988477511</c:v>
                </c:pt>
                <c:pt idx="2">
                  <c:v>93.437910988238443</c:v>
                </c:pt>
                <c:pt idx="3">
                  <c:v>92.733574629801723</c:v>
                </c:pt>
              </c:numCache>
            </c:numRef>
          </c:val>
          <c:extLst>
            <c:ext xmlns:c16="http://schemas.microsoft.com/office/drawing/2014/chart" uri="{C3380CC4-5D6E-409C-BE32-E72D297353CC}">
              <c16:uniqueId val="{00000001-5310-468C-9038-6EFC20BFA2E4}"/>
            </c:ext>
          </c:extLst>
        </c:ser>
        <c:dLbls>
          <c:showLegendKey val="0"/>
          <c:showVal val="0"/>
          <c:showCatName val="0"/>
          <c:showSerName val="0"/>
          <c:showPercent val="0"/>
          <c:showBubbleSize val="0"/>
        </c:dLbls>
        <c:gapWidth val="50"/>
        <c:axId val="88126976"/>
        <c:axId val="88128512"/>
      </c:barChart>
      <c:catAx>
        <c:axId val="88126976"/>
        <c:scaling>
          <c:orientation val="minMax"/>
        </c:scaling>
        <c:delete val="0"/>
        <c:axPos val="b"/>
        <c:numFmt formatCode="General" sourceLinked="0"/>
        <c:majorTickMark val="out"/>
        <c:minorTickMark val="none"/>
        <c:tickLblPos val="nextTo"/>
        <c:spPr>
          <a:noFill/>
          <a:ln w="6350" cap="flat" cmpd="sng" algn="ctr">
            <a:solidFill>
              <a:schemeClr val="bg1">
                <a:lumMod val="7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itchFamily="34" charset="0"/>
                <a:ea typeface="+mn-ea"/>
                <a:cs typeface="Arial" pitchFamily="34" charset="0"/>
              </a:defRPr>
            </a:pPr>
            <a:endParaRPr lang="en-US"/>
          </a:p>
        </c:txPr>
        <c:crossAx val="88128512"/>
        <c:crosses val="autoZero"/>
        <c:auto val="1"/>
        <c:lblAlgn val="ctr"/>
        <c:lblOffset val="100"/>
        <c:noMultiLvlLbl val="0"/>
      </c:catAx>
      <c:valAx>
        <c:axId val="88128512"/>
        <c:scaling>
          <c:orientation val="minMax"/>
          <c:max val="100"/>
          <c:min val="0"/>
        </c:scaling>
        <c:delete val="1"/>
        <c:axPos val="l"/>
        <c:numFmt formatCode="0" sourceLinked="1"/>
        <c:majorTickMark val="out"/>
        <c:minorTickMark val="none"/>
        <c:tickLblPos val="nextTo"/>
        <c:crossAx val="88126976"/>
        <c:crosses val="autoZero"/>
        <c:crossBetween val="between"/>
        <c:majorUnit val="20"/>
      </c:valAx>
      <c:spPr>
        <a:noFill/>
        <a:ln w="25400">
          <a:noFill/>
        </a:ln>
        <a:effectLst/>
      </c:spPr>
    </c:plotArea>
    <c:plotVisOnly val="1"/>
    <c:dispBlanksAs val="gap"/>
    <c:showDLblsOverMax val="0"/>
  </c:chart>
  <c:spPr>
    <a:solidFill>
      <a:schemeClr val="bg1"/>
    </a:solidFill>
    <a:ln w="6350" cap="flat" cmpd="sng" algn="ctr">
      <a:solidFill>
        <a:schemeClr val="accent1"/>
      </a:solidFill>
      <a:prstDash val="solid"/>
      <a:round/>
    </a:ln>
    <a:effectLst/>
  </c:spPr>
  <c:txPr>
    <a:bodyPr/>
    <a:lstStyle/>
    <a:p>
      <a:pPr>
        <a:defRPr>
          <a:latin typeface="Arial" pitchFamily="34" charset="0"/>
          <a:cs typeface="Arial"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High limitations (average up to 3.5)</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51DB-4ACF-8EB9-15C683D632A7}"/>
              </c:ext>
            </c:extLst>
          </c:dPt>
          <c:dPt>
            <c:idx val="12"/>
            <c:invertIfNegative val="0"/>
            <c:bubble3D val="0"/>
            <c:spPr>
              <a:solidFill>
                <a:schemeClr val="accent1"/>
              </a:solidFill>
              <a:ln>
                <a:noFill/>
              </a:ln>
              <a:effectLst/>
            </c:spPr>
            <c:extLst>
              <c:ext xmlns:c16="http://schemas.microsoft.com/office/drawing/2014/chart" uri="{C3380CC4-5D6E-409C-BE32-E72D297353CC}">
                <c16:uniqueId val="{00000003-51DB-4ACF-8EB9-15C683D632A7}"/>
              </c:ext>
            </c:extLst>
          </c:dPt>
          <c:dPt>
            <c:idx val="13"/>
            <c:invertIfNegative val="0"/>
            <c:bubble3D val="0"/>
            <c:spPr>
              <a:solidFill>
                <a:schemeClr val="accent1"/>
              </a:solidFill>
              <a:ln>
                <a:noFill/>
              </a:ln>
              <a:effectLst/>
            </c:spPr>
            <c:extLst>
              <c:ext xmlns:c16="http://schemas.microsoft.com/office/drawing/2014/chart" uri="{C3380CC4-5D6E-409C-BE32-E72D297353CC}">
                <c16:uniqueId val="{00000005-51DB-4ACF-8EB9-15C683D632A7}"/>
              </c:ext>
            </c:extLst>
          </c:dPt>
          <c:dPt>
            <c:idx val="14"/>
            <c:invertIfNegative val="0"/>
            <c:bubble3D val="0"/>
            <c:spPr>
              <a:solidFill>
                <a:schemeClr val="accent1"/>
              </a:solidFill>
              <a:ln>
                <a:noFill/>
              </a:ln>
              <a:effectLst/>
            </c:spPr>
            <c:extLst>
              <c:ext xmlns:c16="http://schemas.microsoft.com/office/drawing/2014/chart" uri="{C3380CC4-5D6E-409C-BE32-E72D297353CC}">
                <c16:uniqueId val="{00000007-51DB-4ACF-8EB9-15C683D632A7}"/>
              </c:ext>
            </c:extLst>
          </c:dPt>
          <c:dPt>
            <c:idx val="15"/>
            <c:invertIfNegative val="0"/>
            <c:bubble3D val="0"/>
            <c:spPr>
              <a:solidFill>
                <a:schemeClr val="accent1"/>
              </a:solidFill>
              <a:ln>
                <a:noFill/>
              </a:ln>
              <a:effectLst/>
            </c:spPr>
            <c:extLst>
              <c:ext xmlns:c16="http://schemas.microsoft.com/office/drawing/2014/chart" uri="{C3380CC4-5D6E-409C-BE32-E72D297353CC}">
                <c16:uniqueId val="{00000009-51DB-4ACF-8EB9-15C683D632A7}"/>
              </c:ext>
            </c:extLst>
          </c:dPt>
          <c:dPt>
            <c:idx val="16"/>
            <c:invertIfNegative val="0"/>
            <c:bubble3D val="0"/>
            <c:spPr>
              <a:solidFill>
                <a:schemeClr val="accent1"/>
              </a:solidFill>
              <a:ln>
                <a:noFill/>
              </a:ln>
              <a:effectLst/>
            </c:spPr>
            <c:extLst>
              <c:ext xmlns:c16="http://schemas.microsoft.com/office/drawing/2014/chart" uri="{C3380CC4-5D6E-409C-BE32-E72D297353CC}">
                <c16:uniqueId val="{0000000B-51DB-4ACF-8EB9-15C683D632A7}"/>
              </c:ext>
            </c:extLst>
          </c:dPt>
          <c:dLbls>
            <c:dLbl>
              <c:idx val="7"/>
              <c:layout>
                <c:manualLayout>
                  <c:x val="1.10253583241454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1DB-4ACF-8EB9-15C683D632A7}"/>
                </c:ext>
              </c:extLst>
            </c:dLbl>
            <c:dLbl>
              <c:idx val="16"/>
              <c:layout>
                <c:manualLayout>
                  <c:x val="4.410143329658214E-3"/>
                  <c:y val="2.777920533320910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1DB-4ACF-8EB9-15C683D632A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Total</c:v>
                </c:pt>
                <c:pt idx="2">
                  <c:v>Australian Capital Territory</c:v>
                </c:pt>
                <c:pt idx="3">
                  <c:v>Comcare</c:v>
                </c:pt>
                <c:pt idx="4">
                  <c:v>New South Wales</c:v>
                </c:pt>
                <c:pt idx="5">
                  <c:v>Northern Territory</c:v>
                </c:pt>
                <c:pt idx="6">
                  <c:v>Queensland</c:v>
                </c:pt>
                <c:pt idx="7">
                  <c:v>Seacare</c:v>
                </c:pt>
                <c:pt idx="8">
                  <c:v>Tasmania</c:v>
                </c:pt>
                <c:pt idx="9">
                  <c:v>Western Australia</c:v>
                </c:pt>
                <c:pt idx="10">
                  <c:v>Victoria</c:v>
                </c:pt>
                <c:pt idx="12">
                  <c:v>Fractures</c:v>
                </c:pt>
                <c:pt idx="13">
                  <c:v>Musculoskeletal Disorders</c:v>
                </c:pt>
                <c:pt idx="14">
                  <c:v>Other Trauma</c:v>
                </c:pt>
                <c:pt idx="15">
                  <c:v>Mental Illness</c:v>
                </c:pt>
                <c:pt idx="16">
                  <c:v>Other Diseases</c:v>
                </c:pt>
              </c:strCache>
            </c:strRef>
          </c:cat>
          <c:val>
            <c:numRef>
              <c:f>Sheet1!$B$2:$B$18</c:f>
              <c:numCache>
                <c:formatCode>General</c:formatCode>
                <c:ptCount val="17"/>
                <c:pt idx="0" formatCode="0.0">
                  <c:v>15.819561113159999</c:v>
                </c:pt>
                <c:pt idx="2" formatCode="0.0">
                  <c:v>20.151074069530001</c:v>
                </c:pt>
                <c:pt idx="3" formatCode="0.0">
                  <c:v>15.88586372538</c:v>
                </c:pt>
                <c:pt idx="4" formatCode="0.0">
                  <c:v>14.10471123142</c:v>
                </c:pt>
                <c:pt idx="5" formatCode="0.0">
                  <c:v>8.9684765688480006</c:v>
                </c:pt>
                <c:pt idx="6" formatCode="0.0">
                  <c:v>17.38814348284</c:v>
                </c:pt>
                <c:pt idx="7" formatCode="0.0">
                  <c:v>4.4385995387069999</c:v>
                </c:pt>
                <c:pt idx="8" formatCode="0.0">
                  <c:v>19.39336316899</c:v>
                </c:pt>
                <c:pt idx="9" formatCode="0.0">
                  <c:v>13.08094880913</c:v>
                </c:pt>
                <c:pt idx="10" formatCode="0.0">
                  <c:v>18.460585697070002</c:v>
                </c:pt>
                <c:pt idx="12" formatCode="0.0">
                  <c:v>16.809652559189999</c:v>
                </c:pt>
                <c:pt idx="13" formatCode="0.0">
                  <c:v>16.96494146781</c:v>
                </c:pt>
                <c:pt idx="14" formatCode="0.0">
                  <c:v>13.438511249980001</c:v>
                </c:pt>
                <c:pt idx="15" formatCode="0.0">
                  <c:v>15.54107867358</c:v>
                </c:pt>
                <c:pt idx="16" formatCode="0.0">
                  <c:v>9.9935164000859995</c:v>
                </c:pt>
              </c:numCache>
            </c:numRef>
          </c:val>
          <c:extLst>
            <c:ext xmlns:c16="http://schemas.microsoft.com/office/drawing/2014/chart" uri="{C3380CC4-5D6E-409C-BE32-E72D297353CC}">
              <c16:uniqueId val="{0000000D-51DB-4ACF-8EB9-15C683D632A7}"/>
            </c:ext>
          </c:extLst>
        </c:ser>
        <c:ser>
          <c:idx val="1"/>
          <c:order val="1"/>
          <c:tx>
            <c:strRef>
              <c:f>Sheet1!$C$1</c:f>
              <c:strCache>
                <c:ptCount val="1"/>
                <c:pt idx="0">
                  <c:v>Few limitations (average above 3.5)</c:v>
                </c:pt>
              </c:strCache>
            </c:strRef>
          </c:tx>
          <c:spPr>
            <a:solidFill>
              <a:schemeClr val="accent2"/>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F-51DB-4ACF-8EB9-15C683D632A7}"/>
              </c:ext>
            </c:extLst>
          </c:dPt>
          <c:dPt>
            <c:idx val="12"/>
            <c:invertIfNegative val="0"/>
            <c:bubble3D val="0"/>
            <c:spPr>
              <a:solidFill>
                <a:schemeClr val="accent2"/>
              </a:solidFill>
              <a:ln>
                <a:noFill/>
              </a:ln>
              <a:effectLst/>
            </c:spPr>
            <c:extLst>
              <c:ext xmlns:c16="http://schemas.microsoft.com/office/drawing/2014/chart" uri="{C3380CC4-5D6E-409C-BE32-E72D297353CC}">
                <c16:uniqueId val="{00000011-51DB-4ACF-8EB9-15C683D632A7}"/>
              </c:ext>
            </c:extLst>
          </c:dPt>
          <c:dPt>
            <c:idx val="13"/>
            <c:invertIfNegative val="0"/>
            <c:bubble3D val="0"/>
            <c:spPr>
              <a:solidFill>
                <a:schemeClr val="accent2"/>
              </a:solidFill>
              <a:ln>
                <a:noFill/>
              </a:ln>
              <a:effectLst/>
            </c:spPr>
            <c:extLst>
              <c:ext xmlns:c16="http://schemas.microsoft.com/office/drawing/2014/chart" uri="{C3380CC4-5D6E-409C-BE32-E72D297353CC}">
                <c16:uniqueId val="{00000013-51DB-4ACF-8EB9-15C683D632A7}"/>
              </c:ext>
            </c:extLst>
          </c:dPt>
          <c:dPt>
            <c:idx val="14"/>
            <c:invertIfNegative val="0"/>
            <c:bubble3D val="0"/>
            <c:spPr>
              <a:solidFill>
                <a:schemeClr val="accent2"/>
              </a:solidFill>
              <a:ln>
                <a:noFill/>
              </a:ln>
              <a:effectLst/>
            </c:spPr>
            <c:extLst>
              <c:ext xmlns:c16="http://schemas.microsoft.com/office/drawing/2014/chart" uri="{C3380CC4-5D6E-409C-BE32-E72D297353CC}">
                <c16:uniqueId val="{00000015-51DB-4ACF-8EB9-15C683D632A7}"/>
              </c:ext>
            </c:extLst>
          </c:dPt>
          <c:dPt>
            <c:idx val="15"/>
            <c:invertIfNegative val="0"/>
            <c:bubble3D val="0"/>
            <c:spPr>
              <a:solidFill>
                <a:schemeClr val="accent2"/>
              </a:solidFill>
              <a:ln>
                <a:noFill/>
              </a:ln>
              <a:effectLst/>
            </c:spPr>
            <c:extLst>
              <c:ext xmlns:c16="http://schemas.microsoft.com/office/drawing/2014/chart" uri="{C3380CC4-5D6E-409C-BE32-E72D297353CC}">
                <c16:uniqueId val="{00000017-51DB-4ACF-8EB9-15C683D632A7}"/>
              </c:ext>
            </c:extLst>
          </c:dPt>
          <c:dPt>
            <c:idx val="16"/>
            <c:invertIfNegative val="0"/>
            <c:bubble3D val="0"/>
            <c:spPr>
              <a:solidFill>
                <a:schemeClr val="accent2"/>
              </a:solidFill>
              <a:ln>
                <a:noFill/>
              </a:ln>
              <a:effectLst/>
            </c:spPr>
            <c:extLst>
              <c:ext xmlns:c16="http://schemas.microsoft.com/office/drawing/2014/chart" uri="{C3380CC4-5D6E-409C-BE32-E72D297353CC}">
                <c16:uniqueId val="{00000019-51DB-4ACF-8EB9-15C683D632A7}"/>
              </c:ext>
            </c:extLst>
          </c:dPt>
          <c:dLbls>
            <c:dLbl>
              <c:idx val="12"/>
              <c:tx>
                <c:rich>
                  <a:bodyPr/>
                  <a:lstStyle/>
                  <a:p>
                    <a:fld id="{4FAC12ED-EF4B-40C7-A810-2305D25DC2EC}" type="VALUE">
                      <a:rPr lang="en-US">
                        <a:solidFill>
                          <a:sysClr val="windowText" lastClr="000000"/>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51DB-4ACF-8EB9-15C683D632A7}"/>
                </c:ext>
              </c:extLst>
            </c:dLbl>
            <c:dLbl>
              <c:idx val="13"/>
              <c:tx>
                <c:rich>
                  <a:bodyPr/>
                  <a:lstStyle/>
                  <a:p>
                    <a:fld id="{6B820DE4-ADB5-4D85-9192-166B84F6CB2E}" type="VALUE">
                      <a:rPr lang="en-US">
                        <a:solidFill>
                          <a:sysClr val="windowText" lastClr="000000"/>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51DB-4ACF-8EB9-15C683D632A7}"/>
                </c:ext>
              </c:extLst>
            </c:dLbl>
            <c:dLbl>
              <c:idx val="14"/>
              <c:tx>
                <c:rich>
                  <a:bodyPr/>
                  <a:lstStyle/>
                  <a:p>
                    <a:fld id="{FA1B9B72-0D3C-4944-9E9E-827A351CB304}" type="VALUE">
                      <a:rPr lang="en-US">
                        <a:solidFill>
                          <a:sysClr val="windowText" lastClr="000000"/>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51DB-4ACF-8EB9-15C683D632A7}"/>
                </c:ext>
              </c:extLst>
            </c:dLbl>
            <c:dLbl>
              <c:idx val="15"/>
              <c:tx>
                <c:rich>
                  <a:bodyPr/>
                  <a:lstStyle/>
                  <a:p>
                    <a:fld id="{1F74B319-B967-4558-9B1F-EAAF00C2ECB0}" type="VALUE">
                      <a:rPr lang="en-US">
                        <a:solidFill>
                          <a:sysClr val="windowText" lastClr="000000"/>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51DB-4ACF-8EB9-15C683D632A7}"/>
                </c:ext>
              </c:extLst>
            </c:dLbl>
            <c:dLbl>
              <c:idx val="16"/>
              <c:tx>
                <c:rich>
                  <a:bodyPr/>
                  <a:lstStyle/>
                  <a:p>
                    <a:fld id="{B79F0E0C-B2ED-44B2-AB6A-9D4F489BA203}" type="VALUE">
                      <a:rPr lang="en-US">
                        <a:solidFill>
                          <a:sysClr val="windowText" lastClr="000000"/>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51DB-4ACF-8EB9-15C683D632A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Total</c:v>
                </c:pt>
                <c:pt idx="2">
                  <c:v>Australian Capital Territory</c:v>
                </c:pt>
                <c:pt idx="3">
                  <c:v>Comcare</c:v>
                </c:pt>
                <c:pt idx="4">
                  <c:v>New South Wales</c:v>
                </c:pt>
                <c:pt idx="5">
                  <c:v>Northern Territory</c:v>
                </c:pt>
                <c:pt idx="6">
                  <c:v>Queensland</c:v>
                </c:pt>
                <c:pt idx="7">
                  <c:v>Seacare</c:v>
                </c:pt>
                <c:pt idx="8">
                  <c:v>Tasmania</c:v>
                </c:pt>
                <c:pt idx="9">
                  <c:v>Western Australia</c:v>
                </c:pt>
                <c:pt idx="10">
                  <c:v>Victoria</c:v>
                </c:pt>
                <c:pt idx="12">
                  <c:v>Fractures</c:v>
                </c:pt>
                <c:pt idx="13">
                  <c:v>Musculoskeletal Disorders</c:v>
                </c:pt>
                <c:pt idx="14">
                  <c:v>Other Trauma</c:v>
                </c:pt>
                <c:pt idx="15">
                  <c:v>Mental Illness</c:v>
                </c:pt>
                <c:pt idx="16">
                  <c:v>Other Diseases</c:v>
                </c:pt>
              </c:strCache>
            </c:strRef>
          </c:cat>
          <c:val>
            <c:numRef>
              <c:f>Sheet1!$C$2:$C$18</c:f>
              <c:numCache>
                <c:formatCode>General</c:formatCode>
                <c:ptCount val="17"/>
                <c:pt idx="0" formatCode="0.0">
                  <c:v>84.180438886839994</c:v>
                </c:pt>
                <c:pt idx="2" formatCode="0.0">
                  <c:v>79.848925930470003</c:v>
                </c:pt>
                <c:pt idx="3" formatCode="0.0">
                  <c:v>84.114136274619995</c:v>
                </c:pt>
                <c:pt idx="4" formatCode="0.0">
                  <c:v>85.895288768580002</c:v>
                </c:pt>
                <c:pt idx="5" formatCode="0.0">
                  <c:v>91.031523431150006</c:v>
                </c:pt>
                <c:pt idx="6" formatCode="0.0">
                  <c:v>82.611856517160007</c:v>
                </c:pt>
                <c:pt idx="7" formatCode="0.0">
                  <c:v>95.561400461290006</c:v>
                </c:pt>
                <c:pt idx="8" formatCode="0.0">
                  <c:v>80.606636831009993</c:v>
                </c:pt>
                <c:pt idx="9" formatCode="0.0">
                  <c:v>86.919051190869993</c:v>
                </c:pt>
                <c:pt idx="10" formatCode="0.0">
                  <c:v>81.539414302929998</c:v>
                </c:pt>
                <c:pt idx="12" formatCode="0.0">
                  <c:v>83.190347440810001</c:v>
                </c:pt>
                <c:pt idx="13" formatCode="0.0">
                  <c:v>83.035058532190007</c:v>
                </c:pt>
                <c:pt idx="14" formatCode="0.0">
                  <c:v>86.561488750020004</c:v>
                </c:pt>
                <c:pt idx="15" formatCode="0.0">
                  <c:v>84.458921326419997</c:v>
                </c:pt>
                <c:pt idx="16" formatCode="0.0">
                  <c:v>90.006483599909998</c:v>
                </c:pt>
              </c:numCache>
            </c:numRef>
          </c:val>
          <c:extLst>
            <c:ext xmlns:c16="http://schemas.microsoft.com/office/drawing/2014/chart" uri="{C3380CC4-5D6E-409C-BE32-E72D297353CC}">
              <c16:uniqueId val="{0000001A-51DB-4ACF-8EB9-15C683D632A7}"/>
            </c:ext>
          </c:extLst>
        </c:ser>
        <c:dLbls>
          <c:showLegendKey val="0"/>
          <c:showVal val="0"/>
          <c:showCatName val="0"/>
          <c:showSerName val="0"/>
          <c:showPercent val="0"/>
          <c:showBubbleSize val="0"/>
        </c:dLbls>
        <c:gapWidth val="35"/>
        <c:overlap val="100"/>
        <c:axId val="441045320"/>
        <c:axId val="441048600"/>
      </c:barChart>
      <c:catAx>
        <c:axId val="4410453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1048600"/>
        <c:crosses val="autoZero"/>
        <c:auto val="1"/>
        <c:lblAlgn val="ctr"/>
        <c:lblOffset val="100"/>
        <c:noMultiLvlLbl val="0"/>
      </c:catAx>
      <c:valAx>
        <c:axId val="441048600"/>
        <c:scaling>
          <c:orientation val="minMax"/>
        </c:scaling>
        <c:delete val="1"/>
        <c:axPos val="t"/>
        <c:numFmt formatCode="0%" sourceLinked="1"/>
        <c:majorTickMark val="none"/>
        <c:minorTickMark val="none"/>
        <c:tickLblPos val="nextTo"/>
        <c:crossAx val="441045320"/>
        <c:crosses val="autoZero"/>
        <c:crossBetween val="between"/>
      </c:valAx>
      <c:spPr>
        <a:noFill/>
        <a:ln w="25400">
          <a:noFill/>
        </a:ln>
        <a:effectLst/>
      </c:spPr>
    </c:plotArea>
    <c:legend>
      <c:legendPos val="t"/>
      <c:legendEntry>
        <c:idx val="0"/>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Entry>
      <c:layout>
        <c:manualLayout>
          <c:xMode val="edge"/>
          <c:yMode val="edge"/>
          <c:x val="0.26939082724912972"/>
          <c:y val="2.4695713529723055E-2"/>
          <c:w val="0.6927508703087969"/>
          <c:h val="5.626928050469260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Fewer hours</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9734-457A-A702-5029AA035891}"/>
              </c:ext>
            </c:extLst>
          </c:dPt>
          <c:dPt>
            <c:idx val="12"/>
            <c:invertIfNegative val="0"/>
            <c:bubble3D val="0"/>
            <c:spPr>
              <a:solidFill>
                <a:schemeClr val="accent1"/>
              </a:solidFill>
              <a:ln>
                <a:noFill/>
              </a:ln>
              <a:effectLst/>
            </c:spPr>
            <c:extLst>
              <c:ext xmlns:c16="http://schemas.microsoft.com/office/drawing/2014/chart" uri="{C3380CC4-5D6E-409C-BE32-E72D297353CC}">
                <c16:uniqueId val="{00000003-9734-457A-A702-5029AA035891}"/>
              </c:ext>
            </c:extLst>
          </c:dPt>
          <c:dPt>
            <c:idx val="13"/>
            <c:invertIfNegative val="0"/>
            <c:bubble3D val="0"/>
            <c:spPr>
              <a:solidFill>
                <a:schemeClr val="accent1"/>
              </a:solidFill>
              <a:ln>
                <a:noFill/>
              </a:ln>
              <a:effectLst/>
            </c:spPr>
            <c:extLst>
              <c:ext xmlns:c16="http://schemas.microsoft.com/office/drawing/2014/chart" uri="{C3380CC4-5D6E-409C-BE32-E72D297353CC}">
                <c16:uniqueId val="{00000005-9734-457A-A702-5029AA035891}"/>
              </c:ext>
            </c:extLst>
          </c:dPt>
          <c:dPt>
            <c:idx val="14"/>
            <c:invertIfNegative val="0"/>
            <c:bubble3D val="0"/>
            <c:spPr>
              <a:solidFill>
                <a:schemeClr val="accent1"/>
              </a:solidFill>
              <a:ln>
                <a:noFill/>
              </a:ln>
              <a:effectLst/>
            </c:spPr>
            <c:extLst>
              <c:ext xmlns:c16="http://schemas.microsoft.com/office/drawing/2014/chart" uri="{C3380CC4-5D6E-409C-BE32-E72D297353CC}">
                <c16:uniqueId val="{00000007-9734-457A-A702-5029AA035891}"/>
              </c:ext>
            </c:extLst>
          </c:dPt>
          <c:dPt>
            <c:idx val="15"/>
            <c:invertIfNegative val="0"/>
            <c:bubble3D val="0"/>
            <c:spPr>
              <a:solidFill>
                <a:schemeClr val="accent1"/>
              </a:solidFill>
              <a:ln>
                <a:noFill/>
              </a:ln>
              <a:effectLst/>
            </c:spPr>
            <c:extLst>
              <c:ext xmlns:c16="http://schemas.microsoft.com/office/drawing/2014/chart" uri="{C3380CC4-5D6E-409C-BE32-E72D297353CC}">
                <c16:uniqueId val="{00000009-9734-457A-A702-5029AA035891}"/>
              </c:ext>
            </c:extLst>
          </c:dPt>
          <c:dPt>
            <c:idx val="16"/>
            <c:invertIfNegative val="0"/>
            <c:bubble3D val="0"/>
            <c:spPr>
              <a:solidFill>
                <a:schemeClr val="accent1"/>
              </a:solidFill>
              <a:ln>
                <a:noFill/>
              </a:ln>
              <a:effectLst/>
            </c:spPr>
            <c:extLst>
              <c:ext xmlns:c16="http://schemas.microsoft.com/office/drawing/2014/chart" uri="{C3380CC4-5D6E-409C-BE32-E72D297353CC}">
                <c16:uniqueId val="{0000000B-9734-457A-A702-5029AA035891}"/>
              </c:ext>
            </c:extLst>
          </c:dPt>
          <c:dLbls>
            <c:dLbl>
              <c:idx val="6"/>
              <c:tx>
                <c:rich>
                  <a:bodyPr/>
                  <a:lstStyle/>
                  <a:p>
                    <a:fld id="{4D3C3D79-A810-4C4F-8307-C60915DF7312}" type="VALUE">
                      <a:rPr lang="en-US">
                        <a:solidFill>
                          <a:schemeClr val="bg1"/>
                        </a:solidFill>
                      </a:rPr>
                      <a:pPr/>
                      <a:t>[VALUE]</a:t>
                    </a:fld>
                    <a:r>
                      <a:rPr lang="en-US">
                        <a:solidFill>
                          <a:schemeClr val="bg1"/>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9734-457A-A702-5029AA035891}"/>
                </c:ext>
              </c:extLst>
            </c:dLbl>
            <c:dLbl>
              <c:idx val="8"/>
              <c:tx>
                <c:rich>
                  <a:bodyPr/>
                  <a:lstStyle/>
                  <a:p>
                    <a:fld id="{07A150DE-A69D-431E-8A3D-568B24B8AE97}" type="VALUE">
                      <a:rPr lang="en-US">
                        <a:solidFill>
                          <a:schemeClr val="bg1"/>
                        </a:solidFill>
                      </a:rPr>
                      <a:pPr/>
                      <a:t>[VALUE]</a:t>
                    </a:fld>
                    <a:r>
                      <a:rPr lang="en-US">
                        <a:solidFill>
                          <a:schemeClr val="bg1"/>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9734-457A-A702-5029AA035891}"/>
                </c:ext>
              </c:extLst>
            </c:dLbl>
            <c:dLbl>
              <c:idx val="10"/>
              <c:tx>
                <c:rich>
                  <a:bodyPr/>
                  <a:lstStyle/>
                  <a:p>
                    <a:fld id="{F7D41689-DB01-4FAC-91E2-3AABEE9CD038}" type="VALUE">
                      <a:rPr lang="en-US">
                        <a:solidFill>
                          <a:schemeClr val="bg1"/>
                        </a:solidFill>
                      </a:rPr>
                      <a:pPr/>
                      <a:t>[VALUE]</a:t>
                    </a:fld>
                    <a:r>
                      <a:rPr lang="en-US">
                        <a:solidFill>
                          <a:schemeClr val="bg1"/>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9734-457A-A702-5029AA035891}"/>
                </c:ext>
              </c:extLst>
            </c:dLbl>
            <c:dLbl>
              <c:idx val="12"/>
              <c:tx>
                <c:rich>
                  <a:bodyPr/>
                  <a:lstStyle/>
                  <a:p>
                    <a:fld id="{4C04920D-34B3-48E7-8622-2CE8FD152D46}" type="VALUE">
                      <a:rPr lang="en-US">
                        <a:solidFill>
                          <a:schemeClr val="bg1"/>
                        </a:solidFill>
                      </a:rPr>
                      <a:pPr/>
                      <a:t>[VALUE]</a:t>
                    </a:fld>
                    <a:r>
                      <a:rPr lang="en-US">
                        <a:solidFill>
                          <a:schemeClr val="bg1"/>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734-457A-A702-5029AA035891}"/>
                </c:ext>
              </c:extLst>
            </c:dLbl>
            <c:dLbl>
              <c:idx val="14"/>
              <c:tx>
                <c:rich>
                  <a:bodyPr/>
                  <a:lstStyle/>
                  <a:p>
                    <a:fld id="{BD6CDDA8-CB10-4CE3-BBE9-6633D97083E8}" type="VALUE">
                      <a:rPr lang="en-US">
                        <a:solidFill>
                          <a:schemeClr val="bg1"/>
                        </a:solidFill>
                      </a:rPr>
                      <a:pPr/>
                      <a:t>[VALUE]</a:t>
                    </a:fld>
                    <a:r>
                      <a:rPr lang="en-US">
                        <a:solidFill>
                          <a:schemeClr val="bg1"/>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734-457A-A702-5029AA035891}"/>
                </c:ext>
              </c:extLst>
            </c:dLbl>
            <c:dLbl>
              <c:idx val="15"/>
              <c:tx>
                <c:rich>
                  <a:bodyPr/>
                  <a:lstStyle/>
                  <a:p>
                    <a:fld id="{5853B5BD-68F3-495C-A8F0-0524ADBC73C8}" type="VALUE">
                      <a:rPr lang="en-US">
                        <a:solidFill>
                          <a:schemeClr val="bg1"/>
                        </a:solidFill>
                      </a:rPr>
                      <a:pPr/>
                      <a:t>[VALUE]</a:t>
                    </a:fld>
                    <a:r>
                      <a:rPr lang="en-US">
                        <a:solidFill>
                          <a:schemeClr val="bg1"/>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734-457A-A702-5029AA03589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Total</c:v>
                </c:pt>
                <c:pt idx="2">
                  <c:v>Australian Capital Territory</c:v>
                </c:pt>
                <c:pt idx="3">
                  <c:v>Comcare</c:v>
                </c:pt>
                <c:pt idx="4">
                  <c:v>New South Wales</c:v>
                </c:pt>
                <c:pt idx="5">
                  <c:v>Northern Territory</c:v>
                </c:pt>
                <c:pt idx="6">
                  <c:v>Queensland</c:v>
                </c:pt>
                <c:pt idx="7">
                  <c:v>Seacare</c:v>
                </c:pt>
                <c:pt idx="8">
                  <c:v>Tasmania</c:v>
                </c:pt>
                <c:pt idx="9">
                  <c:v>Western Australia</c:v>
                </c:pt>
                <c:pt idx="10">
                  <c:v>Victoria</c:v>
                </c:pt>
                <c:pt idx="12">
                  <c:v>Fractures</c:v>
                </c:pt>
                <c:pt idx="13">
                  <c:v>Musculoskeletal Disorders</c:v>
                </c:pt>
                <c:pt idx="14">
                  <c:v>Other Trauma</c:v>
                </c:pt>
                <c:pt idx="15">
                  <c:v>Mental Illness</c:v>
                </c:pt>
                <c:pt idx="16">
                  <c:v>Other Diseases</c:v>
                </c:pt>
              </c:strCache>
            </c:strRef>
          </c:cat>
          <c:val>
            <c:numRef>
              <c:f>Sheet1!$B$2:$B$18</c:f>
              <c:numCache>
                <c:formatCode>General</c:formatCode>
                <c:ptCount val="17"/>
                <c:pt idx="0" formatCode="0.0">
                  <c:v>37.628134591399998</c:v>
                </c:pt>
                <c:pt idx="2" formatCode="0.0">
                  <c:v>45.290576607239998</c:v>
                </c:pt>
                <c:pt idx="3" formatCode="0.0">
                  <c:v>49.558743474380002</c:v>
                </c:pt>
                <c:pt idx="4" formatCode="0.0">
                  <c:v>38.048290889690001</c:v>
                </c:pt>
                <c:pt idx="5" formatCode="0.0">
                  <c:v>35.067628248829998</c:v>
                </c:pt>
                <c:pt idx="6" formatCode="0.0">
                  <c:v>31.919798235969999</c:v>
                </c:pt>
                <c:pt idx="7" formatCode="0.0">
                  <c:v>26.95120611454</c:v>
                </c:pt>
                <c:pt idx="8" formatCode="0.0">
                  <c:v>54.170674935230004</c:v>
                </c:pt>
                <c:pt idx="9" formatCode="0.0">
                  <c:v>35.240186242930001</c:v>
                </c:pt>
                <c:pt idx="10" formatCode="0.0">
                  <c:v>44.499327173650002</c:v>
                </c:pt>
                <c:pt idx="12" formatCode="0.0">
                  <c:v>49.621402166119999</c:v>
                </c:pt>
                <c:pt idx="13" formatCode="0.0">
                  <c:v>38.308605053850002</c:v>
                </c:pt>
                <c:pt idx="14" formatCode="0.0">
                  <c:v>27.409871398469999</c:v>
                </c:pt>
                <c:pt idx="15" formatCode="0.0">
                  <c:v>53.702938168119999</c:v>
                </c:pt>
                <c:pt idx="16" formatCode="0.0">
                  <c:v>32.546624281669999</c:v>
                </c:pt>
              </c:numCache>
            </c:numRef>
          </c:val>
          <c:extLst>
            <c:ext xmlns:c16="http://schemas.microsoft.com/office/drawing/2014/chart" uri="{C3380CC4-5D6E-409C-BE32-E72D297353CC}">
              <c16:uniqueId val="{0000000F-9734-457A-A702-5029AA035891}"/>
            </c:ext>
          </c:extLst>
        </c:ser>
        <c:ser>
          <c:idx val="1"/>
          <c:order val="1"/>
          <c:tx>
            <c:strRef>
              <c:f>Sheet1!$C$1</c:f>
              <c:strCache>
                <c:ptCount val="1"/>
                <c:pt idx="0">
                  <c:v>Same hours</c:v>
                </c:pt>
              </c:strCache>
            </c:strRef>
          </c:tx>
          <c:spPr>
            <a:solidFill>
              <a:schemeClr val="accent2"/>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11-9734-457A-A702-5029AA035891}"/>
              </c:ext>
            </c:extLst>
          </c:dPt>
          <c:dPt>
            <c:idx val="12"/>
            <c:invertIfNegative val="0"/>
            <c:bubble3D val="0"/>
            <c:spPr>
              <a:solidFill>
                <a:schemeClr val="accent2"/>
              </a:solidFill>
              <a:ln>
                <a:noFill/>
              </a:ln>
              <a:effectLst/>
            </c:spPr>
            <c:extLst>
              <c:ext xmlns:c16="http://schemas.microsoft.com/office/drawing/2014/chart" uri="{C3380CC4-5D6E-409C-BE32-E72D297353CC}">
                <c16:uniqueId val="{00000013-9734-457A-A702-5029AA035891}"/>
              </c:ext>
            </c:extLst>
          </c:dPt>
          <c:dPt>
            <c:idx val="13"/>
            <c:invertIfNegative val="0"/>
            <c:bubble3D val="0"/>
            <c:spPr>
              <a:solidFill>
                <a:schemeClr val="accent2"/>
              </a:solidFill>
              <a:ln>
                <a:noFill/>
              </a:ln>
              <a:effectLst/>
            </c:spPr>
            <c:extLst>
              <c:ext xmlns:c16="http://schemas.microsoft.com/office/drawing/2014/chart" uri="{C3380CC4-5D6E-409C-BE32-E72D297353CC}">
                <c16:uniqueId val="{00000015-9734-457A-A702-5029AA035891}"/>
              </c:ext>
            </c:extLst>
          </c:dPt>
          <c:dPt>
            <c:idx val="14"/>
            <c:invertIfNegative val="0"/>
            <c:bubble3D val="0"/>
            <c:spPr>
              <a:solidFill>
                <a:schemeClr val="accent2"/>
              </a:solidFill>
              <a:ln>
                <a:noFill/>
              </a:ln>
              <a:effectLst/>
            </c:spPr>
            <c:extLst>
              <c:ext xmlns:c16="http://schemas.microsoft.com/office/drawing/2014/chart" uri="{C3380CC4-5D6E-409C-BE32-E72D297353CC}">
                <c16:uniqueId val="{00000017-9734-457A-A702-5029AA035891}"/>
              </c:ext>
            </c:extLst>
          </c:dPt>
          <c:dPt>
            <c:idx val="15"/>
            <c:invertIfNegative val="0"/>
            <c:bubble3D val="0"/>
            <c:spPr>
              <a:solidFill>
                <a:schemeClr val="accent2"/>
              </a:solidFill>
              <a:ln>
                <a:noFill/>
              </a:ln>
              <a:effectLst/>
            </c:spPr>
            <c:extLst>
              <c:ext xmlns:c16="http://schemas.microsoft.com/office/drawing/2014/chart" uri="{C3380CC4-5D6E-409C-BE32-E72D297353CC}">
                <c16:uniqueId val="{00000019-9734-457A-A702-5029AA035891}"/>
              </c:ext>
            </c:extLst>
          </c:dPt>
          <c:dPt>
            <c:idx val="16"/>
            <c:invertIfNegative val="0"/>
            <c:bubble3D val="0"/>
            <c:spPr>
              <a:solidFill>
                <a:schemeClr val="accent2"/>
              </a:solidFill>
              <a:ln>
                <a:noFill/>
              </a:ln>
              <a:effectLst/>
            </c:spPr>
            <c:extLst>
              <c:ext xmlns:c16="http://schemas.microsoft.com/office/drawing/2014/chart" uri="{C3380CC4-5D6E-409C-BE32-E72D297353CC}">
                <c16:uniqueId val="{0000001B-9734-457A-A702-5029AA035891}"/>
              </c:ext>
            </c:extLst>
          </c:dPt>
          <c:dLbls>
            <c:dLbl>
              <c:idx val="3"/>
              <c:tx>
                <c:rich>
                  <a:bodyPr/>
                  <a:lstStyle/>
                  <a:p>
                    <a:fld id="{708E7F5F-EDCE-48BA-836B-654498A6EFE2}" type="VALUE">
                      <a:rPr lang="en-US">
                        <a:solidFill>
                          <a:sysClr val="windowText" lastClr="000000"/>
                        </a:solidFill>
                      </a:rPr>
                      <a:pPr/>
                      <a:t>[VALUE]</a:t>
                    </a:fld>
                    <a:r>
                      <a:rPr lang="en-US">
                        <a:solidFill>
                          <a:sysClr val="windowText" lastClr="000000"/>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C-9734-457A-A702-5029AA035891}"/>
                </c:ext>
              </c:extLst>
            </c:dLbl>
            <c:dLbl>
              <c:idx val="8"/>
              <c:tx>
                <c:rich>
                  <a:bodyPr/>
                  <a:lstStyle/>
                  <a:p>
                    <a:fld id="{7425EA6B-B9B8-4DBE-AEA0-5831AB042157}" type="VALUE">
                      <a:rPr lang="en-US">
                        <a:solidFill>
                          <a:sysClr val="windowText" lastClr="000000"/>
                        </a:solidFill>
                      </a:rPr>
                      <a:pPr/>
                      <a:t>[VALUE]</a:t>
                    </a:fld>
                    <a:r>
                      <a:rPr lang="en-US">
                        <a:solidFill>
                          <a:sysClr val="windowText" lastClr="000000"/>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D-9734-457A-A702-5029AA035891}"/>
                </c:ext>
              </c:extLst>
            </c:dLbl>
            <c:dLbl>
              <c:idx val="10"/>
              <c:tx>
                <c:rich>
                  <a:bodyPr/>
                  <a:lstStyle/>
                  <a:p>
                    <a:fld id="{19602553-23C7-4411-B0CC-4E58F2AE2F70}"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E-9734-457A-A702-5029AA035891}"/>
                </c:ext>
              </c:extLst>
            </c:dLbl>
            <c:dLbl>
              <c:idx val="12"/>
              <c:tx>
                <c:rich>
                  <a:bodyPr/>
                  <a:lstStyle/>
                  <a:p>
                    <a:fld id="{8AE91535-3408-462E-A684-9B3F182F5866}" type="VALUE">
                      <a:rPr lang="en-US">
                        <a:solidFill>
                          <a:sysClr val="windowText" lastClr="000000"/>
                        </a:solidFill>
                      </a:rPr>
                      <a:pPr/>
                      <a:t>[VALUE]</a:t>
                    </a:fld>
                    <a:r>
                      <a:rPr lang="en-US">
                        <a:solidFill>
                          <a:sysClr val="windowText" lastClr="000000"/>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9734-457A-A702-5029AA035891}"/>
                </c:ext>
              </c:extLst>
            </c:dLbl>
            <c:dLbl>
              <c:idx val="13"/>
              <c:tx>
                <c:rich>
                  <a:bodyPr/>
                  <a:lstStyle/>
                  <a:p>
                    <a:fld id="{DD6819EA-8B95-4D97-93E7-1AE358957877}" type="VALUE">
                      <a:rPr lang="en-US">
                        <a:solidFill>
                          <a:sysClr val="windowText" lastClr="000000"/>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9734-457A-A702-5029AA035891}"/>
                </c:ext>
              </c:extLst>
            </c:dLbl>
            <c:dLbl>
              <c:idx val="14"/>
              <c:tx>
                <c:rich>
                  <a:bodyPr/>
                  <a:lstStyle/>
                  <a:p>
                    <a:fld id="{CBD28D82-EF60-494E-BC00-477B49E6C237}" type="VALUE">
                      <a:rPr lang="en-US">
                        <a:solidFill>
                          <a:sysClr val="windowText" lastClr="000000"/>
                        </a:solidFill>
                      </a:rPr>
                      <a:pPr/>
                      <a:t>[VALUE]</a:t>
                    </a:fld>
                    <a:r>
                      <a:rPr lang="en-US">
                        <a:solidFill>
                          <a:sysClr val="windowText" lastClr="000000"/>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9734-457A-A702-5029AA035891}"/>
                </c:ext>
              </c:extLst>
            </c:dLbl>
            <c:dLbl>
              <c:idx val="15"/>
              <c:tx>
                <c:rich>
                  <a:bodyPr/>
                  <a:lstStyle/>
                  <a:p>
                    <a:fld id="{31D7C5A8-7E59-4004-BA3B-D682EAAF915B}" type="VALUE">
                      <a:rPr lang="en-US">
                        <a:solidFill>
                          <a:sysClr val="windowText" lastClr="000000"/>
                        </a:solidFill>
                      </a:rPr>
                      <a:pPr/>
                      <a:t>[VALUE]</a:t>
                    </a:fld>
                    <a:r>
                      <a:rPr lang="en-US">
                        <a:solidFill>
                          <a:sysClr val="windowText" lastClr="000000"/>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9734-457A-A702-5029AA035891}"/>
                </c:ext>
              </c:extLst>
            </c:dLbl>
            <c:dLbl>
              <c:idx val="16"/>
              <c:tx>
                <c:rich>
                  <a:bodyPr/>
                  <a:lstStyle/>
                  <a:p>
                    <a:fld id="{56A578B2-62FA-4B33-BAB5-CBD4B52C9C76}" type="VALUE">
                      <a:rPr lang="en-US">
                        <a:solidFill>
                          <a:sysClr val="windowText" lastClr="000000"/>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B-9734-457A-A702-5029AA03589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Total</c:v>
                </c:pt>
                <c:pt idx="2">
                  <c:v>Australian Capital Territory</c:v>
                </c:pt>
                <c:pt idx="3">
                  <c:v>Comcare</c:v>
                </c:pt>
                <c:pt idx="4">
                  <c:v>New South Wales</c:v>
                </c:pt>
                <c:pt idx="5">
                  <c:v>Northern Territory</c:v>
                </c:pt>
                <c:pt idx="6">
                  <c:v>Queensland</c:v>
                </c:pt>
                <c:pt idx="7">
                  <c:v>Seacare</c:v>
                </c:pt>
                <c:pt idx="8">
                  <c:v>Tasmania</c:v>
                </c:pt>
                <c:pt idx="9">
                  <c:v>Western Australia</c:v>
                </c:pt>
                <c:pt idx="10">
                  <c:v>Victoria</c:v>
                </c:pt>
                <c:pt idx="12">
                  <c:v>Fractures</c:v>
                </c:pt>
                <c:pt idx="13">
                  <c:v>Musculoskeletal Disorders</c:v>
                </c:pt>
                <c:pt idx="14">
                  <c:v>Other Trauma</c:v>
                </c:pt>
                <c:pt idx="15">
                  <c:v>Mental Illness</c:v>
                </c:pt>
                <c:pt idx="16">
                  <c:v>Other Diseases</c:v>
                </c:pt>
              </c:strCache>
            </c:strRef>
          </c:cat>
          <c:val>
            <c:numRef>
              <c:f>Sheet1!$C$2:$C$18</c:f>
              <c:numCache>
                <c:formatCode>General</c:formatCode>
                <c:ptCount val="17"/>
                <c:pt idx="0" formatCode="0.0">
                  <c:v>60.710128463739998</c:v>
                </c:pt>
                <c:pt idx="2" formatCode="0.0">
                  <c:v>51.626012669870001</c:v>
                </c:pt>
                <c:pt idx="3" formatCode="0.0">
                  <c:v>49.154671372149998</c:v>
                </c:pt>
                <c:pt idx="4" formatCode="0.0">
                  <c:v>60.534285873359991</c:v>
                </c:pt>
                <c:pt idx="5" formatCode="0.0">
                  <c:v>61.359007972779999</c:v>
                </c:pt>
                <c:pt idx="6" formatCode="0.0">
                  <c:v>65.767328581919998</c:v>
                </c:pt>
                <c:pt idx="7" formatCode="0.0">
                  <c:v>71.218352949429999</c:v>
                </c:pt>
                <c:pt idx="8" formatCode="0.0">
                  <c:v>44.313540562370001</c:v>
                </c:pt>
                <c:pt idx="9" formatCode="0.0">
                  <c:v>63.837153185630001</c:v>
                </c:pt>
                <c:pt idx="10" formatCode="0.0">
                  <c:v>54.056356160009997</c:v>
                </c:pt>
                <c:pt idx="12" formatCode="0.0">
                  <c:v>49.616703747370003</c:v>
                </c:pt>
                <c:pt idx="13" formatCode="0.0">
                  <c:v>59.860839411589993</c:v>
                </c:pt>
                <c:pt idx="14" formatCode="0.0">
                  <c:v>70.818130139060003</c:v>
                </c:pt>
                <c:pt idx="15" formatCode="0.0">
                  <c:v>43.404129098970003</c:v>
                </c:pt>
                <c:pt idx="16" formatCode="0.0">
                  <c:v>67.260041850410005</c:v>
                </c:pt>
              </c:numCache>
            </c:numRef>
          </c:val>
          <c:extLst>
            <c:ext xmlns:c16="http://schemas.microsoft.com/office/drawing/2014/chart" uri="{C3380CC4-5D6E-409C-BE32-E72D297353CC}">
              <c16:uniqueId val="{0000001F-9734-457A-A702-5029AA035891}"/>
            </c:ext>
          </c:extLst>
        </c:ser>
        <c:ser>
          <c:idx val="2"/>
          <c:order val="2"/>
          <c:tx>
            <c:strRef>
              <c:f>Sheet1!$D$1</c:f>
              <c:strCache>
                <c:ptCount val="1"/>
                <c:pt idx="0">
                  <c:v>More hours</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Total</c:v>
                </c:pt>
                <c:pt idx="2">
                  <c:v>Australian Capital Territory</c:v>
                </c:pt>
                <c:pt idx="3">
                  <c:v>Comcare</c:v>
                </c:pt>
                <c:pt idx="4">
                  <c:v>New South Wales</c:v>
                </c:pt>
                <c:pt idx="5">
                  <c:v>Northern Territory</c:v>
                </c:pt>
                <c:pt idx="6">
                  <c:v>Queensland</c:v>
                </c:pt>
                <c:pt idx="7">
                  <c:v>Seacare</c:v>
                </c:pt>
                <c:pt idx="8">
                  <c:v>Tasmania</c:v>
                </c:pt>
                <c:pt idx="9">
                  <c:v>Western Australia</c:v>
                </c:pt>
                <c:pt idx="10">
                  <c:v>Victoria</c:v>
                </c:pt>
                <c:pt idx="12">
                  <c:v>Fractures</c:v>
                </c:pt>
                <c:pt idx="13">
                  <c:v>Musculoskeletal Disorders</c:v>
                </c:pt>
                <c:pt idx="14">
                  <c:v>Other Trauma</c:v>
                </c:pt>
                <c:pt idx="15">
                  <c:v>Mental Illness</c:v>
                </c:pt>
                <c:pt idx="16">
                  <c:v>Other Diseases</c:v>
                </c:pt>
              </c:strCache>
            </c:strRef>
          </c:cat>
          <c:val>
            <c:numRef>
              <c:f>Sheet1!$D$2:$D$18</c:f>
              <c:numCache>
                <c:formatCode>General</c:formatCode>
                <c:ptCount val="17"/>
                <c:pt idx="0" formatCode="0.0">
                  <c:v>1.6617369448529997</c:v>
                </c:pt>
                <c:pt idx="2" formatCode="0.0">
                  <c:v>3.083410722894</c:v>
                </c:pt>
                <c:pt idx="3" formatCode="0.0">
                  <c:v>1.286585153466</c:v>
                </c:pt>
                <c:pt idx="4" formatCode="0.0">
                  <c:v>1.417423236946</c:v>
                </c:pt>
                <c:pt idx="5" formatCode="0.0">
                  <c:v>3.5733637783960002</c:v>
                </c:pt>
                <c:pt idx="6" formatCode="0.0">
                  <c:v>2.3128731821100001</c:v>
                </c:pt>
                <c:pt idx="7" formatCode="0.0">
                  <c:v>1.8304409360259999</c:v>
                </c:pt>
                <c:pt idx="8" formatCode="0.0">
                  <c:v>1.515784502399</c:v>
                </c:pt>
                <c:pt idx="9" formatCode="0.0">
                  <c:v>0.92266057144500002</c:v>
                </c:pt>
                <c:pt idx="10" formatCode="0.0">
                  <c:v>1.4443166663439999</c:v>
                </c:pt>
                <c:pt idx="12" formatCode="0.0">
                  <c:v>0.76189408651290003</c:v>
                </c:pt>
                <c:pt idx="13" formatCode="0.0">
                  <c:v>1.8305555345670002</c:v>
                </c:pt>
                <c:pt idx="14" formatCode="0.0">
                  <c:v>1.771998462465</c:v>
                </c:pt>
                <c:pt idx="15" formatCode="0.0">
                  <c:v>2.8929327329130001</c:v>
                </c:pt>
                <c:pt idx="16" formatCode="0.0">
                  <c:v>0.19333386791679999</c:v>
                </c:pt>
              </c:numCache>
            </c:numRef>
          </c:val>
          <c:extLst>
            <c:ext xmlns:c16="http://schemas.microsoft.com/office/drawing/2014/chart" uri="{C3380CC4-5D6E-409C-BE32-E72D297353CC}">
              <c16:uniqueId val="{00000020-9734-457A-A702-5029AA035891}"/>
            </c:ext>
          </c:extLst>
        </c:ser>
        <c:dLbls>
          <c:showLegendKey val="0"/>
          <c:showVal val="0"/>
          <c:showCatName val="0"/>
          <c:showSerName val="0"/>
          <c:showPercent val="0"/>
          <c:showBubbleSize val="0"/>
        </c:dLbls>
        <c:gapWidth val="35"/>
        <c:overlap val="100"/>
        <c:axId val="441045320"/>
        <c:axId val="441048600"/>
      </c:barChart>
      <c:catAx>
        <c:axId val="4410453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1048600"/>
        <c:crosses val="autoZero"/>
        <c:auto val="1"/>
        <c:lblAlgn val="ctr"/>
        <c:lblOffset val="100"/>
        <c:noMultiLvlLbl val="0"/>
      </c:catAx>
      <c:valAx>
        <c:axId val="441048600"/>
        <c:scaling>
          <c:orientation val="minMax"/>
        </c:scaling>
        <c:delete val="1"/>
        <c:axPos val="t"/>
        <c:numFmt formatCode="0%" sourceLinked="1"/>
        <c:majorTickMark val="none"/>
        <c:minorTickMark val="none"/>
        <c:tickLblPos val="nextTo"/>
        <c:crossAx val="441045320"/>
        <c:crosses val="autoZero"/>
        <c:crossBetween val="between"/>
      </c:valAx>
      <c:spPr>
        <a:noFill/>
        <a:ln>
          <a:noFill/>
        </a:ln>
        <a:effectLst/>
      </c:spPr>
    </c:plotArea>
    <c:legend>
      <c:legendPos val="t"/>
      <c:layout>
        <c:manualLayout>
          <c:xMode val="edge"/>
          <c:yMode val="edge"/>
          <c:x val="0.25944143972080669"/>
          <c:y val="2.1167754454048334E-2"/>
          <c:w val="0.72588007535441756"/>
          <c:h val="5.626928050469260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Same duties</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9F27-418F-A2F2-4521BEC1C672}"/>
              </c:ext>
            </c:extLst>
          </c:dPt>
          <c:dPt>
            <c:idx val="12"/>
            <c:invertIfNegative val="0"/>
            <c:bubble3D val="0"/>
            <c:spPr>
              <a:solidFill>
                <a:schemeClr val="accent1"/>
              </a:solidFill>
              <a:ln>
                <a:noFill/>
              </a:ln>
              <a:effectLst/>
            </c:spPr>
            <c:extLst>
              <c:ext xmlns:c16="http://schemas.microsoft.com/office/drawing/2014/chart" uri="{C3380CC4-5D6E-409C-BE32-E72D297353CC}">
                <c16:uniqueId val="{00000003-9F27-418F-A2F2-4521BEC1C672}"/>
              </c:ext>
            </c:extLst>
          </c:dPt>
          <c:dPt>
            <c:idx val="13"/>
            <c:invertIfNegative val="0"/>
            <c:bubble3D val="0"/>
            <c:spPr>
              <a:solidFill>
                <a:schemeClr val="accent1"/>
              </a:solidFill>
              <a:ln>
                <a:noFill/>
              </a:ln>
              <a:effectLst/>
            </c:spPr>
            <c:extLst>
              <c:ext xmlns:c16="http://schemas.microsoft.com/office/drawing/2014/chart" uri="{C3380CC4-5D6E-409C-BE32-E72D297353CC}">
                <c16:uniqueId val="{00000005-9F27-418F-A2F2-4521BEC1C672}"/>
              </c:ext>
            </c:extLst>
          </c:dPt>
          <c:dPt>
            <c:idx val="14"/>
            <c:invertIfNegative val="0"/>
            <c:bubble3D val="0"/>
            <c:spPr>
              <a:solidFill>
                <a:schemeClr val="accent1"/>
              </a:solidFill>
              <a:ln>
                <a:noFill/>
              </a:ln>
              <a:effectLst/>
            </c:spPr>
            <c:extLst>
              <c:ext xmlns:c16="http://schemas.microsoft.com/office/drawing/2014/chart" uri="{C3380CC4-5D6E-409C-BE32-E72D297353CC}">
                <c16:uniqueId val="{00000007-9F27-418F-A2F2-4521BEC1C672}"/>
              </c:ext>
            </c:extLst>
          </c:dPt>
          <c:dPt>
            <c:idx val="15"/>
            <c:invertIfNegative val="0"/>
            <c:bubble3D val="0"/>
            <c:spPr>
              <a:solidFill>
                <a:schemeClr val="accent1"/>
              </a:solidFill>
              <a:ln>
                <a:noFill/>
              </a:ln>
              <a:effectLst/>
            </c:spPr>
            <c:extLst>
              <c:ext xmlns:c16="http://schemas.microsoft.com/office/drawing/2014/chart" uri="{C3380CC4-5D6E-409C-BE32-E72D297353CC}">
                <c16:uniqueId val="{00000009-9F27-418F-A2F2-4521BEC1C672}"/>
              </c:ext>
            </c:extLst>
          </c:dPt>
          <c:dPt>
            <c:idx val="16"/>
            <c:invertIfNegative val="0"/>
            <c:bubble3D val="0"/>
            <c:spPr>
              <a:solidFill>
                <a:schemeClr val="accent1"/>
              </a:solidFill>
              <a:ln>
                <a:noFill/>
              </a:ln>
              <a:effectLst/>
            </c:spPr>
            <c:extLst>
              <c:ext xmlns:c16="http://schemas.microsoft.com/office/drawing/2014/chart" uri="{C3380CC4-5D6E-409C-BE32-E72D297353CC}">
                <c16:uniqueId val="{0000000B-9F27-418F-A2F2-4521BEC1C672}"/>
              </c:ext>
            </c:extLst>
          </c:dPt>
          <c:dLbls>
            <c:dLbl>
              <c:idx val="3"/>
              <c:tx>
                <c:rich>
                  <a:bodyPr/>
                  <a:lstStyle/>
                  <a:p>
                    <a:fld id="{126F6B90-4D88-46E2-879D-9C3189C51ACC}" type="VALUE">
                      <a:rPr lang="en-US">
                        <a:solidFill>
                          <a:schemeClr val="bg1"/>
                        </a:solidFill>
                      </a:rPr>
                      <a:pPr/>
                      <a:t>[VALUE]</a:t>
                    </a:fld>
                    <a:r>
                      <a:rPr lang="en-US">
                        <a:solidFill>
                          <a:schemeClr val="bg1"/>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9F27-418F-A2F2-4521BEC1C672}"/>
                </c:ext>
              </c:extLst>
            </c:dLbl>
            <c:dLbl>
              <c:idx val="6"/>
              <c:tx>
                <c:rich>
                  <a:bodyPr/>
                  <a:lstStyle/>
                  <a:p>
                    <a:fld id="{DA6FB35A-F233-4485-842F-564557A46FF9}" type="VALUE">
                      <a:rPr lang="en-US">
                        <a:solidFill>
                          <a:schemeClr val="bg1"/>
                        </a:solidFill>
                      </a:rPr>
                      <a:pPr/>
                      <a:t>[VALUE]</a:t>
                    </a:fld>
                    <a:r>
                      <a:rPr lang="en-US">
                        <a:solidFill>
                          <a:schemeClr val="bg1"/>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9F27-418F-A2F2-4521BEC1C672}"/>
                </c:ext>
              </c:extLst>
            </c:dLbl>
            <c:dLbl>
              <c:idx val="8"/>
              <c:tx>
                <c:rich>
                  <a:bodyPr/>
                  <a:lstStyle/>
                  <a:p>
                    <a:fld id="{6C28AAFF-C722-454E-AE52-7AAC0C2E99F5}" type="VALUE">
                      <a:rPr lang="en-US">
                        <a:solidFill>
                          <a:schemeClr val="bg1"/>
                        </a:solidFill>
                      </a:rPr>
                      <a:pPr/>
                      <a:t>[VALUE]</a:t>
                    </a:fld>
                    <a:r>
                      <a:rPr lang="en-US">
                        <a:solidFill>
                          <a:schemeClr val="bg1"/>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9F27-418F-A2F2-4521BEC1C672}"/>
                </c:ext>
              </c:extLst>
            </c:dLbl>
            <c:dLbl>
              <c:idx val="10"/>
              <c:tx>
                <c:rich>
                  <a:bodyPr/>
                  <a:lstStyle/>
                  <a:p>
                    <a:fld id="{648D2A4B-9575-47BD-B08C-F0515ECD3BB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9F27-418F-A2F2-4521BEC1C672}"/>
                </c:ext>
              </c:extLst>
            </c:dLbl>
            <c:dLbl>
              <c:idx val="14"/>
              <c:tx>
                <c:rich>
                  <a:bodyPr/>
                  <a:lstStyle/>
                  <a:p>
                    <a:fld id="{A69FD723-7E5A-4484-ADD6-714E354789CB}" type="VALUE">
                      <a:rPr lang="en-US">
                        <a:solidFill>
                          <a:schemeClr val="bg1"/>
                        </a:solidFill>
                      </a:rPr>
                      <a:pPr/>
                      <a:t>[VALUE]</a:t>
                    </a:fld>
                    <a:r>
                      <a:rPr lang="en-US">
                        <a:solidFill>
                          <a:schemeClr val="bg1"/>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F27-418F-A2F2-4521BEC1C67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Sheet1!$A$2:$A$22</c:f>
              <c:strCache>
                <c:ptCount val="21"/>
                <c:pt idx="0">
                  <c:v>Total</c:v>
                </c:pt>
                <c:pt idx="2">
                  <c:v>Australian Capital Territory</c:v>
                </c:pt>
                <c:pt idx="3">
                  <c:v>Comcare</c:v>
                </c:pt>
                <c:pt idx="4">
                  <c:v>New South Wales</c:v>
                </c:pt>
                <c:pt idx="5">
                  <c:v>Northern Territory</c:v>
                </c:pt>
                <c:pt idx="6">
                  <c:v>Queensland</c:v>
                </c:pt>
                <c:pt idx="7">
                  <c:v>Seacare</c:v>
                </c:pt>
                <c:pt idx="8">
                  <c:v>Tasmania</c:v>
                </c:pt>
                <c:pt idx="9">
                  <c:v>Western Australia</c:v>
                </c:pt>
                <c:pt idx="10">
                  <c:v>Victoria</c:v>
                </c:pt>
                <c:pt idx="12">
                  <c:v>Fractures</c:v>
                </c:pt>
                <c:pt idx="13">
                  <c:v>Musculoskeletal Disorders</c:v>
                </c:pt>
                <c:pt idx="14">
                  <c:v>Other Trauma</c:v>
                </c:pt>
                <c:pt idx="15">
                  <c:v>Mental Illness</c:v>
                </c:pt>
                <c:pt idx="16">
                  <c:v>Other Diseases</c:v>
                </c:pt>
                <c:pt idx="18">
                  <c:v>Small</c:v>
                </c:pt>
                <c:pt idx="19">
                  <c:v>Medium</c:v>
                </c:pt>
                <c:pt idx="20">
                  <c:v>Large</c:v>
                </c:pt>
              </c:strCache>
            </c:strRef>
          </c:cat>
          <c:val>
            <c:numRef>
              <c:f>Sheet1!$B$2:$B$22</c:f>
              <c:numCache>
                <c:formatCode>General</c:formatCode>
                <c:ptCount val="21"/>
                <c:pt idx="0" formatCode="0.0">
                  <c:v>42.606953017110001</c:v>
                </c:pt>
                <c:pt idx="2" formatCode="0.0">
                  <c:v>32.237889568980002</c:v>
                </c:pt>
                <c:pt idx="3" formatCode="0.0">
                  <c:v>34.70839095446</c:v>
                </c:pt>
                <c:pt idx="4" formatCode="0.0">
                  <c:v>41.152884705929999</c:v>
                </c:pt>
                <c:pt idx="5" formatCode="0.0">
                  <c:v>43.230227093659998</c:v>
                </c:pt>
                <c:pt idx="6" formatCode="0.0">
                  <c:v>49.311238051890001</c:v>
                </c:pt>
                <c:pt idx="7" formatCode="0.0">
                  <c:v>53.392193801989997</c:v>
                </c:pt>
                <c:pt idx="8" formatCode="0.0">
                  <c:v>33.142949018929997</c:v>
                </c:pt>
                <c:pt idx="9" formatCode="0.0">
                  <c:v>47.914506712490002</c:v>
                </c:pt>
                <c:pt idx="10" formatCode="0.0">
                  <c:v>33.986147626650002</c:v>
                </c:pt>
                <c:pt idx="12" formatCode="0.0">
                  <c:v>34.913373259970001</c:v>
                </c:pt>
                <c:pt idx="13" formatCode="0.0">
                  <c:v>41.43739257515</c:v>
                </c:pt>
                <c:pt idx="14" formatCode="0.0">
                  <c:v>49.701824297260004</c:v>
                </c:pt>
                <c:pt idx="15" formatCode="0.0">
                  <c:v>45.65936938043</c:v>
                </c:pt>
                <c:pt idx="16" formatCode="0.0">
                  <c:v>40.562708874720002</c:v>
                </c:pt>
                <c:pt idx="18" formatCode="0.0">
                  <c:v>45.080474195210002</c:v>
                </c:pt>
                <c:pt idx="19" formatCode="0.0">
                  <c:v>40.240765605710003</c:v>
                </c:pt>
                <c:pt idx="20" formatCode="0.0">
                  <c:v>43.303455711029997</c:v>
                </c:pt>
              </c:numCache>
            </c:numRef>
          </c:val>
          <c:extLst>
            <c:ext xmlns:c16="http://schemas.microsoft.com/office/drawing/2014/chart" uri="{C3380CC4-5D6E-409C-BE32-E72D297353CC}">
              <c16:uniqueId val="{00000010-9F27-418F-A2F2-4521BEC1C672}"/>
            </c:ext>
          </c:extLst>
        </c:ser>
        <c:ser>
          <c:idx val="1"/>
          <c:order val="1"/>
          <c:tx>
            <c:strRef>
              <c:f>Sheet1!$C$1</c:f>
              <c:strCache>
                <c:ptCount val="1"/>
                <c:pt idx="0">
                  <c:v>Modified/Light duties</c:v>
                </c:pt>
              </c:strCache>
            </c:strRef>
          </c:tx>
          <c:spPr>
            <a:solidFill>
              <a:schemeClr val="accent2"/>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12-9F27-418F-A2F2-4521BEC1C672}"/>
              </c:ext>
            </c:extLst>
          </c:dPt>
          <c:dPt>
            <c:idx val="12"/>
            <c:invertIfNegative val="0"/>
            <c:bubble3D val="0"/>
            <c:spPr>
              <a:solidFill>
                <a:schemeClr val="accent2"/>
              </a:solidFill>
              <a:ln>
                <a:noFill/>
              </a:ln>
              <a:effectLst/>
            </c:spPr>
            <c:extLst>
              <c:ext xmlns:c16="http://schemas.microsoft.com/office/drawing/2014/chart" uri="{C3380CC4-5D6E-409C-BE32-E72D297353CC}">
                <c16:uniqueId val="{00000014-9F27-418F-A2F2-4521BEC1C672}"/>
              </c:ext>
            </c:extLst>
          </c:dPt>
          <c:dPt>
            <c:idx val="13"/>
            <c:invertIfNegative val="0"/>
            <c:bubble3D val="0"/>
            <c:spPr>
              <a:solidFill>
                <a:schemeClr val="accent2"/>
              </a:solidFill>
              <a:ln>
                <a:noFill/>
              </a:ln>
              <a:effectLst/>
            </c:spPr>
            <c:extLst>
              <c:ext xmlns:c16="http://schemas.microsoft.com/office/drawing/2014/chart" uri="{C3380CC4-5D6E-409C-BE32-E72D297353CC}">
                <c16:uniqueId val="{00000016-9F27-418F-A2F2-4521BEC1C672}"/>
              </c:ext>
            </c:extLst>
          </c:dPt>
          <c:dPt>
            <c:idx val="14"/>
            <c:invertIfNegative val="0"/>
            <c:bubble3D val="0"/>
            <c:spPr>
              <a:solidFill>
                <a:schemeClr val="accent2"/>
              </a:solidFill>
              <a:ln>
                <a:noFill/>
              </a:ln>
              <a:effectLst/>
            </c:spPr>
            <c:extLst>
              <c:ext xmlns:c16="http://schemas.microsoft.com/office/drawing/2014/chart" uri="{C3380CC4-5D6E-409C-BE32-E72D297353CC}">
                <c16:uniqueId val="{00000018-9F27-418F-A2F2-4521BEC1C672}"/>
              </c:ext>
            </c:extLst>
          </c:dPt>
          <c:dPt>
            <c:idx val="15"/>
            <c:invertIfNegative val="0"/>
            <c:bubble3D val="0"/>
            <c:spPr>
              <a:solidFill>
                <a:schemeClr val="accent2"/>
              </a:solidFill>
              <a:ln>
                <a:noFill/>
              </a:ln>
              <a:effectLst/>
            </c:spPr>
            <c:extLst>
              <c:ext xmlns:c16="http://schemas.microsoft.com/office/drawing/2014/chart" uri="{C3380CC4-5D6E-409C-BE32-E72D297353CC}">
                <c16:uniqueId val="{0000001A-9F27-418F-A2F2-4521BEC1C672}"/>
              </c:ext>
            </c:extLst>
          </c:dPt>
          <c:dPt>
            <c:idx val="16"/>
            <c:invertIfNegative val="0"/>
            <c:bubble3D val="0"/>
            <c:spPr>
              <a:solidFill>
                <a:schemeClr val="accent2"/>
              </a:solidFill>
              <a:ln>
                <a:noFill/>
              </a:ln>
              <a:effectLst/>
            </c:spPr>
            <c:extLst>
              <c:ext xmlns:c16="http://schemas.microsoft.com/office/drawing/2014/chart" uri="{C3380CC4-5D6E-409C-BE32-E72D297353CC}">
                <c16:uniqueId val="{0000001C-9F27-418F-A2F2-4521BEC1C672}"/>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Sheet1!$A$2:$A$22</c:f>
              <c:strCache>
                <c:ptCount val="21"/>
                <c:pt idx="0">
                  <c:v>Total</c:v>
                </c:pt>
                <c:pt idx="2">
                  <c:v>Australian Capital Territory</c:v>
                </c:pt>
                <c:pt idx="3">
                  <c:v>Comcare</c:v>
                </c:pt>
                <c:pt idx="4">
                  <c:v>New South Wales</c:v>
                </c:pt>
                <c:pt idx="5">
                  <c:v>Northern Territory</c:v>
                </c:pt>
                <c:pt idx="6">
                  <c:v>Queensland</c:v>
                </c:pt>
                <c:pt idx="7">
                  <c:v>Seacare</c:v>
                </c:pt>
                <c:pt idx="8">
                  <c:v>Tasmania</c:v>
                </c:pt>
                <c:pt idx="9">
                  <c:v>Western Australia</c:v>
                </c:pt>
                <c:pt idx="10">
                  <c:v>Victoria</c:v>
                </c:pt>
                <c:pt idx="12">
                  <c:v>Fractures</c:v>
                </c:pt>
                <c:pt idx="13">
                  <c:v>Musculoskeletal Disorders</c:v>
                </c:pt>
                <c:pt idx="14">
                  <c:v>Other Trauma</c:v>
                </c:pt>
                <c:pt idx="15">
                  <c:v>Mental Illness</c:v>
                </c:pt>
                <c:pt idx="16">
                  <c:v>Other Diseases</c:v>
                </c:pt>
                <c:pt idx="18">
                  <c:v>Small</c:v>
                </c:pt>
                <c:pt idx="19">
                  <c:v>Medium</c:v>
                </c:pt>
                <c:pt idx="20">
                  <c:v>Large</c:v>
                </c:pt>
              </c:strCache>
            </c:strRef>
          </c:cat>
          <c:val>
            <c:numRef>
              <c:f>Sheet1!$C$2:$C$22</c:f>
              <c:numCache>
                <c:formatCode>General</c:formatCode>
                <c:ptCount val="21"/>
                <c:pt idx="0" formatCode="0.0">
                  <c:v>38.38597300048</c:v>
                </c:pt>
                <c:pt idx="2" formatCode="0.0">
                  <c:v>45.262620378340003</c:v>
                </c:pt>
                <c:pt idx="3" formatCode="0.0">
                  <c:v>39.945607760510001</c:v>
                </c:pt>
                <c:pt idx="4" formatCode="0.0">
                  <c:v>42.631598390889998</c:v>
                </c:pt>
                <c:pt idx="5" formatCode="0.0">
                  <c:v>35.080903029840002</c:v>
                </c:pt>
                <c:pt idx="6" formatCode="0.0">
                  <c:v>32.305251417859999</c:v>
                </c:pt>
                <c:pt idx="7" formatCode="0.0">
                  <c:v>30.381419970460001</c:v>
                </c:pt>
                <c:pt idx="8" formatCode="0.0">
                  <c:v>42.584991476349998</c:v>
                </c:pt>
                <c:pt idx="9" formatCode="0.0">
                  <c:v>32.173299504550002</c:v>
                </c:pt>
                <c:pt idx="10" formatCode="0.0">
                  <c:v>42.187446266350001</c:v>
                </c:pt>
                <c:pt idx="12" formatCode="0.0">
                  <c:v>43.0457332573</c:v>
                </c:pt>
                <c:pt idx="13" formatCode="0.0">
                  <c:v>39.374211473670002</c:v>
                </c:pt>
                <c:pt idx="14" formatCode="0.0">
                  <c:v>34.508261155059998</c:v>
                </c:pt>
                <c:pt idx="15" formatCode="0.0">
                  <c:v>30.597931362730002</c:v>
                </c:pt>
                <c:pt idx="16" formatCode="0.0">
                  <c:v>38.55984967725</c:v>
                </c:pt>
                <c:pt idx="18" formatCode="0.0">
                  <c:v>36.12424042912</c:v>
                </c:pt>
                <c:pt idx="19" formatCode="0.0">
                  <c:v>40.06473134993</c:v>
                </c:pt>
                <c:pt idx="20" formatCode="0.0">
                  <c:v>38.53152358789</c:v>
                </c:pt>
              </c:numCache>
            </c:numRef>
          </c:val>
          <c:extLst>
            <c:ext xmlns:c16="http://schemas.microsoft.com/office/drawing/2014/chart" uri="{C3380CC4-5D6E-409C-BE32-E72D297353CC}">
              <c16:uniqueId val="{0000001D-9F27-418F-A2F2-4521BEC1C672}"/>
            </c:ext>
          </c:extLst>
        </c:ser>
        <c:ser>
          <c:idx val="2"/>
          <c:order val="2"/>
          <c:tx>
            <c:strRef>
              <c:f>Sheet1!$D$1</c:f>
              <c:strCache>
                <c:ptCount val="1"/>
                <c:pt idx="0">
                  <c:v>Different duties</c:v>
                </c:pt>
              </c:strCache>
            </c:strRef>
          </c:tx>
          <c:spPr>
            <a:solidFill>
              <a:schemeClr val="accent5"/>
            </a:solidFill>
            <a:ln>
              <a:noFill/>
            </a:ln>
            <a:effectLst/>
          </c:spPr>
          <c:invertIfNegative val="0"/>
          <c:dPt>
            <c:idx val="0"/>
            <c:invertIfNegative val="0"/>
            <c:bubble3D val="0"/>
            <c:spPr>
              <a:solidFill>
                <a:schemeClr val="accent5"/>
              </a:solidFill>
              <a:ln>
                <a:noFill/>
              </a:ln>
              <a:effectLst/>
            </c:spPr>
            <c:extLst>
              <c:ext xmlns:c16="http://schemas.microsoft.com/office/drawing/2014/chart" uri="{C3380CC4-5D6E-409C-BE32-E72D297353CC}">
                <c16:uniqueId val="{0000001F-9F27-418F-A2F2-4521BEC1C672}"/>
              </c:ext>
            </c:extLst>
          </c:dPt>
          <c:dPt>
            <c:idx val="12"/>
            <c:invertIfNegative val="0"/>
            <c:bubble3D val="0"/>
            <c:spPr>
              <a:solidFill>
                <a:schemeClr val="accent5"/>
              </a:solidFill>
              <a:ln>
                <a:noFill/>
              </a:ln>
              <a:effectLst/>
            </c:spPr>
            <c:extLst>
              <c:ext xmlns:c16="http://schemas.microsoft.com/office/drawing/2014/chart" uri="{C3380CC4-5D6E-409C-BE32-E72D297353CC}">
                <c16:uniqueId val="{00000021-9F27-418F-A2F2-4521BEC1C672}"/>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23-9F27-418F-A2F2-4521BEC1C672}"/>
              </c:ext>
            </c:extLst>
          </c:dPt>
          <c:dPt>
            <c:idx val="14"/>
            <c:invertIfNegative val="0"/>
            <c:bubble3D val="0"/>
            <c:spPr>
              <a:solidFill>
                <a:schemeClr val="accent5"/>
              </a:solidFill>
              <a:ln>
                <a:noFill/>
              </a:ln>
              <a:effectLst/>
            </c:spPr>
            <c:extLst>
              <c:ext xmlns:c16="http://schemas.microsoft.com/office/drawing/2014/chart" uri="{C3380CC4-5D6E-409C-BE32-E72D297353CC}">
                <c16:uniqueId val="{00000025-9F27-418F-A2F2-4521BEC1C672}"/>
              </c:ext>
            </c:extLst>
          </c:dPt>
          <c:dPt>
            <c:idx val="15"/>
            <c:invertIfNegative val="0"/>
            <c:bubble3D val="0"/>
            <c:spPr>
              <a:solidFill>
                <a:schemeClr val="accent5"/>
              </a:solidFill>
              <a:ln>
                <a:noFill/>
              </a:ln>
              <a:effectLst/>
            </c:spPr>
            <c:extLst>
              <c:ext xmlns:c16="http://schemas.microsoft.com/office/drawing/2014/chart" uri="{C3380CC4-5D6E-409C-BE32-E72D297353CC}">
                <c16:uniqueId val="{00000027-9F27-418F-A2F2-4521BEC1C672}"/>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9-9F27-418F-A2F2-4521BEC1C672}"/>
              </c:ext>
            </c:extLst>
          </c:dPt>
          <c:dLbls>
            <c:dLbl>
              <c:idx val="3"/>
              <c:tx>
                <c:rich>
                  <a:bodyPr/>
                  <a:lstStyle/>
                  <a:p>
                    <a:fld id="{379C3D4F-CBD2-4FFF-A06F-1AD352511CC8}" type="VALUE">
                      <a:rPr lang="en-US">
                        <a:solidFill>
                          <a:schemeClr val="bg1"/>
                        </a:solidFill>
                      </a:rPr>
                      <a:pPr/>
                      <a:t>[VALUE]</a:t>
                    </a:fld>
                    <a:r>
                      <a:rPr lang="en-US">
                        <a:solidFill>
                          <a:schemeClr val="bg1"/>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A-9F27-418F-A2F2-4521BEC1C672}"/>
                </c:ext>
              </c:extLst>
            </c:dLbl>
            <c:dLbl>
              <c:idx val="10"/>
              <c:tx>
                <c:rich>
                  <a:bodyPr/>
                  <a:lstStyle/>
                  <a:p>
                    <a:fld id="{136BB4F2-32FF-4E19-847B-9F2C959CE7D0}" type="VALUE">
                      <a:rPr lang="en-US">
                        <a:solidFill>
                          <a:schemeClr val="bg1"/>
                        </a:solidFill>
                      </a:rPr>
                      <a:pPr/>
                      <a:t>[VALUE]</a:t>
                    </a:fld>
                    <a:r>
                      <a:rPr lang="en-US">
                        <a:solidFill>
                          <a:schemeClr val="bg1"/>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B-9F27-418F-A2F2-4521BEC1C67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Sheet1!$A$2:$A$22</c:f>
              <c:strCache>
                <c:ptCount val="21"/>
                <c:pt idx="0">
                  <c:v>Total</c:v>
                </c:pt>
                <c:pt idx="2">
                  <c:v>Australian Capital Territory</c:v>
                </c:pt>
                <c:pt idx="3">
                  <c:v>Comcare</c:v>
                </c:pt>
                <c:pt idx="4">
                  <c:v>New South Wales</c:v>
                </c:pt>
                <c:pt idx="5">
                  <c:v>Northern Territory</c:v>
                </c:pt>
                <c:pt idx="6">
                  <c:v>Queensland</c:v>
                </c:pt>
                <c:pt idx="7">
                  <c:v>Seacare</c:v>
                </c:pt>
                <c:pt idx="8">
                  <c:v>Tasmania</c:v>
                </c:pt>
                <c:pt idx="9">
                  <c:v>Western Australia</c:v>
                </c:pt>
                <c:pt idx="10">
                  <c:v>Victoria</c:v>
                </c:pt>
                <c:pt idx="12">
                  <c:v>Fractures</c:v>
                </c:pt>
                <c:pt idx="13">
                  <c:v>Musculoskeletal Disorders</c:v>
                </c:pt>
                <c:pt idx="14">
                  <c:v>Other Trauma</c:v>
                </c:pt>
                <c:pt idx="15">
                  <c:v>Mental Illness</c:v>
                </c:pt>
                <c:pt idx="16">
                  <c:v>Other Diseases</c:v>
                </c:pt>
                <c:pt idx="18">
                  <c:v>Small</c:v>
                </c:pt>
                <c:pt idx="19">
                  <c:v>Medium</c:v>
                </c:pt>
                <c:pt idx="20">
                  <c:v>Large</c:v>
                </c:pt>
              </c:strCache>
            </c:strRef>
          </c:cat>
          <c:val>
            <c:numRef>
              <c:f>Sheet1!$D$2:$D$22</c:f>
              <c:numCache>
                <c:formatCode>General</c:formatCode>
                <c:ptCount val="21"/>
                <c:pt idx="0" formatCode="0.0">
                  <c:v>19.007073982400001</c:v>
                </c:pt>
                <c:pt idx="2" formatCode="0.0">
                  <c:v>22.499490052679999</c:v>
                </c:pt>
                <c:pt idx="3" formatCode="0.0">
                  <c:v>25.346001285020002</c:v>
                </c:pt>
                <c:pt idx="4" formatCode="0.0">
                  <c:v>16.215516903179999</c:v>
                </c:pt>
                <c:pt idx="5" formatCode="0.0">
                  <c:v>21.6888698765</c:v>
                </c:pt>
                <c:pt idx="6" formatCode="0.0">
                  <c:v>18.38351053025</c:v>
                </c:pt>
                <c:pt idx="7" formatCode="0.0">
                  <c:v>16.226386227540001</c:v>
                </c:pt>
                <c:pt idx="8" formatCode="0.0">
                  <c:v>24.272059504720001</c:v>
                </c:pt>
                <c:pt idx="9" formatCode="0.0">
                  <c:v>19.912193782959999</c:v>
                </c:pt>
                <c:pt idx="10" formatCode="0.0">
                  <c:v>23.826406107</c:v>
                </c:pt>
                <c:pt idx="12" formatCode="0.0">
                  <c:v>22.040893482729999</c:v>
                </c:pt>
                <c:pt idx="13" formatCode="0.0">
                  <c:v>19.188395951179999</c:v>
                </c:pt>
                <c:pt idx="14" formatCode="0.0">
                  <c:v>15.78991454768</c:v>
                </c:pt>
                <c:pt idx="15" formatCode="0.0">
                  <c:v>23.742699256840002</c:v>
                </c:pt>
                <c:pt idx="16" formatCode="0.0">
                  <c:v>20.877441448039999</c:v>
                </c:pt>
                <c:pt idx="18" formatCode="0.0">
                  <c:v>18.795285375660001</c:v>
                </c:pt>
                <c:pt idx="19" formatCode="0.0">
                  <c:v>19.69450304435</c:v>
                </c:pt>
                <c:pt idx="20" formatCode="0.0">
                  <c:v>18.16502070108</c:v>
                </c:pt>
              </c:numCache>
            </c:numRef>
          </c:val>
          <c:extLst>
            <c:ext xmlns:c16="http://schemas.microsoft.com/office/drawing/2014/chart" uri="{C3380CC4-5D6E-409C-BE32-E72D297353CC}">
              <c16:uniqueId val="{0000002C-9F27-418F-A2F2-4521BEC1C672}"/>
            </c:ext>
          </c:extLst>
        </c:ser>
        <c:dLbls>
          <c:showLegendKey val="0"/>
          <c:showVal val="0"/>
          <c:showCatName val="0"/>
          <c:showSerName val="0"/>
          <c:showPercent val="0"/>
          <c:showBubbleSize val="0"/>
        </c:dLbls>
        <c:gapWidth val="35"/>
        <c:overlap val="100"/>
        <c:axId val="441045320"/>
        <c:axId val="441048600"/>
      </c:barChart>
      <c:catAx>
        <c:axId val="4410453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1048600"/>
        <c:crosses val="autoZero"/>
        <c:auto val="1"/>
        <c:lblAlgn val="ctr"/>
        <c:lblOffset val="100"/>
        <c:noMultiLvlLbl val="0"/>
      </c:catAx>
      <c:valAx>
        <c:axId val="441048600"/>
        <c:scaling>
          <c:orientation val="minMax"/>
        </c:scaling>
        <c:delete val="1"/>
        <c:axPos val="t"/>
        <c:numFmt formatCode="0%" sourceLinked="1"/>
        <c:majorTickMark val="none"/>
        <c:minorTickMark val="none"/>
        <c:tickLblPos val="nextTo"/>
        <c:crossAx val="441045320"/>
        <c:crosses val="autoZero"/>
        <c:crossBetween val="between"/>
      </c:valAx>
      <c:spPr>
        <a:noFill/>
        <a:ln>
          <a:noFill/>
        </a:ln>
        <a:effectLst/>
      </c:spPr>
    </c:plotArea>
    <c:legend>
      <c:legendPos val="t"/>
      <c:layout>
        <c:manualLayout>
          <c:xMode val="edge"/>
          <c:yMode val="edge"/>
          <c:x val="0.26595664516577106"/>
          <c:y val="2.1167754454048334E-2"/>
          <c:w val="0.71725980779414689"/>
          <c:h val="5.626928050469260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4"/>
          <c:order val="0"/>
          <c:tx>
            <c:strRef>
              <c:f>'Personal Domain PP1 timeseries'!$G$30</c:f>
              <c:strCache>
                <c:ptCount val="1"/>
                <c:pt idx="0">
                  <c:v>Poor </c:v>
                </c:pt>
              </c:strCache>
            </c:strRef>
          </c:tx>
          <c:spPr>
            <a:solidFill>
              <a:srgbClr val="1C36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'Personal Domain PP1 timeseries'!$H$25:$K$25</c:f>
              <c:numCache>
                <c:formatCode>General</c:formatCode>
                <c:ptCount val="4"/>
                <c:pt idx="0">
                  <c:v>2013</c:v>
                </c:pt>
                <c:pt idx="1">
                  <c:v>2014</c:v>
                </c:pt>
                <c:pt idx="2">
                  <c:v>2016</c:v>
                </c:pt>
                <c:pt idx="3">
                  <c:v>2018</c:v>
                </c:pt>
              </c:numCache>
            </c:numRef>
          </c:cat>
          <c:val>
            <c:numRef>
              <c:f>'Personal Domain PP1 timeseries'!$H$30:$K$30</c:f>
              <c:numCache>
                <c:formatCode>General</c:formatCode>
                <c:ptCount val="4"/>
                <c:pt idx="0">
                  <c:v>11.3</c:v>
                </c:pt>
                <c:pt idx="1">
                  <c:v>8.6999999999999993</c:v>
                </c:pt>
                <c:pt idx="2">
                  <c:v>8.4</c:v>
                </c:pt>
                <c:pt idx="3">
                  <c:v>9.6</c:v>
                </c:pt>
              </c:numCache>
            </c:numRef>
          </c:val>
          <c:extLst>
            <c:ext xmlns:c16="http://schemas.microsoft.com/office/drawing/2014/chart" uri="{C3380CC4-5D6E-409C-BE32-E72D297353CC}">
              <c16:uniqueId val="{00000000-2833-479B-AF90-C5F25B14C787}"/>
            </c:ext>
          </c:extLst>
        </c:ser>
        <c:ser>
          <c:idx val="3"/>
          <c:order val="1"/>
          <c:tx>
            <c:strRef>
              <c:f>'Personal Domain PP1 timeseries'!$G$29</c:f>
              <c:strCache>
                <c:ptCount val="1"/>
                <c:pt idx="0">
                  <c:v>Fair </c:v>
                </c:pt>
              </c:strCache>
            </c:strRef>
          </c:tx>
          <c:spPr>
            <a:solidFill>
              <a:srgbClr val="5D8395"/>
            </a:solidFill>
            <a:ln>
              <a:noFill/>
            </a:ln>
            <a:effectLst/>
          </c:spPr>
          <c:invertIfNegative val="0"/>
          <c:dLbls>
            <c:dLbl>
              <c:idx val="3"/>
              <c:tx>
                <c:rich>
                  <a:bodyPr/>
                  <a:lstStyle/>
                  <a:p>
                    <a:r>
                      <a:rPr lang="en-US">
                        <a:solidFill>
                          <a:schemeClr val="bg1"/>
                        </a:solidFill>
                      </a:rPr>
                      <a:t>20.4</a:t>
                    </a:r>
                    <a:r>
                      <a:rPr lang="en-US" sz="900" b="0" i="0" u="none" strike="noStrike" baseline="0">
                        <a:ln w="3175">
                          <a:noFill/>
                        </a:ln>
                        <a:solidFill>
                          <a:schemeClr val="bg1"/>
                        </a:solidFill>
                        <a:effectLst/>
                      </a:rPr>
                      <a:t>**</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33-479B-AF90-C5F25B14C7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'Personal Domain PP1 timeseries'!$H$25:$K$25</c:f>
              <c:numCache>
                <c:formatCode>General</c:formatCode>
                <c:ptCount val="4"/>
                <c:pt idx="0">
                  <c:v>2013</c:v>
                </c:pt>
                <c:pt idx="1">
                  <c:v>2014</c:v>
                </c:pt>
                <c:pt idx="2">
                  <c:v>2016</c:v>
                </c:pt>
                <c:pt idx="3">
                  <c:v>2018</c:v>
                </c:pt>
              </c:numCache>
            </c:numRef>
          </c:cat>
          <c:val>
            <c:numRef>
              <c:f>'Personal Domain PP1 timeseries'!$H$29:$K$29</c:f>
              <c:numCache>
                <c:formatCode>0.0</c:formatCode>
                <c:ptCount val="4"/>
                <c:pt idx="0">
                  <c:v>19</c:v>
                </c:pt>
                <c:pt idx="1">
                  <c:v>15</c:v>
                </c:pt>
                <c:pt idx="2" formatCode="General">
                  <c:v>13.5</c:v>
                </c:pt>
                <c:pt idx="3" formatCode="General">
                  <c:v>20.399999999999999</c:v>
                </c:pt>
              </c:numCache>
            </c:numRef>
          </c:val>
          <c:extLst>
            <c:ext xmlns:c16="http://schemas.microsoft.com/office/drawing/2014/chart" uri="{C3380CC4-5D6E-409C-BE32-E72D297353CC}">
              <c16:uniqueId val="{00000002-2833-479B-AF90-C5F25B14C787}"/>
            </c:ext>
          </c:extLst>
        </c:ser>
        <c:ser>
          <c:idx val="2"/>
          <c:order val="2"/>
          <c:tx>
            <c:strRef>
              <c:f>'Personal Domain PP1 timeseries'!$G$28</c:f>
              <c:strCache>
                <c:ptCount val="1"/>
                <c:pt idx="0">
                  <c:v>Good </c:v>
                </c:pt>
              </c:strCache>
            </c:strRef>
          </c:tx>
          <c:spPr>
            <a:solidFill>
              <a:srgbClr val="1CC49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'Personal Domain PP1 timeseries'!$H$25:$K$25</c:f>
              <c:numCache>
                <c:formatCode>General</c:formatCode>
                <c:ptCount val="4"/>
                <c:pt idx="0">
                  <c:v>2013</c:v>
                </c:pt>
                <c:pt idx="1">
                  <c:v>2014</c:v>
                </c:pt>
                <c:pt idx="2">
                  <c:v>2016</c:v>
                </c:pt>
                <c:pt idx="3">
                  <c:v>2018</c:v>
                </c:pt>
              </c:numCache>
            </c:numRef>
          </c:cat>
          <c:val>
            <c:numRef>
              <c:f>'Personal Domain PP1 timeseries'!$H$28:$K$28</c:f>
              <c:numCache>
                <c:formatCode>General</c:formatCode>
                <c:ptCount val="4"/>
                <c:pt idx="0">
                  <c:v>30.6</c:v>
                </c:pt>
                <c:pt idx="1">
                  <c:v>31.8</c:v>
                </c:pt>
                <c:pt idx="2" formatCode="0.0">
                  <c:v>33</c:v>
                </c:pt>
                <c:pt idx="3" formatCode="0.0">
                  <c:v>32</c:v>
                </c:pt>
              </c:numCache>
            </c:numRef>
          </c:val>
          <c:extLst>
            <c:ext xmlns:c16="http://schemas.microsoft.com/office/drawing/2014/chart" uri="{C3380CC4-5D6E-409C-BE32-E72D297353CC}">
              <c16:uniqueId val="{00000003-2833-479B-AF90-C5F25B14C787}"/>
            </c:ext>
          </c:extLst>
        </c:ser>
        <c:ser>
          <c:idx val="1"/>
          <c:order val="3"/>
          <c:tx>
            <c:strRef>
              <c:f>'Personal Domain PP1 timeseries'!$G$27</c:f>
              <c:strCache>
                <c:ptCount val="1"/>
                <c:pt idx="0">
                  <c:v>Very Good </c:v>
                </c:pt>
              </c:strCache>
            </c:strRef>
          </c:tx>
          <c:spPr>
            <a:solidFill>
              <a:srgbClr val="C0EDF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'Personal Domain PP1 timeseries'!$H$25:$K$25</c:f>
              <c:numCache>
                <c:formatCode>General</c:formatCode>
                <c:ptCount val="4"/>
                <c:pt idx="0">
                  <c:v>2013</c:v>
                </c:pt>
                <c:pt idx="1">
                  <c:v>2014</c:v>
                </c:pt>
                <c:pt idx="2">
                  <c:v>2016</c:v>
                </c:pt>
                <c:pt idx="3">
                  <c:v>2018</c:v>
                </c:pt>
              </c:numCache>
            </c:numRef>
          </c:cat>
          <c:val>
            <c:numRef>
              <c:f>'Personal Domain PP1 timeseries'!$H$27:$K$27</c:f>
              <c:numCache>
                <c:formatCode>General</c:formatCode>
                <c:ptCount val="4"/>
                <c:pt idx="0">
                  <c:v>26.7</c:v>
                </c:pt>
                <c:pt idx="1">
                  <c:v>28.5</c:v>
                </c:pt>
                <c:pt idx="2">
                  <c:v>28.7</c:v>
                </c:pt>
                <c:pt idx="3">
                  <c:v>23.6</c:v>
                </c:pt>
              </c:numCache>
            </c:numRef>
          </c:val>
          <c:extLst>
            <c:ext xmlns:c16="http://schemas.microsoft.com/office/drawing/2014/chart" uri="{C3380CC4-5D6E-409C-BE32-E72D297353CC}">
              <c16:uniqueId val="{00000004-2833-479B-AF90-C5F25B14C787}"/>
            </c:ext>
          </c:extLst>
        </c:ser>
        <c:ser>
          <c:idx val="0"/>
          <c:order val="4"/>
          <c:tx>
            <c:strRef>
              <c:f>'Personal Domain PP1 timeseries'!$G$26</c:f>
              <c:strCache>
                <c:ptCount val="1"/>
                <c:pt idx="0">
                  <c:v>Excellent </c:v>
                </c:pt>
              </c:strCache>
            </c:strRef>
          </c:tx>
          <c:spPr>
            <a:solidFill>
              <a:srgbClr val="5AC0E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'Personal Domain PP1 timeseries'!$H$25:$K$25</c:f>
              <c:numCache>
                <c:formatCode>General</c:formatCode>
                <c:ptCount val="4"/>
                <c:pt idx="0">
                  <c:v>2013</c:v>
                </c:pt>
                <c:pt idx="1">
                  <c:v>2014</c:v>
                </c:pt>
                <c:pt idx="2">
                  <c:v>2016</c:v>
                </c:pt>
                <c:pt idx="3">
                  <c:v>2018</c:v>
                </c:pt>
              </c:numCache>
            </c:numRef>
          </c:cat>
          <c:val>
            <c:numRef>
              <c:f>'Personal Domain PP1 timeseries'!$H$26:$K$26</c:f>
              <c:numCache>
                <c:formatCode>General</c:formatCode>
                <c:ptCount val="4"/>
                <c:pt idx="0">
                  <c:v>12.5</c:v>
                </c:pt>
                <c:pt idx="1">
                  <c:v>16.100000000000001</c:v>
                </c:pt>
                <c:pt idx="2">
                  <c:v>16.399999999999999</c:v>
                </c:pt>
                <c:pt idx="3">
                  <c:v>14.3</c:v>
                </c:pt>
              </c:numCache>
            </c:numRef>
          </c:val>
          <c:extLst>
            <c:ext xmlns:c16="http://schemas.microsoft.com/office/drawing/2014/chart" uri="{C3380CC4-5D6E-409C-BE32-E72D297353CC}">
              <c16:uniqueId val="{00000005-2833-479B-AF90-C5F25B14C787}"/>
            </c:ext>
          </c:extLst>
        </c:ser>
        <c:dLbls>
          <c:dLblPos val="ctr"/>
          <c:showLegendKey val="0"/>
          <c:showVal val="1"/>
          <c:showCatName val="0"/>
          <c:showSerName val="0"/>
          <c:showPercent val="0"/>
          <c:showBubbleSize val="0"/>
        </c:dLbls>
        <c:gapWidth val="50"/>
        <c:overlap val="100"/>
        <c:axId val="743951344"/>
        <c:axId val="743949048"/>
      </c:barChart>
      <c:catAx>
        <c:axId val="74395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43949048"/>
        <c:crosses val="autoZero"/>
        <c:auto val="1"/>
        <c:lblAlgn val="ctr"/>
        <c:lblOffset val="100"/>
        <c:noMultiLvlLbl val="0"/>
      </c:catAx>
      <c:valAx>
        <c:axId val="743949048"/>
        <c:scaling>
          <c:orientation val="minMax"/>
          <c:max val="100"/>
        </c:scaling>
        <c:delete val="1"/>
        <c:axPos val="l"/>
        <c:numFmt formatCode="General" sourceLinked="1"/>
        <c:majorTickMark val="out"/>
        <c:minorTickMark val="none"/>
        <c:tickLblPos val="nextTo"/>
        <c:crossAx val="7439513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rgbClr val="1F698E"/>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General health</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457D-4882-B1C0-00E1A22E1949}"/>
              </c:ext>
            </c:extLst>
          </c:dPt>
          <c:dPt>
            <c:idx val="12"/>
            <c:invertIfNegative val="0"/>
            <c:bubble3D val="0"/>
            <c:spPr>
              <a:solidFill>
                <a:schemeClr val="accent5"/>
              </a:solidFill>
              <a:ln>
                <a:noFill/>
              </a:ln>
              <a:effectLst/>
            </c:spPr>
            <c:extLst>
              <c:ext xmlns:c16="http://schemas.microsoft.com/office/drawing/2014/chart" uri="{C3380CC4-5D6E-409C-BE32-E72D297353CC}">
                <c16:uniqueId val="{00000003-457D-4882-B1C0-00E1A22E1949}"/>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05-457D-4882-B1C0-00E1A22E1949}"/>
              </c:ext>
            </c:extLst>
          </c:dPt>
          <c:dPt>
            <c:idx val="14"/>
            <c:invertIfNegative val="0"/>
            <c:bubble3D val="0"/>
            <c:spPr>
              <a:solidFill>
                <a:schemeClr val="accent5"/>
              </a:solidFill>
              <a:ln>
                <a:noFill/>
              </a:ln>
              <a:effectLst/>
            </c:spPr>
            <c:extLst>
              <c:ext xmlns:c16="http://schemas.microsoft.com/office/drawing/2014/chart" uri="{C3380CC4-5D6E-409C-BE32-E72D297353CC}">
                <c16:uniqueId val="{00000007-457D-4882-B1C0-00E1A22E1949}"/>
              </c:ext>
            </c:extLst>
          </c:dPt>
          <c:dPt>
            <c:idx val="15"/>
            <c:invertIfNegative val="0"/>
            <c:bubble3D val="0"/>
            <c:spPr>
              <a:solidFill>
                <a:schemeClr val="accent5"/>
              </a:solidFill>
              <a:ln>
                <a:noFill/>
              </a:ln>
              <a:effectLst/>
            </c:spPr>
            <c:extLst>
              <c:ext xmlns:c16="http://schemas.microsoft.com/office/drawing/2014/chart" uri="{C3380CC4-5D6E-409C-BE32-E72D297353CC}">
                <c16:uniqueId val="{00000009-457D-4882-B1C0-00E1A22E1949}"/>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0B-457D-4882-B1C0-00E1A22E1949}"/>
              </c:ext>
            </c:extLst>
          </c:dPt>
          <c:dPt>
            <c:idx val="18"/>
            <c:invertIfNegative val="0"/>
            <c:bubble3D val="0"/>
            <c:spPr>
              <a:solidFill>
                <a:schemeClr val="accent4"/>
              </a:solidFill>
              <a:ln>
                <a:noFill/>
              </a:ln>
              <a:effectLst/>
            </c:spPr>
            <c:extLst>
              <c:ext xmlns:c16="http://schemas.microsoft.com/office/drawing/2014/chart" uri="{C3380CC4-5D6E-409C-BE32-E72D297353CC}">
                <c16:uniqueId val="{0000000D-457D-4882-B1C0-00E1A22E1949}"/>
              </c:ext>
            </c:extLst>
          </c:dPt>
          <c:dPt>
            <c:idx val="19"/>
            <c:invertIfNegative val="0"/>
            <c:bubble3D val="0"/>
            <c:spPr>
              <a:solidFill>
                <a:schemeClr val="accent4"/>
              </a:solidFill>
              <a:ln>
                <a:noFill/>
              </a:ln>
              <a:effectLst/>
            </c:spPr>
            <c:extLst>
              <c:ext xmlns:c16="http://schemas.microsoft.com/office/drawing/2014/chart" uri="{C3380CC4-5D6E-409C-BE32-E72D297353CC}">
                <c16:uniqueId val="{0000000F-457D-4882-B1C0-00E1A22E1949}"/>
              </c:ext>
            </c:extLst>
          </c:dPt>
          <c:dLbls>
            <c:dLbl>
              <c:idx val="7"/>
              <c:layout>
                <c:manualLayout>
                  <c:x val="1.10253583241454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57D-4882-B1C0-00E1A22E1949}"/>
                </c:ext>
              </c:extLst>
            </c:dLbl>
            <c:dLbl>
              <c:idx val="13"/>
              <c:tx>
                <c:rich>
                  <a:bodyPr/>
                  <a:lstStyle/>
                  <a:p>
                    <a:fld id="{AFEE2EED-CA23-4CC5-8787-1291DDE07952}"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57D-4882-B1C0-00E1A22E1949}"/>
                </c:ext>
              </c:extLst>
            </c:dLbl>
            <c:dLbl>
              <c:idx val="14"/>
              <c:tx>
                <c:rich>
                  <a:bodyPr/>
                  <a:lstStyle/>
                  <a:p>
                    <a:fld id="{54BF526B-5A3B-45DF-9367-15CA5B0DF41B}"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57D-4882-B1C0-00E1A22E1949}"/>
                </c:ext>
              </c:extLst>
            </c:dLbl>
            <c:dLbl>
              <c:idx val="15"/>
              <c:tx>
                <c:rich>
                  <a:bodyPr/>
                  <a:lstStyle/>
                  <a:p>
                    <a:fld id="{88C1EC0B-CB98-42EF-913F-E02AD8050905}"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57D-4882-B1C0-00E1A22E1949}"/>
                </c:ext>
              </c:extLst>
            </c:dLbl>
            <c:dLbl>
              <c:idx val="16"/>
              <c:layout>
                <c:manualLayout>
                  <c:x val="4.410143329658214E-3"/>
                  <c:y val="2.777920533320910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57D-4882-B1C0-00E1A22E1949}"/>
                </c:ext>
              </c:extLst>
            </c:dLbl>
            <c:dLbl>
              <c:idx val="18"/>
              <c:tx>
                <c:rich>
                  <a:bodyPr/>
                  <a:lstStyle/>
                  <a:p>
                    <a:fld id="{51505E16-DFCB-4F17-AA38-9AF5D8AA475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457D-4882-B1C0-00E1A22E1949}"/>
                </c:ext>
              </c:extLst>
            </c:dLbl>
            <c:dLbl>
              <c:idx val="19"/>
              <c:tx>
                <c:rich>
                  <a:bodyPr/>
                  <a:lstStyle/>
                  <a:p>
                    <a:fld id="{97BF8299-5AD5-4BB3-9DBC-90F0DC7E23A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457D-4882-B1C0-00E1A22E194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20"/>
                <c:pt idx="0">
                  <c:v>Total</c:v>
                </c:pt>
                <c:pt idx="2">
                  <c:v>Australian Capital Territory</c:v>
                </c:pt>
                <c:pt idx="3">
                  <c:v>Comcare</c:v>
                </c:pt>
                <c:pt idx="4">
                  <c:v>New South Wales</c:v>
                </c:pt>
                <c:pt idx="5">
                  <c:v>Northern Territory</c:v>
                </c:pt>
                <c:pt idx="6">
                  <c:v>Queensland</c:v>
                </c:pt>
                <c:pt idx="7">
                  <c:v>Seacare</c:v>
                </c:pt>
                <c:pt idx="8">
                  <c:v>Tasmania</c:v>
                </c:pt>
                <c:pt idx="9">
                  <c:v>Western Australia</c:v>
                </c:pt>
                <c:pt idx="10">
                  <c:v>Victoria</c:v>
                </c:pt>
                <c:pt idx="12">
                  <c:v>Fractures</c:v>
                </c:pt>
                <c:pt idx="13">
                  <c:v>Musculoskeletal Disorders</c:v>
                </c:pt>
                <c:pt idx="14">
                  <c:v>Other Trauma</c:v>
                </c:pt>
                <c:pt idx="15">
                  <c:v>Mental Illness</c:v>
                </c:pt>
                <c:pt idx="16">
                  <c:v>Other Diseases</c:v>
                </c:pt>
                <c:pt idx="18">
                  <c:v>Currently working</c:v>
                </c:pt>
                <c:pt idx="19">
                  <c:v>Not working</c:v>
                </c:pt>
              </c:strCache>
            </c:strRef>
          </c:cat>
          <c:val>
            <c:numRef>
              <c:f>Sheet1!$B$2:$B$21</c:f>
              <c:numCache>
                <c:formatCode>General</c:formatCode>
                <c:ptCount val="20"/>
                <c:pt idx="0" formatCode="0.0">
                  <c:v>37.88172765393</c:v>
                </c:pt>
                <c:pt idx="2" formatCode="0.0">
                  <c:v>42.619206744339998</c:v>
                </c:pt>
                <c:pt idx="3" formatCode="0.0">
                  <c:v>34.28746795883</c:v>
                </c:pt>
                <c:pt idx="4" formatCode="0.0">
                  <c:v>37.506524623259999</c:v>
                </c:pt>
                <c:pt idx="5" formatCode="0.0">
                  <c:v>46.878902827680001</c:v>
                </c:pt>
                <c:pt idx="6" formatCode="0.0">
                  <c:v>39.318589123359999</c:v>
                </c:pt>
                <c:pt idx="7" formatCode="0.0">
                  <c:v>45.728138523349998</c:v>
                </c:pt>
                <c:pt idx="8" formatCode="0.0">
                  <c:v>34.120219293170003</c:v>
                </c:pt>
                <c:pt idx="9" formatCode="0.0">
                  <c:v>39.679254360510001</c:v>
                </c:pt>
                <c:pt idx="10" formatCode="0.0">
                  <c:v>34.97790827347</c:v>
                </c:pt>
                <c:pt idx="12" formatCode="0.0">
                  <c:v>43.263279965119999</c:v>
                </c:pt>
                <c:pt idx="13" formatCode="0.0">
                  <c:v>35.077721705080002</c:v>
                </c:pt>
                <c:pt idx="14" formatCode="0.0">
                  <c:v>44.820113799769999</c:v>
                </c:pt>
                <c:pt idx="15" formatCode="0.0">
                  <c:v>27.039674574979998</c:v>
                </c:pt>
                <c:pt idx="16" formatCode="0.0">
                  <c:v>34.833093096820001</c:v>
                </c:pt>
                <c:pt idx="18" formatCode="0.0">
                  <c:v>42.111165277909997</c:v>
                </c:pt>
                <c:pt idx="19" formatCode="0.0">
                  <c:v>16.910476379150001</c:v>
                </c:pt>
              </c:numCache>
            </c:numRef>
          </c:val>
          <c:extLst>
            <c:ext xmlns:c16="http://schemas.microsoft.com/office/drawing/2014/chart" uri="{C3380CC4-5D6E-409C-BE32-E72D297353CC}">
              <c16:uniqueId val="{00000011-457D-4882-B1C0-00E1A22E1949}"/>
            </c:ext>
          </c:extLst>
        </c:ser>
        <c:dLbls>
          <c:showLegendKey val="0"/>
          <c:showVal val="0"/>
          <c:showCatName val="0"/>
          <c:showSerName val="0"/>
          <c:showPercent val="0"/>
          <c:showBubbleSize val="0"/>
        </c:dLbls>
        <c:gapWidth val="50"/>
        <c:axId val="441045320"/>
        <c:axId val="441048600"/>
      </c:barChart>
      <c:catAx>
        <c:axId val="44104532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1048600"/>
        <c:crosses val="autoZero"/>
        <c:auto val="1"/>
        <c:lblAlgn val="ctr"/>
        <c:lblOffset val="100"/>
        <c:noMultiLvlLbl val="0"/>
      </c:catAx>
      <c:valAx>
        <c:axId val="441048600"/>
        <c:scaling>
          <c:orientation val="minMax"/>
          <c:max val="100"/>
        </c:scaling>
        <c:delete val="1"/>
        <c:axPos val="t"/>
        <c:numFmt formatCode="0.0" sourceLinked="1"/>
        <c:majorTickMark val="out"/>
        <c:minorTickMark val="none"/>
        <c:tickLblPos val="nextTo"/>
        <c:crossAx val="4410453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2018</c:v>
                </c:pt>
              </c:strCache>
            </c:strRef>
          </c:tx>
          <c:dPt>
            <c:idx val="0"/>
            <c:bubble3D val="0"/>
            <c:spPr>
              <a:solidFill>
                <a:schemeClr val="accent5"/>
              </a:solidFill>
              <a:ln>
                <a:noFill/>
              </a:ln>
              <a:effectLst/>
            </c:spPr>
            <c:extLst>
              <c:ext xmlns:c16="http://schemas.microsoft.com/office/drawing/2014/chart" uri="{C3380CC4-5D6E-409C-BE32-E72D297353CC}">
                <c16:uniqueId val="{00000003-D34D-4310-BF05-51D1D30ED078}"/>
              </c:ext>
            </c:extLst>
          </c:dPt>
          <c:dPt>
            <c:idx val="1"/>
            <c:bubble3D val="0"/>
            <c:spPr>
              <a:solidFill>
                <a:schemeClr val="accent3"/>
              </a:solidFill>
              <a:ln>
                <a:noFill/>
              </a:ln>
              <a:effectLst/>
            </c:spPr>
            <c:extLst>
              <c:ext xmlns:c16="http://schemas.microsoft.com/office/drawing/2014/chart" uri="{C3380CC4-5D6E-409C-BE32-E72D297353CC}">
                <c16:uniqueId val="{00000006-D34D-4310-BF05-51D1D30ED078}"/>
              </c:ext>
            </c:extLst>
          </c:dPt>
          <c:dPt>
            <c:idx val="2"/>
            <c:bubble3D val="0"/>
            <c:spPr>
              <a:solidFill>
                <a:schemeClr val="accent2"/>
              </a:solidFill>
              <a:ln>
                <a:noFill/>
              </a:ln>
              <a:effectLst/>
            </c:spPr>
            <c:extLst>
              <c:ext xmlns:c16="http://schemas.microsoft.com/office/drawing/2014/chart" uri="{C3380CC4-5D6E-409C-BE32-E72D297353CC}">
                <c16:uniqueId val="{00000005-D34D-4310-BF05-51D1D30ED078}"/>
              </c:ext>
            </c:extLst>
          </c:dPt>
          <c:dPt>
            <c:idx val="3"/>
            <c:bubble3D val="0"/>
            <c:spPr>
              <a:solidFill>
                <a:schemeClr val="accent1"/>
              </a:solidFill>
              <a:ln>
                <a:noFill/>
              </a:ln>
              <a:effectLst/>
            </c:spPr>
            <c:extLst>
              <c:ext xmlns:c16="http://schemas.microsoft.com/office/drawing/2014/chart" uri="{C3380CC4-5D6E-409C-BE32-E72D297353CC}">
                <c16:uniqueId val="{00000004-D34D-4310-BF05-51D1D30ED078}"/>
              </c:ext>
            </c:extLst>
          </c:dPt>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3-D34D-4310-BF05-51D1D30ED078}"/>
                </c:ext>
              </c:extLst>
            </c:dLbl>
            <c:dLbl>
              <c:idx val="1"/>
              <c:layout>
                <c:manualLayout>
                  <c:x val="-4.4101433296582946E-3"/>
                  <c:y val="5.29256101146720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34D-4310-BF05-51D1D30ED078}"/>
                </c:ext>
              </c:extLst>
            </c:dLbl>
            <c:dLbl>
              <c:idx val="3"/>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4-D34D-4310-BF05-51D1D30ED07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No pain problem</c:v>
                </c:pt>
                <c:pt idx="1">
                  <c:v>Less than one week</c:v>
                </c:pt>
                <c:pt idx="2">
                  <c:v>1 to 11 weeks</c:v>
                </c:pt>
                <c:pt idx="3">
                  <c:v>3 months or more</c:v>
                </c:pt>
              </c:strCache>
            </c:strRef>
          </c:cat>
          <c:val>
            <c:numRef>
              <c:f>Sheet1!$B$2:$B$5</c:f>
              <c:numCache>
                <c:formatCode>General</c:formatCode>
                <c:ptCount val="4"/>
                <c:pt idx="0">
                  <c:v>52.159533325859996</c:v>
                </c:pt>
                <c:pt idx="1">
                  <c:v>3.5359442340150005</c:v>
                </c:pt>
                <c:pt idx="2">
                  <c:v>7.4601492393860003</c:v>
                </c:pt>
                <c:pt idx="3">
                  <c:v>36.844373200729997</c:v>
                </c:pt>
              </c:numCache>
            </c:numRef>
          </c:val>
          <c:extLst>
            <c:ext xmlns:c16="http://schemas.microsoft.com/office/drawing/2014/chart" uri="{C3380CC4-5D6E-409C-BE32-E72D297353CC}">
              <c16:uniqueId val="{00000000-D34D-4310-BF05-51D1D30ED078}"/>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High limitations (average below 3.5)</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03AE-4221-9311-75324A51DB11}"/>
              </c:ext>
            </c:extLst>
          </c:dPt>
          <c:dPt>
            <c:idx val="12"/>
            <c:invertIfNegative val="0"/>
            <c:bubble3D val="0"/>
            <c:spPr>
              <a:solidFill>
                <a:schemeClr val="accent5"/>
              </a:solidFill>
              <a:ln>
                <a:noFill/>
              </a:ln>
              <a:effectLst/>
            </c:spPr>
            <c:extLst>
              <c:ext xmlns:c16="http://schemas.microsoft.com/office/drawing/2014/chart" uri="{C3380CC4-5D6E-409C-BE32-E72D297353CC}">
                <c16:uniqueId val="{00000003-03AE-4221-9311-75324A51DB11}"/>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05-03AE-4221-9311-75324A51DB11}"/>
              </c:ext>
            </c:extLst>
          </c:dPt>
          <c:dPt>
            <c:idx val="14"/>
            <c:invertIfNegative val="0"/>
            <c:bubble3D val="0"/>
            <c:spPr>
              <a:solidFill>
                <a:schemeClr val="accent5"/>
              </a:solidFill>
              <a:ln>
                <a:noFill/>
              </a:ln>
              <a:effectLst/>
            </c:spPr>
            <c:extLst>
              <c:ext xmlns:c16="http://schemas.microsoft.com/office/drawing/2014/chart" uri="{C3380CC4-5D6E-409C-BE32-E72D297353CC}">
                <c16:uniqueId val="{00000007-03AE-4221-9311-75324A51DB11}"/>
              </c:ext>
            </c:extLst>
          </c:dPt>
          <c:dPt>
            <c:idx val="15"/>
            <c:invertIfNegative val="0"/>
            <c:bubble3D val="0"/>
            <c:spPr>
              <a:solidFill>
                <a:schemeClr val="accent5"/>
              </a:solidFill>
              <a:ln>
                <a:noFill/>
              </a:ln>
              <a:effectLst/>
            </c:spPr>
            <c:extLst>
              <c:ext xmlns:c16="http://schemas.microsoft.com/office/drawing/2014/chart" uri="{C3380CC4-5D6E-409C-BE32-E72D297353CC}">
                <c16:uniqueId val="{00000009-03AE-4221-9311-75324A51DB11}"/>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0B-03AE-4221-9311-75324A51DB11}"/>
              </c:ext>
            </c:extLst>
          </c:dPt>
          <c:dPt>
            <c:idx val="18"/>
            <c:invertIfNegative val="0"/>
            <c:bubble3D val="0"/>
            <c:spPr>
              <a:solidFill>
                <a:schemeClr val="accent4"/>
              </a:solidFill>
              <a:ln>
                <a:noFill/>
              </a:ln>
              <a:effectLst/>
            </c:spPr>
            <c:extLst>
              <c:ext xmlns:c16="http://schemas.microsoft.com/office/drawing/2014/chart" uri="{C3380CC4-5D6E-409C-BE32-E72D297353CC}">
                <c16:uniqueId val="{0000001B-03AE-4221-9311-75324A51DB11}"/>
              </c:ext>
            </c:extLst>
          </c:dPt>
          <c:dPt>
            <c:idx val="19"/>
            <c:invertIfNegative val="0"/>
            <c:bubble3D val="0"/>
            <c:spPr>
              <a:solidFill>
                <a:schemeClr val="accent4"/>
              </a:solidFill>
              <a:ln>
                <a:noFill/>
              </a:ln>
              <a:effectLst/>
            </c:spPr>
            <c:extLst>
              <c:ext xmlns:c16="http://schemas.microsoft.com/office/drawing/2014/chart" uri="{C3380CC4-5D6E-409C-BE32-E72D297353CC}">
                <c16:uniqueId val="{0000001C-03AE-4221-9311-75324A51DB11}"/>
              </c:ext>
            </c:extLst>
          </c:dPt>
          <c:dLbls>
            <c:dLbl>
              <c:idx val="7"/>
              <c:layout>
                <c:manualLayout>
                  <c:x val="1.10253583241454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3AE-4221-9311-75324A51DB11}"/>
                </c:ext>
              </c:extLst>
            </c:dLbl>
            <c:dLbl>
              <c:idx val="13"/>
              <c:tx>
                <c:rich>
                  <a:bodyPr/>
                  <a:lstStyle/>
                  <a:p>
                    <a:fld id="{AFEE2EED-CA23-4CC5-8787-1291DDE0795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3AE-4221-9311-75324A51DB11}"/>
                </c:ext>
              </c:extLst>
            </c:dLbl>
            <c:dLbl>
              <c:idx val="14"/>
              <c:tx>
                <c:rich>
                  <a:bodyPr/>
                  <a:lstStyle/>
                  <a:p>
                    <a:fld id="{54BF526B-5A3B-45DF-9367-15CA5B0DF41B}"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3AE-4221-9311-75324A51DB11}"/>
                </c:ext>
              </c:extLst>
            </c:dLbl>
            <c:dLbl>
              <c:idx val="15"/>
              <c:tx>
                <c:rich>
                  <a:bodyPr/>
                  <a:lstStyle/>
                  <a:p>
                    <a:fld id="{88C1EC0B-CB98-42EF-913F-E02AD805090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03AE-4221-9311-75324A51DB11}"/>
                </c:ext>
              </c:extLst>
            </c:dLbl>
            <c:dLbl>
              <c:idx val="16"/>
              <c:layout>
                <c:manualLayout>
                  <c:x val="4.410143329658214E-3"/>
                  <c:y val="2.777920533320910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3AE-4221-9311-75324A51DB11}"/>
                </c:ext>
              </c:extLst>
            </c:dLbl>
            <c:dLbl>
              <c:idx val="18"/>
              <c:tx>
                <c:rich>
                  <a:bodyPr/>
                  <a:lstStyle/>
                  <a:p>
                    <a:fld id="{51505E16-DFCB-4F17-AA38-9AF5D8AA475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B-03AE-4221-9311-75324A51DB11}"/>
                </c:ext>
              </c:extLst>
            </c:dLbl>
            <c:dLbl>
              <c:idx val="19"/>
              <c:tx>
                <c:rich>
                  <a:bodyPr/>
                  <a:lstStyle/>
                  <a:p>
                    <a:fld id="{97BF8299-5AD5-4BB3-9DBC-90F0DC7E23A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C-03AE-4221-9311-75324A51DB1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20"/>
                <c:pt idx="0">
                  <c:v>Total</c:v>
                </c:pt>
                <c:pt idx="2">
                  <c:v>Australian Capital Territory</c:v>
                </c:pt>
                <c:pt idx="3">
                  <c:v>Comcare</c:v>
                </c:pt>
                <c:pt idx="4">
                  <c:v>New South Wales</c:v>
                </c:pt>
                <c:pt idx="5">
                  <c:v>Northern Territory</c:v>
                </c:pt>
                <c:pt idx="6">
                  <c:v>Queensland</c:v>
                </c:pt>
                <c:pt idx="7">
                  <c:v>Seacare</c:v>
                </c:pt>
                <c:pt idx="8">
                  <c:v>Tasmania</c:v>
                </c:pt>
                <c:pt idx="9">
                  <c:v>Western Australia</c:v>
                </c:pt>
                <c:pt idx="10">
                  <c:v>Victoria</c:v>
                </c:pt>
                <c:pt idx="12">
                  <c:v>Fractures</c:v>
                </c:pt>
                <c:pt idx="13">
                  <c:v>Musculoskeletal Disorders</c:v>
                </c:pt>
                <c:pt idx="14">
                  <c:v>Other Trauma</c:v>
                </c:pt>
                <c:pt idx="15">
                  <c:v>Mental Illness</c:v>
                </c:pt>
                <c:pt idx="16">
                  <c:v>Other Diseases</c:v>
                </c:pt>
                <c:pt idx="18">
                  <c:v>Currently working</c:v>
                </c:pt>
                <c:pt idx="19">
                  <c:v>Not working</c:v>
                </c:pt>
              </c:strCache>
            </c:strRef>
          </c:cat>
          <c:val>
            <c:numRef>
              <c:f>Sheet1!$B$2:$B$21</c:f>
              <c:numCache>
                <c:formatCode>General</c:formatCode>
                <c:ptCount val="20"/>
                <c:pt idx="0" formatCode="0.0">
                  <c:v>36.844373200729997</c:v>
                </c:pt>
                <c:pt idx="2" formatCode="0.0">
                  <c:v>36.090787101319997</c:v>
                </c:pt>
                <c:pt idx="3" formatCode="0.0">
                  <c:v>40.836414793039999</c:v>
                </c:pt>
                <c:pt idx="4" formatCode="0.0">
                  <c:v>38.36760456124</c:v>
                </c:pt>
                <c:pt idx="5" formatCode="0.0">
                  <c:v>38.510778022910003</c:v>
                </c:pt>
                <c:pt idx="6" formatCode="0.0">
                  <c:v>36.347719688620003</c:v>
                </c:pt>
                <c:pt idx="7" formatCode="0.0">
                  <c:v>34.297633435999998</c:v>
                </c:pt>
                <c:pt idx="8" formatCode="0.0">
                  <c:v>41.287160459459997</c:v>
                </c:pt>
                <c:pt idx="9" formatCode="0.0">
                  <c:v>30.062234327310001</c:v>
                </c:pt>
                <c:pt idx="10" formatCode="0.0">
                  <c:v>38.116882054729999</c:v>
                </c:pt>
                <c:pt idx="12" formatCode="0.0">
                  <c:v>38.448008879630002</c:v>
                </c:pt>
                <c:pt idx="13" formatCode="0.0">
                  <c:v>42.064470137409998</c:v>
                </c:pt>
                <c:pt idx="14" formatCode="0.0">
                  <c:v>27.737156957350003</c:v>
                </c:pt>
                <c:pt idx="15" formatCode="0.0">
                  <c:v>17.097791095440002</c:v>
                </c:pt>
                <c:pt idx="16" formatCode="0.0">
                  <c:v>29.794940780499999</c:v>
                </c:pt>
                <c:pt idx="18" formatCode="0.0">
                  <c:v>32.63127639204</c:v>
                </c:pt>
                <c:pt idx="19" formatCode="0.0">
                  <c:v>57.681354564560003</c:v>
                </c:pt>
              </c:numCache>
            </c:numRef>
          </c:val>
          <c:extLst>
            <c:ext xmlns:c16="http://schemas.microsoft.com/office/drawing/2014/chart" uri="{C3380CC4-5D6E-409C-BE32-E72D297353CC}">
              <c16:uniqueId val="{0000000D-03AE-4221-9311-75324A51DB11}"/>
            </c:ext>
          </c:extLst>
        </c:ser>
        <c:dLbls>
          <c:showLegendKey val="0"/>
          <c:showVal val="0"/>
          <c:showCatName val="0"/>
          <c:showSerName val="0"/>
          <c:showPercent val="0"/>
          <c:showBubbleSize val="0"/>
        </c:dLbls>
        <c:gapWidth val="50"/>
        <c:axId val="441045320"/>
        <c:axId val="441048600"/>
      </c:barChart>
      <c:catAx>
        <c:axId val="44104532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1048600"/>
        <c:crosses val="autoZero"/>
        <c:auto val="1"/>
        <c:lblAlgn val="ctr"/>
        <c:lblOffset val="100"/>
        <c:noMultiLvlLbl val="0"/>
      </c:catAx>
      <c:valAx>
        <c:axId val="441048600"/>
        <c:scaling>
          <c:orientation val="minMax"/>
          <c:max val="100"/>
        </c:scaling>
        <c:delete val="1"/>
        <c:axPos val="t"/>
        <c:numFmt formatCode="0.0" sourceLinked="1"/>
        <c:majorTickMark val="out"/>
        <c:minorTickMark val="none"/>
        <c:tickLblPos val="nextTo"/>
        <c:crossAx val="4410453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No probable serious mental illness (6 to 18)</c:v>
                </c:pt>
              </c:strCache>
            </c:strRef>
          </c:tx>
          <c:spPr>
            <a:solidFill>
              <a:schemeClr val="accent5">
                <a:lumMod val="60000"/>
                <a:lumOff val="40000"/>
              </a:schemeClr>
            </a:solidFill>
            <a:ln>
              <a:noFill/>
            </a:ln>
            <a:effectLst/>
          </c:spPr>
          <c:invertIfNegative val="0"/>
          <c:dPt>
            <c:idx val="0"/>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1-53A3-4284-BDDC-6F0476C88411}"/>
              </c:ext>
            </c:extLst>
          </c:dPt>
          <c:dPt>
            <c:idx val="12"/>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3-53A3-4284-BDDC-6F0476C88411}"/>
              </c:ext>
            </c:extLst>
          </c:dPt>
          <c:dPt>
            <c:idx val="13"/>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5-53A3-4284-BDDC-6F0476C88411}"/>
              </c:ext>
            </c:extLst>
          </c:dPt>
          <c:dPt>
            <c:idx val="14"/>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7-53A3-4284-BDDC-6F0476C88411}"/>
              </c:ext>
            </c:extLst>
          </c:dPt>
          <c:dPt>
            <c:idx val="15"/>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9-53A3-4284-BDDC-6F0476C88411}"/>
              </c:ext>
            </c:extLst>
          </c:dPt>
          <c:dPt>
            <c:idx val="16"/>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B-53A3-4284-BDDC-6F0476C88411}"/>
              </c:ext>
            </c:extLst>
          </c:dPt>
          <c:dLbls>
            <c:dLbl>
              <c:idx val="3"/>
              <c:tx>
                <c:rich>
                  <a:bodyPr/>
                  <a:lstStyle/>
                  <a:p>
                    <a:fld id="{126F6B90-4D88-46E2-879D-9C3189C51ACC}" type="VALUE">
                      <a:rPr lang="en-US">
                        <a:solidFill>
                          <a:sysClr val="windowText" lastClr="000000"/>
                        </a:solidFill>
                      </a:rPr>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53A3-4284-BDDC-6F0476C88411}"/>
                </c:ext>
              </c:extLst>
            </c:dLbl>
            <c:dLbl>
              <c:idx val="6"/>
              <c:tx>
                <c:rich>
                  <a:bodyPr/>
                  <a:lstStyle/>
                  <a:p>
                    <a:fld id="{DA6FB35A-F233-4485-842F-564557A46FF9}" type="VALUE">
                      <a:rPr lang="en-US">
                        <a:solidFill>
                          <a:sysClr val="windowText" lastClr="000000"/>
                        </a:solidFill>
                      </a:rPr>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53A3-4284-BDDC-6F0476C88411}"/>
                </c:ext>
              </c:extLst>
            </c:dLbl>
            <c:dLbl>
              <c:idx val="8"/>
              <c:tx>
                <c:rich>
                  <a:bodyPr/>
                  <a:lstStyle/>
                  <a:p>
                    <a:fld id="{6C28AAFF-C722-454E-AE52-7AAC0C2E99F5}" type="VALUE">
                      <a:rPr lang="en-US">
                        <a:solidFill>
                          <a:sysClr val="windowText" lastClr="000000"/>
                        </a:solidFill>
                      </a:rPr>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53A3-4284-BDDC-6F0476C88411}"/>
                </c:ext>
              </c:extLst>
            </c:dLbl>
            <c:dLbl>
              <c:idx val="10"/>
              <c:tx>
                <c:rich>
                  <a:bodyPr/>
                  <a:lstStyle/>
                  <a:p>
                    <a:fld id="{648D2A4B-9575-47BD-B08C-F0515ECD3BB9}"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53A3-4284-BDDC-6F0476C88411}"/>
                </c:ext>
              </c:extLst>
            </c:dLbl>
            <c:dLbl>
              <c:idx val="14"/>
              <c:tx>
                <c:rich>
                  <a:bodyPr/>
                  <a:lstStyle/>
                  <a:p>
                    <a:fld id="{A69FD723-7E5A-4484-ADD6-714E354789CB}" type="VALUE">
                      <a:rPr lang="en-US">
                        <a:solidFill>
                          <a:sysClr val="windowText" lastClr="000000"/>
                        </a:solidFill>
                      </a:rPr>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3A3-4284-BDDC-6F0476C88411}"/>
                </c:ext>
              </c:extLst>
            </c:dLbl>
            <c:dLbl>
              <c:idx val="15"/>
              <c:tx>
                <c:rich>
                  <a:bodyPr/>
                  <a:lstStyle/>
                  <a:p>
                    <a:fld id="{FE6C8438-14FB-494C-A3E1-C08A2C05CED0}"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3A3-4284-BDDC-6F0476C88411}"/>
                </c:ext>
              </c:extLst>
            </c:dLbl>
            <c:dLbl>
              <c:idx val="18"/>
              <c:tx>
                <c:rich>
                  <a:bodyPr/>
                  <a:lstStyle/>
                  <a:p>
                    <a:fld id="{6E605039-5502-45A2-ACF8-57A906C6FD0E}"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53A3-4284-BDDC-6F0476C88411}"/>
                </c:ext>
              </c:extLst>
            </c:dLbl>
            <c:dLbl>
              <c:idx val="19"/>
              <c:tx>
                <c:rich>
                  <a:bodyPr/>
                  <a:lstStyle/>
                  <a:p>
                    <a:fld id="{8A1E2CC1-AAFA-4509-BCBA-82B251AB2BA2}"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53A3-4284-BDDC-6F0476C8841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Sheet1!$A$2:$A$21</c:f>
              <c:strCache>
                <c:ptCount val="20"/>
                <c:pt idx="0">
                  <c:v>Total</c:v>
                </c:pt>
                <c:pt idx="2">
                  <c:v>Australian Capital Territory</c:v>
                </c:pt>
                <c:pt idx="3">
                  <c:v>Comcare</c:v>
                </c:pt>
                <c:pt idx="4">
                  <c:v>New South Wales</c:v>
                </c:pt>
                <c:pt idx="5">
                  <c:v>Northern Territory</c:v>
                </c:pt>
                <c:pt idx="6">
                  <c:v>Queensland</c:v>
                </c:pt>
                <c:pt idx="7">
                  <c:v>Seacare</c:v>
                </c:pt>
                <c:pt idx="8">
                  <c:v>Tasmania</c:v>
                </c:pt>
                <c:pt idx="9">
                  <c:v>Western Australia</c:v>
                </c:pt>
                <c:pt idx="10">
                  <c:v>Victoria</c:v>
                </c:pt>
                <c:pt idx="12">
                  <c:v>Fractures</c:v>
                </c:pt>
                <c:pt idx="13">
                  <c:v>Musculoskeletal Disorders</c:v>
                </c:pt>
                <c:pt idx="14">
                  <c:v>Other Trauma</c:v>
                </c:pt>
                <c:pt idx="15">
                  <c:v>Mental Illness</c:v>
                </c:pt>
                <c:pt idx="16">
                  <c:v>Other Diseases</c:v>
                </c:pt>
                <c:pt idx="18">
                  <c:v>Currently working</c:v>
                </c:pt>
                <c:pt idx="19">
                  <c:v>Not working</c:v>
                </c:pt>
              </c:strCache>
            </c:strRef>
          </c:cat>
          <c:val>
            <c:numRef>
              <c:f>Sheet1!$B$2:$B$21</c:f>
              <c:numCache>
                <c:formatCode>General</c:formatCode>
                <c:ptCount val="20"/>
                <c:pt idx="0" formatCode="0.0">
                  <c:v>88.986756420489996</c:v>
                </c:pt>
                <c:pt idx="2" formatCode="0.0">
                  <c:v>90.562843833559995</c:v>
                </c:pt>
                <c:pt idx="3" formatCode="0.0">
                  <c:v>90.297783759949994</c:v>
                </c:pt>
                <c:pt idx="4" formatCode="0.0">
                  <c:v>90.856623530769994</c:v>
                </c:pt>
                <c:pt idx="5" formatCode="0.0">
                  <c:v>91.933960367439994</c:v>
                </c:pt>
                <c:pt idx="6" formatCode="0.0">
                  <c:v>88.477309977290005</c:v>
                </c:pt>
                <c:pt idx="7" formatCode="0.0">
                  <c:v>93.676200307480002</c:v>
                </c:pt>
                <c:pt idx="8" formatCode="0.0">
                  <c:v>88.246021200439998</c:v>
                </c:pt>
                <c:pt idx="9" formatCode="0.0">
                  <c:v>91.082348367470004</c:v>
                </c:pt>
                <c:pt idx="10" formatCode="0.0">
                  <c:v>84.428704939509998</c:v>
                </c:pt>
                <c:pt idx="12" formatCode="0.0">
                  <c:v>88.375796440149998</c:v>
                </c:pt>
                <c:pt idx="13" formatCode="0.0">
                  <c:v>89.452962255000003</c:v>
                </c:pt>
                <c:pt idx="14" formatCode="0.0">
                  <c:v>91.344260431920006</c:v>
                </c:pt>
                <c:pt idx="15" formatCode="0.0">
                  <c:v>70.201675786050004</c:v>
                </c:pt>
                <c:pt idx="16" formatCode="0.0">
                  <c:v>92.213799437860004</c:v>
                </c:pt>
                <c:pt idx="18" formatCode="0.0">
                  <c:v>93.728834758069993</c:v>
                </c:pt>
                <c:pt idx="19" formatCode="0.0">
                  <c:v>65.097504969279996</c:v>
                </c:pt>
              </c:numCache>
            </c:numRef>
          </c:val>
          <c:extLst>
            <c:ext xmlns:c16="http://schemas.microsoft.com/office/drawing/2014/chart" uri="{C3380CC4-5D6E-409C-BE32-E72D297353CC}">
              <c16:uniqueId val="{00000012-53A3-4284-BDDC-6F0476C88411}"/>
            </c:ext>
          </c:extLst>
        </c:ser>
        <c:ser>
          <c:idx val="1"/>
          <c:order val="1"/>
          <c:tx>
            <c:strRef>
              <c:f>Sheet1!$C$1</c:f>
              <c:strCache>
                <c:ptCount val="1"/>
                <c:pt idx="0">
                  <c:v>Probable serious mental illness (19 to 30)</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14-53A3-4284-BDDC-6F0476C88411}"/>
              </c:ext>
            </c:extLst>
          </c:dPt>
          <c:dPt>
            <c:idx val="12"/>
            <c:invertIfNegative val="0"/>
            <c:bubble3D val="0"/>
            <c:spPr>
              <a:solidFill>
                <a:schemeClr val="accent1"/>
              </a:solidFill>
              <a:ln>
                <a:noFill/>
              </a:ln>
              <a:effectLst/>
            </c:spPr>
            <c:extLst>
              <c:ext xmlns:c16="http://schemas.microsoft.com/office/drawing/2014/chart" uri="{C3380CC4-5D6E-409C-BE32-E72D297353CC}">
                <c16:uniqueId val="{00000016-53A3-4284-BDDC-6F0476C88411}"/>
              </c:ext>
            </c:extLst>
          </c:dPt>
          <c:dPt>
            <c:idx val="13"/>
            <c:invertIfNegative val="0"/>
            <c:bubble3D val="0"/>
            <c:spPr>
              <a:solidFill>
                <a:schemeClr val="accent1"/>
              </a:solidFill>
              <a:ln>
                <a:noFill/>
              </a:ln>
              <a:effectLst/>
            </c:spPr>
            <c:extLst>
              <c:ext xmlns:c16="http://schemas.microsoft.com/office/drawing/2014/chart" uri="{C3380CC4-5D6E-409C-BE32-E72D297353CC}">
                <c16:uniqueId val="{00000018-53A3-4284-BDDC-6F0476C88411}"/>
              </c:ext>
            </c:extLst>
          </c:dPt>
          <c:dPt>
            <c:idx val="14"/>
            <c:invertIfNegative val="0"/>
            <c:bubble3D val="0"/>
            <c:spPr>
              <a:solidFill>
                <a:schemeClr val="accent1"/>
              </a:solidFill>
              <a:ln>
                <a:noFill/>
              </a:ln>
              <a:effectLst/>
            </c:spPr>
            <c:extLst>
              <c:ext xmlns:c16="http://schemas.microsoft.com/office/drawing/2014/chart" uri="{C3380CC4-5D6E-409C-BE32-E72D297353CC}">
                <c16:uniqueId val="{0000001A-53A3-4284-BDDC-6F0476C88411}"/>
              </c:ext>
            </c:extLst>
          </c:dPt>
          <c:dPt>
            <c:idx val="15"/>
            <c:invertIfNegative val="0"/>
            <c:bubble3D val="0"/>
            <c:spPr>
              <a:solidFill>
                <a:schemeClr val="accent1"/>
              </a:solidFill>
              <a:ln>
                <a:noFill/>
              </a:ln>
              <a:effectLst/>
            </c:spPr>
            <c:extLst>
              <c:ext xmlns:c16="http://schemas.microsoft.com/office/drawing/2014/chart" uri="{C3380CC4-5D6E-409C-BE32-E72D297353CC}">
                <c16:uniqueId val="{0000001C-53A3-4284-BDDC-6F0476C88411}"/>
              </c:ext>
            </c:extLst>
          </c:dPt>
          <c:dPt>
            <c:idx val="16"/>
            <c:invertIfNegative val="0"/>
            <c:bubble3D val="0"/>
            <c:spPr>
              <a:solidFill>
                <a:schemeClr val="accent1"/>
              </a:solidFill>
              <a:ln>
                <a:noFill/>
              </a:ln>
              <a:effectLst/>
            </c:spPr>
            <c:extLst>
              <c:ext xmlns:c16="http://schemas.microsoft.com/office/drawing/2014/chart" uri="{C3380CC4-5D6E-409C-BE32-E72D297353CC}">
                <c16:uniqueId val="{0000001E-53A3-4284-BDDC-6F0476C88411}"/>
              </c:ext>
            </c:extLst>
          </c:dPt>
          <c:dLbls>
            <c:dLbl>
              <c:idx val="10"/>
              <c:tx>
                <c:rich>
                  <a:bodyPr/>
                  <a:lstStyle/>
                  <a:p>
                    <a:fld id="{5C101EB0-C7D5-40DB-88C9-A41568534D5B}"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F-53A3-4284-BDDC-6F0476C88411}"/>
                </c:ext>
              </c:extLst>
            </c:dLbl>
            <c:dLbl>
              <c:idx val="15"/>
              <c:tx>
                <c:rich>
                  <a:bodyPr/>
                  <a:lstStyle/>
                  <a:p>
                    <a:fld id="{7F968DE1-F0AA-4C91-9F03-952B16F0154E}"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C-53A3-4284-BDDC-6F0476C88411}"/>
                </c:ext>
              </c:extLst>
            </c:dLbl>
            <c:dLbl>
              <c:idx val="18"/>
              <c:tx>
                <c:rich>
                  <a:bodyPr/>
                  <a:lstStyle/>
                  <a:p>
                    <a:fld id="{A8503819-6DCB-4F9A-8A60-AAD8E576C68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0-53A3-4284-BDDC-6F0476C88411}"/>
                </c:ext>
              </c:extLst>
            </c:dLbl>
            <c:dLbl>
              <c:idx val="19"/>
              <c:tx>
                <c:rich>
                  <a:bodyPr/>
                  <a:lstStyle/>
                  <a:p>
                    <a:fld id="{2E55464A-0ACB-4C85-AF89-A083426C36F1}"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1-53A3-4284-BDDC-6F0476C8841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Sheet1!$A$2:$A$21</c:f>
              <c:strCache>
                <c:ptCount val="20"/>
                <c:pt idx="0">
                  <c:v>Total</c:v>
                </c:pt>
                <c:pt idx="2">
                  <c:v>Australian Capital Territory</c:v>
                </c:pt>
                <c:pt idx="3">
                  <c:v>Comcare</c:v>
                </c:pt>
                <c:pt idx="4">
                  <c:v>New South Wales</c:v>
                </c:pt>
                <c:pt idx="5">
                  <c:v>Northern Territory</c:v>
                </c:pt>
                <c:pt idx="6">
                  <c:v>Queensland</c:v>
                </c:pt>
                <c:pt idx="7">
                  <c:v>Seacare</c:v>
                </c:pt>
                <c:pt idx="8">
                  <c:v>Tasmania</c:v>
                </c:pt>
                <c:pt idx="9">
                  <c:v>Western Australia</c:v>
                </c:pt>
                <c:pt idx="10">
                  <c:v>Victoria</c:v>
                </c:pt>
                <c:pt idx="12">
                  <c:v>Fractures</c:v>
                </c:pt>
                <c:pt idx="13">
                  <c:v>Musculoskeletal Disorders</c:v>
                </c:pt>
                <c:pt idx="14">
                  <c:v>Other Trauma</c:v>
                </c:pt>
                <c:pt idx="15">
                  <c:v>Mental Illness</c:v>
                </c:pt>
                <c:pt idx="16">
                  <c:v>Other Diseases</c:v>
                </c:pt>
                <c:pt idx="18">
                  <c:v>Currently working</c:v>
                </c:pt>
                <c:pt idx="19">
                  <c:v>Not working</c:v>
                </c:pt>
              </c:strCache>
            </c:strRef>
          </c:cat>
          <c:val>
            <c:numRef>
              <c:f>Sheet1!$C$2:$C$21</c:f>
              <c:numCache>
                <c:formatCode>General</c:formatCode>
                <c:ptCount val="20"/>
                <c:pt idx="0" formatCode="0.0">
                  <c:v>11.01324357951</c:v>
                </c:pt>
                <c:pt idx="2" formatCode="0.0">
                  <c:v>9.4371561664409995</c:v>
                </c:pt>
                <c:pt idx="3" formatCode="0.0">
                  <c:v>9.7022162400509995</c:v>
                </c:pt>
                <c:pt idx="4" formatCode="0.0">
                  <c:v>9.1433764692280004</c:v>
                </c:pt>
                <c:pt idx="5" formatCode="0.0">
                  <c:v>8.0660396325639994</c:v>
                </c:pt>
                <c:pt idx="6" formatCode="0.0">
                  <c:v>11.52269002271</c:v>
                </c:pt>
                <c:pt idx="7" formatCode="0.0">
                  <c:v>6.3237996925209998</c:v>
                </c:pt>
                <c:pt idx="8" formatCode="0.0">
                  <c:v>11.75397879956</c:v>
                </c:pt>
                <c:pt idx="9" formatCode="0.0">
                  <c:v>8.9176516325339996</c:v>
                </c:pt>
                <c:pt idx="10" formatCode="0.0">
                  <c:v>15.571295060490002</c:v>
                </c:pt>
                <c:pt idx="12" formatCode="0.0">
                  <c:v>11.624203559850001</c:v>
                </c:pt>
                <c:pt idx="13" formatCode="0.0">
                  <c:v>10.547037745000001</c:v>
                </c:pt>
                <c:pt idx="14" formatCode="0.0">
                  <c:v>8.6557395680829998</c:v>
                </c:pt>
                <c:pt idx="15" formatCode="0.0">
                  <c:v>29.79832421395</c:v>
                </c:pt>
                <c:pt idx="16" formatCode="0.0">
                  <c:v>7.7862005621390011</c:v>
                </c:pt>
                <c:pt idx="18" formatCode="0.0">
                  <c:v>6.2711652419259991</c:v>
                </c:pt>
                <c:pt idx="19" formatCode="0.0">
                  <c:v>34.902495030719997</c:v>
                </c:pt>
              </c:numCache>
            </c:numRef>
          </c:val>
          <c:extLst>
            <c:ext xmlns:c16="http://schemas.microsoft.com/office/drawing/2014/chart" uri="{C3380CC4-5D6E-409C-BE32-E72D297353CC}">
              <c16:uniqueId val="{00000022-53A3-4284-BDDC-6F0476C88411}"/>
            </c:ext>
          </c:extLst>
        </c:ser>
        <c:dLbls>
          <c:showLegendKey val="0"/>
          <c:showVal val="0"/>
          <c:showCatName val="0"/>
          <c:showSerName val="0"/>
          <c:showPercent val="0"/>
          <c:showBubbleSize val="0"/>
        </c:dLbls>
        <c:gapWidth val="35"/>
        <c:overlap val="100"/>
        <c:axId val="441045320"/>
        <c:axId val="441048600"/>
      </c:barChart>
      <c:catAx>
        <c:axId val="4410453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1048600"/>
        <c:crosses val="autoZero"/>
        <c:auto val="1"/>
        <c:lblAlgn val="ctr"/>
        <c:lblOffset val="100"/>
        <c:noMultiLvlLbl val="0"/>
      </c:catAx>
      <c:valAx>
        <c:axId val="441048600"/>
        <c:scaling>
          <c:orientation val="minMax"/>
        </c:scaling>
        <c:delete val="1"/>
        <c:axPos val="t"/>
        <c:numFmt formatCode="0%" sourceLinked="1"/>
        <c:majorTickMark val="none"/>
        <c:minorTickMark val="none"/>
        <c:tickLblPos val="nextTo"/>
        <c:crossAx val="4410453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Zero conditions</c:v>
                </c:pt>
              </c:strCache>
            </c:strRef>
          </c:tx>
          <c:spPr>
            <a:solidFill>
              <a:schemeClr val="accent5">
                <a:lumMod val="60000"/>
                <a:lumOff val="40000"/>
              </a:schemeClr>
            </a:solidFill>
            <a:ln>
              <a:noFill/>
            </a:ln>
            <a:effectLst/>
          </c:spPr>
          <c:invertIfNegative val="0"/>
          <c:dPt>
            <c:idx val="0"/>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1-99A8-45BA-ADD7-6FF687C2D2D1}"/>
              </c:ext>
            </c:extLst>
          </c:dPt>
          <c:dPt>
            <c:idx val="12"/>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3-99A8-45BA-ADD7-6FF687C2D2D1}"/>
              </c:ext>
            </c:extLst>
          </c:dPt>
          <c:dPt>
            <c:idx val="13"/>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5-99A8-45BA-ADD7-6FF687C2D2D1}"/>
              </c:ext>
            </c:extLst>
          </c:dPt>
          <c:dPt>
            <c:idx val="14"/>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7-99A8-45BA-ADD7-6FF687C2D2D1}"/>
              </c:ext>
            </c:extLst>
          </c:dPt>
          <c:dPt>
            <c:idx val="15"/>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9-99A8-45BA-ADD7-6FF687C2D2D1}"/>
              </c:ext>
            </c:extLst>
          </c:dPt>
          <c:dPt>
            <c:idx val="16"/>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B-99A8-45BA-ADD7-6FF687C2D2D1}"/>
              </c:ext>
            </c:extLst>
          </c:dPt>
          <c:dLbls>
            <c:dLbl>
              <c:idx val="3"/>
              <c:tx>
                <c:rich>
                  <a:bodyPr/>
                  <a:lstStyle/>
                  <a:p>
                    <a:fld id="{126F6B90-4D88-46E2-879D-9C3189C51ACC}" type="VALUE">
                      <a:rPr lang="en-US">
                        <a:solidFill>
                          <a:sysClr val="windowText" lastClr="000000"/>
                        </a:solidFill>
                      </a:rPr>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99A8-45BA-ADD7-6FF687C2D2D1}"/>
                </c:ext>
              </c:extLst>
            </c:dLbl>
            <c:dLbl>
              <c:idx val="6"/>
              <c:tx>
                <c:rich>
                  <a:bodyPr/>
                  <a:lstStyle/>
                  <a:p>
                    <a:fld id="{DA6FB35A-F233-4485-842F-564557A46FF9}" type="VALUE">
                      <a:rPr lang="en-US">
                        <a:solidFill>
                          <a:sysClr val="windowText" lastClr="000000"/>
                        </a:solidFill>
                      </a:rPr>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99A8-45BA-ADD7-6FF687C2D2D1}"/>
                </c:ext>
              </c:extLst>
            </c:dLbl>
            <c:dLbl>
              <c:idx val="8"/>
              <c:tx>
                <c:rich>
                  <a:bodyPr/>
                  <a:lstStyle/>
                  <a:p>
                    <a:fld id="{6C28AAFF-C722-454E-AE52-7AAC0C2E99F5}" type="VALUE">
                      <a:rPr lang="en-US">
                        <a:solidFill>
                          <a:sysClr val="windowText" lastClr="000000"/>
                        </a:solidFill>
                      </a:rPr>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99A8-45BA-ADD7-6FF687C2D2D1}"/>
                </c:ext>
              </c:extLst>
            </c:dLbl>
            <c:dLbl>
              <c:idx val="10"/>
              <c:tx>
                <c:rich>
                  <a:bodyPr/>
                  <a:lstStyle/>
                  <a:p>
                    <a:fld id="{648D2A4B-9575-47BD-B08C-F0515ECD3BB9}" type="VALUE">
                      <a:rPr lang="en-US"/>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99A8-45BA-ADD7-6FF687C2D2D1}"/>
                </c:ext>
              </c:extLst>
            </c:dLbl>
            <c:dLbl>
              <c:idx val="14"/>
              <c:tx>
                <c:rich>
                  <a:bodyPr/>
                  <a:lstStyle/>
                  <a:p>
                    <a:fld id="{A69FD723-7E5A-4484-ADD6-714E354789CB}" type="VALUE">
                      <a:rPr lang="en-US">
                        <a:solidFill>
                          <a:sysClr val="windowText" lastClr="000000"/>
                        </a:solidFill>
                      </a:rPr>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9A8-45BA-ADD7-6FF687C2D2D1}"/>
                </c:ext>
              </c:extLst>
            </c:dLbl>
            <c:dLbl>
              <c:idx val="15"/>
              <c:tx>
                <c:rich>
                  <a:bodyPr/>
                  <a:lstStyle/>
                  <a:p>
                    <a:fld id="{FE6C8438-14FB-494C-A3E1-C08A2C05CED0}"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9A8-45BA-ADD7-6FF687C2D2D1}"/>
                </c:ext>
              </c:extLst>
            </c:dLbl>
            <c:dLbl>
              <c:idx val="18"/>
              <c:tx>
                <c:rich>
                  <a:bodyPr/>
                  <a:lstStyle/>
                  <a:p>
                    <a:fld id="{6E605039-5502-45A2-ACF8-57A906C6FD0E}"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99A8-45BA-ADD7-6FF687C2D2D1}"/>
                </c:ext>
              </c:extLst>
            </c:dLbl>
            <c:dLbl>
              <c:idx val="19"/>
              <c:tx>
                <c:rich>
                  <a:bodyPr/>
                  <a:lstStyle/>
                  <a:p>
                    <a:fld id="{8A1E2CC1-AAFA-4509-BCBA-82B251AB2BA2}"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99A8-45BA-ADD7-6FF687C2D2D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Sheet1!$A$2:$A$21</c:f>
              <c:strCache>
                <c:ptCount val="20"/>
                <c:pt idx="0">
                  <c:v>Total</c:v>
                </c:pt>
                <c:pt idx="2">
                  <c:v>Australian Capital Territory</c:v>
                </c:pt>
                <c:pt idx="3">
                  <c:v>Comcare</c:v>
                </c:pt>
                <c:pt idx="4">
                  <c:v>New South Wales</c:v>
                </c:pt>
                <c:pt idx="5">
                  <c:v>Northern Territory</c:v>
                </c:pt>
                <c:pt idx="6">
                  <c:v>Queensland</c:v>
                </c:pt>
                <c:pt idx="7">
                  <c:v>Seacare</c:v>
                </c:pt>
                <c:pt idx="8">
                  <c:v>Tasmania</c:v>
                </c:pt>
                <c:pt idx="9">
                  <c:v>Western Australia</c:v>
                </c:pt>
                <c:pt idx="10">
                  <c:v>Victoria</c:v>
                </c:pt>
                <c:pt idx="12">
                  <c:v>Fractures</c:v>
                </c:pt>
                <c:pt idx="13">
                  <c:v>Musculoskeletal Disorders</c:v>
                </c:pt>
                <c:pt idx="14">
                  <c:v>Other Trauma</c:v>
                </c:pt>
                <c:pt idx="15">
                  <c:v>Mental Illness</c:v>
                </c:pt>
                <c:pt idx="16">
                  <c:v>Other Diseases</c:v>
                </c:pt>
                <c:pt idx="18">
                  <c:v>Currently working</c:v>
                </c:pt>
                <c:pt idx="19">
                  <c:v>Not working</c:v>
                </c:pt>
              </c:strCache>
            </c:strRef>
          </c:cat>
          <c:val>
            <c:numRef>
              <c:f>Sheet1!$B$2:$B$21</c:f>
              <c:numCache>
                <c:formatCode>General</c:formatCode>
                <c:ptCount val="20"/>
                <c:pt idx="0" formatCode="0.0">
                  <c:v>66.220133912430001</c:v>
                </c:pt>
                <c:pt idx="2" formatCode="0.0">
                  <c:v>59.644705038400005</c:v>
                </c:pt>
                <c:pt idx="3" formatCode="0.0">
                  <c:v>62.397268543780001</c:v>
                </c:pt>
                <c:pt idx="4" formatCode="0.0">
                  <c:v>65.176880561779996</c:v>
                </c:pt>
                <c:pt idx="5" formatCode="0.0">
                  <c:v>73.896696520980001</c:v>
                </c:pt>
                <c:pt idx="6" formatCode="0.0">
                  <c:v>67.606090573139994</c:v>
                </c:pt>
                <c:pt idx="7" formatCode="0.0">
                  <c:v>76.504259112219998</c:v>
                </c:pt>
                <c:pt idx="8" formatCode="0.0">
                  <c:v>65.855695637249994</c:v>
                </c:pt>
                <c:pt idx="9" formatCode="0.0">
                  <c:v>68.893085964730005</c:v>
                </c:pt>
                <c:pt idx="10" formatCode="0.0">
                  <c:v>65.072891785899998</c:v>
                </c:pt>
                <c:pt idx="12" formatCode="0.0">
                  <c:v>68.324628435739996</c:v>
                </c:pt>
                <c:pt idx="13" formatCode="0.0">
                  <c:v>65.541357448439996</c:v>
                </c:pt>
                <c:pt idx="14" formatCode="0.0">
                  <c:v>70.494228250259994</c:v>
                </c:pt>
                <c:pt idx="15" formatCode="0.0">
                  <c:v>49.569152464369999</c:v>
                </c:pt>
                <c:pt idx="16" formatCode="0.0">
                  <c:v>64.348892281429997</c:v>
                </c:pt>
                <c:pt idx="18" formatCode="0.0">
                  <c:v>68.343660459730003</c:v>
                </c:pt>
                <c:pt idx="19" formatCode="0.0">
                  <c:v>55.401861274849992</c:v>
                </c:pt>
              </c:numCache>
            </c:numRef>
          </c:val>
          <c:extLst>
            <c:ext xmlns:c16="http://schemas.microsoft.com/office/drawing/2014/chart" uri="{C3380CC4-5D6E-409C-BE32-E72D297353CC}">
              <c16:uniqueId val="{00000012-99A8-45BA-ADD7-6FF687C2D2D1}"/>
            </c:ext>
          </c:extLst>
        </c:ser>
        <c:ser>
          <c:idx val="1"/>
          <c:order val="1"/>
          <c:tx>
            <c:strRef>
              <c:f>Sheet1!$C$1</c:f>
              <c:strCache>
                <c:ptCount val="1"/>
                <c:pt idx="0">
                  <c:v>1 condition</c:v>
                </c:pt>
              </c:strCache>
            </c:strRef>
          </c:tx>
          <c:spPr>
            <a:solidFill>
              <a:schemeClr val="accent3"/>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14-99A8-45BA-ADD7-6FF687C2D2D1}"/>
              </c:ext>
            </c:extLst>
          </c:dPt>
          <c:dPt>
            <c:idx val="12"/>
            <c:invertIfNegative val="0"/>
            <c:bubble3D val="0"/>
            <c:spPr>
              <a:solidFill>
                <a:schemeClr val="accent3"/>
              </a:solidFill>
              <a:ln>
                <a:noFill/>
              </a:ln>
              <a:effectLst/>
            </c:spPr>
            <c:extLst>
              <c:ext xmlns:c16="http://schemas.microsoft.com/office/drawing/2014/chart" uri="{C3380CC4-5D6E-409C-BE32-E72D297353CC}">
                <c16:uniqueId val="{00000016-99A8-45BA-ADD7-6FF687C2D2D1}"/>
              </c:ext>
            </c:extLst>
          </c:dPt>
          <c:dPt>
            <c:idx val="13"/>
            <c:invertIfNegative val="0"/>
            <c:bubble3D val="0"/>
            <c:spPr>
              <a:solidFill>
                <a:schemeClr val="accent3"/>
              </a:solidFill>
              <a:ln>
                <a:noFill/>
              </a:ln>
              <a:effectLst/>
            </c:spPr>
            <c:extLst>
              <c:ext xmlns:c16="http://schemas.microsoft.com/office/drawing/2014/chart" uri="{C3380CC4-5D6E-409C-BE32-E72D297353CC}">
                <c16:uniqueId val="{00000018-99A8-45BA-ADD7-6FF687C2D2D1}"/>
              </c:ext>
            </c:extLst>
          </c:dPt>
          <c:dPt>
            <c:idx val="14"/>
            <c:invertIfNegative val="0"/>
            <c:bubble3D val="0"/>
            <c:spPr>
              <a:solidFill>
                <a:schemeClr val="accent3"/>
              </a:solidFill>
              <a:ln>
                <a:noFill/>
              </a:ln>
              <a:effectLst/>
            </c:spPr>
            <c:extLst>
              <c:ext xmlns:c16="http://schemas.microsoft.com/office/drawing/2014/chart" uri="{C3380CC4-5D6E-409C-BE32-E72D297353CC}">
                <c16:uniqueId val="{0000001A-99A8-45BA-ADD7-6FF687C2D2D1}"/>
              </c:ext>
            </c:extLst>
          </c:dPt>
          <c:dPt>
            <c:idx val="15"/>
            <c:invertIfNegative val="0"/>
            <c:bubble3D val="0"/>
            <c:spPr>
              <a:solidFill>
                <a:schemeClr val="accent3"/>
              </a:solidFill>
              <a:ln>
                <a:noFill/>
              </a:ln>
              <a:effectLst/>
            </c:spPr>
            <c:extLst>
              <c:ext xmlns:c16="http://schemas.microsoft.com/office/drawing/2014/chart" uri="{C3380CC4-5D6E-409C-BE32-E72D297353CC}">
                <c16:uniqueId val="{0000001C-99A8-45BA-ADD7-6FF687C2D2D1}"/>
              </c:ext>
            </c:extLst>
          </c:dPt>
          <c:dPt>
            <c:idx val="16"/>
            <c:invertIfNegative val="0"/>
            <c:bubble3D val="0"/>
            <c:spPr>
              <a:solidFill>
                <a:schemeClr val="accent3"/>
              </a:solidFill>
              <a:ln>
                <a:noFill/>
              </a:ln>
              <a:effectLst/>
            </c:spPr>
            <c:extLst>
              <c:ext xmlns:c16="http://schemas.microsoft.com/office/drawing/2014/chart" uri="{C3380CC4-5D6E-409C-BE32-E72D297353CC}">
                <c16:uniqueId val="{0000001E-99A8-45BA-ADD7-6FF687C2D2D1}"/>
              </c:ext>
            </c:extLst>
          </c:dPt>
          <c:dLbls>
            <c:dLbl>
              <c:idx val="10"/>
              <c:tx>
                <c:rich>
                  <a:bodyPr/>
                  <a:lstStyle/>
                  <a:p>
                    <a:fld id="{5C101EB0-C7D5-40DB-88C9-A41568534D5B}"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F-99A8-45BA-ADD7-6FF687C2D2D1}"/>
                </c:ext>
              </c:extLst>
            </c:dLbl>
            <c:dLbl>
              <c:idx val="15"/>
              <c:tx>
                <c:rich>
                  <a:bodyPr/>
                  <a:lstStyle/>
                  <a:p>
                    <a:fld id="{7F968DE1-F0AA-4C91-9F03-952B16F0154E}"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C-99A8-45BA-ADD7-6FF687C2D2D1}"/>
                </c:ext>
              </c:extLst>
            </c:dLbl>
            <c:dLbl>
              <c:idx val="18"/>
              <c:tx>
                <c:rich>
                  <a:bodyPr/>
                  <a:lstStyle/>
                  <a:p>
                    <a:fld id="{A8503819-6DCB-4F9A-8A60-AAD8E576C685}"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0-99A8-45BA-ADD7-6FF687C2D2D1}"/>
                </c:ext>
              </c:extLst>
            </c:dLbl>
            <c:dLbl>
              <c:idx val="19"/>
              <c:tx>
                <c:rich>
                  <a:bodyPr/>
                  <a:lstStyle/>
                  <a:p>
                    <a:fld id="{2E55464A-0ACB-4C85-AF89-A083426C36F1}"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1-99A8-45BA-ADD7-6FF687C2D2D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Sheet1!$A$2:$A$21</c:f>
              <c:strCache>
                <c:ptCount val="20"/>
                <c:pt idx="0">
                  <c:v>Total</c:v>
                </c:pt>
                <c:pt idx="2">
                  <c:v>Australian Capital Territory</c:v>
                </c:pt>
                <c:pt idx="3">
                  <c:v>Comcare</c:v>
                </c:pt>
                <c:pt idx="4">
                  <c:v>New South Wales</c:v>
                </c:pt>
                <c:pt idx="5">
                  <c:v>Northern Territory</c:v>
                </c:pt>
                <c:pt idx="6">
                  <c:v>Queensland</c:v>
                </c:pt>
                <c:pt idx="7">
                  <c:v>Seacare</c:v>
                </c:pt>
                <c:pt idx="8">
                  <c:v>Tasmania</c:v>
                </c:pt>
                <c:pt idx="9">
                  <c:v>Western Australia</c:v>
                </c:pt>
                <c:pt idx="10">
                  <c:v>Victoria</c:v>
                </c:pt>
                <c:pt idx="12">
                  <c:v>Fractures</c:v>
                </c:pt>
                <c:pt idx="13">
                  <c:v>Musculoskeletal Disorders</c:v>
                </c:pt>
                <c:pt idx="14">
                  <c:v>Other Trauma</c:v>
                </c:pt>
                <c:pt idx="15">
                  <c:v>Mental Illness</c:v>
                </c:pt>
                <c:pt idx="16">
                  <c:v>Other Diseases</c:v>
                </c:pt>
                <c:pt idx="18">
                  <c:v>Currently working</c:v>
                </c:pt>
                <c:pt idx="19">
                  <c:v>Not working</c:v>
                </c:pt>
              </c:strCache>
            </c:strRef>
          </c:cat>
          <c:val>
            <c:numRef>
              <c:f>Sheet1!$C$2:$C$21</c:f>
              <c:numCache>
                <c:formatCode>General</c:formatCode>
                <c:ptCount val="20"/>
                <c:pt idx="0" formatCode="0.0">
                  <c:v>18.113506900299999</c:v>
                </c:pt>
                <c:pt idx="2" formatCode="0.0">
                  <c:v>16.43685707373</c:v>
                </c:pt>
                <c:pt idx="3" formatCode="0.0">
                  <c:v>21.332465864149999</c:v>
                </c:pt>
                <c:pt idx="4" formatCode="0.0">
                  <c:v>17.82931028054</c:v>
                </c:pt>
                <c:pt idx="5" formatCode="0.0">
                  <c:v>14.076204787469997</c:v>
                </c:pt>
                <c:pt idx="6" formatCode="0.0">
                  <c:v>19.294157326120001</c:v>
                </c:pt>
                <c:pt idx="7" formatCode="0.0">
                  <c:v>12.06716945921</c:v>
                </c:pt>
                <c:pt idx="8" formatCode="0.0">
                  <c:v>17.966704795239998</c:v>
                </c:pt>
                <c:pt idx="9" formatCode="0.0">
                  <c:v>16.414628456220001</c:v>
                </c:pt>
                <c:pt idx="10" formatCode="0.0">
                  <c:v>18.080282360550001</c:v>
                </c:pt>
                <c:pt idx="12" formatCode="0.0">
                  <c:v>18.18659961833</c:v>
                </c:pt>
                <c:pt idx="13" formatCode="0.0">
                  <c:v>18.294836606379999</c:v>
                </c:pt>
                <c:pt idx="14" formatCode="0.0">
                  <c:v>15.719278541970001</c:v>
                </c:pt>
                <c:pt idx="15" formatCode="0.0">
                  <c:v>26.143687787979996</c:v>
                </c:pt>
                <c:pt idx="16" formatCode="0.0">
                  <c:v>19.562408744620001</c:v>
                </c:pt>
                <c:pt idx="18" formatCode="0.0">
                  <c:v>17.670564115520001</c:v>
                </c:pt>
                <c:pt idx="19" formatCode="0.0">
                  <c:v>20.653430664999998</c:v>
                </c:pt>
              </c:numCache>
            </c:numRef>
          </c:val>
          <c:extLst>
            <c:ext xmlns:c16="http://schemas.microsoft.com/office/drawing/2014/chart" uri="{C3380CC4-5D6E-409C-BE32-E72D297353CC}">
              <c16:uniqueId val="{00000022-99A8-45BA-ADD7-6FF687C2D2D1}"/>
            </c:ext>
          </c:extLst>
        </c:ser>
        <c:ser>
          <c:idx val="2"/>
          <c:order val="2"/>
          <c:tx>
            <c:strRef>
              <c:f>Sheet1!$D$1</c:f>
              <c:strCache>
                <c:ptCount val="1"/>
                <c:pt idx="0">
                  <c:v>2 conditions</c:v>
                </c:pt>
              </c:strCache>
            </c:strRef>
          </c:tx>
          <c:spPr>
            <a:solidFill>
              <a:schemeClr val="accent1"/>
            </a:solidFill>
            <a:ln>
              <a:noFill/>
            </a:ln>
            <a:effectLst/>
          </c:spPr>
          <c:invertIfNegative val="0"/>
          <c:dLbls>
            <c:dLbl>
              <c:idx val="18"/>
              <c:tx>
                <c:rich>
                  <a:bodyPr/>
                  <a:lstStyle/>
                  <a:p>
                    <a:fld id="{CDD82FD5-D7A5-4E18-91F5-286E57250BD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5-99A8-45BA-ADD7-6FF687C2D2D1}"/>
                </c:ext>
              </c:extLst>
            </c:dLbl>
            <c:dLbl>
              <c:idx val="19"/>
              <c:tx>
                <c:rich>
                  <a:bodyPr/>
                  <a:lstStyle/>
                  <a:p>
                    <a:fld id="{C42B9C34-C5C9-46EA-BF4F-652708C23808}"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7-99A8-45BA-ADD7-6FF687C2D2D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Sheet1!$A$2:$A$21</c:f>
              <c:strCache>
                <c:ptCount val="20"/>
                <c:pt idx="0">
                  <c:v>Total</c:v>
                </c:pt>
                <c:pt idx="2">
                  <c:v>Australian Capital Territory</c:v>
                </c:pt>
                <c:pt idx="3">
                  <c:v>Comcare</c:v>
                </c:pt>
                <c:pt idx="4">
                  <c:v>New South Wales</c:v>
                </c:pt>
                <c:pt idx="5">
                  <c:v>Northern Territory</c:v>
                </c:pt>
                <c:pt idx="6">
                  <c:v>Queensland</c:v>
                </c:pt>
                <c:pt idx="7">
                  <c:v>Seacare</c:v>
                </c:pt>
                <c:pt idx="8">
                  <c:v>Tasmania</c:v>
                </c:pt>
                <c:pt idx="9">
                  <c:v>Western Australia</c:v>
                </c:pt>
                <c:pt idx="10">
                  <c:v>Victoria</c:v>
                </c:pt>
                <c:pt idx="12">
                  <c:v>Fractures</c:v>
                </c:pt>
                <c:pt idx="13">
                  <c:v>Musculoskeletal Disorders</c:v>
                </c:pt>
                <c:pt idx="14">
                  <c:v>Other Trauma</c:v>
                </c:pt>
                <c:pt idx="15">
                  <c:v>Mental Illness</c:v>
                </c:pt>
                <c:pt idx="16">
                  <c:v>Other Diseases</c:v>
                </c:pt>
                <c:pt idx="18">
                  <c:v>Currently working</c:v>
                </c:pt>
                <c:pt idx="19">
                  <c:v>Not working</c:v>
                </c:pt>
              </c:strCache>
            </c:strRef>
          </c:cat>
          <c:val>
            <c:numRef>
              <c:f>Sheet1!$D$2:$D$21</c:f>
              <c:numCache>
                <c:formatCode>General</c:formatCode>
                <c:ptCount val="20"/>
                <c:pt idx="0" formatCode="0.0">
                  <c:v>11.0138430424</c:v>
                </c:pt>
                <c:pt idx="2" formatCode="0.0">
                  <c:v>17.82159994217</c:v>
                </c:pt>
                <c:pt idx="3" formatCode="0.0">
                  <c:v>10.68520589597</c:v>
                </c:pt>
                <c:pt idx="4" formatCode="0.0">
                  <c:v>12.36074489151</c:v>
                </c:pt>
                <c:pt idx="5" formatCode="0.0">
                  <c:v>8.5657204437430003</c:v>
                </c:pt>
                <c:pt idx="6" formatCode="0.0">
                  <c:v>8.7045221381019999</c:v>
                </c:pt>
                <c:pt idx="7" formatCode="0.0">
                  <c:v>9.3270773196530001</c:v>
                </c:pt>
                <c:pt idx="8" formatCode="0.0">
                  <c:v>13.31603960102</c:v>
                </c:pt>
                <c:pt idx="9" formatCode="0.0">
                  <c:v>11.84366407852</c:v>
                </c:pt>
                <c:pt idx="10" formatCode="0.0">
                  <c:v>10.68892608795</c:v>
                </c:pt>
                <c:pt idx="12" formatCode="0.0">
                  <c:v>8.1944967821040002</c:v>
                </c:pt>
                <c:pt idx="13" formatCode="0.0">
                  <c:v>11.74118553696</c:v>
                </c:pt>
                <c:pt idx="14" formatCode="0.0">
                  <c:v>9.4076195094569997</c:v>
                </c:pt>
                <c:pt idx="15" formatCode="0.0">
                  <c:v>16.131109933779999</c:v>
                </c:pt>
                <c:pt idx="16" formatCode="0.0">
                  <c:v>12.54572458482</c:v>
                </c:pt>
                <c:pt idx="18" formatCode="0.0">
                  <c:v>10.161543085830001</c:v>
                </c:pt>
                <c:pt idx="19" formatCode="0.0">
                  <c:v>15.161600081609999</c:v>
                </c:pt>
              </c:numCache>
            </c:numRef>
          </c:val>
          <c:extLst>
            <c:ext xmlns:c16="http://schemas.microsoft.com/office/drawing/2014/chart" uri="{C3380CC4-5D6E-409C-BE32-E72D297353CC}">
              <c16:uniqueId val="{00000023-99A8-45BA-ADD7-6FF687C2D2D1}"/>
            </c:ext>
          </c:extLst>
        </c:ser>
        <c:ser>
          <c:idx val="3"/>
          <c:order val="3"/>
          <c:tx>
            <c:strRef>
              <c:f>Sheet1!$E$1</c:f>
              <c:strCache>
                <c:ptCount val="1"/>
                <c:pt idx="0">
                  <c:v>3 or more conditions</c:v>
                </c:pt>
              </c:strCache>
            </c:strRef>
          </c:tx>
          <c:spPr>
            <a:solidFill>
              <a:schemeClr val="accent4"/>
            </a:solidFill>
            <a:ln>
              <a:noFill/>
            </a:ln>
            <a:effectLst/>
          </c:spPr>
          <c:invertIfNegative val="0"/>
          <c:dLbls>
            <c:dLbl>
              <c:idx val="18"/>
              <c:tx>
                <c:rich>
                  <a:bodyPr/>
                  <a:lstStyle/>
                  <a:p>
                    <a:fld id="{30D7095B-2283-4DA6-A7FA-FF5687DA9C2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6-99A8-45BA-ADD7-6FF687C2D2D1}"/>
                </c:ext>
              </c:extLst>
            </c:dLbl>
            <c:dLbl>
              <c:idx val="19"/>
              <c:tx>
                <c:rich>
                  <a:bodyPr/>
                  <a:lstStyle/>
                  <a:p>
                    <a:fld id="{CB16215D-2CDE-4B8D-AB2A-F5B3EE9E0E3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8-99A8-45BA-ADD7-6FF687C2D2D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Sheet1!$A$2:$A$21</c:f>
              <c:strCache>
                <c:ptCount val="20"/>
                <c:pt idx="0">
                  <c:v>Total</c:v>
                </c:pt>
                <c:pt idx="2">
                  <c:v>Australian Capital Territory</c:v>
                </c:pt>
                <c:pt idx="3">
                  <c:v>Comcare</c:v>
                </c:pt>
                <c:pt idx="4">
                  <c:v>New South Wales</c:v>
                </c:pt>
                <c:pt idx="5">
                  <c:v>Northern Territory</c:v>
                </c:pt>
                <c:pt idx="6">
                  <c:v>Queensland</c:v>
                </c:pt>
                <c:pt idx="7">
                  <c:v>Seacare</c:v>
                </c:pt>
                <c:pt idx="8">
                  <c:v>Tasmania</c:v>
                </c:pt>
                <c:pt idx="9">
                  <c:v>Western Australia</c:v>
                </c:pt>
                <c:pt idx="10">
                  <c:v>Victoria</c:v>
                </c:pt>
                <c:pt idx="12">
                  <c:v>Fractures</c:v>
                </c:pt>
                <c:pt idx="13">
                  <c:v>Musculoskeletal Disorders</c:v>
                </c:pt>
                <c:pt idx="14">
                  <c:v>Other Trauma</c:v>
                </c:pt>
                <c:pt idx="15">
                  <c:v>Mental Illness</c:v>
                </c:pt>
                <c:pt idx="16">
                  <c:v>Other Diseases</c:v>
                </c:pt>
                <c:pt idx="18">
                  <c:v>Currently working</c:v>
                </c:pt>
                <c:pt idx="19">
                  <c:v>Not working</c:v>
                </c:pt>
              </c:strCache>
            </c:strRef>
          </c:cat>
          <c:val>
            <c:numRef>
              <c:f>Sheet1!$E$2:$E$21</c:f>
              <c:numCache>
                <c:formatCode>General</c:formatCode>
                <c:ptCount val="20"/>
                <c:pt idx="0" formatCode="0.0">
                  <c:v>4.6525161448740002</c:v>
                </c:pt>
                <c:pt idx="2" formatCode="0.0">
                  <c:v>6.0968379457050004</c:v>
                </c:pt>
                <c:pt idx="3" formatCode="0.0">
                  <c:v>5.5850596961020003</c:v>
                </c:pt>
                <c:pt idx="4" formatCode="0.0">
                  <c:v>4.6330642661640002</c:v>
                </c:pt>
                <c:pt idx="5" formatCode="0.0">
                  <c:v>3.4613782478130002</c:v>
                </c:pt>
                <c:pt idx="6" formatCode="0.0">
                  <c:v>4.3952299626320004</c:v>
                </c:pt>
                <c:pt idx="7" formatCode="0.0">
                  <c:v>2.1014941089180001</c:v>
                </c:pt>
                <c:pt idx="8" formatCode="0.0">
                  <c:v>2.8615599664840001</c:v>
                </c:pt>
                <c:pt idx="9" formatCode="0.0">
                  <c:v>2.8486215005300002</c:v>
                </c:pt>
                <c:pt idx="10" formatCode="0.0">
                  <c:v>6.1578997656030001</c:v>
                </c:pt>
                <c:pt idx="12" formatCode="0.0">
                  <c:v>5.2942751638279999</c:v>
                </c:pt>
                <c:pt idx="13" formatCode="0.0">
                  <c:v>4.4226204082229996</c:v>
                </c:pt>
                <c:pt idx="14" formatCode="0.0">
                  <c:v>4.3788736983099996</c:v>
                </c:pt>
                <c:pt idx="15" formatCode="0.0">
                  <c:v>8.1560498138669999</c:v>
                </c:pt>
                <c:pt idx="16" formatCode="0.0">
                  <c:v>3.5429743891330001</c:v>
                </c:pt>
                <c:pt idx="18" formatCode="0.0">
                  <c:v>3.8242323389180002</c:v>
                </c:pt>
                <c:pt idx="19" formatCode="0.0">
                  <c:v>8.7831079785339998</c:v>
                </c:pt>
              </c:numCache>
            </c:numRef>
          </c:val>
          <c:extLst>
            <c:ext xmlns:c16="http://schemas.microsoft.com/office/drawing/2014/chart" uri="{C3380CC4-5D6E-409C-BE32-E72D297353CC}">
              <c16:uniqueId val="{00000024-99A8-45BA-ADD7-6FF687C2D2D1}"/>
            </c:ext>
          </c:extLst>
        </c:ser>
        <c:dLbls>
          <c:showLegendKey val="0"/>
          <c:showVal val="0"/>
          <c:showCatName val="0"/>
          <c:showSerName val="0"/>
          <c:showPercent val="0"/>
          <c:showBubbleSize val="0"/>
        </c:dLbls>
        <c:gapWidth val="35"/>
        <c:overlap val="100"/>
        <c:axId val="441045320"/>
        <c:axId val="441048600"/>
      </c:barChart>
      <c:catAx>
        <c:axId val="4410453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1048600"/>
        <c:crosses val="autoZero"/>
        <c:auto val="1"/>
        <c:lblAlgn val="ctr"/>
        <c:lblOffset val="100"/>
        <c:noMultiLvlLbl val="0"/>
      </c:catAx>
      <c:valAx>
        <c:axId val="441048600"/>
        <c:scaling>
          <c:orientation val="minMax"/>
        </c:scaling>
        <c:delete val="1"/>
        <c:axPos val="t"/>
        <c:numFmt formatCode="0%" sourceLinked="1"/>
        <c:majorTickMark val="none"/>
        <c:minorTickMark val="none"/>
        <c:tickLblPos val="nextTo"/>
        <c:crossAx val="4410453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2018</c:v>
                </c:pt>
              </c:strCache>
            </c:strRef>
          </c:tx>
          <c:dPt>
            <c:idx val="0"/>
            <c:bubble3D val="0"/>
            <c:spPr>
              <a:solidFill>
                <a:schemeClr val="accent2"/>
              </a:solidFill>
              <a:ln>
                <a:noFill/>
              </a:ln>
              <a:effectLst/>
            </c:spPr>
            <c:extLst>
              <c:ext xmlns:c16="http://schemas.microsoft.com/office/drawing/2014/chart" uri="{C3380CC4-5D6E-409C-BE32-E72D297353CC}">
                <c16:uniqueId val="{00000001-3C36-476F-85C6-6193145E9424}"/>
              </c:ext>
            </c:extLst>
          </c:dPt>
          <c:dPt>
            <c:idx val="1"/>
            <c:bubble3D val="0"/>
            <c:spPr>
              <a:solidFill>
                <a:schemeClr val="accent1"/>
              </a:solidFill>
              <a:ln>
                <a:noFill/>
              </a:ln>
              <a:effectLst/>
            </c:spPr>
            <c:extLst>
              <c:ext xmlns:c16="http://schemas.microsoft.com/office/drawing/2014/chart" uri="{C3380CC4-5D6E-409C-BE32-E72D297353CC}">
                <c16:uniqueId val="{00000003-3C36-476F-85C6-6193145E9424}"/>
              </c:ext>
            </c:extLst>
          </c:dPt>
          <c:dPt>
            <c:idx val="2"/>
            <c:bubble3D val="0"/>
            <c:spPr>
              <a:solidFill>
                <a:schemeClr val="accent5"/>
              </a:solidFill>
              <a:ln>
                <a:noFill/>
              </a:ln>
              <a:effectLst/>
            </c:spPr>
            <c:extLst>
              <c:ext xmlns:c16="http://schemas.microsoft.com/office/drawing/2014/chart" uri="{C3380CC4-5D6E-409C-BE32-E72D297353CC}">
                <c16:uniqueId val="{00000005-3C36-476F-85C6-6193145E9424}"/>
              </c:ext>
            </c:extLst>
          </c:dPt>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1-3C36-476F-85C6-6193145E942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Low financial stress (1 to 6)</c:v>
                </c:pt>
                <c:pt idx="1">
                  <c:v>Above average financial stress (7 to 10)</c:v>
                </c:pt>
                <c:pt idx="2">
                  <c:v>Don't know/ Refused</c:v>
                </c:pt>
              </c:strCache>
            </c:strRef>
          </c:cat>
          <c:val>
            <c:numRef>
              <c:f>Sheet1!$B$2:$B$4</c:f>
              <c:numCache>
                <c:formatCode>General</c:formatCode>
                <c:ptCount val="3"/>
                <c:pt idx="0">
                  <c:v>68.677195345330006</c:v>
                </c:pt>
                <c:pt idx="1">
                  <c:v>28.575743367299999</c:v>
                </c:pt>
                <c:pt idx="2">
                  <c:v>2.7470612873782994</c:v>
                </c:pt>
              </c:numCache>
            </c:numRef>
          </c:val>
          <c:extLst>
            <c:ext xmlns:c16="http://schemas.microsoft.com/office/drawing/2014/chart" uri="{C3380CC4-5D6E-409C-BE32-E72D297353CC}">
              <c16:uniqueId val="{00000008-3C36-476F-85C6-6193145E9424}"/>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59182856001875173"/>
          <c:y val="0.27154588622614467"/>
          <c:w val="0.39494100999227355"/>
          <c:h val="0.4569077645065022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135620588771499E-2"/>
          <c:y val="0.15277777777777779"/>
          <c:w val="0.95603434355711037"/>
          <c:h val="0.73744568387284937"/>
        </c:manualLayout>
      </c:layout>
      <c:barChart>
        <c:barDir val="col"/>
        <c:grouping val="clustered"/>
        <c:varyColors val="0"/>
        <c:ser>
          <c:idx val="0"/>
          <c:order val="0"/>
          <c:tx>
            <c:strRef>
              <c:f>'RTW (2018) '!$B$4</c:f>
              <c:strCache>
                <c:ptCount val="1"/>
                <c:pt idx="0">
                  <c:v>%</c:v>
                </c:pt>
              </c:strCache>
            </c:strRef>
          </c:tx>
          <c:spPr>
            <a:solidFill>
              <a:schemeClr val="accent1"/>
            </a:solidFill>
            <a:ln>
              <a:noFill/>
            </a:ln>
            <a:effectLst/>
          </c:spPr>
          <c:invertIfNegative val="0"/>
          <c:dPt>
            <c:idx val="9"/>
            <c:invertIfNegative val="0"/>
            <c:bubble3D val="0"/>
            <c:spPr>
              <a:solidFill>
                <a:srgbClr val="5AC0E7"/>
              </a:solidFill>
              <a:ln>
                <a:noFill/>
              </a:ln>
              <a:effectLst/>
            </c:spPr>
            <c:extLst>
              <c:ext xmlns:c16="http://schemas.microsoft.com/office/drawing/2014/chart" uri="{C3380CC4-5D6E-409C-BE32-E72D297353CC}">
                <c16:uniqueId val="{00000001-D587-4C72-A5FF-83A908081480}"/>
              </c:ext>
            </c:extLst>
          </c:dPt>
          <c:dLbls>
            <c:dLbl>
              <c:idx val="6"/>
              <c:tx>
                <c:rich>
                  <a:bodyPr/>
                  <a:lstStyle/>
                  <a:p>
                    <a:fld id="{8C67867A-A052-49FB-8138-32BC1FFFC54C}" type="VALUE">
                      <a:rPr lang="en-US">
                        <a:solidFill>
                          <a:sysClr val="windowText" lastClr="000000"/>
                        </a:solidFill>
                      </a:rPr>
                      <a:pPr/>
                      <a:t>[VALUE]</a:t>
                    </a:fld>
                    <a:r>
                      <a:rPr lang="en-US">
                        <a:solidFill>
                          <a:sysClr val="windowText" lastClr="000000"/>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C7A-43F6-A384-4E875E8C933A}"/>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itchFamily="34" charset="0"/>
                    <a:ea typeface="+mn-ea"/>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'RTW (2018) '!$C$3:$L$3</c:f>
              <c:strCache>
                <c:ptCount val="10"/>
                <c:pt idx="0">
                  <c:v>VIC</c:v>
                </c:pt>
                <c:pt idx="1">
                  <c:v>QLD</c:v>
                </c:pt>
                <c:pt idx="2">
                  <c:v>WA</c:v>
                </c:pt>
                <c:pt idx="3">
                  <c:v>TAS</c:v>
                </c:pt>
                <c:pt idx="4">
                  <c:v>COM</c:v>
                </c:pt>
                <c:pt idx="5">
                  <c:v>ACT</c:v>
                </c:pt>
                <c:pt idx="6">
                  <c:v>SEA*</c:v>
                </c:pt>
                <c:pt idx="7">
                  <c:v>NT</c:v>
                </c:pt>
                <c:pt idx="8">
                  <c:v>NSW</c:v>
                </c:pt>
                <c:pt idx="9">
                  <c:v>AUS</c:v>
                </c:pt>
              </c:strCache>
            </c:strRef>
          </c:cat>
          <c:val>
            <c:numRef>
              <c:f>'RTW (2018) '!$C$4:$L$4</c:f>
              <c:numCache>
                <c:formatCode>0</c:formatCode>
                <c:ptCount val="10"/>
                <c:pt idx="0">
                  <c:v>90.77102896243548</c:v>
                </c:pt>
                <c:pt idx="1">
                  <c:v>93.797215735088585</c:v>
                </c:pt>
                <c:pt idx="2">
                  <c:v>93.24759489080428</c:v>
                </c:pt>
                <c:pt idx="3">
                  <c:v>92.155515739107045</c:v>
                </c:pt>
                <c:pt idx="4">
                  <c:v>94.165063976760237</c:v>
                </c:pt>
                <c:pt idx="5">
                  <c:v>95.570051529131661</c:v>
                </c:pt>
                <c:pt idx="6">
                  <c:v>80.481558005171678</c:v>
                </c:pt>
                <c:pt idx="7">
                  <c:v>90.682316399007163</c:v>
                </c:pt>
                <c:pt idx="8">
                  <c:v>92.786006895221234</c:v>
                </c:pt>
                <c:pt idx="9">
                  <c:v>92.733574629801723</c:v>
                </c:pt>
              </c:numCache>
            </c:numRef>
          </c:val>
          <c:extLst>
            <c:ext xmlns:c16="http://schemas.microsoft.com/office/drawing/2014/chart" uri="{C3380CC4-5D6E-409C-BE32-E72D297353CC}">
              <c16:uniqueId val="{00000002-D587-4C72-A5FF-83A908081480}"/>
            </c:ext>
          </c:extLst>
        </c:ser>
        <c:dLbls>
          <c:showLegendKey val="0"/>
          <c:showVal val="0"/>
          <c:showCatName val="0"/>
          <c:showSerName val="0"/>
          <c:showPercent val="0"/>
          <c:showBubbleSize val="0"/>
        </c:dLbls>
        <c:gapWidth val="50"/>
        <c:axId val="88373504"/>
        <c:axId val="88375296"/>
      </c:barChart>
      <c:catAx>
        <c:axId val="88373504"/>
        <c:scaling>
          <c:orientation val="minMax"/>
        </c:scaling>
        <c:delete val="0"/>
        <c:axPos val="b"/>
        <c:numFmt formatCode="General" sourceLinked="0"/>
        <c:majorTickMark val="out"/>
        <c:minorTickMark val="none"/>
        <c:tickLblPos val="nextTo"/>
        <c:spPr>
          <a:noFill/>
          <a:ln w="6350" cap="flat" cmpd="sng" algn="ctr">
            <a:solidFill>
              <a:schemeClr val="bg1">
                <a:lumMod val="7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itchFamily="34" charset="0"/>
                <a:ea typeface="+mn-ea"/>
                <a:cs typeface="Arial" pitchFamily="34" charset="0"/>
              </a:defRPr>
            </a:pPr>
            <a:endParaRPr lang="en-US"/>
          </a:p>
        </c:txPr>
        <c:crossAx val="88375296"/>
        <c:crosses val="autoZero"/>
        <c:auto val="1"/>
        <c:lblAlgn val="ctr"/>
        <c:lblOffset val="100"/>
        <c:noMultiLvlLbl val="0"/>
      </c:catAx>
      <c:valAx>
        <c:axId val="88375296"/>
        <c:scaling>
          <c:orientation val="minMax"/>
          <c:max val="100"/>
        </c:scaling>
        <c:delete val="1"/>
        <c:axPos val="l"/>
        <c:numFmt formatCode="#,##0" sourceLinked="0"/>
        <c:majorTickMark val="out"/>
        <c:minorTickMark val="none"/>
        <c:tickLblPos val="nextTo"/>
        <c:crossAx val="88373504"/>
        <c:crosses val="autoZero"/>
        <c:crossBetween val="between"/>
        <c:majorUnit val="20"/>
      </c:valAx>
      <c:spPr>
        <a:noFill/>
        <a:ln w="25400">
          <a:noFill/>
        </a:ln>
        <a:effectLst/>
      </c:spPr>
    </c:plotArea>
    <c:plotVisOnly val="1"/>
    <c:dispBlanksAs val="gap"/>
    <c:showDLblsOverMax val="0"/>
  </c:chart>
  <c:spPr>
    <a:solidFill>
      <a:schemeClr val="bg1"/>
    </a:solidFill>
    <a:ln w="6350" cap="flat" cmpd="sng" algn="ctr">
      <a:solidFill>
        <a:schemeClr val="accent1"/>
      </a:solidFill>
      <a:prstDash val="solid"/>
      <a:round/>
    </a:ln>
    <a:effectLst/>
  </c:spPr>
  <c:txPr>
    <a:bodyPr/>
    <a:lstStyle/>
    <a:p>
      <a:pPr>
        <a:defRPr>
          <a:latin typeface="Arial" pitchFamily="34" charset="0"/>
          <a:cs typeface="Arial"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Above average financial stress</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617A-470A-97E4-6537971D9C45}"/>
              </c:ext>
            </c:extLst>
          </c:dPt>
          <c:dPt>
            <c:idx val="12"/>
            <c:invertIfNegative val="0"/>
            <c:bubble3D val="0"/>
            <c:spPr>
              <a:solidFill>
                <a:schemeClr val="accent5"/>
              </a:solidFill>
              <a:ln>
                <a:noFill/>
              </a:ln>
              <a:effectLst/>
            </c:spPr>
            <c:extLst>
              <c:ext xmlns:c16="http://schemas.microsoft.com/office/drawing/2014/chart" uri="{C3380CC4-5D6E-409C-BE32-E72D297353CC}">
                <c16:uniqueId val="{00000003-617A-470A-97E4-6537971D9C45}"/>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05-617A-470A-97E4-6537971D9C45}"/>
              </c:ext>
            </c:extLst>
          </c:dPt>
          <c:dPt>
            <c:idx val="14"/>
            <c:invertIfNegative val="0"/>
            <c:bubble3D val="0"/>
            <c:spPr>
              <a:solidFill>
                <a:schemeClr val="accent5"/>
              </a:solidFill>
              <a:ln>
                <a:noFill/>
              </a:ln>
              <a:effectLst/>
            </c:spPr>
            <c:extLst>
              <c:ext xmlns:c16="http://schemas.microsoft.com/office/drawing/2014/chart" uri="{C3380CC4-5D6E-409C-BE32-E72D297353CC}">
                <c16:uniqueId val="{00000007-617A-470A-97E4-6537971D9C45}"/>
              </c:ext>
            </c:extLst>
          </c:dPt>
          <c:dPt>
            <c:idx val="15"/>
            <c:invertIfNegative val="0"/>
            <c:bubble3D val="0"/>
            <c:spPr>
              <a:solidFill>
                <a:schemeClr val="accent5"/>
              </a:solidFill>
              <a:ln>
                <a:noFill/>
              </a:ln>
              <a:effectLst/>
            </c:spPr>
            <c:extLst>
              <c:ext xmlns:c16="http://schemas.microsoft.com/office/drawing/2014/chart" uri="{C3380CC4-5D6E-409C-BE32-E72D297353CC}">
                <c16:uniqueId val="{00000009-617A-470A-97E4-6537971D9C45}"/>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0B-617A-470A-97E4-6537971D9C45}"/>
              </c:ext>
            </c:extLst>
          </c:dPt>
          <c:dPt>
            <c:idx val="18"/>
            <c:invertIfNegative val="0"/>
            <c:bubble3D val="0"/>
            <c:spPr>
              <a:solidFill>
                <a:schemeClr val="accent4"/>
              </a:solidFill>
              <a:ln>
                <a:noFill/>
              </a:ln>
              <a:effectLst/>
            </c:spPr>
            <c:extLst>
              <c:ext xmlns:c16="http://schemas.microsoft.com/office/drawing/2014/chart" uri="{C3380CC4-5D6E-409C-BE32-E72D297353CC}">
                <c16:uniqueId val="{0000000D-617A-470A-97E4-6537971D9C45}"/>
              </c:ext>
            </c:extLst>
          </c:dPt>
          <c:dPt>
            <c:idx val="19"/>
            <c:invertIfNegative val="0"/>
            <c:bubble3D val="0"/>
            <c:spPr>
              <a:solidFill>
                <a:schemeClr val="accent4"/>
              </a:solidFill>
              <a:ln>
                <a:noFill/>
              </a:ln>
              <a:effectLst/>
            </c:spPr>
            <c:extLst>
              <c:ext xmlns:c16="http://schemas.microsoft.com/office/drawing/2014/chart" uri="{C3380CC4-5D6E-409C-BE32-E72D297353CC}">
                <c16:uniqueId val="{0000000F-617A-470A-97E4-6537971D9C45}"/>
              </c:ext>
            </c:extLst>
          </c:dPt>
          <c:dLbls>
            <c:dLbl>
              <c:idx val="7"/>
              <c:layout>
                <c:manualLayout>
                  <c:x val="1.10253583241454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17A-470A-97E4-6537971D9C45}"/>
                </c:ext>
              </c:extLst>
            </c:dLbl>
            <c:dLbl>
              <c:idx val="13"/>
              <c:tx>
                <c:rich>
                  <a:bodyPr/>
                  <a:lstStyle/>
                  <a:p>
                    <a:fld id="{AFEE2EED-CA23-4CC5-8787-1291DDE07952}"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17A-470A-97E4-6537971D9C45}"/>
                </c:ext>
              </c:extLst>
            </c:dLbl>
            <c:dLbl>
              <c:idx val="14"/>
              <c:tx>
                <c:rich>
                  <a:bodyPr/>
                  <a:lstStyle/>
                  <a:p>
                    <a:fld id="{54BF526B-5A3B-45DF-9367-15CA5B0DF41B}"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17A-470A-97E4-6537971D9C45}"/>
                </c:ext>
              </c:extLst>
            </c:dLbl>
            <c:dLbl>
              <c:idx val="15"/>
              <c:tx>
                <c:rich>
                  <a:bodyPr/>
                  <a:lstStyle/>
                  <a:p>
                    <a:fld id="{88C1EC0B-CB98-42EF-913F-E02AD8050905}"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617A-470A-97E4-6537971D9C45}"/>
                </c:ext>
              </c:extLst>
            </c:dLbl>
            <c:dLbl>
              <c:idx val="16"/>
              <c:layout>
                <c:manualLayout>
                  <c:x val="4.410143329658214E-3"/>
                  <c:y val="2.777920533320910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17A-470A-97E4-6537971D9C45}"/>
                </c:ext>
              </c:extLst>
            </c:dLbl>
            <c:dLbl>
              <c:idx val="18"/>
              <c:tx>
                <c:rich>
                  <a:bodyPr/>
                  <a:lstStyle/>
                  <a:p>
                    <a:fld id="{51505E16-DFCB-4F17-AA38-9AF5D8AA475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617A-470A-97E4-6537971D9C45}"/>
                </c:ext>
              </c:extLst>
            </c:dLbl>
            <c:dLbl>
              <c:idx val="19"/>
              <c:tx>
                <c:rich>
                  <a:bodyPr/>
                  <a:lstStyle/>
                  <a:p>
                    <a:fld id="{97BF8299-5AD5-4BB3-9DBC-90F0DC7E23A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617A-470A-97E4-6537971D9C4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20"/>
                <c:pt idx="0">
                  <c:v>Total</c:v>
                </c:pt>
                <c:pt idx="2">
                  <c:v>Australian Capital Territory</c:v>
                </c:pt>
                <c:pt idx="3">
                  <c:v>Comcare</c:v>
                </c:pt>
                <c:pt idx="4">
                  <c:v>New South Wales</c:v>
                </c:pt>
                <c:pt idx="5">
                  <c:v>Northern Territory</c:v>
                </c:pt>
                <c:pt idx="6">
                  <c:v>Queensland</c:v>
                </c:pt>
                <c:pt idx="7">
                  <c:v>Seacare</c:v>
                </c:pt>
                <c:pt idx="8">
                  <c:v>Tasmania</c:v>
                </c:pt>
                <c:pt idx="9">
                  <c:v>Western Australia</c:v>
                </c:pt>
                <c:pt idx="10">
                  <c:v>Victoria</c:v>
                </c:pt>
                <c:pt idx="12">
                  <c:v>Fractures</c:v>
                </c:pt>
                <c:pt idx="13">
                  <c:v>Musculoskeletal Disorders</c:v>
                </c:pt>
                <c:pt idx="14">
                  <c:v>Other Trauma</c:v>
                </c:pt>
                <c:pt idx="15">
                  <c:v>Mental Illness</c:v>
                </c:pt>
                <c:pt idx="16">
                  <c:v>Other Diseases</c:v>
                </c:pt>
                <c:pt idx="18">
                  <c:v>Currently working</c:v>
                </c:pt>
                <c:pt idx="19">
                  <c:v>Not working</c:v>
                </c:pt>
              </c:strCache>
            </c:strRef>
          </c:cat>
          <c:val>
            <c:numRef>
              <c:f>Sheet1!$B$2:$B$21</c:f>
              <c:numCache>
                <c:formatCode>General</c:formatCode>
                <c:ptCount val="20"/>
                <c:pt idx="0">
                  <c:v>28.575743367299999</c:v>
                </c:pt>
                <c:pt idx="2">
                  <c:v>29.815633992310005</c:v>
                </c:pt>
                <c:pt idx="3">
                  <c:v>24.647391275139999</c:v>
                </c:pt>
                <c:pt idx="4">
                  <c:v>28.142554825280001</c:v>
                </c:pt>
                <c:pt idx="5">
                  <c:v>30.303571850939999</c:v>
                </c:pt>
                <c:pt idx="6">
                  <c:v>31.79973300396</c:v>
                </c:pt>
                <c:pt idx="7">
                  <c:v>23.293879747990001</c:v>
                </c:pt>
                <c:pt idx="8">
                  <c:v>24.523399726889998</c:v>
                </c:pt>
                <c:pt idx="9">
                  <c:v>22.86131567816</c:v>
                </c:pt>
                <c:pt idx="10">
                  <c:v>28.603711864160005</c:v>
                </c:pt>
                <c:pt idx="12" formatCode="0.0">
                  <c:v>26.138679184259999</c:v>
                </c:pt>
                <c:pt idx="13" formatCode="0.0">
                  <c:v>28.235794999589999</c:v>
                </c:pt>
                <c:pt idx="14" formatCode="0.0">
                  <c:v>30.818050740620002</c:v>
                </c:pt>
                <c:pt idx="15" formatCode="0.0">
                  <c:v>30.695441034289999</c:v>
                </c:pt>
                <c:pt idx="16" formatCode="0.0">
                  <c:v>26.266625194310002</c:v>
                </c:pt>
                <c:pt idx="18" formatCode="0.0">
                  <c:v>23.24898037486</c:v>
                </c:pt>
                <c:pt idx="19" formatCode="0.0">
                  <c:v>54.95158602251</c:v>
                </c:pt>
              </c:numCache>
            </c:numRef>
          </c:val>
          <c:extLst>
            <c:ext xmlns:c16="http://schemas.microsoft.com/office/drawing/2014/chart" uri="{C3380CC4-5D6E-409C-BE32-E72D297353CC}">
              <c16:uniqueId val="{00000011-617A-470A-97E4-6537971D9C45}"/>
            </c:ext>
          </c:extLst>
        </c:ser>
        <c:dLbls>
          <c:showLegendKey val="0"/>
          <c:showVal val="0"/>
          <c:showCatName val="0"/>
          <c:showSerName val="0"/>
          <c:showPercent val="0"/>
          <c:showBubbleSize val="0"/>
        </c:dLbls>
        <c:gapWidth val="50"/>
        <c:axId val="441045320"/>
        <c:axId val="441048600"/>
      </c:barChart>
      <c:catAx>
        <c:axId val="44104532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1048600"/>
        <c:crosses val="autoZero"/>
        <c:auto val="1"/>
        <c:lblAlgn val="ctr"/>
        <c:lblOffset val="100"/>
        <c:noMultiLvlLbl val="0"/>
      </c:catAx>
      <c:valAx>
        <c:axId val="441048600"/>
        <c:scaling>
          <c:orientation val="minMax"/>
          <c:max val="100"/>
        </c:scaling>
        <c:delete val="1"/>
        <c:axPos val="t"/>
        <c:numFmt formatCode="General" sourceLinked="1"/>
        <c:majorTickMark val="out"/>
        <c:minorTickMark val="none"/>
        <c:tickLblPos val="nextTo"/>
        <c:crossAx val="4410453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Sheet1!$A$2</c:f>
              <c:strCache>
                <c:ptCount val="1"/>
                <c:pt idx="0">
                  <c:v>Yes</c:v>
                </c:pt>
              </c:strCache>
            </c:strRef>
          </c:tx>
          <c:spPr>
            <a:solidFill>
              <a:schemeClr val="accent1"/>
            </a:solidFill>
            <a:ln>
              <a:noFill/>
            </a:ln>
            <a:effectLst/>
          </c:spPr>
          <c:invertIfNegative val="0"/>
          <c:dLbls>
            <c:dLbl>
              <c:idx val="1"/>
              <c:tx>
                <c:rich>
                  <a:bodyPr/>
                  <a:lstStyle/>
                  <a:p>
                    <a:fld id="{AE105623-FAB3-43AF-A5EE-9080E4217B8D}"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ECB-422E-A791-8DEB4A1D1A97}"/>
                </c:ext>
              </c:extLst>
            </c:dLbl>
            <c:dLbl>
              <c:idx val="2"/>
              <c:tx>
                <c:rich>
                  <a:bodyPr/>
                  <a:lstStyle/>
                  <a:p>
                    <a:fld id="{E7225F98-4331-470D-B1F8-2D564B2E7B1D}"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ECB-422E-A791-8DEB4A1D1A9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2013</c:v>
                </c:pt>
                <c:pt idx="1">
                  <c:v>2014</c:v>
                </c:pt>
                <c:pt idx="2">
                  <c:v>2016</c:v>
                </c:pt>
                <c:pt idx="3">
                  <c:v>2018</c:v>
                </c:pt>
              </c:strCache>
            </c:strRef>
          </c:cat>
          <c:val>
            <c:numRef>
              <c:f>Sheet1!$B$2:$E$2</c:f>
              <c:numCache>
                <c:formatCode>0.0%</c:formatCode>
                <c:ptCount val="4"/>
                <c:pt idx="0">
                  <c:v>0.53363310204729997</c:v>
                </c:pt>
                <c:pt idx="1">
                  <c:v>0.51448087738140003</c:v>
                </c:pt>
                <c:pt idx="2">
                  <c:v>0.65166639908020008</c:v>
                </c:pt>
                <c:pt idx="3">
                  <c:v>0.65346064107130009</c:v>
                </c:pt>
              </c:numCache>
            </c:numRef>
          </c:val>
          <c:extLst>
            <c:ext xmlns:c16="http://schemas.microsoft.com/office/drawing/2014/chart" uri="{C3380CC4-5D6E-409C-BE32-E72D297353CC}">
              <c16:uniqueId val="{00000001-5ECB-422E-A791-8DEB4A1D1A97}"/>
            </c:ext>
          </c:extLst>
        </c:ser>
        <c:ser>
          <c:idx val="1"/>
          <c:order val="1"/>
          <c:tx>
            <c:strRef>
              <c:f>Sheet1!$A$3</c:f>
              <c:strCache>
                <c:ptCount val="1"/>
                <c:pt idx="0">
                  <c:v>No</c:v>
                </c:pt>
              </c:strCache>
            </c:strRef>
          </c:tx>
          <c:spPr>
            <a:solidFill>
              <a:schemeClr val="accent5">
                <a:lumMod val="60000"/>
                <a:lumOff val="40000"/>
              </a:schemeClr>
            </a:solidFill>
            <a:ln>
              <a:noFill/>
            </a:ln>
            <a:effectLst/>
          </c:spPr>
          <c:invertIfNegative val="0"/>
          <c:dLbls>
            <c:dLbl>
              <c:idx val="1"/>
              <c:tx>
                <c:rich>
                  <a:bodyPr/>
                  <a:lstStyle/>
                  <a:p>
                    <a:fld id="{8243C18A-2661-4E7A-8D53-7352AD254011}"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5ECB-422E-A791-8DEB4A1D1A97}"/>
                </c:ext>
              </c:extLst>
            </c:dLbl>
            <c:dLbl>
              <c:idx val="2"/>
              <c:tx>
                <c:rich>
                  <a:bodyPr/>
                  <a:lstStyle/>
                  <a:p>
                    <a:fld id="{01842507-D8A3-428C-ADDB-55A7B5D7FD0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ECB-422E-A791-8DEB4A1D1A9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2013</c:v>
                </c:pt>
                <c:pt idx="1">
                  <c:v>2014</c:v>
                </c:pt>
                <c:pt idx="2">
                  <c:v>2016</c:v>
                </c:pt>
                <c:pt idx="3">
                  <c:v>2018</c:v>
                </c:pt>
              </c:strCache>
            </c:strRef>
          </c:cat>
          <c:val>
            <c:numRef>
              <c:f>Sheet1!$B$3:$E$3</c:f>
              <c:numCache>
                <c:formatCode>0.0%</c:formatCode>
                <c:ptCount val="4"/>
                <c:pt idx="0">
                  <c:v>0.46636689795270003</c:v>
                </c:pt>
                <c:pt idx="1">
                  <c:v>0.48551912261859997</c:v>
                </c:pt>
                <c:pt idx="2">
                  <c:v>0.34833360091979998</c:v>
                </c:pt>
                <c:pt idx="3">
                  <c:v>0.34653935892870003</c:v>
                </c:pt>
              </c:numCache>
            </c:numRef>
          </c:val>
          <c:extLst>
            <c:ext xmlns:c16="http://schemas.microsoft.com/office/drawing/2014/chart" uri="{C3380CC4-5D6E-409C-BE32-E72D297353CC}">
              <c16:uniqueId val="{00000003-5ECB-422E-A791-8DEB4A1D1A97}"/>
            </c:ext>
          </c:extLst>
        </c:ser>
        <c:dLbls>
          <c:showLegendKey val="0"/>
          <c:showVal val="0"/>
          <c:showCatName val="0"/>
          <c:showSerName val="0"/>
          <c:showPercent val="0"/>
          <c:showBubbleSize val="0"/>
        </c:dLbls>
        <c:gapWidth val="150"/>
        <c:overlap val="100"/>
        <c:axId val="441084024"/>
        <c:axId val="441084680"/>
      </c:barChart>
      <c:catAx>
        <c:axId val="4410840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1084680"/>
        <c:crosses val="autoZero"/>
        <c:auto val="1"/>
        <c:lblAlgn val="ctr"/>
        <c:lblOffset val="100"/>
        <c:noMultiLvlLbl val="0"/>
      </c:catAx>
      <c:valAx>
        <c:axId val="441084680"/>
        <c:scaling>
          <c:orientation val="minMax"/>
        </c:scaling>
        <c:delete val="1"/>
        <c:axPos val="l"/>
        <c:numFmt formatCode="0%" sourceLinked="1"/>
        <c:majorTickMark val="none"/>
        <c:minorTickMark val="none"/>
        <c:tickLblPos val="nextTo"/>
        <c:crossAx val="4410840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Yes have a return to work plan</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EC59-4DEF-B3F9-C975B8FAA236}"/>
              </c:ext>
            </c:extLst>
          </c:dPt>
          <c:dPt>
            <c:idx val="12"/>
            <c:invertIfNegative val="0"/>
            <c:bubble3D val="0"/>
            <c:spPr>
              <a:solidFill>
                <a:schemeClr val="accent5"/>
              </a:solidFill>
              <a:ln>
                <a:noFill/>
              </a:ln>
              <a:effectLst/>
            </c:spPr>
            <c:extLst>
              <c:ext xmlns:c16="http://schemas.microsoft.com/office/drawing/2014/chart" uri="{C3380CC4-5D6E-409C-BE32-E72D297353CC}">
                <c16:uniqueId val="{00000003-EC59-4DEF-B3F9-C975B8FAA236}"/>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05-EC59-4DEF-B3F9-C975B8FAA236}"/>
              </c:ext>
            </c:extLst>
          </c:dPt>
          <c:dPt>
            <c:idx val="14"/>
            <c:invertIfNegative val="0"/>
            <c:bubble3D val="0"/>
            <c:spPr>
              <a:solidFill>
                <a:schemeClr val="accent5"/>
              </a:solidFill>
              <a:ln>
                <a:noFill/>
              </a:ln>
              <a:effectLst/>
            </c:spPr>
            <c:extLst>
              <c:ext xmlns:c16="http://schemas.microsoft.com/office/drawing/2014/chart" uri="{C3380CC4-5D6E-409C-BE32-E72D297353CC}">
                <c16:uniqueId val="{00000007-EC59-4DEF-B3F9-C975B8FAA236}"/>
              </c:ext>
            </c:extLst>
          </c:dPt>
          <c:dLbls>
            <c:dLbl>
              <c:idx val="3"/>
              <c:tx>
                <c:rich>
                  <a:bodyPr/>
                  <a:lstStyle/>
                  <a:p>
                    <a:fld id="{96D94AB0-712F-4FCF-802C-6B9FA613556D}"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EC59-4DEF-B3F9-C975B8FAA236}"/>
                </c:ext>
              </c:extLst>
            </c:dLbl>
            <c:dLbl>
              <c:idx val="6"/>
              <c:tx>
                <c:rich>
                  <a:bodyPr/>
                  <a:lstStyle/>
                  <a:p>
                    <a:fld id="{757D24B9-C309-48BD-96FA-3164C7DD59A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EC59-4DEF-B3F9-C975B8FAA236}"/>
                </c:ext>
              </c:extLst>
            </c:dLbl>
            <c:dLbl>
              <c:idx val="7"/>
              <c:layout>
                <c:manualLayout>
                  <c:x val="1.10253583241454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C59-4DEF-B3F9-C975B8FAA236}"/>
                </c:ext>
              </c:extLst>
            </c:dLbl>
            <c:dLbl>
              <c:idx val="10"/>
              <c:tx>
                <c:rich>
                  <a:bodyPr/>
                  <a:lstStyle/>
                  <a:p>
                    <a:fld id="{136118A3-77CF-469A-9FB7-8A04834D979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EC59-4DEF-B3F9-C975B8FAA236}"/>
                </c:ext>
              </c:extLst>
            </c:dLbl>
            <c:dLbl>
              <c:idx val="13"/>
              <c:tx>
                <c:rich>
                  <a:bodyPr/>
                  <a:lstStyle/>
                  <a:p>
                    <a:fld id="{AFEE2EED-CA23-4CC5-8787-1291DDE07952}"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C59-4DEF-B3F9-C975B8FAA236}"/>
                </c:ext>
              </c:extLst>
            </c:dLbl>
            <c:dLbl>
              <c:idx val="14"/>
              <c:tx>
                <c:rich>
                  <a:bodyPr/>
                  <a:lstStyle/>
                  <a:p>
                    <a:fld id="{54BF526B-5A3B-45DF-9367-15CA5B0DF41B}"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EC59-4DEF-B3F9-C975B8FAA23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Sheet1!$A$2:$A$16</c:f>
              <c:strCache>
                <c:ptCount val="15"/>
                <c:pt idx="0">
                  <c:v>Total</c:v>
                </c:pt>
                <c:pt idx="2">
                  <c:v>Australian Capital Territory</c:v>
                </c:pt>
                <c:pt idx="3">
                  <c:v>Comcare</c:v>
                </c:pt>
                <c:pt idx="4">
                  <c:v>New South Wales</c:v>
                </c:pt>
                <c:pt idx="5">
                  <c:v>Northern Territory</c:v>
                </c:pt>
                <c:pt idx="6">
                  <c:v>Queensland</c:v>
                </c:pt>
                <c:pt idx="7">
                  <c:v>Seacare</c:v>
                </c:pt>
                <c:pt idx="8">
                  <c:v>Tasmania</c:v>
                </c:pt>
                <c:pt idx="9">
                  <c:v>Western Australia</c:v>
                </c:pt>
                <c:pt idx="10">
                  <c:v>Victoria</c:v>
                </c:pt>
                <c:pt idx="12">
                  <c:v>Small</c:v>
                </c:pt>
                <c:pt idx="13">
                  <c:v>Medium</c:v>
                </c:pt>
                <c:pt idx="14">
                  <c:v>Large</c:v>
                </c:pt>
              </c:strCache>
            </c:strRef>
          </c:cat>
          <c:val>
            <c:numRef>
              <c:f>Sheet1!$B$2:$B$16</c:f>
              <c:numCache>
                <c:formatCode>General</c:formatCode>
                <c:ptCount val="15"/>
                <c:pt idx="0" formatCode="0.0">
                  <c:v>65.346064107130005</c:v>
                </c:pt>
                <c:pt idx="2" formatCode="0.0">
                  <c:v>67.882263541810005</c:v>
                </c:pt>
                <c:pt idx="3" formatCode="0.0">
                  <c:v>73.58146322124</c:v>
                </c:pt>
                <c:pt idx="4" formatCode="0.0">
                  <c:v>67.624289771050002</c:v>
                </c:pt>
                <c:pt idx="5" formatCode="0.0">
                  <c:v>60.186676289179999</c:v>
                </c:pt>
                <c:pt idx="6" formatCode="0.0">
                  <c:v>55.97566972524001</c:v>
                </c:pt>
                <c:pt idx="7" formatCode="0.0">
                  <c:v>77.368698066630003</c:v>
                </c:pt>
                <c:pt idx="8" formatCode="0.0">
                  <c:v>71.067693899120002</c:v>
                </c:pt>
                <c:pt idx="9" formatCode="0.0">
                  <c:v>70.090980132279995</c:v>
                </c:pt>
                <c:pt idx="10" formatCode="0.0">
                  <c:v>70.803198012430002</c:v>
                </c:pt>
                <c:pt idx="12" formatCode="0.0">
                  <c:v>62.55512869631</c:v>
                </c:pt>
                <c:pt idx="13" formatCode="0.0">
                  <c:v>61.504545771069999</c:v>
                </c:pt>
                <c:pt idx="14" formatCode="0.0">
                  <c:v>68.102356613780003</c:v>
                </c:pt>
              </c:numCache>
            </c:numRef>
          </c:val>
          <c:extLst>
            <c:ext xmlns:c16="http://schemas.microsoft.com/office/drawing/2014/chart" uri="{C3380CC4-5D6E-409C-BE32-E72D297353CC}">
              <c16:uniqueId val="{00000011-EC59-4DEF-B3F9-C975B8FAA236}"/>
            </c:ext>
          </c:extLst>
        </c:ser>
        <c:dLbls>
          <c:showLegendKey val="0"/>
          <c:showVal val="0"/>
          <c:showCatName val="0"/>
          <c:showSerName val="0"/>
          <c:showPercent val="0"/>
          <c:showBubbleSize val="0"/>
        </c:dLbls>
        <c:gapWidth val="50"/>
        <c:axId val="441045320"/>
        <c:axId val="441048600"/>
      </c:barChart>
      <c:catAx>
        <c:axId val="44104532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1048600"/>
        <c:crosses val="autoZero"/>
        <c:auto val="1"/>
        <c:lblAlgn val="ctr"/>
        <c:lblOffset val="100"/>
        <c:noMultiLvlLbl val="0"/>
      </c:catAx>
      <c:valAx>
        <c:axId val="441048600"/>
        <c:scaling>
          <c:orientation val="minMax"/>
          <c:max val="100"/>
        </c:scaling>
        <c:delete val="1"/>
        <c:axPos val="t"/>
        <c:numFmt formatCode="0.0" sourceLinked="1"/>
        <c:majorTickMark val="out"/>
        <c:minorTickMark val="none"/>
        <c:tickLblPos val="nextTo"/>
        <c:crossAx val="4410453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Contacted by employer</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5EAD-42EF-998D-CE7C9144EB6B}"/>
              </c:ext>
            </c:extLst>
          </c:dPt>
          <c:dPt>
            <c:idx val="12"/>
            <c:invertIfNegative val="0"/>
            <c:bubble3D val="0"/>
            <c:spPr>
              <a:solidFill>
                <a:schemeClr val="accent5"/>
              </a:solidFill>
              <a:ln>
                <a:noFill/>
              </a:ln>
              <a:effectLst/>
            </c:spPr>
            <c:extLst>
              <c:ext xmlns:c16="http://schemas.microsoft.com/office/drawing/2014/chart" uri="{C3380CC4-5D6E-409C-BE32-E72D297353CC}">
                <c16:uniqueId val="{00000003-5EAD-42EF-998D-CE7C9144EB6B}"/>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05-5EAD-42EF-998D-CE7C9144EB6B}"/>
              </c:ext>
            </c:extLst>
          </c:dPt>
          <c:dPt>
            <c:idx val="14"/>
            <c:invertIfNegative val="0"/>
            <c:bubble3D val="0"/>
            <c:spPr>
              <a:solidFill>
                <a:schemeClr val="accent5"/>
              </a:solidFill>
              <a:ln>
                <a:noFill/>
              </a:ln>
              <a:effectLst/>
            </c:spPr>
            <c:extLst>
              <c:ext xmlns:c16="http://schemas.microsoft.com/office/drawing/2014/chart" uri="{C3380CC4-5D6E-409C-BE32-E72D297353CC}">
                <c16:uniqueId val="{00000007-5EAD-42EF-998D-CE7C9144EB6B}"/>
              </c:ext>
            </c:extLst>
          </c:dPt>
          <c:dPt>
            <c:idx val="15"/>
            <c:invertIfNegative val="0"/>
            <c:bubble3D val="0"/>
            <c:spPr>
              <a:solidFill>
                <a:schemeClr val="accent5"/>
              </a:solidFill>
              <a:ln>
                <a:noFill/>
              </a:ln>
              <a:effectLst/>
            </c:spPr>
            <c:extLst>
              <c:ext xmlns:c16="http://schemas.microsoft.com/office/drawing/2014/chart" uri="{C3380CC4-5D6E-409C-BE32-E72D297353CC}">
                <c16:uniqueId val="{00000009-5EAD-42EF-998D-CE7C9144EB6B}"/>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0B-5EAD-42EF-998D-CE7C9144EB6B}"/>
              </c:ext>
            </c:extLst>
          </c:dPt>
          <c:dPt>
            <c:idx val="18"/>
            <c:invertIfNegative val="0"/>
            <c:bubble3D val="0"/>
            <c:spPr>
              <a:solidFill>
                <a:schemeClr val="accent4"/>
              </a:solidFill>
              <a:ln>
                <a:noFill/>
              </a:ln>
              <a:effectLst/>
            </c:spPr>
            <c:extLst>
              <c:ext xmlns:c16="http://schemas.microsoft.com/office/drawing/2014/chart" uri="{C3380CC4-5D6E-409C-BE32-E72D297353CC}">
                <c16:uniqueId val="{0000000D-5EAD-42EF-998D-CE7C9144EB6B}"/>
              </c:ext>
            </c:extLst>
          </c:dPt>
          <c:dPt>
            <c:idx val="19"/>
            <c:invertIfNegative val="0"/>
            <c:bubble3D val="0"/>
            <c:spPr>
              <a:solidFill>
                <a:schemeClr val="accent4"/>
              </a:solidFill>
              <a:ln>
                <a:noFill/>
              </a:ln>
              <a:effectLst/>
            </c:spPr>
            <c:extLst>
              <c:ext xmlns:c16="http://schemas.microsoft.com/office/drawing/2014/chart" uri="{C3380CC4-5D6E-409C-BE32-E72D297353CC}">
                <c16:uniqueId val="{0000000F-5EAD-42EF-998D-CE7C9144EB6B}"/>
              </c:ext>
            </c:extLst>
          </c:dPt>
          <c:dPt>
            <c:idx val="20"/>
            <c:invertIfNegative val="0"/>
            <c:bubble3D val="0"/>
            <c:spPr>
              <a:solidFill>
                <a:schemeClr val="accent4"/>
              </a:solidFill>
              <a:ln>
                <a:noFill/>
              </a:ln>
              <a:effectLst/>
            </c:spPr>
            <c:extLst>
              <c:ext xmlns:c16="http://schemas.microsoft.com/office/drawing/2014/chart" uri="{C3380CC4-5D6E-409C-BE32-E72D297353CC}">
                <c16:uniqueId val="{0000001C-5EAD-42EF-998D-CE7C9144EB6B}"/>
              </c:ext>
            </c:extLst>
          </c:dPt>
          <c:dLbls>
            <c:dLbl>
              <c:idx val="7"/>
              <c:layout>
                <c:manualLayout>
                  <c:x val="1.10253583241454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EAD-42EF-998D-CE7C9144EB6B}"/>
                </c:ext>
              </c:extLst>
            </c:dLbl>
            <c:dLbl>
              <c:idx val="13"/>
              <c:tx>
                <c:rich>
                  <a:bodyPr/>
                  <a:lstStyle/>
                  <a:p>
                    <a:fld id="{AFEE2EED-CA23-4CC5-8787-1291DDE07952}"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EAD-42EF-998D-CE7C9144EB6B}"/>
                </c:ext>
              </c:extLst>
            </c:dLbl>
            <c:dLbl>
              <c:idx val="14"/>
              <c:tx>
                <c:rich>
                  <a:bodyPr/>
                  <a:lstStyle/>
                  <a:p>
                    <a:fld id="{54BF526B-5A3B-45DF-9367-15CA5B0DF41B}"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EAD-42EF-998D-CE7C9144EB6B}"/>
                </c:ext>
              </c:extLst>
            </c:dLbl>
            <c:dLbl>
              <c:idx val="15"/>
              <c:tx>
                <c:rich>
                  <a:bodyPr/>
                  <a:lstStyle/>
                  <a:p>
                    <a:fld id="{88C1EC0B-CB98-42EF-913F-E02AD805090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EAD-42EF-998D-CE7C9144EB6B}"/>
                </c:ext>
              </c:extLst>
            </c:dLbl>
            <c:dLbl>
              <c:idx val="16"/>
              <c:layout>
                <c:manualLayout>
                  <c:x val="4.410143329658214E-3"/>
                  <c:y val="2.777920533320910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EAD-42EF-998D-CE7C9144EB6B}"/>
                </c:ext>
              </c:extLst>
            </c:dLbl>
            <c:dLbl>
              <c:idx val="18"/>
              <c:tx>
                <c:rich>
                  <a:bodyPr/>
                  <a:lstStyle/>
                  <a:p>
                    <a:fld id="{51505E16-DFCB-4F17-AA38-9AF5D8AA4753}"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5EAD-42EF-998D-CE7C9144EB6B}"/>
                </c:ext>
              </c:extLst>
            </c:dLbl>
            <c:dLbl>
              <c:idx val="19"/>
              <c:tx>
                <c:rich>
                  <a:bodyPr/>
                  <a:lstStyle/>
                  <a:p>
                    <a:fld id="{97BF8299-5AD5-4BB3-9DBC-90F0DC7E23AF}"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5EAD-42EF-998D-CE7C9144EB6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Total</c:v>
                </c:pt>
                <c:pt idx="2">
                  <c:v>Australian Capital Territory</c:v>
                </c:pt>
                <c:pt idx="3">
                  <c:v>Comcare</c:v>
                </c:pt>
                <c:pt idx="4">
                  <c:v>New South Wales</c:v>
                </c:pt>
                <c:pt idx="5">
                  <c:v>Northern Territory</c:v>
                </c:pt>
                <c:pt idx="6">
                  <c:v>Queensland</c:v>
                </c:pt>
                <c:pt idx="7">
                  <c:v>Seacare</c:v>
                </c:pt>
                <c:pt idx="8">
                  <c:v>Tasmania</c:v>
                </c:pt>
                <c:pt idx="9">
                  <c:v>Western Australia</c:v>
                </c:pt>
                <c:pt idx="10">
                  <c:v>Victoria</c:v>
                </c:pt>
                <c:pt idx="12">
                  <c:v>Fractures</c:v>
                </c:pt>
                <c:pt idx="13">
                  <c:v>Musculoskeletal Disorders</c:v>
                </c:pt>
                <c:pt idx="14">
                  <c:v>Other Trauma</c:v>
                </c:pt>
                <c:pt idx="15">
                  <c:v>Mental Illness</c:v>
                </c:pt>
                <c:pt idx="16">
                  <c:v>Other Diseases</c:v>
                </c:pt>
                <c:pt idx="18">
                  <c:v>Small</c:v>
                </c:pt>
                <c:pt idx="19">
                  <c:v>Medium</c:v>
                </c:pt>
                <c:pt idx="20">
                  <c:v>Large</c:v>
                </c:pt>
              </c:strCache>
            </c:strRef>
          </c:cat>
          <c:val>
            <c:numRef>
              <c:f>Sheet1!$B$2:$B$22</c:f>
              <c:numCache>
                <c:formatCode>General</c:formatCode>
                <c:ptCount val="21"/>
                <c:pt idx="0" formatCode="0.0">
                  <c:v>62.665587552479998</c:v>
                </c:pt>
                <c:pt idx="2" formatCode="0.0">
                  <c:v>64.595859972019994</c:v>
                </c:pt>
                <c:pt idx="3" formatCode="0.0">
                  <c:v>68.203635372250005</c:v>
                </c:pt>
                <c:pt idx="4" formatCode="0.0">
                  <c:v>65.260907673730003</c:v>
                </c:pt>
                <c:pt idx="5" formatCode="0.0">
                  <c:v>59.983927789020001</c:v>
                </c:pt>
                <c:pt idx="6" formatCode="0.0">
                  <c:v>57.93724578114999</c:v>
                </c:pt>
                <c:pt idx="7" formatCode="0.0">
                  <c:v>75.539430529870003</c:v>
                </c:pt>
                <c:pt idx="8" formatCode="0.0">
                  <c:v>63.296673511269994</c:v>
                </c:pt>
                <c:pt idx="9" formatCode="0.0">
                  <c:v>61.597816335520008</c:v>
                </c:pt>
                <c:pt idx="10" formatCode="0.0">
                  <c:v>64.526004680300005</c:v>
                </c:pt>
                <c:pt idx="12" formatCode="0.0">
                  <c:v>69.395844637549999</c:v>
                </c:pt>
                <c:pt idx="13" formatCode="0.0">
                  <c:v>60.536159682379996</c:v>
                </c:pt>
                <c:pt idx="14" formatCode="0.0">
                  <c:v>67.901575004500003</c:v>
                </c:pt>
                <c:pt idx="15" formatCode="0.0">
                  <c:v>42.026001571720002</c:v>
                </c:pt>
                <c:pt idx="16" formatCode="0.0">
                  <c:v>67.536390843069995</c:v>
                </c:pt>
                <c:pt idx="18" formatCode="0.0">
                  <c:v>57.562669531529998</c:v>
                </c:pt>
                <c:pt idx="19" formatCode="0.0">
                  <c:v>60.923832247939998</c:v>
                </c:pt>
                <c:pt idx="20" formatCode="0.0">
                  <c:v>65.313179833999996</c:v>
                </c:pt>
              </c:numCache>
            </c:numRef>
          </c:val>
          <c:extLst>
            <c:ext xmlns:c16="http://schemas.microsoft.com/office/drawing/2014/chart" uri="{C3380CC4-5D6E-409C-BE32-E72D297353CC}">
              <c16:uniqueId val="{00000011-5EAD-42EF-998D-CE7C9144EB6B}"/>
            </c:ext>
          </c:extLst>
        </c:ser>
        <c:ser>
          <c:idx val="1"/>
          <c:order val="1"/>
          <c:tx>
            <c:strRef>
              <c:f>Sheet1!$C$1</c:f>
              <c:strCache>
                <c:ptCount val="1"/>
                <c:pt idx="0">
                  <c:v>Contacted by return to work coordinator</c:v>
                </c:pt>
              </c:strCache>
            </c:strRef>
          </c:tx>
          <c:spPr>
            <a:solidFill>
              <a:schemeClr val="accent1">
                <a:lumMod val="40000"/>
                <a:lumOff val="60000"/>
              </a:schemeClr>
            </a:solidFill>
            <a:ln>
              <a:noFill/>
            </a:ln>
            <a:effectLst/>
          </c:spPr>
          <c:invertIfNegative val="0"/>
          <c:dPt>
            <c:idx val="0"/>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13-5EAD-42EF-998D-CE7C9144EB6B}"/>
              </c:ext>
            </c:extLst>
          </c:dPt>
          <c:dPt>
            <c:idx val="12"/>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14-5EAD-42EF-998D-CE7C9144EB6B}"/>
              </c:ext>
            </c:extLst>
          </c:dPt>
          <c:dPt>
            <c:idx val="13"/>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15-5EAD-42EF-998D-CE7C9144EB6B}"/>
              </c:ext>
            </c:extLst>
          </c:dPt>
          <c:dPt>
            <c:idx val="14"/>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16-5EAD-42EF-998D-CE7C9144EB6B}"/>
              </c:ext>
            </c:extLst>
          </c:dPt>
          <c:dPt>
            <c:idx val="15"/>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17-5EAD-42EF-998D-CE7C9144EB6B}"/>
              </c:ext>
            </c:extLst>
          </c:dPt>
          <c:dPt>
            <c:idx val="16"/>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18-5EAD-42EF-998D-CE7C9144EB6B}"/>
              </c:ext>
            </c:extLst>
          </c:dPt>
          <c:dPt>
            <c:idx val="18"/>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19-5EAD-42EF-998D-CE7C9144EB6B}"/>
              </c:ext>
            </c:extLst>
          </c:dPt>
          <c:dPt>
            <c:idx val="19"/>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1A-5EAD-42EF-998D-CE7C9144EB6B}"/>
              </c:ext>
            </c:extLst>
          </c:dPt>
          <c:dPt>
            <c:idx val="20"/>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1B-5EAD-42EF-998D-CE7C9144EB6B}"/>
              </c:ext>
            </c:extLst>
          </c:dPt>
          <c:dLbls>
            <c:dLbl>
              <c:idx val="3"/>
              <c:tx>
                <c:rich>
                  <a:bodyPr/>
                  <a:lstStyle/>
                  <a:p>
                    <a:fld id="{E5BB5982-8E8E-4136-BDEF-47D8D83C8FCD}"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D-5EAD-42EF-998D-CE7C9144EB6B}"/>
                </c:ext>
              </c:extLst>
            </c:dLbl>
            <c:dLbl>
              <c:idx val="6"/>
              <c:tx>
                <c:rich>
                  <a:bodyPr/>
                  <a:lstStyle/>
                  <a:p>
                    <a:fld id="{964FE956-7846-419A-BB22-9F640E9BBB9A}"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F-5EAD-42EF-998D-CE7C9144EB6B}"/>
                </c:ext>
              </c:extLst>
            </c:dLbl>
            <c:dLbl>
              <c:idx val="7"/>
              <c:tx>
                <c:rich>
                  <a:bodyPr/>
                  <a:lstStyle/>
                  <a:p>
                    <a:fld id="{DEC2D7F1-7E7C-4FF5-9A10-0DFCC52AB9F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E-5EAD-42EF-998D-CE7C9144EB6B}"/>
                </c:ext>
              </c:extLst>
            </c:dLbl>
            <c:dLbl>
              <c:idx val="14"/>
              <c:tx>
                <c:rich>
                  <a:bodyPr/>
                  <a:lstStyle/>
                  <a:p>
                    <a:fld id="{05E66C4B-91D7-4084-AB30-E78B6B278D6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5EAD-42EF-998D-CE7C9144EB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Sheet1!$A$2:$A$22</c:f>
              <c:strCache>
                <c:ptCount val="21"/>
                <c:pt idx="0">
                  <c:v>Total</c:v>
                </c:pt>
                <c:pt idx="2">
                  <c:v>Australian Capital Territory</c:v>
                </c:pt>
                <c:pt idx="3">
                  <c:v>Comcare</c:v>
                </c:pt>
                <c:pt idx="4">
                  <c:v>New South Wales</c:v>
                </c:pt>
                <c:pt idx="5">
                  <c:v>Northern Territory</c:v>
                </c:pt>
                <c:pt idx="6">
                  <c:v>Queensland</c:v>
                </c:pt>
                <c:pt idx="7">
                  <c:v>Seacare</c:v>
                </c:pt>
                <c:pt idx="8">
                  <c:v>Tasmania</c:v>
                </c:pt>
                <c:pt idx="9">
                  <c:v>Western Australia</c:v>
                </c:pt>
                <c:pt idx="10">
                  <c:v>Victoria</c:v>
                </c:pt>
                <c:pt idx="12">
                  <c:v>Fractures</c:v>
                </c:pt>
                <c:pt idx="13">
                  <c:v>Musculoskeletal Disorders</c:v>
                </c:pt>
                <c:pt idx="14">
                  <c:v>Other Trauma</c:v>
                </c:pt>
                <c:pt idx="15">
                  <c:v>Mental Illness</c:v>
                </c:pt>
                <c:pt idx="16">
                  <c:v>Other Diseases</c:v>
                </c:pt>
                <c:pt idx="18">
                  <c:v>Small</c:v>
                </c:pt>
                <c:pt idx="19">
                  <c:v>Medium</c:v>
                </c:pt>
                <c:pt idx="20">
                  <c:v>Large</c:v>
                </c:pt>
              </c:strCache>
            </c:strRef>
          </c:cat>
          <c:val>
            <c:numRef>
              <c:f>Sheet1!$C$2:$C$22</c:f>
              <c:numCache>
                <c:formatCode>General</c:formatCode>
                <c:ptCount val="21"/>
                <c:pt idx="0" formatCode="0.0">
                  <c:v>56.907104008929998</c:v>
                </c:pt>
                <c:pt idx="2" formatCode="0.0">
                  <c:v>59.068506772730004</c:v>
                </c:pt>
                <c:pt idx="3" formatCode="0.0">
                  <c:v>63.359827870510003</c:v>
                </c:pt>
                <c:pt idx="4" formatCode="0.0">
                  <c:v>60.281435058180001</c:v>
                </c:pt>
                <c:pt idx="5" formatCode="0.0">
                  <c:v>50.886477705030011</c:v>
                </c:pt>
                <c:pt idx="6" formatCode="0.0">
                  <c:v>48.174509119920003</c:v>
                </c:pt>
                <c:pt idx="7" formatCode="0.0">
                  <c:v>81.033938951170001</c:v>
                </c:pt>
                <c:pt idx="8" formatCode="0.0">
                  <c:v>61.005289303360001</c:v>
                </c:pt>
                <c:pt idx="9" formatCode="0.0">
                  <c:v>58.277628960809999</c:v>
                </c:pt>
                <c:pt idx="10" formatCode="0.0">
                  <c:v>61.517014635089993</c:v>
                </c:pt>
                <c:pt idx="12" formatCode="0.0">
                  <c:v>63.881712766740009</c:v>
                </c:pt>
                <c:pt idx="13" formatCode="0.0">
                  <c:v>59.03556438215</c:v>
                </c:pt>
                <c:pt idx="14" formatCode="0.0">
                  <c:v>48.35043907555</c:v>
                </c:pt>
                <c:pt idx="15" formatCode="0.0">
                  <c:v>50.153319414579997</c:v>
                </c:pt>
                <c:pt idx="16" formatCode="0.0">
                  <c:v>59.325955750640006</c:v>
                </c:pt>
                <c:pt idx="18" formatCode="0.0">
                  <c:v>54.5017479495</c:v>
                </c:pt>
                <c:pt idx="19" formatCode="0.0">
                  <c:v>52.284357650010008</c:v>
                </c:pt>
                <c:pt idx="20" formatCode="0.0">
                  <c:v>58.880125737580002</c:v>
                </c:pt>
              </c:numCache>
            </c:numRef>
          </c:val>
          <c:extLst>
            <c:ext xmlns:c16="http://schemas.microsoft.com/office/drawing/2014/chart" uri="{C3380CC4-5D6E-409C-BE32-E72D297353CC}">
              <c16:uniqueId val="{00000012-5EAD-42EF-998D-CE7C9144EB6B}"/>
            </c:ext>
          </c:extLst>
        </c:ser>
        <c:dLbls>
          <c:showLegendKey val="0"/>
          <c:showVal val="0"/>
          <c:showCatName val="0"/>
          <c:showSerName val="0"/>
          <c:showPercent val="0"/>
          <c:showBubbleSize val="0"/>
        </c:dLbls>
        <c:gapWidth val="50"/>
        <c:axId val="441045320"/>
        <c:axId val="441048600"/>
      </c:barChart>
      <c:catAx>
        <c:axId val="44104532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1048600"/>
        <c:crosses val="autoZero"/>
        <c:auto val="1"/>
        <c:lblAlgn val="ctr"/>
        <c:lblOffset val="100"/>
        <c:noMultiLvlLbl val="0"/>
      </c:catAx>
      <c:valAx>
        <c:axId val="441048600"/>
        <c:scaling>
          <c:orientation val="minMax"/>
          <c:max val="100"/>
        </c:scaling>
        <c:delete val="1"/>
        <c:axPos val="t"/>
        <c:numFmt formatCode="0.0" sourceLinked="1"/>
        <c:majorTickMark val="out"/>
        <c:minorTickMark val="none"/>
        <c:tickLblPos val="nextTo"/>
        <c:crossAx val="4410453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Stressful interactions</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AABD-4DD4-B0DD-C7873AE924E0}"/>
              </c:ext>
            </c:extLst>
          </c:dPt>
          <c:dPt>
            <c:idx val="12"/>
            <c:invertIfNegative val="0"/>
            <c:bubble3D val="0"/>
            <c:spPr>
              <a:solidFill>
                <a:schemeClr val="accent5"/>
              </a:solidFill>
              <a:ln>
                <a:noFill/>
              </a:ln>
              <a:effectLst/>
            </c:spPr>
            <c:extLst>
              <c:ext xmlns:c16="http://schemas.microsoft.com/office/drawing/2014/chart" uri="{C3380CC4-5D6E-409C-BE32-E72D297353CC}">
                <c16:uniqueId val="{00000003-AABD-4DD4-B0DD-C7873AE924E0}"/>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05-AABD-4DD4-B0DD-C7873AE924E0}"/>
              </c:ext>
            </c:extLst>
          </c:dPt>
          <c:dPt>
            <c:idx val="14"/>
            <c:invertIfNegative val="0"/>
            <c:bubble3D val="0"/>
            <c:spPr>
              <a:solidFill>
                <a:schemeClr val="accent5"/>
              </a:solidFill>
              <a:ln>
                <a:noFill/>
              </a:ln>
              <a:effectLst/>
            </c:spPr>
            <c:extLst>
              <c:ext xmlns:c16="http://schemas.microsoft.com/office/drawing/2014/chart" uri="{C3380CC4-5D6E-409C-BE32-E72D297353CC}">
                <c16:uniqueId val="{00000007-AABD-4DD4-B0DD-C7873AE924E0}"/>
              </c:ext>
            </c:extLst>
          </c:dPt>
          <c:dPt>
            <c:idx val="15"/>
            <c:invertIfNegative val="0"/>
            <c:bubble3D val="0"/>
            <c:spPr>
              <a:solidFill>
                <a:schemeClr val="accent5"/>
              </a:solidFill>
              <a:ln>
                <a:noFill/>
              </a:ln>
              <a:effectLst/>
            </c:spPr>
            <c:extLst>
              <c:ext xmlns:c16="http://schemas.microsoft.com/office/drawing/2014/chart" uri="{C3380CC4-5D6E-409C-BE32-E72D297353CC}">
                <c16:uniqueId val="{00000009-AABD-4DD4-B0DD-C7873AE924E0}"/>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0B-AABD-4DD4-B0DD-C7873AE924E0}"/>
              </c:ext>
            </c:extLst>
          </c:dPt>
          <c:dPt>
            <c:idx val="18"/>
            <c:invertIfNegative val="0"/>
            <c:bubble3D val="0"/>
            <c:spPr>
              <a:solidFill>
                <a:schemeClr val="accent4"/>
              </a:solidFill>
              <a:ln>
                <a:noFill/>
              </a:ln>
              <a:effectLst/>
            </c:spPr>
            <c:extLst>
              <c:ext xmlns:c16="http://schemas.microsoft.com/office/drawing/2014/chart" uri="{C3380CC4-5D6E-409C-BE32-E72D297353CC}">
                <c16:uniqueId val="{0000000D-AABD-4DD4-B0DD-C7873AE924E0}"/>
              </c:ext>
            </c:extLst>
          </c:dPt>
          <c:dPt>
            <c:idx val="19"/>
            <c:invertIfNegative val="0"/>
            <c:bubble3D val="0"/>
            <c:spPr>
              <a:solidFill>
                <a:schemeClr val="accent4"/>
              </a:solidFill>
              <a:ln>
                <a:noFill/>
              </a:ln>
              <a:effectLst/>
            </c:spPr>
            <c:extLst>
              <c:ext xmlns:c16="http://schemas.microsoft.com/office/drawing/2014/chart" uri="{C3380CC4-5D6E-409C-BE32-E72D297353CC}">
                <c16:uniqueId val="{0000000F-AABD-4DD4-B0DD-C7873AE924E0}"/>
              </c:ext>
            </c:extLst>
          </c:dPt>
          <c:dPt>
            <c:idx val="20"/>
            <c:invertIfNegative val="0"/>
            <c:bubble3D val="0"/>
            <c:spPr>
              <a:solidFill>
                <a:schemeClr val="accent4"/>
              </a:solidFill>
              <a:ln>
                <a:noFill/>
              </a:ln>
              <a:effectLst/>
            </c:spPr>
            <c:extLst>
              <c:ext xmlns:c16="http://schemas.microsoft.com/office/drawing/2014/chart" uri="{C3380CC4-5D6E-409C-BE32-E72D297353CC}">
                <c16:uniqueId val="{00000011-AABD-4DD4-B0DD-C7873AE924E0}"/>
              </c:ext>
            </c:extLst>
          </c:dPt>
          <c:dLbls>
            <c:dLbl>
              <c:idx val="7"/>
              <c:layout>
                <c:manualLayout>
                  <c:x val="1.10253583241454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ABD-4DD4-B0DD-C7873AE924E0}"/>
                </c:ext>
              </c:extLst>
            </c:dLbl>
            <c:dLbl>
              <c:idx val="13"/>
              <c:tx>
                <c:rich>
                  <a:bodyPr/>
                  <a:lstStyle/>
                  <a:p>
                    <a:fld id="{AFEE2EED-CA23-4CC5-8787-1291DDE07952}"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ABD-4DD4-B0DD-C7873AE924E0}"/>
                </c:ext>
              </c:extLst>
            </c:dLbl>
            <c:dLbl>
              <c:idx val="14"/>
              <c:tx>
                <c:rich>
                  <a:bodyPr/>
                  <a:lstStyle/>
                  <a:p>
                    <a:fld id="{54BF526B-5A3B-45DF-9367-15CA5B0DF41B}"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ABD-4DD4-B0DD-C7873AE924E0}"/>
                </c:ext>
              </c:extLst>
            </c:dLbl>
            <c:dLbl>
              <c:idx val="15"/>
              <c:tx>
                <c:rich>
                  <a:bodyPr/>
                  <a:lstStyle/>
                  <a:p>
                    <a:fld id="{88C1EC0B-CB98-42EF-913F-E02AD805090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AABD-4DD4-B0DD-C7873AE924E0}"/>
                </c:ext>
              </c:extLst>
            </c:dLbl>
            <c:dLbl>
              <c:idx val="16"/>
              <c:layout>
                <c:manualLayout>
                  <c:x val="4.410143329658214E-3"/>
                  <c:y val="2.777920533320910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ABD-4DD4-B0DD-C7873AE924E0}"/>
                </c:ext>
              </c:extLst>
            </c:dLbl>
            <c:dLbl>
              <c:idx val="18"/>
              <c:tx>
                <c:rich>
                  <a:bodyPr/>
                  <a:lstStyle/>
                  <a:p>
                    <a:fld id="{51505E16-DFCB-4F17-AA38-9AF5D8AA4753}"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AABD-4DD4-B0DD-C7873AE924E0}"/>
                </c:ext>
              </c:extLst>
            </c:dLbl>
            <c:dLbl>
              <c:idx val="19"/>
              <c:tx>
                <c:rich>
                  <a:bodyPr/>
                  <a:lstStyle/>
                  <a:p>
                    <a:fld id="{97BF8299-5AD5-4BB3-9DBC-90F0DC7E23AF}"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AABD-4DD4-B0DD-C7873AE924E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Total</c:v>
                </c:pt>
                <c:pt idx="2">
                  <c:v>Australian Capital Territory</c:v>
                </c:pt>
                <c:pt idx="3">
                  <c:v>Comcare</c:v>
                </c:pt>
                <c:pt idx="4">
                  <c:v>New South Wales</c:v>
                </c:pt>
                <c:pt idx="5">
                  <c:v>Northern Territory</c:v>
                </c:pt>
                <c:pt idx="6">
                  <c:v>Queensland</c:v>
                </c:pt>
                <c:pt idx="7">
                  <c:v>Seacare</c:v>
                </c:pt>
                <c:pt idx="8">
                  <c:v>Tasmania</c:v>
                </c:pt>
                <c:pt idx="9">
                  <c:v>Western Australia</c:v>
                </c:pt>
                <c:pt idx="10">
                  <c:v>Victoria</c:v>
                </c:pt>
                <c:pt idx="12">
                  <c:v>Fractures</c:v>
                </c:pt>
                <c:pt idx="13">
                  <c:v>Musculoskeletal Disorders</c:v>
                </c:pt>
                <c:pt idx="14">
                  <c:v>Other Trauma</c:v>
                </c:pt>
                <c:pt idx="15">
                  <c:v>Mental Illness</c:v>
                </c:pt>
                <c:pt idx="16">
                  <c:v>Other Diseases</c:v>
                </c:pt>
                <c:pt idx="18">
                  <c:v>Small</c:v>
                </c:pt>
                <c:pt idx="19">
                  <c:v>Medium</c:v>
                </c:pt>
                <c:pt idx="20">
                  <c:v>Large</c:v>
                </c:pt>
              </c:strCache>
            </c:strRef>
          </c:cat>
          <c:val>
            <c:numRef>
              <c:f>Sheet1!$B$2:$B$22</c:f>
              <c:numCache>
                <c:formatCode>General</c:formatCode>
                <c:ptCount val="21"/>
                <c:pt idx="0" formatCode="0.0">
                  <c:v>11.164787320089999</c:v>
                </c:pt>
                <c:pt idx="2" formatCode="0.0">
                  <c:v>22.32371302384</c:v>
                </c:pt>
                <c:pt idx="3" formatCode="0.0">
                  <c:v>12.984705811329999</c:v>
                </c:pt>
                <c:pt idx="4" formatCode="0.0">
                  <c:v>9.0055937081809994</c:v>
                </c:pt>
                <c:pt idx="5" formatCode="0.0">
                  <c:v>17.147344480009998</c:v>
                </c:pt>
                <c:pt idx="6" formatCode="0.0">
                  <c:v>9.5833725837910002</c:v>
                </c:pt>
                <c:pt idx="7" formatCode="0.0">
                  <c:v>9.8457832289380001</c:v>
                </c:pt>
                <c:pt idx="8" formatCode="0.0">
                  <c:v>13.401326489039999</c:v>
                </c:pt>
                <c:pt idx="9" formatCode="0.0">
                  <c:v>11.070632793930001</c:v>
                </c:pt>
                <c:pt idx="10" formatCode="0.0">
                  <c:v>15.93756049095</c:v>
                </c:pt>
                <c:pt idx="12" formatCode="0.0">
                  <c:v>11.31291341326</c:v>
                </c:pt>
                <c:pt idx="13" formatCode="0.0">
                  <c:v>11.23917738956</c:v>
                </c:pt>
                <c:pt idx="14" formatCode="0.0">
                  <c:v>8.1550932046949995</c:v>
                </c:pt>
                <c:pt idx="15" formatCode="0.0">
                  <c:v>25.083005804089996</c:v>
                </c:pt>
                <c:pt idx="16" formatCode="0.0">
                  <c:v>10.61036838751</c:v>
                </c:pt>
                <c:pt idx="18" formatCode="0.0">
                  <c:v>9.7742522106549998</c:v>
                </c:pt>
                <c:pt idx="19" formatCode="0.0">
                  <c:v>10.989105485470001</c:v>
                </c:pt>
                <c:pt idx="20" formatCode="0.0">
                  <c:v>13.572492719579998</c:v>
                </c:pt>
              </c:numCache>
            </c:numRef>
          </c:val>
          <c:extLst>
            <c:ext xmlns:c16="http://schemas.microsoft.com/office/drawing/2014/chart" uri="{C3380CC4-5D6E-409C-BE32-E72D297353CC}">
              <c16:uniqueId val="{00000013-AABD-4DD4-B0DD-C7873AE924E0}"/>
            </c:ext>
          </c:extLst>
        </c:ser>
        <c:dLbls>
          <c:showLegendKey val="0"/>
          <c:showVal val="0"/>
          <c:showCatName val="0"/>
          <c:showSerName val="0"/>
          <c:showPercent val="0"/>
          <c:showBubbleSize val="0"/>
        </c:dLbls>
        <c:gapWidth val="50"/>
        <c:axId val="441045320"/>
        <c:axId val="441048600"/>
      </c:barChart>
      <c:catAx>
        <c:axId val="44104532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1048600"/>
        <c:crosses val="autoZero"/>
        <c:auto val="1"/>
        <c:lblAlgn val="ctr"/>
        <c:lblOffset val="100"/>
        <c:noMultiLvlLbl val="0"/>
      </c:catAx>
      <c:valAx>
        <c:axId val="441048600"/>
        <c:scaling>
          <c:orientation val="minMax"/>
          <c:max val="100"/>
        </c:scaling>
        <c:delete val="1"/>
        <c:axPos val="t"/>
        <c:numFmt formatCode="0.0" sourceLinked="1"/>
        <c:majorTickMark val="out"/>
        <c:minorTickMark val="none"/>
        <c:tickLblPos val="nextTo"/>
        <c:crossAx val="4410453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Access medical care</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6F23-4B0D-AF7E-D1A0059A61E8}"/>
              </c:ext>
            </c:extLst>
          </c:dPt>
          <c:dPt>
            <c:idx val="12"/>
            <c:invertIfNegative val="0"/>
            <c:bubble3D val="0"/>
            <c:spPr>
              <a:solidFill>
                <a:schemeClr val="accent5"/>
              </a:solidFill>
              <a:ln>
                <a:noFill/>
              </a:ln>
              <a:effectLst/>
            </c:spPr>
            <c:extLst>
              <c:ext xmlns:c16="http://schemas.microsoft.com/office/drawing/2014/chart" uri="{C3380CC4-5D6E-409C-BE32-E72D297353CC}">
                <c16:uniqueId val="{00000003-6F23-4B0D-AF7E-D1A0059A61E8}"/>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05-6F23-4B0D-AF7E-D1A0059A61E8}"/>
              </c:ext>
            </c:extLst>
          </c:dPt>
          <c:dPt>
            <c:idx val="14"/>
            <c:invertIfNegative val="0"/>
            <c:bubble3D val="0"/>
            <c:spPr>
              <a:solidFill>
                <a:schemeClr val="accent5"/>
              </a:solidFill>
              <a:ln>
                <a:noFill/>
              </a:ln>
              <a:effectLst/>
            </c:spPr>
            <c:extLst>
              <c:ext xmlns:c16="http://schemas.microsoft.com/office/drawing/2014/chart" uri="{C3380CC4-5D6E-409C-BE32-E72D297353CC}">
                <c16:uniqueId val="{00000007-6F23-4B0D-AF7E-D1A0059A61E8}"/>
              </c:ext>
            </c:extLst>
          </c:dPt>
          <c:dPt>
            <c:idx val="15"/>
            <c:invertIfNegative val="0"/>
            <c:bubble3D val="0"/>
            <c:spPr>
              <a:solidFill>
                <a:schemeClr val="accent5"/>
              </a:solidFill>
              <a:ln>
                <a:noFill/>
              </a:ln>
              <a:effectLst/>
            </c:spPr>
            <c:extLst>
              <c:ext xmlns:c16="http://schemas.microsoft.com/office/drawing/2014/chart" uri="{C3380CC4-5D6E-409C-BE32-E72D297353CC}">
                <c16:uniqueId val="{00000009-6F23-4B0D-AF7E-D1A0059A61E8}"/>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0B-6F23-4B0D-AF7E-D1A0059A61E8}"/>
              </c:ext>
            </c:extLst>
          </c:dPt>
          <c:dLbls>
            <c:dLbl>
              <c:idx val="3"/>
              <c:tx>
                <c:rich>
                  <a:bodyPr/>
                  <a:lstStyle/>
                  <a:p>
                    <a:fld id="{3C06EFCB-4BA1-48A0-AA81-5FBEE22E400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6F23-4B0D-AF7E-D1A0059A61E8}"/>
                </c:ext>
              </c:extLst>
            </c:dLbl>
            <c:dLbl>
              <c:idx val="7"/>
              <c:layout>
                <c:manualLayout>
                  <c:x val="1.10253583241454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F23-4B0D-AF7E-D1A0059A61E8}"/>
                </c:ext>
              </c:extLst>
            </c:dLbl>
            <c:dLbl>
              <c:idx val="10"/>
              <c:tx>
                <c:rich>
                  <a:bodyPr/>
                  <a:lstStyle/>
                  <a:p>
                    <a:fld id="{73B66CE7-BC5C-4A2D-BC9F-165F1823CCD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6F23-4B0D-AF7E-D1A0059A61E8}"/>
                </c:ext>
              </c:extLst>
            </c:dLbl>
            <c:dLbl>
              <c:idx val="13"/>
              <c:tx>
                <c:rich>
                  <a:bodyPr/>
                  <a:lstStyle/>
                  <a:p>
                    <a:fld id="{AFEE2EED-CA23-4CC5-8787-1291DDE07952}"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F23-4B0D-AF7E-D1A0059A61E8}"/>
                </c:ext>
              </c:extLst>
            </c:dLbl>
            <c:dLbl>
              <c:idx val="14"/>
              <c:tx>
                <c:rich>
                  <a:bodyPr/>
                  <a:lstStyle/>
                  <a:p>
                    <a:fld id="{54BF526B-5A3B-45DF-9367-15CA5B0DF41B}"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F23-4B0D-AF7E-D1A0059A61E8}"/>
                </c:ext>
              </c:extLst>
            </c:dLbl>
            <c:dLbl>
              <c:idx val="15"/>
              <c:tx>
                <c:rich>
                  <a:bodyPr/>
                  <a:lstStyle/>
                  <a:p>
                    <a:fld id="{88C1EC0B-CB98-42EF-913F-E02AD8050905}"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6F23-4B0D-AF7E-D1A0059A61E8}"/>
                </c:ext>
              </c:extLst>
            </c:dLbl>
            <c:dLbl>
              <c:idx val="16"/>
              <c:layout>
                <c:manualLayout>
                  <c:x val="4.410143329658214E-3"/>
                  <c:y val="2.777920533320910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F23-4B0D-AF7E-D1A0059A61E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Sheet1!$A$2:$A$18</c:f>
              <c:strCache>
                <c:ptCount val="17"/>
                <c:pt idx="0">
                  <c:v>Total</c:v>
                </c:pt>
                <c:pt idx="2">
                  <c:v>Australian Capital Territory</c:v>
                </c:pt>
                <c:pt idx="3">
                  <c:v>Comcare</c:v>
                </c:pt>
                <c:pt idx="4">
                  <c:v>New South Wales</c:v>
                </c:pt>
                <c:pt idx="5">
                  <c:v>Northern Territory</c:v>
                </c:pt>
                <c:pt idx="6">
                  <c:v>Queensland</c:v>
                </c:pt>
                <c:pt idx="7">
                  <c:v>Seacare</c:v>
                </c:pt>
                <c:pt idx="8">
                  <c:v>Tasmania</c:v>
                </c:pt>
                <c:pt idx="9">
                  <c:v>Western Australia</c:v>
                </c:pt>
                <c:pt idx="10">
                  <c:v>Victoria</c:v>
                </c:pt>
                <c:pt idx="12">
                  <c:v>Fractures</c:v>
                </c:pt>
                <c:pt idx="13">
                  <c:v>Musculoskeletal Disorders</c:v>
                </c:pt>
                <c:pt idx="14">
                  <c:v>Other Trauma</c:v>
                </c:pt>
                <c:pt idx="15">
                  <c:v>Mental Illness</c:v>
                </c:pt>
                <c:pt idx="16">
                  <c:v>Other Diseases</c:v>
                </c:pt>
              </c:strCache>
            </c:strRef>
          </c:cat>
          <c:val>
            <c:numRef>
              <c:f>Sheet1!$B$2:$B$18</c:f>
              <c:numCache>
                <c:formatCode>General</c:formatCode>
                <c:ptCount val="17"/>
                <c:pt idx="0" formatCode="0.0">
                  <c:v>87.474084087690002</c:v>
                </c:pt>
                <c:pt idx="2" formatCode="0.0">
                  <c:v>85.250827611310001</c:v>
                </c:pt>
                <c:pt idx="3" formatCode="0.0">
                  <c:v>81.609904626909994</c:v>
                </c:pt>
                <c:pt idx="4" formatCode="0.0">
                  <c:v>88.534532629660006</c:v>
                </c:pt>
                <c:pt idx="5" formatCode="0.0">
                  <c:v>84.107205333950006</c:v>
                </c:pt>
                <c:pt idx="6" formatCode="0.0">
                  <c:v>89.584623320749998</c:v>
                </c:pt>
                <c:pt idx="7" formatCode="0.0">
                  <c:v>93.967144942740006</c:v>
                </c:pt>
                <c:pt idx="8" formatCode="0.0">
                  <c:v>89.512152344409998</c:v>
                </c:pt>
                <c:pt idx="9" formatCode="0.0">
                  <c:v>88.92534599036</c:v>
                </c:pt>
                <c:pt idx="10" formatCode="0.0">
                  <c:v>82.103151974620005</c:v>
                </c:pt>
                <c:pt idx="12" formatCode="0.0">
                  <c:v>89.080892504199994</c:v>
                </c:pt>
                <c:pt idx="13" formatCode="0.0">
                  <c:v>85.93042909863</c:v>
                </c:pt>
                <c:pt idx="14" formatCode="0.0">
                  <c:v>91.177929469649996</c:v>
                </c:pt>
                <c:pt idx="15" formatCode="0.0">
                  <c:v>82.101326003349996</c:v>
                </c:pt>
                <c:pt idx="16" formatCode="0.0">
                  <c:v>90.300812589239996</c:v>
                </c:pt>
              </c:numCache>
            </c:numRef>
          </c:val>
          <c:extLst>
            <c:ext xmlns:c16="http://schemas.microsoft.com/office/drawing/2014/chart" uri="{C3380CC4-5D6E-409C-BE32-E72D297353CC}">
              <c16:uniqueId val="{00000013-6F23-4B0D-AF7E-D1A0059A61E8}"/>
            </c:ext>
          </c:extLst>
        </c:ser>
        <c:dLbls>
          <c:showLegendKey val="0"/>
          <c:showVal val="0"/>
          <c:showCatName val="0"/>
          <c:showSerName val="0"/>
          <c:showPercent val="0"/>
          <c:showBubbleSize val="0"/>
        </c:dLbls>
        <c:gapWidth val="50"/>
        <c:axId val="441045320"/>
        <c:axId val="441048600"/>
      </c:barChart>
      <c:catAx>
        <c:axId val="44104532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1048600"/>
        <c:crosses val="autoZero"/>
        <c:auto val="1"/>
        <c:lblAlgn val="ctr"/>
        <c:lblOffset val="100"/>
        <c:noMultiLvlLbl val="0"/>
      </c:catAx>
      <c:valAx>
        <c:axId val="441048600"/>
        <c:scaling>
          <c:orientation val="minMax"/>
          <c:max val="100"/>
        </c:scaling>
        <c:delete val="1"/>
        <c:axPos val="t"/>
        <c:numFmt formatCode="0.0" sourceLinked="1"/>
        <c:majorTickMark val="out"/>
        <c:minorTickMark val="none"/>
        <c:tickLblPos val="nextTo"/>
        <c:crossAx val="4410453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630772035524225"/>
          <c:y val="9.2998948797784697E-2"/>
          <c:w val="0.68297563135368833"/>
          <c:h val="0.87595391600605388"/>
        </c:manualLayout>
      </c:layout>
      <c:barChart>
        <c:barDir val="bar"/>
        <c:grouping val="percentStacked"/>
        <c:varyColors val="0"/>
        <c:ser>
          <c:idx val="0"/>
          <c:order val="0"/>
          <c:tx>
            <c:strRef>
              <c:f>Sheet1!$B$1</c:f>
              <c:strCache>
                <c:ptCount val="1"/>
                <c:pt idx="0">
                  <c:v>Three or more providers</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CA6B-48C5-B075-CC9D25B1A0EF}"/>
              </c:ext>
            </c:extLst>
          </c:dPt>
          <c:dLbls>
            <c:dLbl>
              <c:idx val="3"/>
              <c:tx>
                <c:rich>
                  <a:bodyPr/>
                  <a:lstStyle/>
                  <a:p>
                    <a:fld id="{C758DBFA-281C-4C40-8363-896D8A51736D}"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CA6B-48C5-B075-CC9D25B1A0EF}"/>
                </c:ext>
              </c:extLst>
            </c:dLbl>
            <c:dLbl>
              <c:idx val="7"/>
              <c:tx>
                <c:rich>
                  <a:bodyPr/>
                  <a:lstStyle/>
                  <a:p>
                    <a:fld id="{B53CD94C-E7EE-4248-9D07-842EF9DE371B}"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A650-498C-9993-9A4D8BD11018}"/>
                </c:ext>
              </c:extLst>
            </c:dLbl>
            <c:dLbl>
              <c:idx val="12"/>
              <c:tx>
                <c:rich>
                  <a:bodyPr/>
                  <a:lstStyle/>
                  <a:p>
                    <a:fld id="{DD477B1F-137A-4162-9453-B3B6E68440B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650-498C-9993-9A4D8BD11018}"/>
                </c:ext>
              </c:extLst>
            </c:dLbl>
            <c:dLbl>
              <c:idx val="13"/>
              <c:tx>
                <c:rich>
                  <a:bodyPr/>
                  <a:lstStyle/>
                  <a:p>
                    <a:fld id="{AA315F34-5C07-4D1B-9742-2E703EE52464}"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A650-498C-9993-9A4D8BD11018}"/>
                </c:ext>
              </c:extLst>
            </c:dLbl>
            <c:dLbl>
              <c:idx val="14"/>
              <c:tx>
                <c:rich>
                  <a:bodyPr/>
                  <a:lstStyle/>
                  <a:p>
                    <a:fld id="{36AEB591-F428-4F4D-AA0B-53E7FC883E7B}"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A650-498C-9993-9A4D8BD11018}"/>
                </c:ext>
              </c:extLst>
            </c:dLbl>
            <c:dLbl>
              <c:idx val="16"/>
              <c:tx>
                <c:rich>
                  <a:bodyPr/>
                  <a:lstStyle/>
                  <a:p>
                    <a:fld id="{823A7853-B80D-445C-9C0D-52F867955C41}"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A650-498C-9993-9A4D8BD110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Total</c:v>
                </c:pt>
                <c:pt idx="2">
                  <c:v>Australian Capital Territory</c:v>
                </c:pt>
                <c:pt idx="3">
                  <c:v>Comcare</c:v>
                </c:pt>
                <c:pt idx="4">
                  <c:v>New South Wales</c:v>
                </c:pt>
                <c:pt idx="5">
                  <c:v>Northern Territory</c:v>
                </c:pt>
                <c:pt idx="6">
                  <c:v>Queensland</c:v>
                </c:pt>
                <c:pt idx="7">
                  <c:v>Seacare</c:v>
                </c:pt>
                <c:pt idx="8">
                  <c:v>Tasmania</c:v>
                </c:pt>
                <c:pt idx="9">
                  <c:v>Western Australia</c:v>
                </c:pt>
                <c:pt idx="10">
                  <c:v>Victoria</c:v>
                </c:pt>
                <c:pt idx="12">
                  <c:v>Fractures</c:v>
                </c:pt>
                <c:pt idx="13">
                  <c:v>Musculoskeletal Disorders</c:v>
                </c:pt>
                <c:pt idx="14">
                  <c:v>Other Trauma</c:v>
                </c:pt>
                <c:pt idx="15">
                  <c:v>Mental Illness</c:v>
                </c:pt>
                <c:pt idx="16">
                  <c:v>Other Diseases</c:v>
                </c:pt>
              </c:strCache>
            </c:strRef>
          </c:cat>
          <c:val>
            <c:numRef>
              <c:f>Sheet1!$B$2:$B$18</c:f>
              <c:numCache>
                <c:formatCode>General</c:formatCode>
                <c:ptCount val="17"/>
                <c:pt idx="0" formatCode="0.0">
                  <c:v>52.933484494310001</c:v>
                </c:pt>
                <c:pt idx="2" formatCode="0.0">
                  <c:v>55.928597271869997</c:v>
                </c:pt>
                <c:pt idx="3" formatCode="0.0">
                  <c:v>65.409357782819995</c:v>
                </c:pt>
                <c:pt idx="4" formatCode="0.0">
                  <c:v>53.243819667170001</c:v>
                </c:pt>
                <c:pt idx="5" formatCode="0.0">
                  <c:v>59.549539345150002</c:v>
                </c:pt>
                <c:pt idx="6" formatCode="0.0">
                  <c:v>50.063688876040004</c:v>
                </c:pt>
                <c:pt idx="7" formatCode="0.0">
                  <c:v>78.821354468569993</c:v>
                </c:pt>
                <c:pt idx="8" formatCode="0.0">
                  <c:v>55.262125126240001</c:v>
                </c:pt>
                <c:pt idx="9" formatCode="0.0">
                  <c:v>46.28020496365</c:v>
                </c:pt>
                <c:pt idx="10" formatCode="0.0">
                  <c:v>58.655300466669999</c:v>
                </c:pt>
                <c:pt idx="12" formatCode="0.0">
                  <c:v>62.64587221987</c:v>
                </c:pt>
                <c:pt idx="13" formatCode="0.0">
                  <c:v>57.122036652829998</c:v>
                </c:pt>
                <c:pt idx="14" formatCode="0.0">
                  <c:v>38.147149765729999</c:v>
                </c:pt>
                <c:pt idx="15" formatCode="0.0">
                  <c:v>58.694289436229994</c:v>
                </c:pt>
                <c:pt idx="16" formatCode="0.0">
                  <c:v>37.145020778960003</c:v>
                </c:pt>
              </c:numCache>
            </c:numRef>
          </c:val>
          <c:extLst>
            <c:ext xmlns:c16="http://schemas.microsoft.com/office/drawing/2014/chart" uri="{C3380CC4-5D6E-409C-BE32-E72D297353CC}">
              <c16:uniqueId val="{00000012-CA6B-48C5-B075-CC9D25B1A0EF}"/>
            </c:ext>
          </c:extLst>
        </c:ser>
        <c:ser>
          <c:idx val="1"/>
          <c:order val="1"/>
          <c:tx>
            <c:strRef>
              <c:f>Sheet1!$C$1</c:f>
              <c:strCache>
                <c:ptCount val="1"/>
                <c:pt idx="0">
                  <c:v>Two providers</c:v>
                </c:pt>
              </c:strCache>
            </c:strRef>
          </c:tx>
          <c:spPr>
            <a:solidFill>
              <a:schemeClr val="accent2"/>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14-CA6B-48C5-B075-CC9D25B1A0EF}"/>
              </c:ext>
            </c:extLst>
          </c:dPt>
          <c:dLbls>
            <c:dLbl>
              <c:idx val="7"/>
              <c:tx>
                <c:rich>
                  <a:bodyPr/>
                  <a:lstStyle/>
                  <a:p>
                    <a:fld id="{3672598E-B67B-41CF-AED3-D29400D9625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A650-498C-9993-9A4D8BD11018}"/>
                </c:ext>
              </c:extLst>
            </c:dLbl>
            <c:dLbl>
              <c:idx val="16"/>
              <c:tx>
                <c:rich>
                  <a:bodyPr/>
                  <a:lstStyle/>
                  <a:p>
                    <a:fld id="{402F6EF1-1F64-4359-BFE1-A9A49AD283D1}"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A650-498C-9993-9A4D8BD110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Total</c:v>
                </c:pt>
                <c:pt idx="2">
                  <c:v>Australian Capital Territory</c:v>
                </c:pt>
                <c:pt idx="3">
                  <c:v>Comcare</c:v>
                </c:pt>
                <c:pt idx="4">
                  <c:v>New South Wales</c:v>
                </c:pt>
                <c:pt idx="5">
                  <c:v>Northern Territory</c:v>
                </c:pt>
                <c:pt idx="6">
                  <c:v>Queensland</c:v>
                </c:pt>
                <c:pt idx="7">
                  <c:v>Seacare</c:v>
                </c:pt>
                <c:pt idx="8">
                  <c:v>Tasmania</c:v>
                </c:pt>
                <c:pt idx="9">
                  <c:v>Western Australia</c:v>
                </c:pt>
                <c:pt idx="10">
                  <c:v>Victoria</c:v>
                </c:pt>
                <c:pt idx="12">
                  <c:v>Fractures</c:v>
                </c:pt>
                <c:pt idx="13">
                  <c:v>Musculoskeletal Disorders</c:v>
                </c:pt>
                <c:pt idx="14">
                  <c:v>Other Trauma</c:v>
                </c:pt>
                <c:pt idx="15">
                  <c:v>Mental Illness</c:v>
                </c:pt>
                <c:pt idx="16">
                  <c:v>Other Diseases</c:v>
                </c:pt>
              </c:strCache>
            </c:strRef>
          </c:cat>
          <c:val>
            <c:numRef>
              <c:f>Sheet1!$C$2:$C$18</c:f>
              <c:numCache>
                <c:formatCode>General</c:formatCode>
                <c:ptCount val="17"/>
                <c:pt idx="0" formatCode="0.0">
                  <c:v>32.284775189359998</c:v>
                </c:pt>
                <c:pt idx="2" formatCode="0.0">
                  <c:v>27.937924473340004</c:v>
                </c:pt>
                <c:pt idx="3" formatCode="0.0">
                  <c:v>28.205719466400005</c:v>
                </c:pt>
                <c:pt idx="4" formatCode="0.0">
                  <c:v>31.274010285340005</c:v>
                </c:pt>
                <c:pt idx="5" formatCode="0.0">
                  <c:v>27.207710285409998</c:v>
                </c:pt>
                <c:pt idx="6" formatCode="0.0">
                  <c:v>33.015013861740002</c:v>
                </c:pt>
                <c:pt idx="7" formatCode="0.0">
                  <c:v>11.62452931684</c:v>
                </c:pt>
                <c:pt idx="8" formatCode="0.0">
                  <c:v>31.894845812410001</c:v>
                </c:pt>
                <c:pt idx="9" formatCode="0.0">
                  <c:v>37.935978187000003</c:v>
                </c:pt>
                <c:pt idx="10" formatCode="0.0">
                  <c:v>30.895529681959999</c:v>
                </c:pt>
                <c:pt idx="12" formatCode="0.0">
                  <c:v>25.307203897819996</c:v>
                </c:pt>
                <c:pt idx="13" formatCode="0.0">
                  <c:v>32.567055122379998</c:v>
                </c:pt>
                <c:pt idx="14" formatCode="0.0">
                  <c:v>32.170736277990002</c:v>
                </c:pt>
                <c:pt idx="15" formatCode="0.0">
                  <c:v>32.562349177389997</c:v>
                </c:pt>
                <c:pt idx="16" formatCode="0.0">
                  <c:v>50.391810689390006</c:v>
                </c:pt>
              </c:numCache>
            </c:numRef>
          </c:val>
          <c:extLst>
            <c:ext xmlns:c16="http://schemas.microsoft.com/office/drawing/2014/chart" uri="{C3380CC4-5D6E-409C-BE32-E72D297353CC}">
              <c16:uniqueId val="{00000022-CA6B-48C5-B075-CC9D25B1A0EF}"/>
            </c:ext>
          </c:extLst>
        </c:ser>
        <c:ser>
          <c:idx val="2"/>
          <c:order val="2"/>
          <c:tx>
            <c:strRef>
              <c:f>Sheet1!$D$1</c:f>
              <c:strCache>
                <c:ptCount val="1"/>
                <c:pt idx="0">
                  <c:v>One provider</c:v>
                </c:pt>
              </c:strCache>
            </c:strRef>
          </c:tx>
          <c:spPr>
            <a:solidFill>
              <a:schemeClr val="accent4"/>
            </a:solidFill>
            <a:ln>
              <a:noFill/>
            </a:ln>
            <a:effectLst/>
          </c:spPr>
          <c:invertIfNegative val="0"/>
          <c:dLbls>
            <c:dLbl>
              <c:idx val="0"/>
              <c:layout>
                <c:manualLayout>
                  <c:x val="2.2050716648289452E-3"/>
                  <c:y val="2.222414831507619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E8-432B-92CF-E95BC480AFF6}"/>
                </c:ext>
              </c:extLst>
            </c:dLbl>
            <c:dLbl>
              <c:idx val="3"/>
              <c:layout>
                <c:manualLayout>
                  <c:x val="0"/>
                  <c:y val="4.4448296630152391E-7"/>
                </c:manualLayout>
              </c:layout>
              <c:tx>
                <c:rich>
                  <a:bodyPr/>
                  <a:lstStyle/>
                  <a:p>
                    <a:fld id="{BA05EFEF-1E77-49E5-AA64-D0DFFAEAFFF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A650-498C-9993-9A4D8BD11018}"/>
                </c:ext>
              </c:extLst>
            </c:dLbl>
            <c:dLbl>
              <c:idx val="13"/>
              <c:layout>
                <c:manualLayout>
                  <c:x val="-1.9845644983461964E-2"/>
                  <c:y val="0"/>
                </c:manualLayout>
              </c:layout>
              <c:tx>
                <c:rich>
                  <a:bodyPr/>
                  <a:lstStyle/>
                  <a:p>
                    <a:fld id="{8882E75D-2A44-4052-9D3D-96987361B770}"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A650-498C-9993-9A4D8BD11018}"/>
                </c:ext>
              </c:extLst>
            </c:dLbl>
            <c:dLbl>
              <c:idx val="14"/>
              <c:tx>
                <c:rich>
                  <a:bodyPr/>
                  <a:lstStyle/>
                  <a:p>
                    <a:fld id="{4696D5DF-450E-4AAE-813C-68B94A4EE23D}"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A650-498C-9993-9A4D8BD110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Total</c:v>
                </c:pt>
                <c:pt idx="2">
                  <c:v>Australian Capital Territory</c:v>
                </c:pt>
                <c:pt idx="3">
                  <c:v>Comcare</c:v>
                </c:pt>
                <c:pt idx="4">
                  <c:v>New South Wales</c:v>
                </c:pt>
                <c:pt idx="5">
                  <c:v>Northern Territory</c:v>
                </c:pt>
                <c:pt idx="6">
                  <c:v>Queensland</c:v>
                </c:pt>
                <c:pt idx="7">
                  <c:v>Seacare</c:v>
                </c:pt>
                <c:pt idx="8">
                  <c:v>Tasmania</c:v>
                </c:pt>
                <c:pt idx="9">
                  <c:v>Western Australia</c:v>
                </c:pt>
                <c:pt idx="10">
                  <c:v>Victoria</c:v>
                </c:pt>
                <c:pt idx="12">
                  <c:v>Fractures</c:v>
                </c:pt>
                <c:pt idx="13">
                  <c:v>Musculoskeletal Disorders</c:v>
                </c:pt>
                <c:pt idx="14">
                  <c:v>Other Trauma</c:v>
                </c:pt>
                <c:pt idx="15">
                  <c:v>Mental Illness</c:v>
                </c:pt>
                <c:pt idx="16">
                  <c:v>Other Diseases</c:v>
                </c:pt>
              </c:strCache>
            </c:strRef>
          </c:cat>
          <c:val>
            <c:numRef>
              <c:f>Sheet1!$D$2:$D$18</c:f>
              <c:numCache>
                <c:formatCode>General</c:formatCode>
                <c:ptCount val="17"/>
                <c:pt idx="0" formatCode="0.0">
                  <c:v>14.296151816880002</c:v>
                </c:pt>
                <c:pt idx="2" formatCode="0.0">
                  <c:v>16.1334782548</c:v>
                </c:pt>
                <c:pt idx="3" formatCode="0.0">
                  <c:v>6.1794902220510002</c:v>
                </c:pt>
                <c:pt idx="4" formatCode="0.0">
                  <c:v>15.093639748539999</c:v>
                </c:pt>
                <c:pt idx="5" formatCode="0.0">
                  <c:v>13.242750369439998</c:v>
                </c:pt>
                <c:pt idx="6" formatCode="0.0">
                  <c:v>16.323753406240002</c:v>
                </c:pt>
                <c:pt idx="7" formatCode="0.0">
                  <c:v>9.5541162145960001</c:v>
                </c:pt>
                <c:pt idx="8" formatCode="0.0">
                  <c:v>12.46362217539</c:v>
                </c:pt>
                <c:pt idx="9" formatCode="0.0">
                  <c:v>14.65292033361</c:v>
                </c:pt>
                <c:pt idx="10" formatCode="0.0">
                  <c:v>10.2301009908</c:v>
                </c:pt>
                <c:pt idx="12" formatCode="0.0">
                  <c:v>12.0469238823</c:v>
                </c:pt>
                <c:pt idx="13" formatCode="0.0">
                  <c:v>10.15668866911</c:v>
                </c:pt>
                <c:pt idx="14" formatCode="0.0">
                  <c:v>27.873886105529998</c:v>
                </c:pt>
                <c:pt idx="15" formatCode="0.0">
                  <c:v>8.7433613863830004</c:v>
                </c:pt>
                <c:pt idx="16" formatCode="0.0">
                  <c:v>12.420121727750001</c:v>
                </c:pt>
              </c:numCache>
            </c:numRef>
          </c:val>
          <c:extLst>
            <c:ext xmlns:c16="http://schemas.microsoft.com/office/drawing/2014/chart" uri="{C3380CC4-5D6E-409C-BE32-E72D297353CC}">
              <c16:uniqueId val="{00000023-CA6B-48C5-B075-CC9D25B1A0EF}"/>
            </c:ext>
          </c:extLst>
        </c:ser>
        <c:ser>
          <c:idx val="3"/>
          <c:order val="3"/>
          <c:tx>
            <c:strRef>
              <c:f>Sheet1!$E$1</c:f>
              <c:strCache>
                <c:ptCount val="1"/>
                <c:pt idx="0">
                  <c:v>No healthcare providers seen</c:v>
                </c:pt>
              </c:strCache>
            </c:strRef>
          </c:tx>
          <c:spPr>
            <a:solidFill>
              <a:schemeClr val="accent5"/>
            </a:solidFill>
            <a:ln>
              <a:noFill/>
            </a:ln>
            <a:effectLst/>
          </c:spPr>
          <c:invertIfNegative val="0"/>
          <c:dLbls>
            <c:dLbl>
              <c:idx val="0"/>
              <c:layout>
                <c:manualLayout>
                  <c:x val="1.7640573318632856E-2"/>
                  <c:y val="4.444829663144600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E8-432B-92CF-E95BC480AFF6}"/>
                </c:ext>
              </c:extLst>
            </c:dLbl>
            <c:dLbl>
              <c:idx val="2"/>
              <c:delete val="1"/>
              <c:extLst>
                <c:ext xmlns:c15="http://schemas.microsoft.com/office/drawing/2012/chart" uri="{CE6537A1-D6FC-4f65-9D91-7224C49458BB}"/>
                <c:ext xmlns:c16="http://schemas.microsoft.com/office/drawing/2014/chart" uri="{C3380CC4-5D6E-409C-BE32-E72D297353CC}">
                  <c16:uniqueId val="{0000000C-A650-498C-9993-9A4D8BD11018}"/>
                </c:ext>
              </c:extLst>
            </c:dLbl>
            <c:dLbl>
              <c:idx val="3"/>
              <c:layout>
                <c:manualLayout>
                  <c:x val="1.7640573318632856E-2"/>
                  <c:y val="6.667244495040305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650-498C-9993-9A4D8BD11018}"/>
                </c:ext>
              </c:extLst>
            </c:dLbl>
            <c:dLbl>
              <c:idx val="4"/>
              <c:layout>
                <c:manualLayout>
                  <c:x val="1.764057331863269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0E8-432B-92CF-E95BC480AFF6}"/>
                </c:ext>
              </c:extLst>
            </c:dLbl>
            <c:dLbl>
              <c:idx val="5"/>
              <c:delete val="1"/>
              <c:extLst>
                <c:ext xmlns:c15="http://schemas.microsoft.com/office/drawing/2012/chart" uri="{CE6537A1-D6FC-4f65-9D91-7224C49458BB}"/>
                <c:ext xmlns:c16="http://schemas.microsoft.com/office/drawing/2014/chart" uri="{C3380CC4-5D6E-409C-BE32-E72D297353CC}">
                  <c16:uniqueId val="{0000000D-A650-498C-9993-9A4D8BD11018}"/>
                </c:ext>
              </c:extLst>
            </c:dLbl>
            <c:dLbl>
              <c:idx val="6"/>
              <c:layout>
                <c:manualLayout>
                  <c:x val="1.7640573318632856E-2"/>
                  <c:y val="5.174462756858252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0E8-432B-92CF-E95BC480AFF6}"/>
                </c:ext>
              </c:extLst>
            </c:dLbl>
            <c:dLbl>
              <c:idx val="7"/>
              <c:delete val="1"/>
              <c:extLst>
                <c:ext xmlns:c15="http://schemas.microsoft.com/office/drawing/2012/chart" uri="{CE6537A1-D6FC-4f65-9D91-7224C49458BB}"/>
                <c:ext xmlns:c16="http://schemas.microsoft.com/office/drawing/2014/chart" uri="{C3380CC4-5D6E-409C-BE32-E72D297353CC}">
                  <c16:uniqueId val="{0000000B-A650-498C-9993-9A4D8BD11018}"/>
                </c:ext>
              </c:extLst>
            </c:dLbl>
            <c:dLbl>
              <c:idx val="8"/>
              <c:layout>
                <c:manualLayout>
                  <c:x val="1.76405733186328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0E8-432B-92CF-E95BC480AFF6}"/>
                </c:ext>
              </c:extLst>
            </c:dLbl>
            <c:dLbl>
              <c:idx val="9"/>
              <c:layout>
                <c:manualLayout>
                  <c:x val="1.9845644983461964E-2"/>
                  <c:y val="1.0348925513716506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0E8-432B-92CF-E95BC480AFF6}"/>
                </c:ext>
              </c:extLst>
            </c:dLbl>
            <c:dLbl>
              <c:idx val="10"/>
              <c:layout>
                <c:manualLayout>
                  <c:x val="1.76405733186328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0E8-432B-92CF-E95BC480AFF6}"/>
                </c:ext>
              </c:extLst>
            </c:dLbl>
            <c:dLbl>
              <c:idx val="12"/>
              <c:delete val="1"/>
              <c:extLst>
                <c:ext xmlns:c15="http://schemas.microsoft.com/office/drawing/2012/chart" uri="{CE6537A1-D6FC-4f65-9D91-7224C49458BB}"/>
                <c:ext xmlns:c16="http://schemas.microsoft.com/office/drawing/2014/chart" uri="{C3380CC4-5D6E-409C-BE32-E72D297353CC}">
                  <c16:uniqueId val="{00000009-A650-498C-9993-9A4D8BD11018}"/>
                </c:ext>
              </c:extLst>
            </c:dLbl>
            <c:dLbl>
              <c:idx val="13"/>
              <c:layout>
                <c:manualLayout>
                  <c:x val="1.7640573318632856E-2"/>
                  <c:y val="4.444829663015239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0E8-432B-92CF-E95BC480AFF6}"/>
                </c:ext>
              </c:extLst>
            </c:dLbl>
            <c:dLbl>
              <c:idx val="14"/>
              <c:layout>
                <c:manualLayout>
                  <c:x val="2.8665931642778392E-2"/>
                  <c:y val="4.4448296630152391E-7"/>
                </c:manualLayout>
              </c:layout>
              <c:tx>
                <c:rich>
                  <a:bodyPr rot="0" spcFirstLastPara="1" vertOverflow="ellipsis" vert="horz" wrap="square" lIns="38100" tIns="19050" rIns="38100" bIns="19050" anchor="ctr" anchorCtr="0">
                    <a:spAutoFit/>
                  </a:bodyPr>
                  <a:lstStyle/>
                  <a:p>
                    <a:pPr algn="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6254E5A4-8BB0-40F3-894F-623EC5F4D3DB}" type="VALUE">
                      <a:rPr lang="en-US"/>
                      <a:pPr algn="r">
                        <a:defRPr>
                          <a:solidFill>
                            <a:sysClr val="windowText" lastClr="000000"/>
                          </a:solidFill>
                          <a:latin typeface="Arial" panose="020B0604020202020204" pitchFamily="34" charset="0"/>
                          <a:cs typeface="Arial" panose="020B0604020202020204" pitchFamily="34" charset="0"/>
                        </a:defRPr>
                      </a:pPr>
                      <a:t>[VALUE]</a:t>
                    </a:fld>
                    <a:r>
                      <a:rPr lang="en-US"/>
                      <a:t>**</a:t>
                    </a:r>
                  </a:p>
                </c:rich>
              </c:tx>
              <c:spPr>
                <a:noFill/>
                <a:ln>
                  <a:noFill/>
                </a:ln>
                <a:effectLst/>
              </c:spPr>
              <c:txPr>
                <a:bodyPr rot="0" spcFirstLastPara="1" vertOverflow="ellipsis" vert="horz" wrap="square" lIns="38100" tIns="19050" rIns="38100" bIns="19050" anchor="ctr" anchorCtr="0">
                  <a:spAutoFit/>
                </a:bodyPr>
                <a:lstStyle/>
                <a:p>
                  <a:pPr algn="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A650-498C-9993-9A4D8BD11018}"/>
                </c:ext>
              </c:extLst>
            </c:dLbl>
            <c:dLbl>
              <c:idx val="15"/>
              <c:delete val="1"/>
              <c:extLst>
                <c:ext xmlns:c15="http://schemas.microsoft.com/office/drawing/2012/chart" uri="{CE6537A1-D6FC-4f65-9D91-7224C49458BB}"/>
                <c:ext xmlns:c16="http://schemas.microsoft.com/office/drawing/2014/chart" uri="{C3380CC4-5D6E-409C-BE32-E72D297353CC}">
                  <c16:uniqueId val="{0000000C-70E8-432B-92CF-E95BC480AFF6}"/>
                </c:ext>
              </c:extLst>
            </c:dLbl>
            <c:dLbl>
              <c:idx val="16"/>
              <c:delete val="1"/>
              <c:extLst>
                <c:ext xmlns:c15="http://schemas.microsoft.com/office/drawing/2012/chart" uri="{CE6537A1-D6FC-4f65-9D91-7224C49458BB}"/>
                <c:ext xmlns:c16="http://schemas.microsoft.com/office/drawing/2014/chart" uri="{C3380CC4-5D6E-409C-BE32-E72D297353CC}">
                  <c16:uniqueId val="{0000000A-A650-498C-9993-9A4D8BD110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Total</c:v>
                </c:pt>
                <c:pt idx="2">
                  <c:v>Australian Capital Territory</c:v>
                </c:pt>
                <c:pt idx="3">
                  <c:v>Comcare</c:v>
                </c:pt>
                <c:pt idx="4">
                  <c:v>New South Wales</c:v>
                </c:pt>
                <c:pt idx="5">
                  <c:v>Northern Territory</c:v>
                </c:pt>
                <c:pt idx="6">
                  <c:v>Queensland</c:v>
                </c:pt>
                <c:pt idx="7">
                  <c:v>Seacare</c:v>
                </c:pt>
                <c:pt idx="8">
                  <c:v>Tasmania</c:v>
                </c:pt>
                <c:pt idx="9">
                  <c:v>Western Australia</c:v>
                </c:pt>
                <c:pt idx="10">
                  <c:v>Victoria</c:v>
                </c:pt>
                <c:pt idx="12">
                  <c:v>Fractures</c:v>
                </c:pt>
                <c:pt idx="13">
                  <c:v>Musculoskeletal Disorders</c:v>
                </c:pt>
                <c:pt idx="14">
                  <c:v>Other Trauma</c:v>
                </c:pt>
                <c:pt idx="15">
                  <c:v>Mental Illness</c:v>
                </c:pt>
                <c:pt idx="16">
                  <c:v>Other Diseases</c:v>
                </c:pt>
              </c:strCache>
            </c:strRef>
          </c:cat>
          <c:val>
            <c:numRef>
              <c:f>Sheet1!$E$2:$E$18</c:f>
              <c:numCache>
                <c:formatCode>General</c:formatCode>
                <c:ptCount val="17"/>
                <c:pt idx="0" formatCode="0.0">
                  <c:v>0.48558849944690008</c:v>
                </c:pt>
                <c:pt idx="2" formatCode="0.0">
                  <c:v>0</c:v>
                </c:pt>
                <c:pt idx="3" formatCode="0.0">
                  <c:v>0.20543252872530002</c:v>
                </c:pt>
                <c:pt idx="4" formatCode="0.0">
                  <c:v>0.38853029895390001</c:v>
                </c:pt>
                <c:pt idx="5" formatCode="0.0">
                  <c:v>0</c:v>
                </c:pt>
                <c:pt idx="6" formatCode="0.0">
                  <c:v>0.59754385598210003</c:v>
                </c:pt>
                <c:pt idx="7" formatCode="0.0">
                  <c:v>0</c:v>
                </c:pt>
                <c:pt idx="8" formatCode="0.0">
                  <c:v>0.37940688596029998</c:v>
                </c:pt>
                <c:pt idx="9" formatCode="0.0">
                  <c:v>1.1308965157469999</c:v>
                </c:pt>
                <c:pt idx="10" formatCode="0.0">
                  <c:v>0.21906886057550001</c:v>
                </c:pt>
                <c:pt idx="12" formatCode="0.0">
                  <c:v>0</c:v>
                </c:pt>
                <c:pt idx="13" formatCode="0.0">
                  <c:v>0.15421955567830001</c:v>
                </c:pt>
                <c:pt idx="14" formatCode="0.0">
                  <c:v>1.80822785075</c:v>
                </c:pt>
                <c:pt idx="15" formatCode="0.0">
                  <c:v>0</c:v>
                </c:pt>
                <c:pt idx="16" formatCode="0.0">
                  <c:v>4.3046803905689997E-2</c:v>
                </c:pt>
              </c:numCache>
            </c:numRef>
          </c:val>
          <c:extLst>
            <c:ext xmlns:c16="http://schemas.microsoft.com/office/drawing/2014/chart" uri="{C3380CC4-5D6E-409C-BE32-E72D297353CC}">
              <c16:uniqueId val="{00000025-CA6B-48C5-B075-CC9D25B1A0EF}"/>
            </c:ext>
          </c:extLst>
        </c:ser>
        <c:dLbls>
          <c:showLegendKey val="0"/>
          <c:showVal val="0"/>
          <c:showCatName val="0"/>
          <c:showSerName val="0"/>
          <c:showPercent val="0"/>
          <c:showBubbleSize val="0"/>
        </c:dLbls>
        <c:gapWidth val="35"/>
        <c:overlap val="100"/>
        <c:axId val="441045320"/>
        <c:axId val="441048600"/>
      </c:barChart>
      <c:catAx>
        <c:axId val="4410453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1048600"/>
        <c:crosses val="autoZero"/>
        <c:auto val="1"/>
        <c:lblAlgn val="ctr"/>
        <c:lblOffset val="100"/>
        <c:noMultiLvlLbl val="0"/>
      </c:catAx>
      <c:valAx>
        <c:axId val="441048600"/>
        <c:scaling>
          <c:orientation val="minMax"/>
        </c:scaling>
        <c:delete val="1"/>
        <c:axPos val="t"/>
        <c:numFmt formatCode="0%" sourceLinked="1"/>
        <c:majorTickMark val="none"/>
        <c:minorTickMark val="none"/>
        <c:tickLblPos val="nextTo"/>
        <c:crossAx val="4410453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GP</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3528-498C-BC4C-E93FE13569E1}"/>
              </c:ext>
            </c:extLst>
          </c:dPt>
          <c:dPt>
            <c:idx val="12"/>
            <c:invertIfNegative val="0"/>
            <c:bubble3D val="0"/>
            <c:spPr>
              <a:solidFill>
                <a:schemeClr val="accent5"/>
              </a:solidFill>
              <a:ln>
                <a:noFill/>
              </a:ln>
              <a:effectLst/>
            </c:spPr>
            <c:extLst>
              <c:ext xmlns:c16="http://schemas.microsoft.com/office/drawing/2014/chart" uri="{C3380CC4-5D6E-409C-BE32-E72D297353CC}">
                <c16:uniqueId val="{00000003-3528-498C-BC4C-E93FE13569E1}"/>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05-3528-498C-BC4C-E93FE13569E1}"/>
              </c:ext>
            </c:extLst>
          </c:dPt>
          <c:dPt>
            <c:idx val="14"/>
            <c:invertIfNegative val="0"/>
            <c:bubble3D val="0"/>
            <c:spPr>
              <a:solidFill>
                <a:schemeClr val="accent5"/>
              </a:solidFill>
              <a:ln>
                <a:noFill/>
              </a:ln>
              <a:effectLst/>
            </c:spPr>
            <c:extLst>
              <c:ext xmlns:c16="http://schemas.microsoft.com/office/drawing/2014/chart" uri="{C3380CC4-5D6E-409C-BE32-E72D297353CC}">
                <c16:uniqueId val="{00000007-3528-498C-BC4C-E93FE13569E1}"/>
              </c:ext>
            </c:extLst>
          </c:dPt>
          <c:dPt>
            <c:idx val="15"/>
            <c:invertIfNegative val="0"/>
            <c:bubble3D val="0"/>
            <c:spPr>
              <a:solidFill>
                <a:schemeClr val="accent5"/>
              </a:solidFill>
              <a:ln>
                <a:noFill/>
              </a:ln>
              <a:effectLst/>
            </c:spPr>
            <c:extLst>
              <c:ext xmlns:c16="http://schemas.microsoft.com/office/drawing/2014/chart" uri="{C3380CC4-5D6E-409C-BE32-E72D297353CC}">
                <c16:uniqueId val="{00000009-3528-498C-BC4C-E93FE13569E1}"/>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0B-3528-498C-BC4C-E93FE13569E1}"/>
              </c:ext>
            </c:extLst>
          </c:dPt>
          <c:dLbls>
            <c:dLbl>
              <c:idx val="2"/>
              <c:tx>
                <c:rich>
                  <a:bodyPr/>
                  <a:lstStyle/>
                  <a:p>
                    <a:fld id="{37EFE2A5-881F-4E13-867C-0252C8FBDD9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A-3528-498C-BC4C-E93FE13569E1}"/>
                </c:ext>
              </c:extLst>
            </c:dLbl>
            <c:dLbl>
              <c:idx val="3"/>
              <c:tx>
                <c:rich>
                  <a:bodyPr/>
                  <a:lstStyle/>
                  <a:p>
                    <a:fld id="{A699B577-B298-4CCE-BE6F-56D52779791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B-3528-498C-BC4C-E93FE13569E1}"/>
                </c:ext>
              </c:extLst>
            </c:dLbl>
            <c:dLbl>
              <c:idx val="4"/>
              <c:tx>
                <c:rich>
                  <a:bodyPr/>
                  <a:lstStyle/>
                  <a:p>
                    <a:fld id="{5B00377F-64A3-4164-B0C4-E73085481DF8}"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C-3528-498C-BC4C-E93FE13569E1}"/>
                </c:ext>
              </c:extLst>
            </c:dLbl>
            <c:dLbl>
              <c:idx val="6"/>
              <c:tx>
                <c:rich>
                  <a:bodyPr/>
                  <a:lstStyle/>
                  <a:p>
                    <a:fld id="{0FE57FA3-87E9-4DE4-A728-4925F500F13B}"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E-3528-498C-BC4C-E93FE13569E1}"/>
                </c:ext>
              </c:extLst>
            </c:dLbl>
            <c:dLbl>
              <c:idx val="7"/>
              <c:layout>
                <c:manualLayout>
                  <c:x val="1.10253583241454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528-498C-BC4C-E93FE13569E1}"/>
                </c:ext>
              </c:extLst>
            </c:dLbl>
            <c:dLbl>
              <c:idx val="8"/>
              <c:tx>
                <c:rich>
                  <a:bodyPr/>
                  <a:lstStyle/>
                  <a:p>
                    <a:fld id="{D7C819A9-F744-4E9D-9313-F0B21617BD0A}"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D-3528-498C-BC4C-E93FE13569E1}"/>
                </c:ext>
              </c:extLst>
            </c:dLbl>
            <c:dLbl>
              <c:idx val="13"/>
              <c:tx>
                <c:rich>
                  <a:bodyPr/>
                  <a:lstStyle/>
                  <a:p>
                    <a:fld id="{AFEE2EED-CA23-4CC5-8787-1291DDE0795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528-498C-BC4C-E93FE13569E1}"/>
                </c:ext>
              </c:extLst>
            </c:dLbl>
            <c:dLbl>
              <c:idx val="14"/>
              <c:tx>
                <c:rich>
                  <a:bodyPr/>
                  <a:lstStyle/>
                  <a:p>
                    <a:fld id="{54BF526B-5A3B-45DF-9367-15CA5B0DF41B}"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528-498C-BC4C-E93FE13569E1}"/>
                </c:ext>
              </c:extLst>
            </c:dLbl>
            <c:dLbl>
              <c:idx val="15"/>
              <c:tx>
                <c:rich>
                  <a:bodyPr/>
                  <a:lstStyle/>
                  <a:p>
                    <a:fld id="{88C1EC0B-CB98-42EF-913F-E02AD805090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3528-498C-BC4C-E93FE13569E1}"/>
                </c:ext>
              </c:extLst>
            </c:dLbl>
            <c:dLbl>
              <c:idx val="16"/>
              <c:layout>
                <c:manualLayout>
                  <c:x val="4.410143329658214E-3"/>
                  <c:y val="2.777920533320910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528-498C-BC4C-E93FE13569E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Sheet1!$A$2:$A$18</c:f>
              <c:strCache>
                <c:ptCount val="17"/>
                <c:pt idx="0">
                  <c:v>Total</c:v>
                </c:pt>
                <c:pt idx="2">
                  <c:v>Australian Capital Territory</c:v>
                </c:pt>
                <c:pt idx="3">
                  <c:v>Comcare</c:v>
                </c:pt>
                <c:pt idx="4">
                  <c:v>New South Wales</c:v>
                </c:pt>
                <c:pt idx="5">
                  <c:v>Northern Territory</c:v>
                </c:pt>
                <c:pt idx="6">
                  <c:v>Queensland</c:v>
                </c:pt>
                <c:pt idx="7">
                  <c:v>Seacare</c:v>
                </c:pt>
                <c:pt idx="8">
                  <c:v>Tasmania</c:v>
                </c:pt>
                <c:pt idx="9">
                  <c:v>Western Australia</c:v>
                </c:pt>
                <c:pt idx="10">
                  <c:v>Victoria</c:v>
                </c:pt>
                <c:pt idx="12">
                  <c:v>Fractures</c:v>
                </c:pt>
                <c:pt idx="13">
                  <c:v>Musculoskeletal Disorders</c:v>
                </c:pt>
                <c:pt idx="14">
                  <c:v>Other Trauma</c:v>
                </c:pt>
                <c:pt idx="15">
                  <c:v>Mental Illness</c:v>
                </c:pt>
                <c:pt idx="16">
                  <c:v>Other Diseases</c:v>
                </c:pt>
              </c:strCache>
            </c:strRef>
          </c:cat>
          <c:val>
            <c:numRef>
              <c:f>Sheet1!$B$2:$B$18</c:f>
              <c:numCache>
                <c:formatCode>General</c:formatCode>
                <c:ptCount val="17"/>
                <c:pt idx="0" formatCode="0.0">
                  <c:v>4.3344790235200001</c:v>
                </c:pt>
                <c:pt idx="2" formatCode="0.0">
                  <c:v>5.008286758903</c:v>
                </c:pt>
                <c:pt idx="3" formatCode="0.0">
                  <c:v>4.5373608388870004</c:v>
                </c:pt>
                <c:pt idx="4" formatCode="0.0">
                  <c:v>4.6487543720620002</c:v>
                </c:pt>
                <c:pt idx="5" formatCode="0.0">
                  <c:v>3.9634272809070001</c:v>
                </c:pt>
                <c:pt idx="6" formatCode="0.0">
                  <c:v>3.903294795671</c:v>
                </c:pt>
                <c:pt idx="7" formatCode="0.0">
                  <c:v>4.0553638258170004</c:v>
                </c:pt>
                <c:pt idx="8" formatCode="0.0">
                  <c:v>4.5715795548370002</c:v>
                </c:pt>
                <c:pt idx="9" formatCode="0.0">
                  <c:v>4.4253980741300003</c:v>
                </c:pt>
                <c:pt idx="10" formatCode="0.0">
                  <c:v>4.2427400449189996</c:v>
                </c:pt>
                <c:pt idx="12" formatCode="0.0">
                  <c:v>4.2573373349620001</c:v>
                </c:pt>
                <c:pt idx="13" formatCode="0.0">
                  <c:v>4.4765616575929998</c:v>
                </c:pt>
                <c:pt idx="14" formatCode="0.0">
                  <c:v>4.0125453217510003</c:v>
                </c:pt>
                <c:pt idx="15" formatCode="0.0">
                  <c:v>4.7187273958490001</c:v>
                </c:pt>
                <c:pt idx="16" formatCode="0.0">
                  <c:v>3.7244356817559998</c:v>
                </c:pt>
              </c:numCache>
            </c:numRef>
          </c:val>
          <c:extLst>
            <c:ext xmlns:c16="http://schemas.microsoft.com/office/drawing/2014/chart" uri="{C3380CC4-5D6E-409C-BE32-E72D297353CC}">
              <c16:uniqueId val="{00000013-3528-498C-BC4C-E93FE13569E1}"/>
            </c:ext>
          </c:extLst>
        </c:ser>
        <c:ser>
          <c:idx val="1"/>
          <c:order val="1"/>
          <c:tx>
            <c:strRef>
              <c:f>Sheet1!$C$1</c:f>
              <c:strCache>
                <c:ptCount val="1"/>
                <c:pt idx="0">
                  <c:v>Main healthcare provider</c:v>
                </c:pt>
              </c:strCache>
            </c:strRef>
          </c:tx>
          <c:spPr>
            <a:solidFill>
              <a:schemeClr val="accent1">
                <a:lumMod val="40000"/>
                <a:lumOff val="60000"/>
              </a:schemeClr>
            </a:solidFill>
            <a:ln>
              <a:noFill/>
            </a:ln>
            <a:effectLst/>
          </c:spPr>
          <c:invertIfNegative val="0"/>
          <c:dPt>
            <c:idx val="0"/>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15-3528-498C-BC4C-E93FE13569E1}"/>
              </c:ext>
            </c:extLst>
          </c:dPt>
          <c:dPt>
            <c:idx val="12"/>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17-3528-498C-BC4C-E93FE13569E1}"/>
              </c:ext>
            </c:extLst>
          </c:dPt>
          <c:dPt>
            <c:idx val="13"/>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19-3528-498C-BC4C-E93FE13569E1}"/>
              </c:ext>
            </c:extLst>
          </c:dPt>
          <c:dPt>
            <c:idx val="14"/>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1B-3528-498C-BC4C-E93FE13569E1}"/>
              </c:ext>
            </c:extLst>
          </c:dPt>
          <c:dPt>
            <c:idx val="15"/>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1D-3528-498C-BC4C-E93FE13569E1}"/>
              </c:ext>
            </c:extLst>
          </c:dPt>
          <c:dPt>
            <c:idx val="16"/>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1F-3528-498C-BC4C-E93FE13569E1}"/>
              </c:ext>
            </c:extLst>
          </c:dPt>
          <c:dLbls>
            <c:dLbl>
              <c:idx val="3"/>
              <c:tx>
                <c:rich>
                  <a:bodyPr/>
                  <a:lstStyle/>
                  <a:p>
                    <a:fld id="{E5BB5982-8E8E-4136-BDEF-47D8D83C8FCD}"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6-3528-498C-BC4C-E93FE13569E1}"/>
                </c:ext>
              </c:extLst>
            </c:dLbl>
            <c:dLbl>
              <c:idx val="6"/>
              <c:tx>
                <c:rich>
                  <a:bodyPr/>
                  <a:lstStyle/>
                  <a:p>
                    <a:fld id="{964FE956-7846-419A-BB22-9F640E9BBB9A}"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7-3528-498C-BC4C-E93FE13569E1}"/>
                </c:ext>
              </c:extLst>
            </c:dLbl>
            <c:dLbl>
              <c:idx val="7"/>
              <c:tx>
                <c:rich>
                  <a:bodyPr/>
                  <a:lstStyle/>
                  <a:p>
                    <a:fld id="{DEC2D7F1-7E7C-4FF5-9A10-0DFCC52AB9F9}"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8-3528-498C-BC4C-E93FE13569E1}"/>
                </c:ext>
              </c:extLst>
            </c:dLbl>
            <c:dLbl>
              <c:idx val="13"/>
              <c:tx>
                <c:rich>
                  <a:bodyPr/>
                  <a:lstStyle/>
                  <a:p>
                    <a:fld id="{F7891F26-5634-466F-B39B-BFAFDDD052E4}"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3528-498C-BC4C-E93FE13569E1}"/>
                </c:ext>
              </c:extLst>
            </c:dLbl>
            <c:dLbl>
              <c:idx val="14"/>
              <c:tx>
                <c:rich>
                  <a:bodyPr/>
                  <a:lstStyle/>
                  <a:p>
                    <a:fld id="{05E66C4B-91D7-4084-AB30-E78B6B278D6C}"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B-3528-498C-BC4C-E93FE13569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Total</c:v>
                </c:pt>
                <c:pt idx="2">
                  <c:v>Australian Capital Territory</c:v>
                </c:pt>
                <c:pt idx="3">
                  <c:v>Comcare</c:v>
                </c:pt>
                <c:pt idx="4">
                  <c:v>New South Wales</c:v>
                </c:pt>
                <c:pt idx="5">
                  <c:v>Northern Territory</c:v>
                </c:pt>
                <c:pt idx="6">
                  <c:v>Queensland</c:v>
                </c:pt>
                <c:pt idx="7">
                  <c:v>Seacare</c:v>
                </c:pt>
                <c:pt idx="8">
                  <c:v>Tasmania</c:v>
                </c:pt>
                <c:pt idx="9">
                  <c:v>Western Australia</c:v>
                </c:pt>
                <c:pt idx="10">
                  <c:v>Victoria</c:v>
                </c:pt>
                <c:pt idx="12">
                  <c:v>Fractures</c:v>
                </c:pt>
                <c:pt idx="13">
                  <c:v>Musculoskeletal Disorders</c:v>
                </c:pt>
                <c:pt idx="14">
                  <c:v>Other Trauma</c:v>
                </c:pt>
                <c:pt idx="15">
                  <c:v>Mental Illness</c:v>
                </c:pt>
                <c:pt idx="16">
                  <c:v>Other Diseases</c:v>
                </c:pt>
              </c:strCache>
            </c:strRef>
          </c:cat>
          <c:val>
            <c:numRef>
              <c:f>Sheet1!$C$2:$C$18</c:f>
              <c:numCache>
                <c:formatCode>General</c:formatCode>
                <c:ptCount val="17"/>
                <c:pt idx="0" formatCode="0.0">
                  <c:v>5.0091453573370002</c:v>
                </c:pt>
                <c:pt idx="2" formatCode="0.0">
                  <c:v>5.3244178237949997</c:v>
                </c:pt>
                <c:pt idx="3" formatCode="0.0">
                  <c:v>5.1020608244609997</c:v>
                </c:pt>
                <c:pt idx="4" formatCode="0.0">
                  <c:v>5.032021510741</c:v>
                </c:pt>
                <c:pt idx="5" formatCode="0.0">
                  <c:v>5.2555901223249997</c:v>
                </c:pt>
                <c:pt idx="6" formatCode="0.0">
                  <c:v>4.8847534975429996</c:v>
                </c:pt>
                <c:pt idx="7" formatCode="0.0">
                  <c:v>5.2488987539969996</c:v>
                </c:pt>
                <c:pt idx="8" formatCode="0.0">
                  <c:v>5.105090585119</c:v>
                </c:pt>
                <c:pt idx="9" formatCode="0.0">
                  <c:v>5.11276905165</c:v>
                </c:pt>
                <c:pt idx="10" formatCode="0.0">
                  <c:v>5.0572629967970002</c:v>
                </c:pt>
                <c:pt idx="12" formatCode="0.0">
                  <c:v>4.9568650640729999</c:v>
                </c:pt>
                <c:pt idx="13" formatCode="0.0">
                  <c:v>5.1385213438540003</c:v>
                </c:pt>
                <c:pt idx="14" formatCode="0.0">
                  <c:v>4.6885559868750004</c:v>
                </c:pt>
                <c:pt idx="15" formatCode="0.0">
                  <c:v>4.9249826494929998</c:v>
                </c:pt>
                <c:pt idx="16" formatCode="0.0">
                  <c:v>4.6932296226329999</c:v>
                </c:pt>
              </c:numCache>
            </c:numRef>
          </c:val>
          <c:extLst>
            <c:ext xmlns:c16="http://schemas.microsoft.com/office/drawing/2014/chart" uri="{C3380CC4-5D6E-409C-BE32-E72D297353CC}">
              <c16:uniqueId val="{00000029-3528-498C-BC4C-E93FE13569E1}"/>
            </c:ext>
          </c:extLst>
        </c:ser>
        <c:dLbls>
          <c:showLegendKey val="0"/>
          <c:showVal val="0"/>
          <c:showCatName val="0"/>
          <c:showSerName val="0"/>
          <c:showPercent val="0"/>
          <c:showBubbleSize val="0"/>
        </c:dLbls>
        <c:gapWidth val="50"/>
        <c:axId val="441045320"/>
        <c:axId val="441048600"/>
      </c:barChart>
      <c:catAx>
        <c:axId val="44104532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1048600"/>
        <c:crosses val="autoZero"/>
        <c:auto val="1"/>
        <c:lblAlgn val="ctr"/>
        <c:lblOffset val="100"/>
        <c:noMultiLvlLbl val="0"/>
      </c:catAx>
      <c:valAx>
        <c:axId val="441048600"/>
        <c:scaling>
          <c:orientation val="minMax"/>
          <c:max val="6"/>
        </c:scaling>
        <c:delete val="1"/>
        <c:axPos val="t"/>
        <c:numFmt formatCode="0.0" sourceLinked="1"/>
        <c:majorTickMark val="out"/>
        <c:minorTickMark val="none"/>
        <c:tickLblPos val="nextTo"/>
        <c:crossAx val="4410453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Stressful interactions HCP</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AB88-4ED0-8582-27A29B01264A}"/>
              </c:ext>
            </c:extLst>
          </c:dPt>
          <c:dPt>
            <c:idx val="12"/>
            <c:invertIfNegative val="0"/>
            <c:bubble3D val="0"/>
            <c:spPr>
              <a:solidFill>
                <a:schemeClr val="accent5"/>
              </a:solidFill>
              <a:ln>
                <a:noFill/>
              </a:ln>
              <a:effectLst/>
            </c:spPr>
            <c:extLst>
              <c:ext xmlns:c16="http://schemas.microsoft.com/office/drawing/2014/chart" uri="{C3380CC4-5D6E-409C-BE32-E72D297353CC}">
                <c16:uniqueId val="{00000003-AB88-4ED0-8582-27A29B01264A}"/>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05-AB88-4ED0-8582-27A29B01264A}"/>
              </c:ext>
            </c:extLst>
          </c:dPt>
          <c:dPt>
            <c:idx val="14"/>
            <c:invertIfNegative val="0"/>
            <c:bubble3D val="0"/>
            <c:spPr>
              <a:solidFill>
                <a:schemeClr val="accent5"/>
              </a:solidFill>
              <a:ln>
                <a:noFill/>
              </a:ln>
              <a:effectLst/>
            </c:spPr>
            <c:extLst>
              <c:ext xmlns:c16="http://schemas.microsoft.com/office/drawing/2014/chart" uri="{C3380CC4-5D6E-409C-BE32-E72D297353CC}">
                <c16:uniqueId val="{00000007-AB88-4ED0-8582-27A29B01264A}"/>
              </c:ext>
            </c:extLst>
          </c:dPt>
          <c:dPt>
            <c:idx val="15"/>
            <c:invertIfNegative val="0"/>
            <c:bubble3D val="0"/>
            <c:spPr>
              <a:solidFill>
                <a:schemeClr val="accent5"/>
              </a:solidFill>
              <a:ln>
                <a:noFill/>
              </a:ln>
              <a:effectLst/>
            </c:spPr>
            <c:extLst>
              <c:ext xmlns:c16="http://schemas.microsoft.com/office/drawing/2014/chart" uri="{C3380CC4-5D6E-409C-BE32-E72D297353CC}">
                <c16:uniqueId val="{00000009-AB88-4ED0-8582-27A29B01264A}"/>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0B-AB88-4ED0-8582-27A29B01264A}"/>
              </c:ext>
            </c:extLst>
          </c:dPt>
          <c:dLbls>
            <c:dLbl>
              <c:idx val="7"/>
              <c:layout>
                <c:manualLayout>
                  <c:x val="1.10253583241454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B88-4ED0-8582-27A29B01264A}"/>
                </c:ext>
              </c:extLst>
            </c:dLbl>
            <c:dLbl>
              <c:idx val="13"/>
              <c:tx>
                <c:rich>
                  <a:bodyPr/>
                  <a:lstStyle/>
                  <a:p>
                    <a:fld id="{AFEE2EED-CA23-4CC5-8787-1291DDE07952}"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B88-4ED0-8582-27A29B01264A}"/>
                </c:ext>
              </c:extLst>
            </c:dLbl>
            <c:dLbl>
              <c:idx val="14"/>
              <c:tx>
                <c:rich>
                  <a:bodyPr/>
                  <a:lstStyle/>
                  <a:p>
                    <a:fld id="{54BF526B-5A3B-45DF-9367-15CA5B0DF41B}"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B88-4ED0-8582-27A29B01264A}"/>
                </c:ext>
              </c:extLst>
            </c:dLbl>
            <c:dLbl>
              <c:idx val="15"/>
              <c:tx>
                <c:rich>
                  <a:bodyPr/>
                  <a:lstStyle/>
                  <a:p>
                    <a:fld id="{88C1EC0B-CB98-42EF-913F-E02AD805090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AB88-4ED0-8582-27A29B01264A}"/>
                </c:ext>
              </c:extLst>
            </c:dLbl>
            <c:dLbl>
              <c:idx val="16"/>
              <c:layout>
                <c:manualLayout>
                  <c:x val="4.410143329658214E-3"/>
                  <c:y val="2.777920533320910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B88-4ED0-8582-27A29B01264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Sheet1!$A$2:$A$18</c:f>
              <c:strCache>
                <c:ptCount val="17"/>
                <c:pt idx="0">
                  <c:v>Total</c:v>
                </c:pt>
                <c:pt idx="2">
                  <c:v>Australian Capital Territory</c:v>
                </c:pt>
                <c:pt idx="3">
                  <c:v>Comcare</c:v>
                </c:pt>
                <c:pt idx="4">
                  <c:v>New South Wales</c:v>
                </c:pt>
                <c:pt idx="5">
                  <c:v>Northern Territory</c:v>
                </c:pt>
                <c:pt idx="6">
                  <c:v>Queensland</c:v>
                </c:pt>
                <c:pt idx="7">
                  <c:v>Seacare</c:v>
                </c:pt>
                <c:pt idx="8">
                  <c:v>Tasmania</c:v>
                </c:pt>
                <c:pt idx="9">
                  <c:v>Western Australia</c:v>
                </c:pt>
                <c:pt idx="10">
                  <c:v>Victoria</c:v>
                </c:pt>
                <c:pt idx="12">
                  <c:v>Fractures</c:v>
                </c:pt>
                <c:pt idx="13">
                  <c:v>Musculoskeletal Disorders</c:v>
                </c:pt>
                <c:pt idx="14">
                  <c:v>Other Trauma</c:v>
                </c:pt>
                <c:pt idx="15">
                  <c:v>Mental Illness</c:v>
                </c:pt>
                <c:pt idx="16">
                  <c:v>Other Diseases</c:v>
                </c:pt>
              </c:strCache>
            </c:strRef>
          </c:cat>
          <c:val>
            <c:numRef>
              <c:f>Sheet1!$B$2:$B$18</c:f>
              <c:numCache>
                <c:formatCode>General</c:formatCode>
                <c:ptCount val="17"/>
                <c:pt idx="0" formatCode="0.0">
                  <c:v>11.00360009065</c:v>
                </c:pt>
                <c:pt idx="2" formatCode="0.0">
                  <c:v>12.61934260106</c:v>
                </c:pt>
                <c:pt idx="3" formatCode="0.0">
                  <c:v>12.767586715939998</c:v>
                </c:pt>
                <c:pt idx="4" formatCode="0.0">
                  <c:v>10.60107201626</c:v>
                </c:pt>
                <c:pt idx="5" formatCode="0.0">
                  <c:v>11.053416770969999</c:v>
                </c:pt>
                <c:pt idx="6" formatCode="0.0">
                  <c:v>9.9646845323549993</c:v>
                </c:pt>
                <c:pt idx="7" formatCode="0.0">
                  <c:v>3.4530201692580005</c:v>
                </c:pt>
                <c:pt idx="8" formatCode="0.0">
                  <c:v>13.56524755223</c:v>
                </c:pt>
                <c:pt idx="9" formatCode="0.0">
                  <c:v>10.684924246730001</c:v>
                </c:pt>
                <c:pt idx="10" formatCode="0.0">
                  <c:v>13.152463493149998</c:v>
                </c:pt>
                <c:pt idx="12" formatCode="0.0">
                  <c:v>11.281453140309999</c:v>
                </c:pt>
                <c:pt idx="13" formatCode="0.0">
                  <c:v>10.33395713837</c:v>
                </c:pt>
                <c:pt idx="14" formatCode="0.0">
                  <c:v>9.3433488829249995</c:v>
                </c:pt>
                <c:pt idx="15" formatCode="0.0">
                  <c:v>25.382401489820001</c:v>
                </c:pt>
                <c:pt idx="16" formatCode="0.0">
                  <c:v>13.193207482380002</c:v>
                </c:pt>
              </c:numCache>
            </c:numRef>
          </c:val>
          <c:extLst>
            <c:ext xmlns:c16="http://schemas.microsoft.com/office/drawing/2014/chart" uri="{C3380CC4-5D6E-409C-BE32-E72D297353CC}">
              <c16:uniqueId val="{00000013-AB88-4ED0-8582-27A29B01264A}"/>
            </c:ext>
          </c:extLst>
        </c:ser>
        <c:dLbls>
          <c:showLegendKey val="0"/>
          <c:showVal val="0"/>
          <c:showCatName val="0"/>
          <c:showSerName val="0"/>
          <c:showPercent val="0"/>
          <c:showBubbleSize val="0"/>
        </c:dLbls>
        <c:gapWidth val="50"/>
        <c:axId val="441045320"/>
        <c:axId val="441048600"/>
      </c:barChart>
      <c:catAx>
        <c:axId val="44104532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1048600"/>
        <c:crosses val="autoZero"/>
        <c:auto val="1"/>
        <c:lblAlgn val="ctr"/>
        <c:lblOffset val="100"/>
        <c:noMultiLvlLbl val="0"/>
      </c:catAx>
      <c:valAx>
        <c:axId val="441048600"/>
        <c:scaling>
          <c:orientation val="minMax"/>
          <c:max val="100"/>
        </c:scaling>
        <c:delete val="1"/>
        <c:axPos val="t"/>
        <c:numFmt formatCode="0.0" sourceLinked="1"/>
        <c:majorTickMark val="out"/>
        <c:minorTickMark val="none"/>
        <c:tickLblPos val="nextTo"/>
        <c:crossAx val="4410453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36D0-43A3-B2F2-A39319F6283A}"/>
              </c:ext>
            </c:extLst>
          </c:dPt>
          <c:dPt>
            <c:idx val="12"/>
            <c:invertIfNegative val="0"/>
            <c:bubble3D val="0"/>
            <c:spPr>
              <a:solidFill>
                <a:srgbClr val="5D8395"/>
              </a:solidFill>
              <a:ln>
                <a:noFill/>
              </a:ln>
              <a:effectLst/>
            </c:spPr>
            <c:extLst>
              <c:ext xmlns:c16="http://schemas.microsoft.com/office/drawing/2014/chart" uri="{C3380CC4-5D6E-409C-BE32-E72D297353CC}">
                <c16:uniqueId val="{00000003-36D0-43A3-B2F2-A39319F6283A}"/>
              </c:ext>
            </c:extLst>
          </c:dPt>
          <c:dPt>
            <c:idx val="13"/>
            <c:invertIfNegative val="0"/>
            <c:bubble3D val="0"/>
            <c:spPr>
              <a:solidFill>
                <a:srgbClr val="5D8395"/>
              </a:solidFill>
              <a:ln>
                <a:noFill/>
              </a:ln>
              <a:effectLst/>
            </c:spPr>
            <c:extLst>
              <c:ext xmlns:c16="http://schemas.microsoft.com/office/drawing/2014/chart" uri="{C3380CC4-5D6E-409C-BE32-E72D297353CC}">
                <c16:uniqueId val="{00000005-36D0-43A3-B2F2-A39319F6283A}"/>
              </c:ext>
            </c:extLst>
          </c:dPt>
          <c:dPt>
            <c:idx val="14"/>
            <c:invertIfNegative val="0"/>
            <c:bubble3D val="0"/>
            <c:spPr>
              <a:solidFill>
                <a:srgbClr val="5D8395"/>
              </a:solidFill>
              <a:ln>
                <a:noFill/>
              </a:ln>
              <a:effectLst/>
            </c:spPr>
            <c:extLst>
              <c:ext xmlns:c16="http://schemas.microsoft.com/office/drawing/2014/chart" uri="{C3380CC4-5D6E-409C-BE32-E72D297353CC}">
                <c16:uniqueId val="{00000007-36D0-43A3-B2F2-A39319F6283A}"/>
              </c:ext>
            </c:extLst>
          </c:dPt>
          <c:dPt>
            <c:idx val="15"/>
            <c:invertIfNegative val="0"/>
            <c:bubble3D val="0"/>
            <c:spPr>
              <a:solidFill>
                <a:srgbClr val="5D8395"/>
              </a:solidFill>
              <a:ln>
                <a:noFill/>
              </a:ln>
              <a:effectLst/>
            </c:spPr>
            <c:extLst>
              <c:ext xmlns:c16="http://schemas.microsoft.com/office/drawing/2014/chart" uri="{C3380CC4-5D6E-409C-BE32-E72D297353CC}">
                <c16:uniqueId val="{00000009-36D0-43A3-B2F2-A39319F6283A}"/>
              </c:ext>
            </c:extLst>
          </c:dPt>
          <c:dPt>
            <c:idx val="16"/>
            <c:invertIfNegative val="0"/>
            <c:bubble3D val="0"/>
            <c:spPr>
              <a:solidFill>
                <a:srgbClr val="5D8395"/>
              </a:solidFill>
              <a:ln>
                <a:noFill/>
              </a:ln>
              <a:effectLst/>
            </c:spPr>
            <c:extLst>
              <c:ext xmlns:c16="http://schemas.microsoft.com/office/drawing/2014/chart" uri="{C3380CC4-5D6E-409C-BE32-E72D297353CC}">
                <c16:uniqueId val="{0000000B-36D0-43A3-B2F2-A39319F6283A}"/>
              </c:ext>
            </c:extLst>
          </c:dPt>
          <c:dPt>
            <c:idx val="18"/>
            <c:invertIfNegative val="0"/>
            <c:bubble3D val="0"/>
            <c:spPr>
              <a:solidFill>
                <a:srgbClr val="1C365F"/>
              </a:solidFill>
              <a:ln>
                <a:noFill/>
              </a:ln>
              <a:effectLst/>
            </c:spPr>
            <c:extLst>
              <c:ext xmlns:c16="http://schemas.microsoft.com/office/drawing/2014/chart" uri="{C3380CC4-5D6E-409C-BE32-E72D297353CC}">
                <c16:uniqueId val="{0000000D-36D0-43A3-B2F2-A39319F6283A}"/>
              </c:ext>
            </c:extLst>
          </c:dPt>
          <c:dPt>
            <c:idx val="19"/>
            <c:invertIfNegative val="0"/>
            <c:bubble3D val="0"/>
            <c:spPr>
              <a:solidFill>
                <a:srgbClr val="1C365F"/>
              </a:solidFill>
              <a:ln>
                <a:noFill/>
              </a:ln>
              <a:effectLst/>
            </c:spPr>
            <c:extLst>
              <c:ext xmlns:c16="http://schemas.microsoft.com/office/drawing/2014/chart" uri="{C3380CC4-5D6E-409C-BE32-E72D297353CC}">
                <c16:uniqueId val="{0000000F-36D0-43A3-B2F2-A39319F6283A}"/>
              </c:ext>
            </c:extLst>
          </c:dPt>
          <c:dPt>
            <c:idx val="20"/>
            <c:invertIfNegative val="0"/>
            <c:bubble3D val="0"/>
            <c:spPr>
              <a:solidFill>
                <a:srgbClr val="1C365F"/>
              </a:solidFill>
              <a:ln>
                <a:noFill/>
              </a:ln>
              <a:effectLst/>
            </c:spPr>
            <c:extLst>
              <c:ext xmlns:c16="http://schemas.microsoft.com/office/drawing/2014/chart" uri="{C3380CC4-5D6E-409C-BE32-E72D297353CC}">
                <c16:uniqueId val="{00000011-36D0-43A3-B2F2-A39319F6283A}"/>
              </c:ext>
            </c:extLst>
          </c:dPt>
          <c:dPt>
            <c:idx val="21"/>
            <c:invertIfNegative val="0"/>
            <c:bubble3D val="0"/>
            <c:spPr>
              <a:solidFill>
                <a:srgbClr val="1C365F"/>
              </a:solidFill>
              <a:ln>
                <a:noFill/>
              </a:ln>
              <a:effectLst/>
            </c:spPr>
            <c:extLst>
              <c:ext xmlns:c16="http://schemas.microsoft.com/office/drawing/2014/chart" uri="{C3380CC4-5D6E-409C-BE32-E72D297353CC}">
                <c16:uniqueId val="{00000013-36D0-43A3-B2F2-A39319F6283A}"/>
              </c:ext>
            </c:extLst>
          </c:dPt>
          <c:dPt>
            <c:idx val="22"/>
            <c:invertIfNegative val="0"/>
            <c:bubble3D val="0"/>
            <c:spPr>
              <a:solidFill>
                <a:srgbClr val="1C365F"/>
              </a:solidFill>
              <a:ln>
                <a:noFill/>
              </a:ln>
              <a:effectLst/>
            </c:spPr>
            <c:extLst>
              <c:ext xmlns:c16="http://schemas.microsoft.com/office/drawing/2014/chart" uri="{C3380CC4-5D6E-409C-BE32-E72D297353CC}">
                <c16:uniqueId val="{00000015-36D0-43A3-B2F2-A39319F6283A}"/>
              </c:ext>
            </c:extLst>
          </c:dPt>
          <c:dLbls>
            <c:dLbl>
              <c:idx val="5"/>
              <c:tx>
                <c:rich>
                  <a:bodyPr/>
                  <a:lstStyle/>
                  <a:p>
                    <a:fld id="{591DB0C2-80FA-471E-B05E-015D6781E352}" type="VALUE">
                      <a:rPr lang="en-US">
                        <a:solidFill>
                          <a:sysClr val="windowText" lastClr="000000"/>
                        </a:solidFill>
                      </a:rPr>
                      <a:pPr/>
                      <a:t>[VALUE]</a:t>
                    </a:fld>
                    <a:r>
                      <a:rPr lang="en-US">
                        <a:solidFill>
                          <a:sysClr val="windowText" lastClr="000000"/>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36D0-43A3-B2F2-A39319F6283A}"/>
                </c:ext>
              </c:extLst>
            </c:dLbl>
            <c:dLbl>
              <c:idx val="6"/>
              <c:tx>
                <c:rich>
                  <a:bodyPr/>
                  <a:lstStyle/>
                  <a:p>
                    <a:fld id="{7B326185-CCD1-49FE-A54D-AC914E74563C}" type="VALUE">
                      <a:rPr lang="en-US">
                        <a:solidFill>
                          <a:sysClr val="windowText" lastClr="000000"/>
                        </a:solidFill>
                      </a:rPr>
                      <a:pPr/>
                      <a:t>[VALUE]</a:t>
                    </a:fld>
                    <a:r>
                      <a:rPr lang="en-US">
                        <a:solidFill>
                          <a:sysClr val="windowText" lastClr="000000"/>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36D0-43A3-B2F2-A39319F6283A}"/>
                </c:ext>
              </c:extLst>
            </c:dLbl>
            <c:dLbl>
              <c:idx val="10"/>
              <c:tx>
                <c:rich>
                  <a:bodyPr/>
                  <a:lstStyle/>
                  <a:p>
                    <a:fld id="{391E269E-4A28-4594-8FC0-85D8AA4CFC06}" type="VALUE">
                      <a:rPr lang="en-US">
                        <a:solidFill>
                          <a:sysClr val="windowText" lastClr="000000"/>
                        </a:solidFill>
                      </a:rPr>
                      <a:pPr/>
                      <a:t>[VALUE]</a:t>
                    </a:fld>
                    <a:r>
                      <a:rPr lang="en-US">
                        <a:solidFill>
                          <a:sysClr val="windowText" lastClr="000000"/>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8-36D0-43A3-B2F2-A39319F628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Sheet1!$A$2:$A$24</c:f>
              <c:strCache>
                <c:ptCount val="23"/>
                <c:pt idx="0">
                  <c:v>Total</c:v>
                </c:pt>
                <c:pt idx="2">
                  <c:v>Australian Capital Territory</c:v>
                </c:pt>
                <c:pt idx="3">
                  <c:v>Comcare</c:v>
                </c:pt>
                <c:pt idx="4">
                  <c:v>New South Wales</c:v>
                </c:pt>
                <c:pt idx="5">
                  <c:v>Northern Territory</c:v>
                </c:pt>
                <c:pt idx="6">
                  <c:v>Queensland</c:v>
                </c:pt>
                <c:pt idx="7">
                  <c:v>Commonwealth (Seacare)</c:v>
                </c:pt>
                <c:pt idx="8">
                  <c:v>Tasmania</c:v>
                </c:pt>
                <c:pt idx="9">
                  <c:v>Western Australia</c:v>
                </c:pt>
                <c:pt idx="10">
                  <c:v>Victoria</c:v>
                </c:pt>
                <c:pt idx="12">
                  <c:v>Fractures</c:v>
                </c:pt>
                <c:pt idx="13">
                  <c:v>Musculoskeletal Disorders</c:v>
                </c:pt>
                <c:pt idx="14">
                  <c:v>Other Trauma</c:v>
                </c:pt>
                <c:pt idx="15">
                  <c:v>Mental Illness</c:v>
                </c:pt>
                <c:pt idx="16">
                  <c:v>Other Diseases</c:v>
                </c:pt>
                <c:pt idx="18">
                  <c:v>Up to 180 days</c:v>
                </c:pt>
                <c:pt idx="19">
                  <c:v>181 to 270 days</c:v>
                </c:pt>
                <c:pt idx="20">
                  <c:v>271 to 365 days</c:v>
                </c:pt>
                <c:pt idx="21">
                  <c:v>366 to 730 days</c:v>
                </c:pt>
                <c:pt idx="22">
                  <c:v>More than 730 days</c:v>
                </c:pt>
              </c:strCache>
            </c:strRef>
          </c:cat>
          <c:val>
            <c:numRef>
              <c:f>Sheet1!$B$2:$B$24</c:f>
              <c:numCache>
                <c:formatCode>General</c:formatCode>
                <c:ptCount val="23"/>
                <c:pt idx="0" formatCode="0.0">
                  <c:v>40.561804467039998</c:v>
                </c:pt>
                <c:pt idx="2" formatCode="0.0">
                  <c:v>48.478749283280003</c:v>
                </c:pt>
                <c:pt idx="3" formatCode="0.0">
                  <c:v>44.744176901590002</c:v>
                </c:pt>
                <c:pt idx="4" formatCode="0.0">
                  <c:v>40.198299819779997</c:v>
                </c:pt>
                <c:pt idx="5" formatCode="0.0">
                  <c:v>55.319180247660007</c:v>
                </c:pt>
                <c:pt idx="6" formatCode="0.0">
                  <c:v>34.410236883620001</c:v>
                </c:pt>
                <c:pt idx="7" formatCode="0.0">
                  <c:v>31.546100148310003</c:v>
                </c:pt>
                <c:pt idx="8" formatCode="0.0">
                  <c:v>45.782563146969999</c:v>
                </c:pt>
                <c:pt idx="9" formatCode="0.0">
                  <c:v>43.34175242013</c:v>
                </c:pt>
                <c:pt idx="10" formatCode="0.0">
                  <c:v>46.583250915219999</c:v>
                </c:pt>
                <c:pt idx="12" formatCode="0.0">
                  <c:v>45.205827769880003</c:v>
                </c:pt>
                <c:pt idx="13" formatCode="0.0">
                  <c:v>39.65416164845</c:v>
                </c:pt>
                <c:pt idx="14" formatCode="0.0">
                  <c:v>37.414193177640001</c:v>
                </c:pt>
                <c:pt idx="15" formatCode="0.0">
                  <c:v>43.333822032130001</c:v>
                </c:pt>
                <c:pt idx="16" formatCode="0.0">
                  <c:v>53.659088908279998</c:v>
                </c:pt>
                <c:pt idx="18" formatCode="0.0">
                  <c:v>39.146691210219998</c:v>
                </c:pt>
                <c:pt idx="19" formatCode="0.0">
                  <c:v>39.522784526739997</c:v>
                </c:pt>
                <c:pt idx="20" formatCode="0.0">
                  <c:v>34.022315981379997</c:v>
                </c:pt>
                <c:pt idx="21" formatCode="0.0">
                  <c:v>41.778668504610003</c:v>
                </c:pt>
                <c:pt idx="22" formatCode="0.0">
                  <c:v>46.551344078450001</c:v>
                </c:pt>
              </c:numCache>
            </c:numRef>
          </c:val>
          <c:extLst>
            <c:ext xmlns:c16="http://schemas.microsoft.com/office/drawing/2014/chart" uri="{C3380CC4-5D6E-409C-BE32-E72D297353CC}">
              <c16:uniqueId val="{00000019-36D0-43A3-B2F2-A39319F6283A}"/>
            </c:ext>
          </c:extLst>
        </c:ser>
        <c:dLbls>
          <c:showLegendKey val="0"/>
          <c:showVal val="0"/>
          <c:showCatName val="0"/>
          <c:showSerName val="0"/>
          <c:showPercent val="0"/>
          <c:showBubbleSize val="0"/>
        </c:dLbls>
        <c:gapWidth val="75"/>
        <c:axId val="544463816"/>
        <c:axId val="544464144"/>
      </c:barChart>
      <c:catAx>
        <c:axId val="5444638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44464144"/>
        <c:crosses val="autoZero"/>
        <c:auto val="1"/>
        <c:lblAlgn val="ctr"/>
        <c:lblOffset val="100"/>
        <c:noMultiLvlLbl val="0"/>
      </c:catAx>
      <c:valAx>
        <c:axId val="544464144"/>
        <c:scaling>
          <c:orientation val="minMax"/>
          <c:max val="100"/>
        </c:scaling>
        <c:delete val="1"/>
        <c:axPos val="t"/>
        <c:numFmt formatCode="0.0" sourceLinked="1"/>
        <c:majorTickMark val="out"/>
        <c:minorTickMark val="none"/>
        <c:tickLblPos val="nextTo"/>
        <c:crossAx val="5444638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181953137886425E-2"/>
          <c:y val="0.15740740740740741"/>
          <c:w val="0.9424561373047774"/>
          <c:h val="0.72656120131411095"/>
        </c:manualLayout>
      </c:layout>
      <c:barChart>
        <c:barDir val="col"/>
        <c:grouping val="clustered"/>
        <c:varyColors val="0"/>
        <c:ser>
          <c:idx val="0"/>
          <c:order val="0"/>
          <c:tx>
            <c:strRef>
              <c:f>'RTW and current to 2013'!$N$4</c:f>
              <c:strCache>
                <c:ptCount val="1"/>
                <c:pt idx="0">
                  <c:v>% </c:v>
                </c:pt>
              </c:strCache>
            </c:strRef>
          </c:tx>
          <c:spPr>
            <a:solidFill>
              <a:schemeClr val="accent1"/>
            </a:solidFill>
            <a:ln>
              <a:noFill/>
            </a:ln>
            <a:effectLst/>
          </c:spPr>
          <c:invertIfNegative val="0"/>
          <c:dLbls>
            <c:dLbl>
              <c:idx val="1"/>
              <c:tx>
                <c:rich>
                  <a:bodyPr/>
                  <a:lstStyle/>
                  <a:p>
                    <a:fld id="{3B9B5A3A-50D0-4388-8B78-775B51A7F93F}" type="VALUE">
                      <a:rPr lang="en-US">
                        <a:solidFill>
                          <a:sysClr val="windowText" lastClr="000000"/>
                        </a:solidFill>
                      </a:rPr>
                      <a:pPr/>
                      <a:t>[VALUE]</a:t>
                    </a:fld>
                    <a:r>
                      <a:rPr lang="en-US">
                        <a:solidFill>
                          <a:sysClr val="windowText" lastClr="000000"/>
                        </a:solidFill>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669-4450-A721-4668DC843F1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itchFamily="34" charset="0"/>
                    <a:ea typeface="+mn-ea"/>
                    <a:cs typeface="Arial"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numRef>
              <c:f>'RTW and current to 2013'!$O$3:$R$3</c:f>
              <c:numCache>
                <c:formatCode>General</c:formatCode>
                <c:ptCount val="4"/>
                <c:pt idx="0">
                  <c:v>2013</c:v>
                </c:pt>
                <c:pt idx="1">
                  <c:v>2014</c:v>
                </c:pt>
                <c:pt idx="2">
                  <c:v>2016</c:v>
                </c:pt>
                <c:pt idx="3">
                  <c:v>2018</c:v>
                </c:pt>
              </c:numCache>
            </c:numRef>
          </c:cat>
          <c:val>
            <c:numRef>
              <c:f>'RTW and current to 2013'!$O$4:$R$4</c:f>
              <c:numCache>
                <c:formatCode>0</c:formatCode>
                <c:ptCount val="4"/>
                <c:pt idx="0">
                  <c:v>77.145461462890069</c:v>
                </c:pt>
                <c:pt idx="1">
                  <c:v>82.969133344632993</c:v>
                </c:pt>
                <c:pt idx="2">
                  <c:v>83.454457484899862</c:v>
                </c:pt>
                <c:pt idx="3">
                  <c:v>81.794111929159612</c:v>
                </c:pt>
              </c:numCache>
            </c:numRef>
          </c:val>
          <c:extLst>
            <c:ext xmlns:c16="http://schemas.microsoft.com/office/drawing/2014/chart" uri="{C3380CC4-5D6E-409C-BE32-E72D297353CC}">
              <c16:uniqueId val="{00000001-D669-4450-A721-4668DC843F1D}"/>
            </c:ext>
          </c:extLst>
        </c:ser>
        <c:dLbls>
          <c:showLegendKey val="0"/>
          <c:showVal val="0"/>
          <c:showCatName val="0"/>
          <c:showSerName val="0"/>
          <c:showPercent val="0"/>
          <c:showBubbleSize val="0"/>
        </c:dLbls>
        <c:gapWidth val="50"/>
        <c:axId val="88126976"/>
        <c:axId val="88128512"/>
      </c:barChart>
      <c:catAx>
        <c:axId val="88126976"/>
        <c:scaling>
          <c:orientation val="minMax"/>
        </c:scaling>
        <c:delete val="0"/>
        <c:axPos val="b"/>
        <c:numFmt formatCode="General" sourceLinked="0"/>
        <c:majorTickMark val="out"/>
        <c:minorTickMark val="none"/>
        <c:tickLblPos val="nextTo"/>
        <c:spPr>
          <a:noFill/>
          <a:ln w="6350" cap="flat" cmpd="sng" algn="ctr">
            <a:solidFill>
              <a:schemeClr val="bg1">
                <a:lumMod val="7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itchFamily="34" charset="0"/>
                <a:ea typeface="+mn-ea"/>
                <a:cs typeface="Arial" pitchFamily="34" charset="0"/>
              </a:defRPr>
            </a:pPr>
            <a:endParaRPr lang="en-US"/>
          </a:p>
        </c:txPr>
        <c:crossAx val="88128512"/>
        <c:crosses val="autoZero"/>
        <c:auto val="1"/>
        <c:lblAlgn val="ctr"/>
        <c:lblOffset val="100"/>
        <c:noMultiLvlLbl val="0"/>
      </c:catAx>
      <c:valAx>
        <c:axId val="88128512"/>
        <c:scaling>
          <c:orientation val="minMax"/>
          <c:max val="100"/>
          <c:min val="0"/>
        </c:scaling>
        <c:delete val="1"/>
        <c:axPos val="l"/>
        <c:numFmt formatCode="0" sourceLinked="1"/>
        <c:majorTickMark val="out"/>
        <c:minorTickMark val="none"/>
        <c:tickLblPos val="nextTo"/>
        <c:crossAx val="88126976"/>
        <c:crosses val="autoZero"/>
        <c:crossBetween val="between"/>
        <c:majorUnit val="20"/>
      </c:valAx>
      <c:spPr>
        <a:noFill/>
        <a:ln w="25400">
          <a:noFill/>
        </a:ln>
        <a:effectLst/>
      </c:spPr>
    </c:plotArea>
    <c:plotVisOnly val="1"/>
    <c:dispBlanksAs val="gap"/>
    <c:showDLblsOverMax val="0"/>
  </c:chart>
  <c:spPr>
    <a:solidFill>
      <a:schemeClr val="bg1"/>
    </a:solidFill>
    <a:ln w="6350" cap="flat" cmpd="sng" algn="ctr">
      <a:solidFill>
        <a:schemeClr val="accent1"/>
      </a:solidFill>
      <a:prstDash val="solid"/>
      <a:round/>
    </a:ln>
    <a:effectLst/>
  </c:spPr>
  <c:txPr>
    <a:bodyPr/>
    <a:lstStyle/>
    <a:p>
      <a:pPr>
        <a:defRPr>
          <a:latin typeface="Arial" pitchFamily="34" charset="0"/>
          <a:cs typeface="Arial" pitchFamily="34"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D5EE-4158-A963-A3D9DACA5FD1}"/>
              </c:ext>
            </c:extLst>
          </c:dPt>
          <c:dPt>
            <c:idx val="12"/>
            <c:invertIfNegative val="0"/>
            <c:bubble3D val="0"/>
            <c:spPr>
              <a:solidFill>
                <a:srgbClr val="5D8395"/>
              </a:solidFill>
              <a:ln>
                <a:noFill/>
              </a:ln>
              <a:effectLst/>
            </c:spPr>
            <c:extLst>
              <c:ext xmlns:c16="http://schemas.microsoft.com/office/drawing/2014/chart" uri="{C3380CC4-5D6E-409C-BE32-E72D297353CC}">
                <c16:uniqueId val="{00000003-D5EE-4158-A963-A3D9DACA5FD1}"/>
              </c:ext>
            </c:extLst>
          </c:dPt>
          <c:dPt>
            <c:idx val="13"/>
            <c:invertIfNegative val="0"/>
            <c:bubble3D val="0"/>
            <c:spPr>
              <a:solidFill>
                <a:srgbClr val="5D8395"/>
              </a:solidFill>
              <a:ln>
                <a:noFill/>
              </a:ln>
              <a:effectLst/>
            </c:spPr>
            <c:extLst>
              <c:ext xmlns:c16="http://schemas.microsoft.com/office/drawing/2014/chart" uri="{C3380CC4-5D6E-409C-BE32-E72D297353CC}">
                <c16:uniqueId val="{00000005-D5EE-4158-A963-A3D9DACA5FD1}"/>
              </c:ext>
            </c:extLst>
          </c:dPt>
          <c:dPt>
            <c:idx val="14"/>
            <c:invertIfNegative val="0"/>
            <c:bubble3D val="0"/>
            <c:spPr>
              <a:solidFill>
                <a:srgbClr val="5D8395"/>
              </a:solidFill>
              <a:ln>
                <a:noFill/>
              </a:ln>
              <a:effectLst/>
            </c:spPr>
            <c:extLst>
              <c:ext xmlns:c16="http://schemas.microsoft.com/office/drawing/2014/chart" uri="{C3380CC4-5D6E-409C-BE32-E72D297353CC}">
                <c16:uniqueId val="{00000007-D5EE-4158-A963-A3D9DACA5FD1}"/>
              </c:ext>
            </c:extLst>
          </c:dPt>
          <c:dPt>
            <c:idx val="15"/>
            <c:invertIfNegative val="0"/>
            <c:bubble3D val="0"/>
            <c:spPr>
              <a:solidFill>
                <a:srgbClr val="5D8395"/>
              </a:solidFill>
              <a:ln>
                <a:noFill/>
              </a:ln>
              <a:effectLst/>
            </c:spPr>
            <c:extLst>
              <c:ext xmlns:c16="http://schemas.microsoft.com/office/drawing/2014/chart" uri="{C3380CC4-5D6E-409C-BE32-E72D297353CC}">
                <c16:uniqueId val="{00000009-D5EE-4158-A963-A3D9DACA5FD1}"/>
              </c:ext>
            </c:extLst>
          </c:dPt>
          <c:dPt>
            <c:idx val="16"/>
            <c:invertIfNegative val="0"/>
            <c:bubble3D val="0"/>
            <c:spPr>
              <a:solidFill>
                <a:srgbClr val="5D8395"/>
              </a:solidFill>
              <a:ln>
                <a:noFill/>
              </a:ln>
              <a:effectLst/>
            </c:spPr>
            <c:extLst>
              <c:ext xmlns:c16="http://schemas.microsoft.com/office/drawing/2014/chart" uri="{C3380CC4-5D6E-409C-BE32-E72D297353CC}">
                <c16:uniqueId val="{0000000B-D5EE-4158-A963-A3D9DACA5FD1}"/>
              </c:ext>
            </c:extLst>
          </c:dPt>
          <c:dPt>
            <c:idx val="18"/>
            <c:invertIfNegative val="0"/>
            <c:bubble3D val="0"/>
            <c:spPr>
              <a:solidFill>
                <a:srgbClr val="1C365F"/>
              </a:solidFill>
              <a:ln>
                <a:noFill/>
              </a:ln>
              <a:effectLst/>
            </c:spPr>
            <c:extLst>
              <c:ext xmlns:c16="http://schemas.microsoft.com/office/drawing/2014/chart" uri="{C3380CC4-5D6E-409C-BE32-E72D297353CC}">
                <c16:uniqueId val="{0000000D-D5EE-4158-A963-A3D9DACA5FD1}"/>
              </c:ext>
            </c:extLst>
          </c:dPt>
          <c:dPt>
            <c:idx val="19"/>
            <c:invertIfNegative val="0"/>
            <c:bubble3D val="0"/>
            <c:spPr>
              <a:solidFill>
                <a:srgbClr val="1C365F"/>
              </a:solidFill>
              <a:ln>
                <a:noFill/>
              </a:ln>
              <a:effectLst/>
            </c:spPr>
            <c:extLst>
              <c:ext xmlns:c16="http://schemas.microsoft.com/office/drawing/2014/chart" uri="{C3380CC4-5D6E-409C-BE32-E72D297353CC}">
                <c16:uniqueId val="{0000000F-D5EE-4158-A963-A3D9DACA5FD1}"/>
              </c:ext>
            </c:extLst>
          </c:dPt>
          <c:dPt>
            <c:idx val="20"/>
            <c:invertIfNegative val="0"/>
            <c:bubble3D val="0"/>
            <c:spPr>
              <a:solidFill>
                <a:srgbClr val="1C365F"/>
              </a:solidFill>
              <a:ln>
                <a:noFill/>
              </a:ln>
              <a:effectLst/>
            </c:spPr>
            <c:extLst>
              <c:ext xmlns:c16="http://schemas.microsoft.com/office/drawing/2014/chart" uri="{C3380CC4-5D6E-409C-BE32-E72D297353CC}">
                <c16:uniqueId val="{00000011-D5EE-4158-A963-A3D9DACA5FD1}"/>
              </c:ext>
            </c:extLst>
          </c:dPt>
          <c:dPt>
            <c:idx val="21"/>
            <c:invertIfNegative val="0"/>
            <c:bubble3D val="0"/>
            <c:spPr>
              <a:solidFill>
                <a:srgbClr val="1C365F"/>
              </a:solidFill>
              <a:ln>
                <a:noFill/>
              </a:ln>
              <a:effectLst/>
            </c:spPr>
            <c:extLst>
              <c:ext xmlns:c16="http://schemas.microsoft.com/office/drawing/2014/chart" uri="{C3380CC4-5D6E-409C-BE32-E72D297353CC}">
                <c16:uniqueId val="{00000013-D5EE-4158-A963-A3D9DACA5FD1}"/>
              </c:ext>
            </c:extLst>
          </c:dPt>
          <c:dPt>
            <c:idx val="22"/>
            <c:invertIfNegative val="0"/>
            <c:bubble3D val="0"/>
            <c:spPr>
              <a:solidFill>
                <a:srgbClr val="1C365F"/>
              </a:solidFill>
              <a:ln>
                <a:noFill/>
              </a:ln>
              <a:effectLst/>
            </c:spPr>
            <c:extLst>
              <c:ext xmlns:c16="http://schemas.microsoft.com/office/drawing/2014/chart" uri="{C3380CC4-5D6E-409C-BE32-E72D297353CC}">
                <c16:uniqueId val="{00000015-D5EE-4158-A963-A3D9DACA5FD1}"/>
              </c:ext>
            </c:extLst>
          </c:dPt>
          <c:dLbls>
            <c:dLbl>
              <c:idx val="3"/>
              <c:tx>
                <c:rich>
                  <a:bodyPr/>
                  <a:lstStyle/>
                  <a:p>
                    <a:fld id="{F2C1B434-952D-4EC4-9FFB-CB0469EE7FA5}" type="VALUE">
                      <a:rPr lang="en-US">
                        <a:solidFill>
                          <a:sysClr val="windowText" lastClr="000000"/>
                        </a:solidFill>
                      </a:rPr>
                      <a:pPr/>
                      <a:t>[VALUE]</a:t>
                    </a:fld>
                    <a:r>
                      <a:rPr lang="en-US" sz="800" b="0" i="0" u="none" strike="noStrike" kern="1200" baseline="0">
                        <a:solidFill>
                          <a:sysClr val="windowText" lastClr="000000"/>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D5EE-4158-A963-A3D9DACA5FD1}"/>
                </c:ext>
              </c:extLst>
            </c:dLbl>
            <c:dLbl>
              <c:idx val="5"/>
              <c:tx>
                <c:rich>
                  <a:bodyPr/>
                  <a:lstStyle/>
                  <a:p>
                    <a:fld id="{591DB0C2-80FA-471E-B05E-015D6781E352}"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D5EE-4158-A963-A3D9DACA5FD1}"/>
                </c:ext>
              </c:extLst>
            </c:dLbl>
            <c:dLbl>
              <c:idx val="6"/>
              <c:tx>
                <c:rich>
                  <a:bodyPr/>
                  <a:lstStyle/>
                  <a:p>
                    <a:fld id="{7B326185-CCD1-49FE-A54D-AC914E74563C}" type="VALUE">
                      <a:rPr lang="en-US">
                        <a:solidFill>
                          <a:sysClr val="windowText" lastClr="000000"/>
                        </a:solidFill>
                      </a:rPr>
                      <a:pPr/>
                      <a:t>[VALUE]</a:t>
                    </a:fld>
                    <a:r>
                      <a:rPr lang="en-US">
                        <a:solidFill>
                          <a:sysClr val="windowText" lastClr="000000"/>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8-D5EE-4158-A963-A3D9DACA5FD1}"/>
                </c:ext>
              </c:extLst>
            </c:dLbl>
            <c:dLbl>
              <c:idx val="10"/>
              <c:tx>
                <c:rich>
                  <a:bodyPr/>
                  <a:lstStyle/>
                  <a:p>
                    <a:fld id="{391E269E-4A28-4594-8FC0-85D8AA4CFC06}" type="VALUE">
                      <a:rPr lang="en-US">
                        <a:solidFill>
                          <a:sysClr val="windowText" lastClr="000000"/>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D5EE-4158-A963-A3D9DACA5FD1}"/>
                </c:ext>
              </c:extLst>
            </c:dLbl>
            <c:dLbl>
              <c:idx val="22"/>
              <c:tx>
                <c:rich>
                  <a:bodyPr/>
                  <a:lstStyle/>
                  <a:p>
                    <a:fld id="{B93C51BB-1997-4D77-A920-854031B1F4EC}" type="VALUE">
                      <a:rPr lang="en-US">
                        <a:solidFill>
                          <a:sysClr val="windowText" lastClr="000000"/>
                        </a:solidFill>
                      </a:rPr>
                      <a:pPr/>
                      <a:t>[VALUE]</a:t>
                    </a:fld>
                    <a:r>
                      <a:rPr lang="en-US">
                        <a:solidFill>
                          <a:sysClr val="windowText" lastClr="000000"/>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D5EE-4158-A963-A3D9DACA5F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Sheet1!$A$2:$A$24</c:f>
              <c:strCache>
                <c:ptCount val="23"/>
                <c:pt idx="0">
                  <c:v>Total</c:v>
                </c:pt>
                <c:pt idx="2">
                  <c:v>Australian Capital Territory</c:v>
                </c:pt>
                <c:pt idx="3">
                  <c:v>Comcare</c:v>
                </c:pt>
                <c:pt idx="4">
                  <c:v>New South Wales</c:v>
                </c:pt>
                <c:pt idx="5">
                  <c:v>Northern Territory</c:v>
                </c:pt>
                <c:pt idx="6">
                  <c:v>Queensland</c:v>
                </c:pt>
                <c:pt idx="7">
                  <c:v>Seacare</c:v>
                </c:pt>
                <c:pt idx="8">
                  <c:v>Tasmania</c:v>
                </c:pt>
                <c:pt idx="9">
                  <c:v>Western Australia</c:v>
                </c:pt>
                <c:pt idx="10">
                  <c:v>Victoria</c:v>
                </c:pt>
                <c:pt idx="12">
                  <c:v>Fractures</c:v>
                </c:pt>
                <c:pt idx="13">
                  <c:v>Musculoskeletal Disorders</c:v>
                </c:pt>
                <c:pt idx="14">
                  <c:v>Other Trauma</c:v>
                </c:pt>
                <c:pt idx="15">
                  <c:v>Mental Illness</c:v>
                </c:pt>
                <c:pt idx="16">
                  <c:v>Other Diseases</c:v>
                </c:pt>
                <c:pt idx="18">
                  <c:v>Up to 180 days</c:v>
                </c:pt>
                <c:pt idx="19">
                  <c:v>181 to 270 days</c:v>
                </c:pt>
                <c:pt idx="20">
                  <c:v>271 to 365 days</c:v>
                </c:pt>
                <c:pt idx="21">
                  <c:v>366 to 730 days</c:v>
                </c:pt>
                <c:pt idx="22">
                  <c:v>More than 730 days</c:v>
                </c:pt>
              </c:strCache>
            </c:strRef>
          </c:cat>
          <c:val>
            <c:numRef>
              <c:f>Sheet1!$B$2:$B$24</c:f>
              <c:numCache>
                <c:formatCode>General</c:formatCode>
                <c:ptCount val="23"/>
                <c:pt idx="0" formatCode="0.0">
                  <c:v>25.480910983560001</c:v>
                </c:pt>
                <c:pt idx="2" formatCode="0.0">
                  <c:v>31.635127763260002</c:v>
                </c:pt>
                <c:pt idx="3" formatCode="0.0">
                  <c:v>34.306623263959999</c:v>
                </c:pt>
                <c:pt idx="4" formatCode="0.0">
                  <c:v>29.572702225909996</c:v>
                </c:pt>
                <c:pt idx="5" formatCode="0.0">
                  <c:v>28.40747518929</c:v>
                </c:pt>
                <c:pt idx="6" formatCode="0.0">
                  <c:v>20.48506653131</c:v>
                </c:pt>
                <c:pt idx="7" formatCode="0.0">
                  <c:v>25.611595397660004</c:v>
                </c:pt>
                <c:pt idx="8" formatCode="0.0">
                  <c:v>21.01815150449</c:v>
                </c:pt>
                <c:pt idx="9" formatCode="0.0">
                  <c:v>20.987401237650001</c:v>
                </c:pt>
                <c:pt idx="10" formatCode="0.0">
                  <c:v>26.769220328199999</c:v>
                </c:pt>
                <c:pt idx="12" formatCode="0.0">
                  <c:v>20.812860352400001</c:v>
                </c:pt>
                <c:pt idx="13" formatCode="0.0">
                  <c:v>26.226035112999995</c:v>
                </c:pt>
                <c:pt idx="14" formatCode="0.0">
                  <c:v>24.879928874379999</c:v>
                </c:pt>
                <c:pt idx="15" formatCode="0.0">
                  <c:v>33.303769308429999</c:v>
                </c:pt>
                <c:pt idx="16" formatCode="0.0">
                  <c:v>22.21340702969</c:v>
                </c:pt>
                <c:pt idx="18" formatCode="0.0">
                  <c:v>22.49771721015</c:v>
                </c:pt>
                <c:pt idx="19" formatCode="0.0">
                  <c:v>19.997962648840002</c:v>
                </c:pt>
                <c:pt idx="20" formatCode="0.0">
                  <c:v>28.273983830150001</c:v>
                </c:pt>
                <c:pt idx="21" formatCode="0.0">
                  <c:v>25.112793557530001</c:v>
                </c:pt>
                <c:pt idx="22" formatCode="0.0">
                  <c:v>34.75359040651</c:v>
                </c:pt>
              </c:numCache>
            </c:numRef>
          </c:val>
          <c:extLst>
            <c:ext xmlns:c16="http://schemas.microsoft.com/office/drawing/2014/chart" uri="{C3380CC4-5D6E-409C-BE32-E72D297353CC}">
              <c16:uniqueId val="{0000001A-D5EE-4158-A963-A3D9DACA5FD1}"/>
            </c:ext>
          </c:extLst>
        </c:ser>
        <c:dLbls>
          <c:showLegendKey val="0"/>
          <c:showVal val="0"/>
          <c:showCatName val="0"/>
          <c:showSerName val="0"/>
          <c:showPercent val="0"/>
          <c:showBubbleSize val="0"/>
        </c:dLbls>
        <c:gapWidth val="75"/>
        <c:axId val="544463816"/>
        <c:axId val="544464144"/>
      </c:barChart>
      <c:catAx>
        <c:axId val="5444638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44464144"/>
        <c:crosses val="autoZero"/>
        <c:auto val="1"/>
        <c:lblAlgn val="ctr"/>
        <c:lblOffset val="100"/>
        <c:noMultiLvlLbl val="0"/>
      </c:catAx>
      <c:valAx>
        <c:axId val="544464144"/>
        <c:scaling>
          <c:orientation val="minMax"/>
          <c:max val="100"/>
        </c:scaling>
        <c:delete val="1"/>
        <c:axPos val="t"/>
        <c:numFmt formatCode="0.0" sourceLinked="1"/>
        <c:majorTickMark val="out"/>
        <c:minorTickMark val="none"/>
        <c:tickLblPos val="nextTo"/>
        <c:crossAx val="5444638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976881473057324E-2"/>
          <c:y val="0.15740740740740741"/>
          <c:w val="0.94466120896960648"/>
          <c:h val="0.72068057796803631"/>
        </c:manualLayout>
      </c:layout>
      <c:barChart>
        <c:barDir val="col"/>
        <c:grouping val="clustered"/>
        <c:varyColors val="0"/>
        <c:ser>
          <c:idx val="0"/>
          <c:order val="0"/>
          <c:tx>
            <c:strRef>
              <c:f>'Current RTW (2018)'!$B$4</c:f>
              <c:strCache>
                <c:ptCount val="1"/>
                <c:pt idx="0">
                  <c:v>%</c:v>
                </c:pt>
              </c:strCache>
            </c:strRef>
          </c:tx>
          <c:spPr>
            <a:solidFill>
              <a:schemeClr val="accent1"/>
            </a:solidFill>
            <a:ln>
              <a:noFill/>
            </a:ln>
            <a:effectLst/>
          </c:spPr>
          <c:invertIfNegative val="0"/>
          <c:dPt>
            <c:idx val="9"/>
            <c:invertIfNegative val="0"/>
            <c:bubble3D val="0"/>
            <c:spPr>
              <a:solidFill>
                <a:srgbClr val="5AC0E7"/>
              </a:solidFill>
              <a:ln>
                <a:noFill/>
              </a:ln>
              <a:effectLst/>
            </c:spPr>
            <c:extLst>
              <c:ext xmlns:c16="http://schemas.microsoft.com/office/drawing/2014/chart" uri="{C3380CC4-5D6E-409C-BE32-E72D297353CC}">
                <c16:uniqueId val="{00000001-A3C4-4C5C-9C76-EED5B0288C42}"/>
              </c:ext>
            </c:extLst>
          </c:dPt>
          <c:dLbls>
            <c:dLbl>
              <c:idx val="6"/>
              <c:tx>
                <c:rich>
                  <a:bodyPr/>
                  <a:lstStyle/>
                  <a:p>
                    <a:fld id="{6CEF2801-C73D-48AF-AEEB-927EDCF05BA4}" type="VALUE">
                      <a:rPr lang="en-US">
                        <a:solidFill>
                          <a:sysClr val="windowText" lastClr="000000"/>
                        </a:solidFill>
                      </a:rPr>
                      <a:pPr/>
                      <a:t>[VALUE]</a:t>
                    </a:fld>
                    <a:r>
                      <a:rPr lang="en-US">
                        <a:solidFill>
                          <a:sysClr val="windowText" lastClr="000000"/>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A3C4-4C5C-9C76-EED5B0288C42}"/>
                </c:ext>
              </c:extLst>
            </c:dLbl>
            <c:dLbl>
              <c:idx val="7"/>
              <c:tx>
                <c:rich>
                  <a:bodyPr/>
                  <a:lstStyle/>
                  <a:p>
                    <a:fld id="{4AC1F687-E63B-4596-B7EF-F159925C55C1}" type="VALUE">
                      <a:rPr lang="en-US">
                        <a:solidFill>
                          <a:sysClr val="windowText" lastClr="000000"/>
                        </a:solidFill>
                      </a:rPr>
                      <a:pPr/>
                      <a:t>[VALUE]</a:t>
                    </a:fld>
                    <a:r>
                      <a:rPr lang="en-US">
                        <a:solidFill>
                          <a:sysClr val="windowText" lastClr="000000"/>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3C4-4C5C-9C76-EED5B0288C42}"/>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itchFamily="34" charset="0"/>
                    <a:ea typeface="+mn-ea"/>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'Current RTW (2018)'!$C$3:$L$3</c:f>
              <c:strCache>
                <c:ptCount val="10"/>
                <c:pt idx="0">
                  <c:v>VIC</c:v>
                </c:pt>
                <c:pt idx="1">
                  <c:v>QLD</c:v>
                </c:pt>
                <c:pt idx="2">
                  <c:v>WA</c:v>
                </c:pt>
                <c:pt idx="3">
                  <c:v>TAS</c:v>
                </c:pt>
                <c:pt idx="4">
                  <c:v>COM</c:v>
                </c:pt>
                <c:pt idx="5">
                  <c:v>ACT</c:v>
                </c:pt>
                <c:pt idx="6">
                  <c:v>SEA*</c:v>
                </c:pt>
                <c:pt idx="7">
                  <c:v>NT</c:v>
                </c:pt>
                <c:pt idx="8">
                  <c:v>NSW</c:v>
                </c:pt>
                <c:pt idx="9">
                  <c:v>AUS</c:v>
                </c:pt>
              </c:strCache>
            </c:strRef>
          </c:cat>
          <c:val>
            <c:numRef>
              <c:f>'Current RTW (2018)'!$C$4:$L$4</c:f>
              <c:numCache>
                <c:formatCode>0</c:formatCode>
                <c:ptCount val="10"/>
                <c:pt idx="0">
                  <c:v>80.960892303712257</c:v>
                </c:pt>
                <c:pt idx="1">
                  <c:v>83.354440685936595</c:v>
                </c:pt>
                <c:pt idx="2">
                  <c:v>82.11005708189812</c:v>
                </c:pt>
                <c:pt idx="3">
                  <c:v>79.329496279342493</c:v>
                </c:pt>
                <c:pt idx="4">
                  <c:v>84.606563181734657</c:v>
                </c:pt>
                <c:pt idx="5">
                  <c:v>86.302365243592533</c:v>
                </c:pt>
                <c:pt idx="6">
                  <c:v>68.081149619611153</c:v>
                </c:pt>
                <c:pt idx="7">
                  <c:v>73.436935172613659</c:v>
                </c:pt>
                <c:pt idx="8">
                  <c:v>81.148197330040517</c:v>
                </c:pt>
                <c:pt idx="9">
                  <c:v>81.794111929159612</c:v>
                </c:pt>
              </c:numCache>
            </c:numRef>
          </c:val>
          <c:extLst>
            <c:ext xmlns:c16="http://schemas.microsoft.com/office/drawing/2014/chart" uri="{C3380CC4-5D6E-409C-BE32-E72D297353CC}">
              <c16:uniqueId val="{00000004-A3C4-4C5C-9C76-EED5B0288C42}"/>
            </c:ext>
          </c:extLst>
        </c:ser>
        <c:dLbls>
          <c:showLegendKey val="0"/>
          <c:showVal val="0"/>
          <c:showCatName val="0"/>
          <c:showSerName val="0"/>
          <c:showPercent val="0"/>
          <c:showBubbleSize val="0"/>
        </c:dLbls>
        <c:gapWidth val="50"/>
        <c:axId val="88126976"/>
        <c:axId val="88128512"/>
      </c:barChart>
      <c:catAx>
        <c:axId val="88126976"/>
        <c:scaling>
          <c:orientation val="minMax"/>
        </c:scaling>
        <c:delete val="0"/>
        <c:axPos val="b"/>
        <c:numFmt formatCode="General" sourceLinked="0"/>
        <c:majorTickMark val="out"/>
        <c:minorTickMark val="none"/>
        <c:tickLblPos val="nextTo"/>
        <c:spPr>
          <a:noFill/>
          <a:ln w="6350" cap="flat" cmpd="sng" algn="ctr">
            <a:solidFill>
              <a:schemeClr val="bg1">
                <a:lumMod val="7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itchFamily="34" charset="0"/>
                <a:ea typeface="+mn-ea"/>
                <a:cs typeface="Arial" pitchFamily="34" charset="0"/>
              </a:defRPr>
            </a:pPr>
            <a:endParaRPr lang="en-US"/>
          </a:p>
        </c:txPr>
        <c:crossAx val="88128512"/>
        <c:crosses val="autoZero"/>
        <c:auto val="1"/>
        <c:lblAlgn val="ctr"/>
        <c:lblOffset val="100"/>
        <c:noMultiLvlLbl val="0"/>
      </c:catAx>
      <c:valAx>
        <c:axId val="88128512"/>
        <c:scaling>
          <c:orientation val="minMax"/>
          <c:max val="100"/>
        </c:scaling>
        <c:delete val="1"/>
        <c:axPos val="l"/>
        <c:numFmt formatCode="0" sourceLinked="1"/>
        <c:majorTickMark val="out"/>
        <c:minorTickMark val="none"/>
        <c:tickLblPos val="nextTo"/>
        <c:crossAx val="88126976"/>
        <c:crosses val="autoZero"/>
        <c:crossBetween val="between"/>
        <c:majorUnit val="20"/>
      </c:valAx>
      <c:spPr>
        <a:noFill/>
        <a:ln w="25400">
          <a:noFill/>
        </a:ln>
        <a:effectLst/>
      </c:spPr>
    </c:plotArea>
    <c:plotVisOnly val="1"/>
    <c:dispBlanksAs val="gap"/>
    <c:showDLblsOverMax val="0"/>
  </c:chart>
  <c:spPr>
    <a:solidFill>
      <a:schemeClr val="bg1"/>
    </a:solidFill>
    <a:ln w="6350" cap="flat" cmpd="sng" algn="ctr">
      <a:solidFill>
        <a:schemeClr val="accent1"/>
      </a:solidFill>
      <a:prstDash val="solid"/>
      <a:round/>
    </a:ln>
    <a:effectLst/>
  </c:spPr>
  <c:txPr>
    <a:bodyPr/>
    <a:lstStyle/>
    <a:p>
      <a:pPr>
        <a:defRPr>
          <a:latin typeface="Arial" pitchFamily="34" charset="0"/>
          <a:cs typeface="Arial"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Current RTW Rate</c:v>
                </c:pt>
              </c:strCache>
            </c:strRef>
          </c:tx>
          <c:spPr>
            <a:solidFill>
              <a:schemeClr val="accent1"/>
            </a:solidFill>
            <a:ln>
              <a:noFill/>
            </a:ln>
            <a:effectLst/>
          </c:spPr>
          <c:invertIfNegative val="0"/>
          <c:dLbls>
            <c:dLbl>
              <c:idx val="0"/>
              <c:tx>
                <c:rich>
                  <a:bodyPr/>
                  <a:lstStyle/>
                  <a:p>
                    <a:fld id="{9A551070-F999-44C3-8678-4FDE1CE19831}"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8ED7-4ACB-AFC2-CE9D6770EA47}"/>
                </c:ext>
              </c:extLst>
            </c:dLbl>
            <c:dLbl>
              <c:idx val="1"/>
              <c:tx>
                <c:rich>
                  <a:bodyPr/>
                  <a:lstStyle/>
                  <a:p>
                    <a:fld id="{FF66D5C5-CCC7-44AD-8B66-5EFEDCDF320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ED7-4ACB-AFC2-CE9D6770EA47}"/>
                </c:ext>
              </c:extLst>
            </c:dLbl>
            <c:dLbl>
              <c:idx val="2"/>
              <c:tx>
                <c:rich>
                  <a:bodyPr/>
                  <a:lstStyle/>
                  <a:p>
                    <a:fld id="{4979A8D6-659A-4182-BC4A-45AD96A024A4}"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ED7-4ACB-AFC2-CE9D6770EA4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Small (Less than $1m)</c:v>
                </c:pt>
                <c:pt idx="1">
                  <c:v>Medium (Between $1m and less than $20m)</c:v>
                </c:pt>
                <c:pt idx="2">
                  <c:v>Large ($20m or more)</c:v>
                </c:pt>
              </c:strCache>
            </c:strRef>
          </c:cat>
          <c:val>
            <c:numRef>
              <c:f>Sheet1!$B$2:$D$2</c:f>
              <c:numCache>
                <c:formatCode>General</c:formatCode>
                <c:ptCount val="3"/>
                <c:pt idx="0">
                  <c:v>73.496740061099999</c:v>
                </c:pt>
                <c:pt idx="1">
                  <c:v>74.985237012979994</c:v>
                </c:pt>
                <c:pt idx="2">
                  <c:v>81.913978789279994</c:v>
                </c:pt>
              </c:numCache>
            </c:numRef>
          </c:val>
          <c:extLst>
            <c:ext xmlns:c16="http://schemas.microsoft.com/office/drawing/2014/chart" uri="{C3380CC4-5D6E-409C-BE32-E72D297353CC}">
              <c16:uniqueId val="{00000000-8ED7-4ACB-AFC2-CE9D6770EA47}"/>
            </c:ext>
          </c:extLst>
        </c:ser>
        <c:dLbls>
          <c:showLegendKey val="0"/>
          <c:showVal val="0"/>
          <c:showCatName val="0"/>
          <c:showSerName val="0"/>
          <c:showPercent val="0"/>
          <c:showBubbleSize val="0"/>
        </c:dLbls>
        <c:gapWidth val="150"/>
        <c:axId val="367250144"/>
        <c:axId val="367251128"/>
      </c:barChart>
      <c:catAx>
        <c:axId val="36725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67251128"/>
        <c:crosses val="autoZero"/>
        <c:auto val="1"/>
        <c:lblAlgn val="ctr"/>
        <c:lblOffset val="100"/>
        <c:noMultiLvlLbl val="0"/>
      </c:catAx>
      <c:valAx>
        <c:axId val="367251128"/>
        <c:scaling>
          <c:orientation val="minMax"/>
          <c:min val="0"/>
        </c:scaling>
        <c:delete val="1"/>
        <c:axPos val="l"/>
        <c:numFmt formatCode="General" sourceLinked="1"/>
        <c:majorTickMark val="none"/>
        <c:minorTickMark val="none"/>
        <c:tickLblPos val="nextTo"/>
        <c:crossAx val="3672501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135620588771499E-2"/>
          <c:y val="9.7222222222222224E-2"/>
          <c:w val="0.95603434355711037"/>
          <c:h val="0.77129157362792322"/>
        </c:manualLayout>
      </c:layout>
      <c:barChart>
        <c:barDir val="col"/>
        <c:grouping val="clustered"/>
        <c:varyColors val="0"/>
        <c:ser>
          <c:idx val="0"/>
          <c:order val="0"/>
          <c:tx>
            <c:strRef>
              <c:f>'FIg 1'!$B$4</c:f>
              <c:strCache>
                <c:ptCount val="1"/>
                <c:pt idx="0">
                  <c:v>%</c:v>
                </c:pt>
              </c:strCache>
            </c:strRef>
          </c:tx>
          <c:spPr>
            <a:solidFill>
              <a:srgbClr val="76BDE1"/>
            </a:solidFill>
          </c:spPr>
          <c:invertIfNegative val="0"/>
          <c:dPt>
            <c:idx val="8"/>
            <c:invertIfNegative val="0"/>
            <c:bubble3D val="0"/>
            <c:spPr>
              <a:solidFill>
                <a:srgbClr val="2A8CBE"/>
              </a:solidFill>
            </c:spPr>
            <c:extLst>
              <c:ext xmlns:c16="http://schemas.microsoft.com/office/drawing/2014/chart" uri="{C3380CC4-5D6E-409C-BE32-E72D297353CC}">
                <c16:uniqueId val="{00000001-5C7F-4A91-9A61-7C6796A08D3D}"/>
              </c:ext>
            </c:extLst>
          </c:dPt>
          <c:dLbls>
            <c:numFmt formatCode="#,##0.0" sourceLinked="0"/>
            <c:spPr>
              <a:noFill/>
              <a:ln>
                <a:noFill/>
              </a:ln>
              <a:effectLst/>
            </c:spPr>
            <c:txPr>
              <a:bodyPr/>
              <a:lstStyle/>
              <a:p>
                <a:pPr>
                  <a:defRPr sz="900" b="0">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 1'!$C$3:$L$3</c:f>
              <c:strCache>
                <c:ptCount val="9"/>
                <c:pt idx="0">
                  <c:v>VIC</c:v>
                </c:pt>
                <c:pt idx="1">
                  <c:v>QLD</c:v>
                </c:pt>
                <c:pt idx="2">
                  <c:v>WA</c:v>
                </c:pt>
                <c:pt idx="3">
                  <c:v>TAS</c:v>
                </c:pt>
                <c:pt idx="4">
                  <c:v>COM</c:v>
                </c:pt>
                <c:pt idx="5">
                  <c:v>ACT</c:v>
                </c:pt>
                <c:pt idx="6">
                  <c:v>NT</c:v>
                </c:pt>
                <c:pt idx="7">
                  <c:v>NSW</c:v>
                </c:pt>
                <c:pt idx="8">
                  <c:v>AUS</c:v>
                </c:pt>
              </c:strCache>
            </c:strRef>
          </c:cat>
          <c:val>
            <c:numRef>
              <c:f>'FIg 1'!$C$4:$L$4</c:f>
              <c:numCache>
                <c:formatCode>0</c:formatCode>
                <c:ptCount val="9"/>
                <c:pt idx="0">
                  <c:v>86.716791979949932</c:v>
                </c:pt>
                <c:pt idx="1">
                  <c:v>82.687927107061583</c:v>
                </c:pt>
                <c:pt idx="2">
                  <c:v>87.131367292225207</c:v>
                </c:pt>
                <c:pt idx="3">
                  <c:v>92.682926829268311</c:v>
                </c:pt>
                <c:pt idx="4">
                  <c:v>82.352941176470537</c:v>
                </c:pt>
                <c:pt idx="5">
                  <c:v>84.615384615384642</c:v>
                </c:pt>
                <c:pt idx="6">
                  <c:v>79.487179487179532</c:v>
                </c:pt>
                <c:pt idx="7">
                  <c:v>88.544152744630281</c:v>
                </c:pt>
                <c:pt idx="8">
                  <c:v>86.378361386616689</c:v>
                </c:pt>
              </c:numCache>
            </c:numRef>
          </c:val>
          <c:extLst>
            <c:ext xmlns:c16="http://schemas.microsoft.com/office/drawing/2014/chart" uri="{C3380CC4-5D6E-409C-BE32-E72D297353CC}">
              <c16:uniqueId val="{00000002-5C7F-4A91-9A61-7C6796A08D3D}"/>
            </c:ext>
          </c:extLst>
        </c:ser>
        <c:dLbls>
          <c:showLegendKey val="0"/>
          <c:showVal val="0"/>
          <c:showCatName val="0"/>
          <c:showSerName val="0"/>
          <c:showPercent val="0"/>
          <c:showBubbleSize val="0"/>
        </c:dLbls>
        <c:gapWidth val="50"/>
        <c:axId val="88373504"/>
        <c:axId val="88375296"/>
      </c:barChart>
      <c:catAx>
        <c:axId val="88373504"/>
        <c:scaling>
          <c:orientation val="minMax"/>
        </c:scaling>
        <c:delete val="0"/>
        <c:axPos val="b"/>
        <c:numFmt formatCode="General" sourceLinked="0"/>
        <c:majorTickMark val="out"/>
        <c:minorTickMark val="none"/>
        <c:tickLblPos val="nextTo"/>
        <c:spPr>
          <a:ln>
            <a:solidFill>
              <a:schemeClr val="bg1">
                <a:lumMod val="75000"/>
              </a:schemeClr>
            </a:solidFill>
          </a:ln>
        </c:spPr>
        <c:txPr>
          <a:bodyPr/>
          <a:lstStyle/>
          <a:p>
            <a:pPr>
              <a:defRPr sz="900">
                <a:solidFill>
                  <a:sysClr val="windowText" lastClr="000000"/>
                </a:solidFill>
              </a:defRPr>
            </a:pPr>
            <a:endParaRPr lang="en-US"/>
          </a:p>
        </c:txPr>
        <c:crossAx val="88375296"/>
        <c:crosses val="autoZero"/>
        <c:auto val="1"/>
        <c:lblAlgn val="ctr"/>
        <c:lblOffset val="100"/>
        <c:noMultiLvlLbl val="0"/>
      </c:catAx>
      <c:valAx>
        <c:axId val="88375296"/>
        <c:scaling>
          <c:orientation val="minMax"/>
          <c:max val="100"/>
        </c:scaling>
        <c:delete val="1"/>
        <c:axPos val="l"/>
        <c:numFmt formatCode="#,##0" sourceLinked="0"/>
        <c:majorTickMark val="out"/>
        <c:minorTickMark val="none"/>
        <c:tickLblPos val="nextTo"/>
        <c:crossAx val="88373504"/>
        <c:crosses val="autoZero"/>
        <c:crossBetween val="between"/>
        <c:majorUnit val="20"/>
      </c:valAx>
      <c:spPr>
        <a:noFill/>
        <a:ln w="25400">
          <a:noFill/>
        </a:ln>
      </c:spPr>
    </c:plotArea>
    <c:plotVisOnly val="1"/>
    <c:dispBlanksAs val="gap"/>
    <c:showDLblsOverMax val="0"/>
  </c:chart>
  <c:spPr>
    <a:ln>
      <a:solidFill>
        <a:srgbClr val="1F698E"/>
      </a:solidFill>
    </a:ln>
  </c:spPr>
  <c:txPr>
    <a:bodyPr/>
    <a:lstStyle/>
    <a:p>
      <a:pPr>
        <a:defRPr>
          <a:latin typeface="Arial" pitchFamily="34" charset="0"/>
          <a:cs typeface="Arial"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9670298062057312E-2"/>
          <c:y val="0.15740740740740741"/>
          <c:w val="0.94559774206306402"/>
          <c:h val="0.70401608889797862"/>
        </c:manualLayout>
      </c:layout>
      <c:barChart>
        <c:barDir val="col"/>
        <c:grouping val="clustered"/>
        <c:varyColors val="0"/>
        <c:ser>
          <c:idx val="0"/>
          <c:order val="0"/>
          <c:spPr>
            <a:solidFill>
              <a:srgbClr val="76BDE1"/>
            </a:solidFill>
          </c:spPr>
          <c:invertIfNegative val="0"/>
          <c:dPt>
            <c:idx val="8"/>
            <c:invertIfNegative val="0"/>
            <c:bubble3D val="0"/>
            <c:spPr>
              <a:solidFill>
                <a:srgbClr val="2A8CBE"/>
              </a:solidFill>
            </c:spPr>
            <c:extLst>
              <c:ext xmlns:c16="http://schemas.microsoft.com/office/drawing/2014/chart" uri="{C3380CC4-5D6E-409C-BE32-E72D297353CC}">
                <c16:uniqueId val="{00000001-5AE2-4871-8AC4-DFACE5D7CDB8}"/>
              </c:ext>
            </c:extLst>
          </c:dPt>
          <c:dLbls>
            <c:dLbl>
              <c:idx val="6"/>
              <c:tx>
                <c:rich>
                  <a:bodyPr/>
                  <a:lstStyle/>
                  <a:p>
                    <a:fld id="{AD0CD91D-FCE6-4E18-87D8-7C002B8D297B}" type="VALUE">
                      <a:rPr lang="en-US">
                        <a:solidFill>
                          <a:sysClr val="windowText" lastClr="000000"/>
                        </a:solidFill>
                      </a:rPr>
                      <a:pPr/>
                      <a:t>[VALUE]</a:t>
                    </a:fld>
                    <a:r>
                      <a:rPr lang="en-US">
                        <a:solidFill>
                          <a:sysClr val="windowText" lastClr="000000"/>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AAE-45AD-9F22-41578439F3F8}"/>
                </c:ext>
              </c:extLst>
            </c:dLbl>
            <c:dLbl>
              <c:idx val="7"/>
              <c:tx>
                <c:rich>
                  <a:bodyPr/>
                  <a:lstStyle/>
                  <a:p>
                    <a:fld id="{354826C0-94C8-4CEF-BB5D-7DF122EE5F2E}" type="VALUE">
                      <a:rPr lang="en-US">
                        <a:solidFill>
                          <a:sysClr val="windowText" lastClr="000000"/>
                        </a:solidFill>
                      </a:rPr>
                      <a:pPr/>
                      <a:t>[VALUE]</a:t>
                    </a:fld>
                    <a:r>
                      <a:rPr lang="en-US">
                        <a:solidFill>
                          <a:sysClr val="windowText" lastClr="000000"/>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AAE-45AD-9F22-41578439F3F8}"/>
                </c:ext>
              </c:extLst>
            </c:dLbl>
            <c:numFmt formatCode="#,##0.0" sourceLinked="0"/>
            <c:spPr>
              <a:noFill/>
              <a:ln>
                <a:noFill/>
              </a:ln>
              <a:effectLst/>
            </c:spPr>
            <c:txPr>
              <a:bodyPr/>
              <a:lstStyle/>
              <a:p>
                <a:pPr>
                  <a:defRPr sz="900" b="0">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 2'!$C$3:$L$3</c:f>
              <c:strCache>
                <c:ptCount val="9"/>
                <c:pt idx="0">
                  <c:v>VIC</c:v>
                </c:pt>
                <c:pt idx="1">
                  <c:v>QLD</c:v>
                </c:pt>
                <c:pt idx="2">
                  <c:v>WA</c:v>
                </c:pt>
                <c:pt idx="3">
                  <c:v>TAS</c:v>
                </c:pt>
                <c:pt idx="4">
                  <c:v>COM</c:v>
                </c:pt>
                <c:pt idx="5">
                  <c:v>ACT</c:v>
                </c:pt>
                <c:pt idx="6">
                  <c:v>NT</c:v>
                </c:pt>
                <c:pt idx="7">
                  <c:v>NSW</c:v>
                </c:pt>
                <c:pt idx="8">
                  <c:v>AUS</c:v>
                </c:pt>
              </c:strCache>
            </c:strRef>
          </c:cat>
          <c:val>
            <c:numRef>
              <c:f>'Fig 2'!$C$4:$L$4</c:f>
              <c:numCache>
                <c:formatCode>0</c:formatCode>
                <c:ptCount val="9"/>
                <c:pt idx="0">
                  <c:v>76.190476190476289</c:v>
                </c:pt>
                <c:pt idx="1">
                  <c:v>72.892938496583255</c:v>
                </c:pt>
                <c:pt idx="2">
                  <c:v>74.530831099195709</c:v>
                </c:pt>
                <c:pt idx="3">
                  <c:v>80.48780487804882</c:v>
                </c:pt>
                <c:pt idx="4">
                  <c:v>82.352941176470537</c:v>
                </c:pt>
                <c:pt idx="5">
                  <c:v>74.358974358974393</c:v>
                </c:pt>
                <c:pt idx="6">
                  <c:v>58.974358974358985</c:v>
                </c:pt>
                <c:pt idx="7">
                  <c:v>81.622911694510918</c:v>
                </c:pt>
                <c:pt idx="8">
                  <c:v>76.894249315792436</c:v>
                </c:pt>
              </c:numCache>
            </c:numRef>
          </c:val>
          <c:extLst>
            <c:ext xmlns:c16="http://schemas.microsoft.com/office/drawing/2014/chart" uri="{C3380CC4-5D6E-409C-BE32-E72D297353CC}">
              <c16:uniqueId val="{00000002-5AE2-4871-8AC4-DFACE5D7CDB8}"/>
            </c:ext>
          </c:extLst>
        </c:ser>
        <c:dLbls>
          <c:showLegendKey val="0"/>
          <c:showVal val="0"/>
          <c:showCatName val="0"/>
          <c:showSerName val="0"/>
          <c:showPercent val="0"/>
          <c:showBubbleSize val="0"/>
        </c:dLbls>
        <c:gapWidth val="50"/>
        <c:axId val="88126976"/>
        <c:axId val="88128512"/>
      </c:barChart>
      <c:catAx>
        <c:axId val="88126976"/>
        <c:scaling>
          <c:orientation val="minMax"/>
        </c:scaling>
        <c:delete val="0"/>
        <c:axPos val="b"/>
        <c:numFmt formatCode="General" sourceLinked="0"/>
        <c:majorTickMark val="out"/>
        <c:minorTickMark val="none"/>
        <c:tickLblPos val="nextTo"/>
        <c:spPr>
          <a:ln>
            <a:solidFill>
              <a:schemeClr val="bg1">
                <a:lumMod val="75000"/>
              </a:schemeClr>
            </a:solidFill>
          </a:ln>
        </c:spPr>
        <c:txPr>
          <a:bodyPr/>
          <a:lstStyle/>
          <a:p>
            <a:pPr>
              <a:defRPr sz="900">
                <a:solidFill>
                  <a:sysClr val="windowText" lastClr="000000"/>
                </a:solidFill>
              </a:defRPr>
            </a:pPr>
            <a:endParaRPr lang="en-US"/>
          </a:p>
        </c:txPr>
        <c:crossAx val="88128512"/>
        <c:crosses val="autoZero"/>
        <c:auto val="1"/>
        <c:lblAlgn val="ctr"/>
        <c:lblOffset val="100"/>
        <c:noMultiLvlLbl val="0"/>
      </c:catAx>
      <c:valAx>
        <c:axId val="88128512"/>
        <c:scaling>
          <c:orientation val="minMax"/>
          <c:max val="100"/>
        </c:scaling>
        <c:delete val="1"/>
        <c:axPos val="l"/>
        <c:numFmt formatCode="0" sourceLinked="1"/>
        <c:majorTickMark val="out"/>
        <c:minorTickMark val="none"/>
        <c:tickLblPos val="nextTo"/>
        <c:crossAx val="88126976"/>
        <c:crosses val="autoZero"/>
        <c:crossBetween val="between"/>
        <c:majorUnit val="20"/>
      </c:valAx>
      <c:spPr>
        <a:noFill/>
        <a:ln w="25400">
          <a:noFill/>
        </a:ln>
      </c:spPr>
    </c:plotArea>
    <c:plotVisOnly val="1"/>
    <c:dispBlanksAs val="gap"/>
    <c:showDLblsOverMax val="0"/>
  </c:chart>
  <c:spPr>
    <a:ln>
      <a:solidFill>
        <a:srgbClr val="1F698E"/>
      </a:solidFill>
    </a:ln>
  </c:spPr>
  <c:txPr>
    <a:bodyPr/>
    <a:lstStyle/>
    <a:p>
      <a:pPr>
        <a:defRPr>
          <a:latin typeface="Arial" pitchFamily="34" charset="0"/>
          <a:cs typeface="Arial"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Sheet1!$A$2</c:f>
              <c:strCache>
                <c:ptCount val="1"/>
                <c:pt idx="0">
                  <c:v>Yes, required additional time off</c:v>
                </c:pt>
              </c:strCache>
            </c:strRef>
          </c:tx>
          <c:spPr>
            <a:solidFill>
              <a:schemeClr val="accent1"/>
            </a:solidFill>
            <a:ln>
              <a:noFill/>
            </a:ln>
            <a:effectLst/>
          </c:spPr>
          <c:invertIfNegative val="0"/>
          <c:dLbls>
            <c:dLbl>
              <c:idx val="1"/>
              <c:tx>
                <c:rich>
                  <a:bodyPr/>
                  <a:lstStyle/>
                  <a:p>
                    <a:fld id="{AE105623-FAB3-43AF-A5EE-9080E4217B8D}" type="VALUE">
                      <a:rPr lang="en-US">
                        <a:solidFill>
                          <a:schemeClr val="bg1"/>
                        </a:solidFill>
                      </a:rPr>
                      <a:pPr/>
                      <a:t>[VALUE]</a:t>
                    </a:fld>
                    <a:r>
                      <a:rPr lang="en-US">
                        <a:solidFill>
                          <a:schemeClr val="bg1"/>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0F80-4B66-BA67-D58B3786A955}"/>
                </c:ext>
              </c:extLst>
            </c:dLbl>
            <c:dLbl>
              <c:idx val="3"/>
              <c:tx>
                <c:rich>
                  <a:bodyPr/>
                  <a:lstStyle/>
                  <a:p>
                    <a:fld id="{BA4F3680-A158-41E8-8365-72DC1DB165B4}"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F80-4B66-BA67-D58B3786A95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2013</c:v>
                </c:pt>
                <c:pt idx="1">
                  <c:v>2014</c:v>
                </c:pt>
                <c:pt idx="2">
                  <c:v>2016</c:v>
                </c:pt>
                <c:pt idx="3">
                  <c:v>2018</c:v>
                </c:pt>
              </c:strCache>
            </c:strRef>
          </c:cat>
          <c:val>
            <c:numRef>
              <c:f>Sheet1!$B$2:$E$2</c:f>
              <c:numCache>
                <c:formatCode>0.0</c:formatCode>
                <c:ptCount val="4"/>
                <c:pt idx="0">
                  <c:v>21.081379807579999</c:v>
                </c:pt>
                <c:pt idx="1">
                  <c:v>15.502607938140001</c:v>
                </c:pt>
                <c:pt idx="2">
                  <c:v>15.883610579490002</c:v>
                </c:pt>
                <c:pt idx="3">
                  <c:v>19.587032047619999</c:v>
                </c:pt>
              </c:numCache>
            </c:numRef>
          </c:val>
          <c:extLst>
            <c:ext xmlns:c16="http://schemas.microsoft.com/office/drawing/2014/chart" uri="{C3380CC4-5D6E-409C-BE32-E72D297353CC}">
              <c16:uniqueId val="{00000002-0F80-4B66-BA67-D58B3786A955}"/>
            </c:ext>
          </c:extLst>
        </c:ser>
        <c:ser>
          <c:idx val="1"/>
          <c:order val="1"/>
          <c:tx>
            <c:strRef>
              <c:f>Sheet1!$A$3</c:f>
              <c:strCache>
                <c:ptCount val="1"/>
                <c:pt idx="0">
                  <c:v>No additional time off</c:v>
                </c:pt>
              </c:strCache>
            </c:strRef>
          </c:tx>
          <c:spPr>
            <a:solidFill>
              <a:schemeClr val="accent5">
                <a:lumMod val="60000"/>
                <a:lumOff val="40000"/>
              </a:schemeClr>
            </a:solidFill>
            <a:ln>
              <a:noFill/>
            </a:ln>
            <a:effectLst/>
          </c:spPr>
          <c:invertIfNegative val="0"/>
          <c:dLbls>
            <c:dLbl>
              <c:idx val="1"/>
              <c:tx>
                <c:rich>
                  <a:bodyPr/>
                  <a:lstStyle/>
                  <a:p>
                    <a:fld id="{8243C18A-2661-4E7A-8D53-7352AD254011}" type="VALUE">
                      <a:rPr lang="en-US">
                        <a:solidFill>
                          <a:sysClr val="windowText" lastClr="000000"/>
                        </a:solidFill>
                      </a:rPr>
                      <a:pPr/>
                      <a:t>[VALUE]</a:t>
                    </a:fld>
                    <a:r>
                      <a:rPr lang="en-US">
                        <a:solidFill>
                          <a:sysClr val="windowText" lastClr="000000"/>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F80-4B66-BA67-D58B3786A955}"/>
                </c:ext>
              </c:extLst>
            </c:dLbl>
            <c:dLbl>
              <c:idx val="3"/>
              <c:tx>
                <c:rich>
                  <a:bodyPr/>
                  <a:lstStyle/>
                  <a:p>
                    <a:fld id="{787008B3-2CBA-4A66-8A40-994D3F2DB108}"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0F80-4B66-BA67-D58B3786A95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2013</c:v>
                </c:pt>
                <c:pt idx="1">
                  <c:v>2014</c:v>
                </c:pt>
                <c:pt idx="2">
                  <c:v>2016</c:v>
                </c:pt>
                <c:pt idx="3">
                  <c:v>2018</c:v>
                </c:pt>
              </c:strCache>
            </c:strRef>
          </c:cat>
          <c:val>
            <c:numRef>
              <c:f>Sheet1!$B$3:$E$3</c:f>
              <c:numCache>
                <c:formatCode>0.0</c:formatCode>
                <c:ptCount val="4"/>
                <c:pt idx="0">
                  <c:v>78.918620192419993</c:v>
                </c:pt>
                <c:pt idx="1">
                  <c:v>84.497392061859998</c:v>
                </c:pt>
                <c:pt idx="2">
                  <c:v>84.116389420510004</c:v>
                </c:pt>
                <c:pt idx="3">
                  <c:v>80.412967952380001</c:v>
                </c:pt>
              </c:numCache>
            </c:numRef>
          </c:val>
          <c:extLst>
            <c:ext xmlns:c16="http://schemas.microsoft.com/office/drawing/2014/chart" uri="{C3380CC4-5D6E-409C-BE32-E72D297353CC}">
              <c16:uniqueId val="{00000005-0F80-4B66-BA67-D58B3786A955}"/>
            </c:ext>
          </c:extLst>
        </c:ser>
        <c:dLbls>
          <c:showLegendKey val="0"/>
          <c:showVal val="0"/>
          <c:showCatName val="0"/>
          <c:showSerName val="0"/>
          <c:showPercent val="0"/>
          <c:showBubbleSize val="0"/>
        </c:dLbls>
        <c:gapWidth val="150"/>
        <c:overlap val="100"/>
        <c:axId val="441084024"/>
        <c:axId val="441084680"/>
      </c:barChart>
      <c:catAx>
        <c:axId val="4410840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1084680"/>
        <c:crosses val="autoZero"/>
        <c:auto val="1"/>
        <c:lblAlgn val="ctr"/>
        <c:lblOffset val="100"/>
        <c:noMultiLvlLbl val="0"/>
      </c:catAx>
      <c:valAx>
        <c:axId val="441084680"/>
        <c:scaling>
          <c:orientation val="minMax"/>
        </c:scaling>
        <c:delete val="1"/>
        <c:axPos val="l"/>
        <c:numFmt formatCode="0%" sourceLinked="1"/>
        <c:majorTickMark val="none"/>
        <c:minorTickMark val="none"/>
        <c:tickLblPos val="nextTo"/>
        <c:crossAx val="4410840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Sheet1!$A$1</c:f>
              <c:strCache>
                <c:ptCount val="1"/>
                <c:pt idx="0">
                  <c:v> </c:v>
                </c:pt>
              </c:strCache>
            </c:strRef>
          </c:tx>
          <c:spPr>
            <a:solidFill>
              <a:schemeClr val="accent1"/>
            </a:solidFill>
            <a:ln>
              <a:noFill/>
            </a:ln>
            <a:effectLst/>
          </c:spPr>
          <c:invertIfNegative val="0"/>
          <c:cat>
            <c:strRef>
              <c:f>Sheet1!$A$2:$A$21</c:f>
              <c:strCache>
                <c:ptCount val="20"/>
                <c:pt idx="0">
                  <c:v>Total</c:v>
                </c:pt>
                <c:pt idx="2">
                  <c:v>ACT</c:v>
                </c:pt>
                <c:pt idx="3">
                  <c:v>Comcare</c:v>
                </c:pt>
                <c:pt idx="4">
                  <c:v>New South Wales</c:v>
                </c:pt>
                <c:pt idx="5">
                  <c:v>Northern Territory</c:v>
                </c:pt>
                <c:pt idx="6">
                  <c:v>Queensland</c:v>
                </c:pt>
                <c:pt idx="7">
                  <c:v>Seacare</c:v>
                </c:pt>
                <c:pt idx="8">
                  <c:v>Tasmania</c:v>
                </c:pt>
                <c:pt idx="9">
                  <c:v>Western Australia</c:v>
                </c:pt>
                <c:pt idx="10">
                  <c:v>Victoria</c:v>
                </c:pt>
                <c:pt idx="12">
                  <c:v>Fractures</c:v>
                </c:pt>
                <c:pt idx="13">
                  <c:v>Musculoskeletal Disorders</c:v>
                </c:pt>
                <c:pt idx="14">
                  <c:v>Other Trauma</c:v>
                </c:pt>
                <c:pt idx="15">
                  <c:v>Mental Illness</c:v>
                </c:pt>
                <c:pt idx="16">
                  <c:v>Other Diseases</c:v>
                </c:pt>
                <c:pt idx="18">
                  <c:v>Currently working</c:v>
                </c:pt>
                <c:pt idx="19">
                  <c:v>Not working</c:v>
                </c:pt>
              </c:strCache>
            </c:strRef>
          </c:cat>
          <c:val>
            <c:numRef>
              <c:f>Sheet1!$A$2:$A$21</c:f>
              <c:numCache>
                <c:formatCode>General</c:formatCode>
                <c:ptCount val="20"/>
                <c:pt idx="0">
                  <c:v>0</c:v>
                </c:pt>
                <c:pt idx="2">
                  <c:v>0</c:v>
                </c:pt>
                <c:pt idx="3">
                  <c:v>0</c:v>
                </c:pt>
                <c:pt idx="4">
                  <c:v>0</c:v>
                </c:pt>
                <c:pt idx="5">
                  <c:v>0</c:v>
                </c:pt>
                <c:pt idx="6">
                  <c:v>0</c:v>
                </c:pt>
                <c:pt idx="7">
                  <c:v>0</c:v>
                </c:pt>
                <c:pt idx="8">
                  <c:v>0</c:v>
                </c:pt>
                <c:pt idx="9">
                  <c:v>0</c:v>
                </c:pt>
                <c:pt idx="10">
                  <c:v>0</c:v>
                </c:pt>
                <c:pt idx="12">
                  <c:v>0</c:v>
                </c:pt>
                <c:pt idx="13">
                  <c:v>0</c:v>
                </c:pt>
                <c:pt idx="14">
                  <c:v>0</c:v>
                </c:pt>
                <c:pt idx="15">
                  <c:v>0</c:v>
                </c:pt>
                <c:pt idx="16">
                  <c:v>0</c:v>
                </c:pt>
                <c:pt idx="18">
                  <c:v>0</c:v>
                </c:pt>
                <c:pt idx="19">
                  <c:v>0</c:v>
                </c:pt>
              </c:numCache>
            </c:numRef>
          </c:val>
          <c:extLst>
            <c:ext xmlns:c16="http://schemas.microsoft.com/office/drawing/2014/chart" uri="{C3380CC4-5D6E-409C-BE32-E72D297353CC}">
              <c16:uniqueId val="{00000000-0DD9-4E4A-A0F9-621C7AD7D47D}"/>
            </c:ext>
          </c:extLst>
        </c:ser>
        <c:ser>
          <c:idx val="1"/>
          <c:order val="1"/>
          <c:tx>
            <c:strRef>
              <c:f>Sheet1!$B$1</c:f>
              <c:strCache>
                <c:ptCount val="1"/>
                <c:pt idx="0">
                  <c:v>Series 1</c:v>
                </c:pt>
              </c:strCache>
            </c:strRef>
          </c:tx>
          <c:spPr>
            <a:solidFill>
              <a:schemeClr val="accent2"/>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2-0DD9-4E4A-A0F9-621C7AD7D47D}"/>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4-0DD9-4E4A-A0F9-621C7AD7D47D}"/>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6-0DD9-4E4A-A0F9-621C7AD7D47D}"/>
              </c:ext>
            </c:extLst>
          </c:dPt>
          <c:dPt>
            <c:idx val="4"/>
            <c:invertIfNegative val="0"/>
            <c:bubble3D val="0"/>
            <c:spPr>
              <a:solidFill>
                <a:schemeClr val="accent1"/>
              </a:solidFill>
              <a:ln>
                <a:noFill/>
              </a:ln>
              <a:effectLst/>
            </c:spPr>
            <c:extLst>
              <c:ext xmlns:c16="http://schemas.microsoft.com/office/drawing/2014/chart" uri="{C3380CC4-5D6E-409C-BE32-E72D297353CC}">
                <c16:uniqueId val="{00000008-0DD9-4E4A-A0F9-621C7AD7D47D}"/>
              </c:ext>
            </c:extLst>
          </c:dPt>
          <c:dPt>
            <c:idx val="5"/>
            <c:invertIfNegative val="0"/>
            <c:bubble3D val="0"/>
            <c:spPr>
              <a:solidFill>
                <a:schemeClr val="accent1"/>
              </a:solidFill>
              <a:ln>
                <a:noFill/>
              </a:ln>
              <a:effectLst/>
            </c:spPr>
            <c:extLst>
              <c:ext xmlns:c16="http://schemas.microsoft.com/office/drawing/2014/chart" uri="{C3380CC4-5D6E-409C-BE32-E72D297353CC}">
                <c16:uniqueId val="{0000000A-0DD9-4E4A-A0F9-621C7AD7D47D}"/>
              </c:ext>
            </c:extLst>
          </c:dPt>
          <c:dPt>
            <c:idx val="6"/>
            <c:invertIfNegative val="0"/>
            <c:bubble3D val="0"/>
            <c:spPr>
              <a:solidFill>
                <a:schemeClr val="accent1"/>
              </a:solidFill>
              <a:ln>
                <a:noFill/>
              </a:ln>
              <a:effectLst/>
            </c:spPr>
            <c:extLst>
              <c:ext xmlns:c16="http://schemas.microsoft.com/office/drawing/2014/chart" uri="{C3380CC4-5D6E-409C-BE32-E72D297353CC}">
                <c16:uniqueId val="{0000000C-0DD9-4E4A-A0F9-621C7AD7D47D}"/>
              </c:ext>
            </c:extLst>
          </c:dPt>
          <c:dPt>
            <c:idx val="7"/>
            <c:invertIfNegative val="0"/>
            <c:bubble3D val="0"/>
            <c:spPr>
              <a:solidFill>
                <a:schemeClr val="accent1"/>
              </a:solidFill>
              <a:ln>
                <a:noFill/>
              </a:ln>
              <a:effectLst/>
            </c:spPr>
            <c:extLst>
              <c:ext xmlns:c16="http://schemas.microsoft.com/office/drawing/2014/chart" uri="{C3380CC4-5D6E-409C-BE32-E72D297353CC}">
                <c16:uniqueId val="{0000000E-0DD9-4E4A-A0F9-621C7AD7D47D}"/>
              </c:ext>
            </c:extLst>
          </c:dPt>
          <c:dPt>
            <c:idx val="8"/>
            <c:invertIfNegative val="0"/>
            <c:bubble3D val="0"/>
            <c:spPr>
              <a:solidFill>
                <a:schemeClr val="accent1"/>
              </a:solidFill>
              <a:ln>
                <a:noFill/>
              </a:ln>
              <a:effectLst/>
            </c:spPr>
            <c:extLst>
              <c:ext xmlns:c16="http://schemas.microsoft.com/office/drawing/2014/chart" uri="{C3380CC4-5D6E-409C-BE32-E72D297353CC}">
                <c16:uniqueId val="{00000010-0DD9-4E4A-A0F9-621C7AD7D47D}"/>
              </c:ext>
            </c:extLst>
          </c:dPt>
          <c:dPt>
            <c:idx val="9"/>
            <c:invertIfNegative val="0"/>
            <c:bubble3D val="0"/>
            <c:spPr>
              <a:solidFill>
                <a:schemeClr val="accent1"/>
              </a:solidFill>
              <a:ln>
                <a:noFill/>
              </a:ln>
              <a:effectLst/>
            </c:spPr>
            <c:extLst>
              <c:ext xmlns:c16="http://schemas.microsoft.com/office/drawing/2014/chart" uri="{C3380CC4-5D6E-409C-BE32-E72D297353CC}">
                <c16:uniqueId val="{00000012-0DD9-4E4A-A0F9-621C7AD7D47D}"/>
              </c:ext>
            </c:extLst>
          </c:dPt>
          <c:dPt>
            <c:idx val="10"/>
            <c:invertIfNegative val="0"/>
            <c:bubble3D val="0"/>
            <c:spPr>
              <a:solidFill>
                <a:schemeClr val="accent1"/>
              </a:solidFill>
              <a:ln>
                <a:noFill/>
              </a:ln>
              <a:effectLst/>
            </c:spPr>
            <c:extLst>
              <c:ext xmlns:c16="http://schemas.microsoft.com/office/drawing/2014/chart" uri="{C3380CC4-5D6E-409C-BE32-E72D297353CC}">
                <c16:uniqueId val="{00000014-0DD9-4E4A-A0F9-621C7AD7D47D}"/>
              </c:ext>
            </c:extLst>
          </c:dPt>
          <c:dPt>
            <c:idx val="12"/>
            <c:invertIfNegative val="0"/>
            <c:bubble3D val="0"/>
            <c:spPr>
              <a:solidFill>
                <a:schemeClr val="accent5"/>
              </a:solidFill>
              <a:ln>
                <a:noFill/>
              </a:ln>
              <a:effectLst/>
            </c:spPr>
            <c:extLst>
              <c:ext xmlns:c16="http://schemas.microsoft.com/office/drawing/2014/chart" uri="{C3380CC4-5D6E-409C-BE32-E72D297353CC}">
                <c16:uniqueId val="{00000016-0DD9-4E4A-A0F9-621C7AD7D47D}"/>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8-0DD9-4E4A-A0F9-621C7AD7D47D}"/>
              </c:ext>
            </c:extLst>
          </c:dPt>
          <c:dPt>
            <c:idx val="14"/>
            <c:invertIfNegative val="0"/>
            <c:bubble3D val="0"/>
            <c:spPr>
              <a:solidFill>
                <a:schemeClr val="accent5"/>
              </a:solidFill>
              <a:ln>
                <a:noFill/>
              </a:ln>
              <a:effectLst/>
            </c:spPr>
            <c:extLst>
              <c:ext xmlns:c16="http://schemas.microsoft.com/office/drawing/2014/chart" uri="{C3380CC4-5D6E-409C-BE32-E72D297353CC}">
                <c16:uniqueId val="{0000001A-0DD9-4E4A-A0F9-621C7AD7D47D}"/>
              </c:ext>
            </c:extLst>
          </c:dPt>
          <c:dPt>
            <c:idx val="15"/>
            <c:invertIfNegative val="0"/>
            <c:bubble3D val="0"/>
            <c:spPr>
              <a:solidFill>
                <a:schemeClr val="accent5"/>
              </a:solidFill>
              <a:ln>
                <a:noFill/>
              </a:ln>
              <a:effectLst/>
            </c:spPr>
            <c:extLst>
              <c:ext xmlns:c16="http://schemas.microsoft.com/office/drawing/2014/chart" uri="{C3380CC4-5D6E-409C-BE32-E72D297353CC}">
                <c16:uniqueId val="{0000001C-0DD9-4E4A-A0F9-621C7AD7D47D}"/>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1E-0DD9-4E4A-A0F9-621C7AD7D47D}"/>
              </c:ext>
            </c:extLst>
          </c:dPt>
          <c:dPt>
            <c:idx val="18"/>
            <c:invertIfNegative val="0"/>
            <c:bubble3D val="0"/>
            <c:spPr>
              <a:solidFill>
                <a:schemeClr val="accent4"/>
              </a:solidFill>
              <a:ln>
                <a:noFill/>
              </a:ln>
              <a:effectLst/>
            </c:spPr>
            <c:extLst>
              <c:ext xmlns:c16="http://schemas.microsoft.com/office/drawing/2014/chart" uri="{C3380CC4-5D6E-409C-BE32-E72D297353CC}">
                <c16:uniqueId val="{00000020-0DD9-4E4A-A0F9-621C7AD7D47D}"/>
              </c:ext>
            </c:extLst>
          </c:dPt>
          <c:dPt>
            <c:idx val="19"/>
            <c:invertIfNegative val="0"/>
            <c:bubble3D val="0"/>
            <c:spPr>
              <a:solidFill>
                <a:schemeClr val="accent4"/>
              </a:solidFill>
              <a:ln>
                <a:noFill/>
              </a:ln>
              <a:effectLst/>
            </c:spPr>
            <c:extLst>
              <c:ext xmlns:c16="http://schemas.microsoft.com/office/drawing/2014/chart" uri="{C3380CC4-5D6E-409C-BE32-E72D297353CC}">
                <c16:uniqueId val="{00000022-0DD9-4E4A-A0F9-621C7AD7D47D}"/>
              </c:ext>
            </c:extLst>
          </c:dPt>
          <c:dLbls>
            <c:dLbl>
              <c:idx val="8"/>
              <c:tx>
                <c:rich>
                  <a:bodyPr/>
                  <a:lstStyle/>
                  <a:p>
                    <a:fld id="{9943F9CB-7A75-425C-A52F-447BE197A3D0}" type="VALUE">
                      <a:rPr lang="en-US">
                        <a:solidFill>
                          <a:sysClr val="windowText" lastClr="000000"/>
                        </a:solidFill>
                      </a:rPr>
                      <a:pPr/>
                      <a:t>[VALUE]</a:t>
                    </a:fld>
                    <a:r>
                      <a:rPr lang="en-US">
                        <a:solidFill>
                          <a:sysClr val="windowText" lastClr="000000"/>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0DD9-4E4A-A0F9-621C7AD7D47D}"/>
                </c:ext>
              </c:extLst>
            </c:dLbl>
            <c:dLbl>
              <c:idx val="10"/>
              <c:tx>
                <c:rich>
                  <a:bodyPr/>
                  <a:lstStyle/>
                  <a:p>
                    <a:fld id="{3E5C7D08-279A-431F-B986-28EBD1336382}" type="VALUE">
                      <a:rPr lang="en-US">
                        <a:solidFill>
                          <a:sysClr val="windowText" lastClr="000000"/>
                        </a:solidFill>
                      </a:rPr>
                      <a:pPr/>
                      <a:t>[VALUE]</a:t>
                    </a:fld>
                    <a:r>
                      <a:rPr lang="en-US">
                        <a:solidFill>
                          <a:sysClr val="windowText" lastClr="000000"/>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0DD9-4E4A-A0F9-621C7AD7D47D}"/>
                </c:ext>
              </c:extLst>
            </c:dLbl>
            <c:dLbl>
              <c:idx val="14"/>
              <c:tx>
                <c:rich>
                  <a:bodyPr/>
                  <a:lstStyle/>
                  <a:p>
                    <a:fld id="{3DEDF1DE-593E-466F-88D9-E85352BFE931}" type="VALUE">
                      <a:rPr lang="en-US">
                        <a:solidFill>
                          <a:sysClr val="windowText" lastClr="000000"/>
                        </a:solidFill>
                      </a:rPr>
                      <a:pPr/>
                      <a:t>[VALUE]</a:t>
                    </a:fld>
                    <a:r>
                      <a:rPr lang="en-US">
                        <a:solidFill>
                          <a:sysClr val="windowText" lastClr="000000"/>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A-0DD9-4E4A-A0F9-621C7AD7D47D}"/>
                </c:ext>
              </c:extLst>
            </c:dLbl>
            <c:dLbl>
              <c:idx val="15"/>
              <c:tx>
                <c:rich>
                  <a:bodyPr/>
                  <a:lstStyle/>
                  <a:p>
                    <a:fld id="{5572A737-C560-4356-877C-EC57DD453443}" type="VALUE">
                      <a:rPr lang="en-US">
                        <a:solidFill>
                          <a:sysClr val="windowText" lastClr="000000"/>
                        </a:solidFill>
                      </a:rPr>
                      <a:pPr/>
                      <a:t>[VALUE]</a:t>
                    </a:fld>
                    <a:r>
                      <a:rPr lang="en-US">
                        <a:solidFill>
                          <a:sysClr val="windowText" lastClr="000000"/>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C-0DD9-4E4A-A0F9-621C7AD7D47D}"/>
                </c:ext>
              </c:extLst>
            </c:dLbl>
            <c:dLbl>
              <c:idx val="18"/>
              <c:tx>
                <c:rich>
                  <a:bodyPr/>
                  <a:lstStyle/>
                  <a:p>
                    <a:fld id="{73FCBD92-3C36-4471-9662-6390D6C7935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0-0DD9-4E4A-A0F9-621C7AD7D47D}"/>
                </c:ext>
              </c:extLst>
            </c:dLbl>
            <c:dLbl>
              <c:idx val="19"/>
              <c:tx>
                <c:rich>
                  <a:bodyPr/>
                  <a:lstStyle/>
                  <a:p>
                    <a:fld id="{6EF6F433-ED4B-49C3-BB76-173349C4776A}"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2-0DD9-4E4A-A0F9-621C7AD7D47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Sheet1!$A$2:$A$21</c:f>
              <c:strCache>
                <c:ptCount val="20"/>
                <c:pt idx="0">
                  <c:v>Total</c:v>
                </c:pt>
                <c:pt idx="2">
                  <c:v>ACT</c:v>
                </c:pt>
                <c:pt idx="3">
                  <c:v>Comcare</c:v>
                </c:pt>
                <c:pt idx="4">
                  <c:v>New South Wales</c:v>
                </c:pt>
                <c:pt idx="5">
                  <c:v>Northern Territory</c:v>
                </c:pt>
                <c:pt idx="6">
                  <c:v>Queensland</c:v>
                </c:pt>
                <c:pt idx="7">
                  <c:v>Seacare</c:v>
                </c:pt>
                <c:pt idx="8">
                  <c:v>Tasmania</c:v>
                </c:pt>
                <c:pt idx="9">
                  <c:v>Western Australia</c:v>
                </c:pt>
                <c:pt idx="10">
                  <c:v>Victoria</c:v>
                </c:pt>
                <c:pt idx="12">
                  <c:v>Fractures</c:v>
                </c:pt>
                <c:pt idx="13">
                  <c:v>Musculoskeletal Disorders</c:v>
                </c:pt>
                <c:pt idx="14">
                  <c:v>Other Trauma</c:v>
                </c:pt>
                <c:pt idx="15">
                  <c:v>Mental Illness</c:v>
                </c:pt>
                <c:pt idx="16">
                  <c:v>Other Diseases</c:v>
                </c:pt>
                <c:pt idx="18">
                  <c:v>Currently working</c:v>
                </c:pt>
                <c:pt idx="19">
                  <c:v>Not working</c:v>
                </c:pt>
              </c:strCache>
            </c:strRef>
          </c:cat>
          <c:val>
            <c:numRef>
              <c:f>Sheet1!$B$2:$B$21</c:f>
              <c:numCache>
                <c:formatCode>General</c:formatCode>
                <c:ptCount val="20"/>
                <c:pt idx="0">
                  <c:v>8</c:v>
                </c:pt>
                <c:pt idx="2">
                  <c:v>8.1</c:v>
                </c:pt>
                <c:pt idx="3">
                  <c:v>7.7</c:v>
                </c:pt>
                <c:pt idx="4">
                  <c:v>8</c:v>
                </c:pt>
                <c:pt idx="5">
                  <c:v>7.8</c:v>
                </c:pt>
                <c:pt idx="6">
                  <c:v>8.1</c:v>
                </c:pt>
                <c:pt idx="7">
                  <c:v>7.3</c:v>
                </c:pt>
                <c:pt idx="8">
                  <c:v>7.4</c:v>
                </c:pt>
                <c:pt idx="9">
                  <c:v>8.3000000000000007</c:v>
                </c:pt>
                <c:pt idx="10">
                  <c:v>7.6</c:v>
                </c:pt>
                <c:pt idx="12" formatCode="0.0">
                  <c:v>7.9245088441689999</c:v>
                </c:pt>
                <c:pt idx="13" formatCode="0.0">
                  <c:v>7.8702662509980001</c:v>
                </c:pt>
                <c:pt idx="14" formatCode="0.0">
                  <c:v>8.4931557838740002</c:v>
                </c:pt>
                <c:pt idx="15" formatCode="0.0">
                  <c:v>6.4655474025849999</c:v>
                </c:pt>
                <c:pt idx="16" formatCode="0.0">
                  <c:v>8.1127446887989993</c:v>
                </c:pt>
                <c:pt idx="18" formatCode="0.0">
                  <c:v>8.6255325939079999</c:v>
                </c:pt>
                <c:pt idx="19" formatCode="0.0">
                  <c:v>4.617174548435</c:v>
                </c:pt>
              </c:numCache>
            </c:numRef>
          </c:val>
          <c:extLst>
            <c:ext xmlns:c16="http://schemas.microsoft.com/office/drawing/2014/chart" uri="{C3380CC4-5D6E-409C-BE32-E72D297353CC}">
              <c16:uniqueId val="{00000023-0DD9-4E4A-A0F9-621C7AD7D47D}"/>
            </c:ext>
          </c:extLst>
        </c:ser>
        <c:dLbls>
          <c:showLegendKey val="0"/>
          <c:showVal val="0"/>
          <c:showCatName val="0"/>
          <c:showSerName val="0"/>
          <c:showPercent val="0"/>
          <c:showBubbleSize val="0"/>
        </c:dLbls>
        <c:gapWidth val="50"/>
        <c:overlap val="100"/>
        <c:axId val="441059752"/>
        <c:axId val="441053848"/>
      </c:barChart>
      <c:catAx>
        <c:axId val="4410597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1053848"/>
        <c:crosses val="autoZero"/>
        <c:auto val="1"/>
        <c:lblAlgn val="ctr"/>
        <c:lblOffset val="100"/>
        <c:noMultiLvlLbl val="0"/>
      </c:catAx>
      <c:valAx>
        <c:axId val="441053848"/>
        <c:scaling>
          <c:orientation val="minMax"/>
          <c:max val="10"/>
        </c:scaling>
        <c:delete val="1"/>
        <c:axPos val="t"/>
        <c:numFmt formatCode="General" sourceLinked="1"/>
        <c:majorTickMark val="none"/>
        <c:minorTickMark val="none"/>
        <c:tickLblPos val="nextTo"/>
        <c:crossAx val="4410597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SRC Report 3">
      <a:dk1>
        <a:sysClr val="windowText" lastClr="000000"/>
      </a:dk1>
      <a:lt1>
        <a:sysClr val="window" lastClr="FFFFFF"/>
      </a:lt1>
      <a:dk2>
        <a:srgbClr val="1C365F"/>
      </a:dk2>
      <a:lt2>
        <a:srgbClr val="E6ECEE"/>
      </a:lt2>
      <a:accent1>
        <a:srgbClr val="1F698E"/>
      </a:accent1>
      <a:accent2>
        <a:srgbClr val="5AC0E7"/>
      </a:accent2>
      <a:accent3>
        <a:srgbClr val="C0EDF8"/>
      </a:accent3>
      <a:accent4>
        <a:srgbClr val="1CC49B"/>
      </a:accent4>
      <a:accent5>
        <a:srgbClr val="44626F"/>
      </a:accent5>
      <a:accent6>
        <a:srgbClr val="1C365F"/>
      </a:accent6>
      <a:hlink>
        <a:srgbClr val="4B7CCA"/>
      </a:hlink>
      <a:folHlink>
        <a:srgbClr val="7030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r4k xmlns="330aa6b3-5b02-427e-8ebb-71bd71c40728" xsi:nil="true"/>
    <Department xmlns="330aa6b3-5b02-427e-8ebb-71bd71c40728" xsi:nil="true"/>
    <rapx xmlns="330aa6b3-5b02-427e-8ebb-71bd71c40728">Form</rapx>
    <_dlc_DocId xmlns="05b79c29-520c-43a5-a3ae-6f656bf7299f">NM4X7YTYXQRZ-115-320</_dlc_DocId>
    <_dlc_DocIdUrl xmlns="05b79c29-520c-43a5-a3ae-6f656bf7299f">
      <Url>http://thehub.srcentre.com.au/Research/_layouts/15/DocIdRedir.aspx?ID=NM4X7YTYXQRZ-115-320</Url>
      <Description>NM4X7YTYXQRZ-115-320</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95A332B06664D449767395E5B99974F" ma:contentTypeVersion="4" ma:contentTypeDescription="Create a new document." ma:contentTypeScope="" ma:versionID="dfcbd374a206dcbfbd2ceaae1c11a3ab">
  <xsd:schema xmlns:xsd="http://www.w3.org/2001/XMLSchema" xmlns:xs="http://www.w3.org/2001/XMLSchema" xmlns:p="http://schemas.microsoft.com/office/2006/metadata/properties" xmlns:ns2="05b79c29-520c-43a5-a3ae-6f656bf7299f" xmlns:ns3="330aa6b3-5b02-427e-8ebb-71bd71c40728" targetNamespace="http://schemas.microsoft.com/office/2006/metadata/properties" ma:root="true" ma:fieldsID="e35dd7d698db506393e8b330d67dc077" ns2:_="" ns3:_="">
    <xsd:import namespace="05b79c29-520c-43a5-a3ae-6f656bf7299f"/>
    <xsd:import namespace="330aa6b3-5b02-427e-8ebb-71bd71c40728"/>
    <xsd:element name="properties">
      <xsd:complexType>
        <xsd:sequence>
          <xsd:element name="documentManagement">
            <xsd:complexType>
              <xsd:all>
                <xsd:element ref="ns2:_dlc_DocId" minOccurs="0"/>
                <xsd:element ref="ns2:_dlc_DocIdUrl" minOccurs="0"/>
                <xsd:element ref="ns2:_dlc_DocIdPersistId" minOccurs="0"/>
                <xsd:element ref="ns3:rapx" minOccurs="0"/>
                <xsd:element ref="ns3:tr4k" minOccurs="0"/>
                <xsd:element ref="ns3:Depart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b79c29-520c-43a5-a3ae-6f656bf7299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0aa6b3-5b02-427e-8ebb-71bd71c40728" elementFormDefault="qualified">
    <xsd:import namespace="http://schemas.microsoft.com/office/2006/documentManagement/types"/>
    <xsd:import namespace="http://schemas.microsoft.com/office/infopath/2007/PartnerControls"/>
    <xsd:element name="rapx" ma:index="11" nillable="true" ma:displayName="Category" ma:format="Dropdown" ma:internalName="rapx">
      <xsd:simpleType>
        <xsd:restriction base="dms:Choice">
          <xsd:enumeration value="Form"/>
          <xsd:enumeration value="Guideline"/>
          <xsd:enumeration value="Policy"/>
          <xsd:enumeration value="Procedure"/>
          <xsd:enumeration value="Publication"/>
        </xsd:restriction>
      </xsd:simpleType>
    </xsd:element>
    <xsd:element name="tr4k" ma:index="12" nillable="true" ma:displayName="QA Number" ma:internalName="tr4k">
      <xsd:simpleType>
        <xsd:restriction base="dms:Text"/>
      </xsd:simpleType>
    </xsd:element>
    <xsd:element name="Department" ma:index="13" nillable="true" ma:displayName="Department" ma:format="Dropdown" ma:internalName="Department">
      <xsd:simpleType>
        <xsd:restriction base="dms:Choice">
          <xsd:enumeration value="Qualitative"/>
          <xsd:enumeration value="Quantitat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9DDAA2-6FF9-442F-8C9E-AECE45D4E6F6}">
  <ds:schemaRefs>
    <ds:schemaRef ds:uri="330aa6b3-5b02-427e-8ebb-71bd71c4072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05b79c29-520c-43a5-a3ae-6f656bf7299f"/>
    <ds:schemaRef ds:uri="http://www.w3.org/XML/1998/namespace"/>
    <ds:schemaRef ds:uri="http://purl.org/dc/dcmitype/"/>
  </ds:schemaRefs>
</ds:datastoreItem>
</file>

<file path=customXml/itemProps2.xml><?xml version="1.0" encoding="utf-8"?>
<ds:datastoreItem xmlns:ds="http://schemas.openxmlformats.org/officeDocument/2006/customXml" ds:itemID="{C21D504D-F177-4F94-9329-075FC87D64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b79c29-520c-43a5-a3ae-6f656bf7299f"/>
    <ds:schemaRef ds:uri="330aa6b3-5b02-427e-8ebb-71bd71c407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E45B55-09EB-45BA-8AE7-58658AE1F6CF}">
  <ds:schemaRefs>
    <ds:schemaRef ds:uri="http://schemas.microsoft.com/sharepoint/v3/contenttype/forms"/>
  </ds:schemaRefs>
</ds:datastoreItem>
</file>

<file path=customXml/itemProps4.xml><?xml version="1.0" encoding="utf-8"?>
<ds:datastoreItem xmlns:ds="http://schemas.openxmlformats.org/officeDocument/2006/customXml" ds:itemID="{7DE49CEE-D397-4D29-8661-1B6B5DFAE29D}">
  <ds:schemaRefs>
    <ds:schemaRef ds:uri="http://schemas.microsoft.com/sharepoint/events"/>
  </ds:schemaRefs>
</ds:datastoreItem>
</file>

<file path=customXml/itemProps5.xml><?xml version="1.0" encoding="utf-8"?>
<ds:datastoreItem xmlns:ds="http://schemas.openxmlformats.org/officeDocument/2006/customXml" ds:itemID="{FFEFB135-FA5D-45D2-942D-36F63D6A7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2018 Report Template.dotm</Template>
  <TotalTime>37</TotalTime>
  <Pages>63</Pages>
  <Words>19462</Words>
  <Characters>110934</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National Return to Work Survey 2018 - Summary Report</vt:lpstr>
    </vt:vector>
  </TitlesOfParts>
  <Company/>
  <LinksUpToDate>false</LinksUpToDate>
  <CharactersWithSpaces>130136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Return to Work Survey 2018 - Summary Report</dc:title>
  <dc:subject/>
  <dc:creator>Social Research Centre</dc:creator>
  <cp:keywords/>
  <dc:description/>
  <cp:lastModifiedBy>Ingrid Westra</cp:lastModifiedBy>
  <cp:revision>4</cp:revision>
  <cp:lastPrinted>2018-10-19T02:56:00Z</cp:lastPrinted>
  <dcterms:created xsi:type="dcterms:W3CDTF">2018-10-30T21:55:00Z</dcterms:created>
  <dcterms:modified xsi:type="dcterms:W3CDTF">2018-11-01T22:45:00Z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1305974961</vt:i4>
  </property>
  <property fmtid="{D5CDD505-2E9C-101B-9397-08002B2CF9AE}" pid="3" name="ContentTypeId">
    <vt:lpwstr>0x010100F95A332B06664D449767395E5B99974F</vt:lpwstr>
  </property>
  <property fmtid="{D5CDD505-2E9C-101B-9397-08002B2CF9AE}" pid="4" name="_dlc_DocIdItemGuid">
    <vt:lpwstr>dcf81f90-6b27-43e0-ac91-a2043dbb0baa</vt:lpwstr>
  </property>
</Properties>
</file>