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E8" w:rsidRPr="00183875" w:rsidRDefault="004D56A9" w:rsidP="004C76A8">
      <w:pPr>
        <w:pStyle w:val="SWA-TITLE"/>
        <w:rPr>
          <w:sz w:val="38"/>
        </w:rPr>
      </w:pPr>
      <w:bookmarkStart w:id="0" w:name="_GoBack"/>
      <w:bookmarkEnd w:id="0"/>
      <w:r w:rsidRPr="00183875">
        <w:rPr>
          <w:sz w:val="38"/>
        </w:rPr>
        <w:t>Summary of f</w:t>
      </w:r>
      <w:r w:rsidR="00FC195A" w:rsidRPr="00183875">
        <w:rPr>
          <w:sz w:val="38"/>
        </w:rPr>
        <w:t>indings from</w:t>
      </w:r>
      <w:r w:rsidR="00C850E8" w:rsidRPr="00183875">
        <w:rPr>
          <w:sz w:val="38"/>
        </w:rPr>
        <w:t xml:space="preserve"> the </w:t>
      </w:r>
      <w:r w:rsidR="00C850E8" w:rsidRPr="00183875">
        <w:rPr>
          <w:i/>
          <w:sz w:val="38"/>
        </w:rPr>
        <w:t>Return to Work</w:t>
      </w:r>
      <w:r w:rsidR="0095755E" w:rsidRPr="00183875">
        <w:rPr>
          <w:i/>
          <w:sz w:val="38"/>
        </w:rPr>
        <w:t xml:space="preserve"> in psychological injury</w:t>
      </w:r>
      <w:r w:rsidR="0044004C" w:rsidRPr="00183875">
        <w:rPr>
          <w:i/>
          <w:sz w:val="38"/>
        </w:rPr>
        <w:t xml:space="preserve"> claims</w:t>
      </w:r>
      <w:r w:rsidR="0095755E" w:rsidRPr="00183875">
        <w:rPr>
          <w:i/>
          <w:sz w:val="38"/>
        </w:rPr>
        <w:t xml:space="preserve"> </w:t>
      </w:r>
      <w:r w:rsidR="0095755E" w:rsidRPr="00183875">
        <w:rPr>
          <w:sz w:val="38"/>
        </w:rPr>
        <w:t xml:space="preserve">report </w:t>
      </w:r>
    </w:p>
    <w:p w:rsidR="004D56A9" w:rsidRPr="00C71E01" w:rsidRDefault="004D56A9" w:rsidP="00C71E01">
      <w:pPr>
        <w:pStyle w:val="SWA-TITLE"/>
        <w:rPr>
          <w:b w:val="0"/>
          <w:caps w:val="0"/>
          <w:sz w:val="28"/>
        </w:rPr>
      </w:pPr>
      <w:r w:rsidRPr="00C71E01">
        <w:rPr>
          <w:b w:val="0"/>
          <w:caps w:val="0"/>
          <w:sz w:val="28"/>
        </w:rPr>
        <w:t xml:space="preserve">An </w:t>
      </w:r>
      <w:r w:rsidR="00232787">
        <w:rPr>
          <w:b w:val="0"/>
          <w:caps w:val="0"/>
          <w:sz w:val="28"/>
        </w:rPr>
        <w:t>e</w:t>
      </w:r>
      <w:r w:rsidRPr="00C71E01">
        <w:rPr>
          <w:b w:val="0"/>
          <w:caps w:val="0"/>
          <w:sz w:val="28"/>
        </w:rPr>
        <w:t xml:space="preserve">mployer’s </w:t>
      </w:r>
      <w:r w:rsidR="00232787">
        <w:rPr>
          <w:b w:val="0"/>
          <w:caps w:val="0"/>
          <w:sz w:val="28"/>
        </w:rPr>
        <w:t>r</w:t>
      </w:r>
      <w:r w:rsidRPr="00C71E01">
        <w:rPr>
          <w:b w:val="0"/>
          <w:caps w:val="0"/>
          <w:sz w:val="28"/>
        </w:rPr>
        <w:t xml:space="preserve">ole in </w:t>
      </w:r>
      <w:r w:rsidR="007338CF">
        <w:rPr>
          <w:b w:val="0"/>
          <w:caps w:val="0"/>
          <w:sz w:val="28"/>
        </w:rPr>
        <w:t>r</w:t>
      </w:r>
      <w:r w:rsidRPr="00C71E01">
        <w:rPr>
          <w:b w:val="0"/>
          <w:caps w:val="0"/>
          <w:sz w:val="28"/>
        </w:rPr>
        <w:t xml:space="preserve">eturn to </w:t>
      </w:r>
      <w:r w:rsidR="007338CF">
        <w:rPr>
          <w:b w:val="0"/>
          <w:caps w:val="0"/>
          <w:sz w:val="28"/>
        </w:rPr>
        <w:t>w</w:t>
      </w:r>
      <w:r w:rsidRPr="00C71E01">
        <w:rPr>
          <w:b w:val="0"/>
          <w:caps w:val="0"/>
          <w:sz w:val="28"/>
        </w:rPr>
        <w:t>ork for a psychological injury claim</w:t>
      </w:r>
    </w:p>
    <w:p w:rsidR="004C76A8" w:rsidRDefault="00F1083B" w:rsidP="004C76A8">
      <w:pPr>
        <w:spacing w:after="120" w:line="240" w:lineRule="auto"/>
        <w:rPr>
          <w:rFonts w:ascii="Arial" w:hAnsi="Arial"/>
          <w:szCs w:val="24"/>
          <w:lang w:val="en-AU"/>
        </w:rPr>
      </w:pPr>
      <w:r w:rsidRPr="004C76A8">
        <w:rPr>
          <w:rFonts w:ascii="Arial" w:hAnsi="Arial"/>
          <w:szCs w:val="24"/>
          <w:lang w:val="en-AU"/>
        </w:rPr>
        <w:t xml:space="preserve">Psychological </w:t>
      </w:r>
      <w:r w:rsidR="00A356AA" w:rsidRPr="004C76A8">
        <w:rPr>
          <w:rFonts w:ascii="Arial" w:hAnsi="Arial"/>
          <w:szCs w:val="24"/>
          <w:lang w:val="en-AU"/>
        </w:rPr>
        <w:t xml:space="preserve">injury </w:t>
      </w:r>
      <w:r w:rsidRPr="004C76A8">
        <w:rPr>
          <w:rFonts w:ascii="Arial" w:hAnsi="Arial"/>
          <w:szCs w:val="24"/>
          <w:lang w:val="en-AU"/>
        </w:rPr>
        <w:t xml:space="preserve">claims are less </w:t>
      </w:r>
      <w:r w:rsidR="00C850E8" w:rsidRPr="004C76A8">
        <w:rPr>
          <w:rFonts w:ascii="Arial" w:hAnsi="Arial"/>
          <w:szCs w:val="24"/>
          <w:lang w:val="en-AU"/>
        </w:rPr>
        <w:t>common</w:t>
      </w:r>
      <w:r w:rsidRPr="004C76A8">
        <w:rPr>
          <w:rFonts w:ascii="Arial" w:hAnsi="Arial"/>
          <w:szCs w:val="24"/>
          <w:lang w:val="en-AU"/>
        </w:rPr>
        <w:t xml:space="preserve"> than physical </w:t>
      </w:r>
      <w:r w:rsidR="00C850E8">
        <w:rPr>
          <w:rFonts w:ascii="Arial" w:hAnsi="Arial"/>
          <w:szCs w:val="24"/>
          <w:lang w:val="en-AU"/>
        </w:rPr>
        <w:t xml:space="preserve">injury </w:t>
      </w:r>
      <w:r w:rsidRPr="004C76A8">
        <w:rPr>
          <w:rFonts w:ascii="Arial" w:hAnsi="Arial"/>
          <w:szCs w:val="24"/>
          <w:lang w:val="en-AU"/>
        </w:rPr>
        <w:t>claims</w:t>
      </w:r>
      <w:r w:rsidR="00C850E8">
        <w:rPr>
          <w:rFonts w:ascii="Arial" w:hAnsi="Arial"/>
          <w:szCs w:val="24"/>
          <w:lang w:val="en-AU"/>
        </w:rPr>
        <w:t>, but can be more complex, costly and result in more time off work.</w:t>
      </w:r>
    </w:p>
    <w:p w:rsidR="007E75EB" w:rsidRDefault="004F3F4A" w:rsidP="00F4445B">
      <w:pPr>
        <w:spacing w:after="120" w:line="240" w:lineRule="auto"/>
        <w:rPr>
          <w:rFonts w:ascii="Arial" w:hAnsi="Arial" w:cs="Arial"/>
          <w:szCs w:val="24"/>
          <w:lang w:val="en-AU"/>
        </w:rPr>
      </w:pPr>
      <w:r>
        <w:rPr>
          <w:rFonts w:ascii="Arial" w:hAnsi="Arial" w:cs="Arial"/>
          <w:szCs w:val="24"/>
          <w:lang w:val="en-AU"/>
        </w:rPr>
        <w:t>T</w:t>
      </w:r>
      <w:r w:rsidR="00814733">
        <w:rPr>
          <w:rFonts w:ascii="Arial" w:hAnsi="Arial" w:cs="Arial"/>
          <w:szCs w:val="24"/>
          <w:lang w:val="en-AU"/>
        </w:rPr>
        <w:t xml:space="preserve">he </w:t>
      </w:r>
      <w:r w:rsidR="00814733">
        <w:rPr>
          <w:rFonts w:ascii="Arial" w:hAnsi="Arial" w:cs="Arial"/>
          <w:i/>
          <w:szCs w:val="24"/>
          <w:lang w:val="en-AU"/>
        </w:rPr>
        <w:t>Return to work in psychological injury</w:t>
      </w:r>
      <w:r w:rsidR="0044004C">
        <w:rPr>
          <w:rFonts w:ascii="Arial" w:hAnsi="Arial" w:cs="Arial"/>
          <w:i/>
          <w:szCs w:val="24"/>
          <w:lang w:val="en-AU"/>
        </w:rPr>
        <w:t xml:space="preserve"> claims</w:t>
      </w:r>
      <w:r w:rsidR="00814733">
        <w:rPr>
          <w:rFonts w:ascii="Arial" w:hAnsi="Arial" w:cs="Arial"/>
          <w:i/>
          <w:szCs w:val="24"/>
          <w:lang w:val="en-AU"/>
        </w:rPr>
        <w:t xml:space="preserve"> </w:t>
      </w:r>
      <w:r w:rsidR="00E901A7" w:rsidRPr="00C7354D">
        <w:rPr>
          <w:rFonts w:ascii="Arial" w:hAnsi="Arial" w:cs="Arial"/>
          <w:szCs w:val="24"/>
          <w:lang w:val="en-AU"/>
        </w:rPr>
        <w:t>report</w:t>
      </w:r>
      <w:r w:rsidR="00814733">
        <w:rPr>
          <w:rFonts w:ascii="Arial" w:hAnsi="Arial" w:cs="Arial"/>
          <w:szCs w:val="24"/>
          <w:lang w:val="en-AU"/>
        </w:rPr>
        <w:t xml:space="preserve"> explores </w:t>
      </w:r>
      <w:r w:rsidR="007E75EB">
        <w:rPr>
          <w:rFonts w:ascii="Arial" w:hAnsi="Arial" w:cs="Arial"/>
          <w:szCs w:val="24"/>
          <w:lang w:val="en-AU"/>
        </w:rPr>
        <w:t>what</w:t>
      </w:r>
      <w:r w:rsidR="001E1D33">
        <w:rPr>
          <w:rFonts w:ascii="Arial" w:hAnsi="Arial" w:cs="Arial"/>
          <w:szCs w:val="24"/>
          <w:lang w:val="en-AU"/>
        </w:rPr>
        <w:t xml:space="preserve"> influence</w:t>
      </w:r>
      <w:r w:rsidR="007E75EB">
        <w:rPr>
          <w:rFonts w:ascii="Arial" w:hAnsi="Arial" w:cs="Arial"/>
          <w:szCs w:val="24"/>
          <w:lang w:val="en-AU"/>
        </w:rPr>
        <w:t>s</w:t>
      </w:r>
      <w:r w:rsidR="001E1D33">
        <w:rPr>
          <w:rFonts w:ascii="Arial" w:hAnsi="Arial" w:cs="Arial"/>
          <w:szCs w:val="24"/>
          <w:lang w:val="en-AU"/>
        </w:rPr>
        <w:t xml:space="preserve"> </w:t>
      </w:r>
      <w:r w:rsidR="0095755E">
        <w:rPr>
          <w:rFonts w:ascii="Arial" w:hAnsi="Arial" w:cs="Arial"/>
          <w:szCs w:val="24"/>
          <w:lang w:val="en-AU"/>
        </w:rPr>
        <w:t xml:space="preserve">a worker’s </w:t>
      </w:r>
      <w:r w:rsidR="001E1D33">
        <w:rPr>
          <w:rFonts w:ascii="Arial" w:hAnsi="Arial" w:cs="Arial"/>
          <w:szCs w:val="24"/>
          <w:lang w:val="en-AU"/>
        </w:rPr>
        <w:t>return to work</w:t>
      </w:r>
      <w:r w:rsidR="00E901A7">
        <w:rPr>
          <w:rFonts w:ascii="Arial" w:hAnsi="Arial" w:cs="Arial"/>
          <w:szCs w:val="24"/>
          <w:lang w:val="en-AU"/>
        </w:rPr>
        <w:t xml:space="preserve"> (RTW)</w:t>
      </w:r>
      <w:r w:rsidR="001E1D33">
        <w:rPr>
          <w:rFonts w:ascii="Arial" w:hAnsi="Arial" w:cs="Arial"/>
          <w:szCs w:val="24"/>
          <w:lang w:val="en-AU"/>
        </w:rPr>
        <w:t xml:space="preserve"> after psychological injury</w:t>
      </w:r>
      <w:r w:rsidR="007E75EB">
        <w:rPr>
          <w:rFonts w:ascii="Arial" w:hAnsi="Arial" w:cs="Arial"/>
          <w:szCs w:val="24"/>
          <w:lang w:val="en-AU"/>
        </w:rPr>
        <w:t xml:space="preserve">. The report is </w:t>
      </w:r>
      <w:r w:rsidR="00C7354D">
        <w:rPr>
          <w:rFonts w:ascii="Arial" w:hAnsi="Arial" w:cs="Arial"/>
          <w:szCs w:val="24"/>
          <w:lang w:val="en-AU"/>
        </w:rPr>
        <w:t>based on results from the 2013 and 2014 National Return to Work Surveys</w:t>
      </w:r>
      <w:r w:rsidR="007338CF">
        <w:rPr>
          <w:rFonts w:ascii="Arial" w:hAnsi="Arial" w:cs="Arial"/>
          <w:szCs w:val="24"/>
          <w:lang w:val="en-AU"/>
        </w:rPr>
        <w:t xml:space="preserve"> (the S</w:t>
      </w:r>
      <w:r w:rsidR="0006740E">
        <w:rPr>
          <w:rFonts w:ascii="Arial" w:hAnsi="Arial" w:cs="Arial"/>
          <w:szCs w:val="24"/>
          <w:lang w:val="en-AU"/>
        </w:rPr>
        <w:t>urvey)</w:t>
      </w:r>
      <w:r w:rsidR="00814733">
        <w:rPr>
          <w:rFonts w:ascii="Arial" w:hAnsi="Arial" w:cs="Arial"/>
          <w:szCs w:val="24"/>
          <w:lang w:val="en-AU"/>
        </w:rPr>
        <w:t>.</w:t>
      </w:r>
      <w:r w:rsidR="00FC195A">
        <w:rPr>
          <w:rFonts w:ascii="Arial" w:hAnsi="Arial" w:cs="Arial"/>
          <w:szCs w:val="24"/>
          <w:lang w:val="en-AU"/>
        </w:rPr>
        <w:t xml:space="preserve"> </w:t>
      </w:r>
    </w:p>
    <w:p w:rsidR="00F4445B" w:rsidRPr="00F4445B" w:rsidRDefault="005C31F2" w:rsidP="00F4445B">
      <w:pPr>
        <w:rPr>
          <w:rFonts w:ascii="Arial" w:hAnsi="Arial" w:cs="Arial"/>
          <w:b/>
        </w:rPr>
      </w:pPr>
      <w:r w:rsidRPr="00F4445B">
        <w:rPr>
          <w:rFonts w:ascii="Arial" w:hAnsi="Arial" w:cs="Arial"/>
          <w:b/>
        </w:rPr>
        <w:t xml:space="preserve">Key </w:t>
      </w:r>
      <w:r w:rsidR="00912A38" w:rsidRPr="00F4445B">
        <w:rPr>
          <w:rFonts w:ascii="Arial" w:hAnsi="Arial" w:cs="Arial"/>
          <w:b/>
        </w:rPr>
        <w:t>findings</w:t>
      </w:r>
      <w:r w:rsidR="00E76CD0">
        <w:rPr>
          <w:rFonts w:ascii="Arial" w:hAnsi="Arial" w:cs="Arial"/>
          <w:b/>
        </w:rPr>
        <w:t xml:space="preserve"> for employers</w:t>
      </w:r>
    </w:p>
    <w:p w:rsidR="007E75EB" w:rsidRPr="008C57EE" w:rsidRDefault="007E75EB" w:rsidP="00C71E01">
      <w:pPr>
        <w:spacing w:after="120" w:line="240" w:lineRule="auto"/>
        <w:rPr>
          <w:rFonts w:ascii="Arial" w:hAnsi="Arial" w:cs="Arial"/>
          <w:szCs w:val="24"/>
          <w:lang w:val="en-AU"/>
        </w:rPr>
      </w:pPr>
      <w:r>
        <w:rPr>
          <w:rFonts w:ascii="Arial" w:hAnsi="Arial" w:cs="Arial"/>
        </w:rPr>
        <w:t xml:space="preserve">Employers </w:t>
      </w:r>
      <w:r w:rsidRPr="00096B37">
        <w:rPr>
          <w:rFonts w:ascii="Arial" w:hAnsi="Arial" w:cs="Arial"/>
        </w:rPr>
        <w:t xml:space="preserve">play a critical role in </w:t>
      </w:r>
      <w:r w:rsidR="00C260E2">
        <w:rPr>
          <w:rFonts w:ascii="Arial" w:hAnsi="Arial" w:cs="Arial"/>
        </w:rPr>
        <w:t xml:space="preserve">the </w:t>
      </w:r>
      <w:r w:rsidRPr="00096B37">
        <w:rPr>
          <w:rFonts w:ascii="Arial" w:hAnsi="Arial" w:cs="Arial"/>
        </w:rPr>
        <w:t>RTW</w:t>
      </w:r>
      <w:r w:rsidR="0006740E">
        <w:rPr>
          <w:rFonts w:ascii="Arial" w:hAnsi="Arial" w:cs="Arial"/>
        </w:rPr>
        <w:t xml:space="preserve"> outcomes </w:t>
      </w:r>
      <w:r w:rsidR="00C260E2">
        <w:rPr>
          <w:rFonts w:ascii="Arial" w:hAnsi="Arial" w:cs="Arial"/>
        </w:rPr>
        <w:t>of</w:t>
      </w:r>
      <w:r w:rsidR="007338CF">
        <w:rPr>
          <w:rFonts w:ascii="Arial" w:hAnsi="Arial" w:cs="Arial"/>
        </w:rPr>
        <w:t xml:space="preserve"> workers with a work-</w:t>
      </w:r>
      <w:r w:rsidR="0006740E">
        <w:rPr>
          <w:rFonts w:ascii="Arial" w:hAnsi="Arial" w:cs="Arial"/>
        </w:rPr>
        <w:t>related psychological injury</w:t>
      </w:r>
      <w:r w:rsidRPr="00096B37">
        <w:rPr>
          <w:rFonts w:ascii="Arial" w:hAnsi="Arial" w:cs="Arial"/>
        </w:rPr>
        <w:t>.</w:t>
      </w:r>
      <w:r w:rsidR="004D56A9">
        <w:rPr>
          <w:rFonts w:ascii="Arial" w:hAnsi="Arial" w:cs="Arial"/>
        </w:rPr>
        <w:t xml:space="preserve"> The research found that employer support, early contact and assistance with lodging claims were the top three employer actions that positively influenced RTW outcomes.</w:t>
      </w:r>
      <w:r w:rsidRPr="00096B37">
        <w:rPr>
          <w:rFonts w:ascii="Arial" w:hAnsi="Arial" w:cs="Arial"/>
        </w:rPr>
        <w:t xml:space="preserve"> </w:t>
      </w:r>
    </w:p>
    <w:p w:rsidR="00096B37" w:rsidRDefault="00010577" w:rsidP="00096B37">
      <w:pPr>
        <w:pStyle w:val="Heading3"/>
      </w:pPr>
      <w:r>
        <w:t>Employer s</w:t>
      </w:r>
      <w:r w:rsidR="00096B37">
        <w:t>upport</w:t>
      </w:r>
    </w:p>
    <w:p w:rsidR="00C71E01" w:rsidRDefault="00C260E2" w:rsidP="00CF075E">
      <w:p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An e</w:t>
      </w:r>
      <w:r w:rsidR="00FD534F" w:rsidRPr="008C57EE">
        <w:rPr>
          <w:rFonts w:ascii="Arial" w:hAnsi="Arial"/>
          <w:szCs w:val="24"/>
          <w:lang w:val="en-AU"/>
        </w:rPr>
        <w:t>mployer</w:t>
      </w:r>
      <w:r>
        <w:rPr>
          <w:rFonts w:ascii="Arial" w:hAnsi="Arial"/>
          <w:szCs w:val="24"/>
          <w:lang w:val="en-AU"/>
        </w:rPr>
        <w:t>’</w:t>
      </w:r>
      <w:r w:rsidR="00FD534F" w:rsidRPr="008C57EE">
        <w:rPr>
          <w:rFonts w:ascii="Arial" w:hAnsi="Arial"/>
          <w:szCs w:val="24"/>
          <w:lang w:val="en-AU"/>
        </w:rPr>
        <w:t xml:space="preserve">s </w:t>
      </w:r>
      <w:r w:rsidR="00B71759" w:rsidRPr="008C57EE">
        <w:rPr>
          <w:rFonts w:ascii="Arial" w:hAnsi="Arial"/>
          <w:szCs w:val="24"/>
          <w:lang w:val="en-AU"/>
        </w:rPr>
        <w:t>response to psychological injur</w:t>
      </w:r>
      <w:r w:rsidR="004D56A9">
        <w:rPr>
          <w:rFonts w:ascii="Arial" w:hAnsi="Arial"/>
          <w:szCs w:val="24"/>
          <w:lang w:val="en-AU"/>
        </w:rPr>
        <w:t>y claims</w:t>
      </w:r>
      <w:r w:rsidR="00B71759" w:rsidRPr="008C57EE">
        <w:rPr>
          <w:rFonts w:ascii="Arial" w:hAnsi="Arial"/>
          <w:szCs w:val="24"/>
          <w:lang w:val="en-AU"/>
        </w:rPr>
        <w:t xml:space="preserve"> can </w:t>
      </w:r>
      <w:r w:rsidR="00A32AF9" w:rsidRPr="008C57EE">
        <w:rPr>
          <w:rFonts w:ascii="Arial" w:hAnsi="Arial"/>
          <w:szCs w:val="24"/>
          <w:lang w:val="en-AU"/>
        </w:rPr>
        <w:t xml:space="preserve">improve </w:t>
      </w:r>
      <w:r w:rsidR="00FD534F" w:rsidRPr="008C57EE">
        <w:rPr>
          <w:rFonts w:ascii="Arial" w:hAnsi="Arial"/>
          <w:szCs w:val="24"/>
          <w:lang w:val="en-AU"/>
        </w:rPr>
        <w:t>RTW outcomes</w:t>
      </w:r>
      <w:r w:rsidR="00B71759" w:rsidRPr="008C57EE">
        <w:rPr>
          <w:rFonts w:ascii="Arial" w:hAnsi="Arial"/>
          <w:szCs w:val="24"/>
          <w:lang w:val="en-AU"/>
        </w:rPr>
        <w:t>.</w:t>
      </w:r>
      <w:r w:rsidR="00FD534F" w:rsidRPr="008C57EE">
        <w:rPr>
          <w:rFonts w:ascii="Arial" w:hAnsi="Arial"/>
          <w:szCs w:val="24"/>
          <w:lang w:val="en-AU"/>
        </w:rPr>
        <w:t xml:space="preserve"> </w:t>
      </w:r>
      <w:r w:rsidR="00C433AC" w:rsidRPr="008C57EE">
        <w:rPr>
          <w:rFonts w:ascii="Arial" w:hAnsi="Arial"/>
          <w:szCs w:val="24"/>
          <w:lang w:val="en-AU"/>
        </w:rPr>
        <w:t>Results</w:t>
      </w:r>
      <w:r w:rsidR="00A32AF9" w:rsidRPr="008C57EE">
        <w:rPr>
          <w:rFonts w:ascii="Arial" w:hAnsi="Arial"/>
          <w:szCs w:val="24"/>
          <w:lang w:val="en-AU"/>
        </w:rPr>
        <w:t xml:space="preserve"> from the Survey</w:t>
      </w:r>
      <w:r w:rsidR="00C433AC" w:rsidRPr="008C57EE">
        <w:rPr>
          <w:rFonts w:ascii="Arial" w:hAnsi="Arial"/>
          <w:szCs w:val="24"/>
          <w:lang w:val="en-AU"/>
        </w:rPr>
        <w:t xml:space="preserve"> show </w:t>
      </w:r>
      <w:r w:rsidR="0044004C">
        <w:rPr>
          <w:rFonts w:ascii="Arial" w:hAnsi="Arial"/>
          <w:szCs w:val="24"/>
          <w:lang w:val="en-AU"/>
        </w:rPr>
        <w:t>worker</w:t>
      </w:r>
      <w:r w:rsidR="00A32AF9" w:rsidRPr="008C57EE">
        <w:rPr>
          <w:rFonts w:ascii="Arial" w:hAnsi="Arial"/>
          <w:szCs w:val="24"/>
          <w:lang w:val="en-AU"/>
        </w:rPr>
        <w:t>s</w:t>
      </w:r>
      <w:r w:rsidR="00C433AC" w:rsidRPr="008C57EE">
        <w:rPr>
          <w:rFonts w:ascii="Arial" w:hAnsi="Arial"/>
          <w:szCs w:val="24"/>
          <w:lang w:val="en-AU"/>
        </w:rPr>
        <w:t xml:space="preserve"> who </w:t>
      </w:r>
      <w:r w:rsidR="00FD534F" w:rsidRPr="008C57EE">
        <w:rPr>
          <w:rFonts w:ascii="Arial" w:hAnsi="Arial"/>
          <w:szCs w:val="24"/>
          <w:lang w:val="en-AU"/>
        </w:rPr>
        <w:t>felt</w:t>
      </w:r>
      <w:r w:rsidR="00C433AC" w:rsidRPr="008C57EE">
        <w:rPr>
          <w:rFonts w:ascii="Arial" w:hAnsi="Arial"/>
          <w:szCs w:val="24"/>
          <w:lang w:val="en-AU"/>
        </w:rPr>
        <w:t xml:space="preserve"> their employer </w:t>
      </w:r>
      <w:r w:rsidR="00FD534F" w:rsidRPr="008C57EE">
        <w:rPr>
          <w:rFonts w:ascii="Arial" w:hAnsi="Arial"/>
          <w:szCs w:val="24"/>
          <w:lang w:val="en-AU"/>
        </w:rPr>
        <w:t xml:space="preserve">was </w:t>
      </w:r>
      <w:r w:rsidR="00D71019" w:rsidRPr="008C57EE">
        <w:rPr>
          <w:rFonts w:ascii="Arial" w:hAnsi="Arial"/>
          <w:szCs w:val="24"/>
          <w:lang w:val="en-AU"/>
        </w:rPr>
        <w:t>supportive</w:t>
      </w:r>
      <w:r w:rsidR="00C433AC" w:rsidRPr="008C57EE">
        <w:rPr>
          <w:rFonts w:ascii="Arial" w:hAnsi="Arial"/>
          <w:szCs w:val="24"/>
          <w:lang w:val="en-AU"/>
        </w:rPr>
        <w:t xml:space="preserve"> </w:t>
      </w:r>
      <w:r w:rsidR="00AF26CB">
        <w:rPr>
          <w:rFonts w:ascii="Arial" w:hAnsi="Arial"/>
          <w:szCs w:val="24"/>
          <w:lang w:val="en-AU"/>
        </w:rPr>
        <w:t>had better RTW outcomes</w:t>
      </w:r>
      <w:r w:rsidR="00C433AC" w:rsidRPr="008C57EE">
        <w:rPr>
          <w:rFonts w:ascii="Arial" w:hAnsi="Arial"/>
          <w:szCs w:val="24"/>
          <w:lang w:val="en-AU"/>
        </w:rPr>
        <w:t xml:space="preserve">. </w:t>
      </w:r>
      <w:r w:rsidR="007338CF">
        <w:rPr>
          <w:rFonts w:ascii="Arial" w:hAnsi="Arial"/>
          <w:szCs w:val="24"/>
          <w:lang w:val="en-AU"/>
        </w:rPr>
        <w:t xml:space="preserve">Seventy </w:t>
      </w:r>
      <w:r w:rsidR="0044004C">
        <w:rPr>
          <w:rFonts w:ascii="Arial" w:hAnsi="Arial"/>
          <w:szCs w:val="24"/>
          <w:lang w:val="en-AU"/>
        </w:rPr>
        <w:t>nine per cent of worker</w:t>
      </w:r>
      <w:r w:rsidR="00A32AF9" w:rsidRPr="008C57EE">
        <w:rPr>
          <w:rFonts w:ascii="Arial" w:hAnsi="Arial"/>
          <w:szCs w:val="24"/>
          <w:lang w:val="en-AU"/>
        </w:rPr>
        <w:t xml:space="preserve">s who </w:t>
      </w:r>
      <w:r w:rsidR="00FD534F" w:rsidRPr="008C57EE">
        <w:rPr>
          <w:rFonts w:ascii="Arial" w:hAnsi="Arial"/>
          <w:szCs w:val="24"/>
          <w:lang w:val="en-AU"/>
        </w:rPr>
        <w:t xml:space="preserve">felt </w:t>
      </w:r>
      <w:r w:rsidR="00A32AF9" w:rsidRPr="008C57EE">
        <w:rPr>
          <w:rFonts w:ascii="Arial" w:hAnsi="Arial"/>
          <w:szCs w:val="24"/>
          <w:lang w:val="en-AU"/>
        </w:rPr>
        <w:t xml:space="preserve">their employer </w:t>
      </w:r>
      <w:r w:rsidR="00FD534F" w:rsidRPr="008C57EE">
        <w:rPr>
          <w:rFonts w:ascii="Arial" w:hAnsi="Arial"/>
          <w:szCs w:val="24"/>
          <w:lang w:val="en-AU"/>
        </w:rPr>
        <w:t xml:space="preserve">was supportive </w:t>
      </w:r>
      <w:r w:rsidR="00A32AF9" w:rsidRPr="008C57EE">
        <w:rPr>
          <w:rFonts w:ascii="Arial" w:hAnsi="Arial"/>
          <w:szCs w:val="24"/>
          <w:lang w:val="en-AU"/>
        </w:rPr>
        <w:t>were</w:t>
      </w:r>
      <w:r w:rsidR="00FD534F" w:rsidRPr="008C57EE">
        <w:rPr>
          <w:rFonts w:ascii="Arial" w:hAnsi="Arial"/>
          <w:szCs w:val="24"/>
          <w:lang w:val="en-AU"/>
        </w:rPr>
        <w:t xml:space="preserve"> back</w:t>
      </w:r>
      <w:r w:rsidR="00A32AF9" w:rsidRPr="008C57EE">
        <w:rPr>
          <w:rFonts w:ascii="Arial" w:hAnsi="Arial"/>
          <w:szCs w:val="24"/>
          <w:lang w:val="en-AU"/>
        </w:rPr>
        <w:t xml:space="preserve"> at </w:t>
      </w:r>
      <w:r w:rsidR="00FD534F" w:rsidRPr="008C57EE">
        <w:rPr>
          <w:rFonts w:ascii="Arial" w:hAnsi="Arial"/>
          <w:szCs w:val="24"/>
          <w:lang w:val="en-AU"/>
        </w:rPr>
        <w:t>work at the</w:t>
      </w:r>
      <w:r w:rsidR="0044004C">
        <w:rPr>
          <w:rFonts w:ascii="Arial" w:hAnsi="Arial"/>
          <w:szCs w:val="24"/>
          <w:lang w:val="en-AU"/>
        </w:rPr>
        <w:t xml:space="preserve"> time of the Survey. Of worker</w:t>
      </w:r>
      <w:r w:rsidR="00FD534F" w:rsidRPr="008C57EE">
        <w:rPr>
          <w:rFonts w:ascii="Arial" w:hAnsi="Arial"/>
          <w:szCs w:val="24"/>
          <w:lang w:val="en-AU"/>
        </w:rPr>
        <w:t xml:space="preserve">s who didn’t feel their employer was supportive, only </w:t>
      </w:r>
      <w:r w:rsidR="00A32AF9" w:rsidRPr="008C57EE">
        <w:rPr>
          <w:rFonts w:ascii="Arial" w:hAnsi="Arial"/>
          <w:szCs w:val="24"/>
          <w:lang w:val="en-AU"/>
        </w:rPr>
        <w:t>52 per cent</w:t>
      </w:r>
      <w:r w:rsidR="00FD534F" w:rsidRPr="008C57EE">
        <w:rPr>
          <w:rFonts w:ascii="Arial" w:hAnsi="Arial"/>
          <w:szCs w:val="24"/>
          <w:lang w:val="en-AU"/>
        </w:rPr>
        <w:t xml:space="preserve"> were back at work.</w:t>
      </w:r>
    </w:p>
    <w:p w:rsidR="005E73FE" w:rsidRPr="008C57EE" w:rsidRDefault="0044004C" w:rsidP="00CF075E">
      <w:p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The Survey found that worker</w:t>
      </w:r>
      <w:r w:rsidR="007E75EB" w:rsidRPr="008C57EE">
        <w:rPr>
          <w:rFonts w:ascii="Arial" w:hAnsi="Arial"/>
          <w:szCs w:val="24"/>
          <w:lang w:val="en-AU"/>
        </w:rPr>
        <w:t>s felt supported where employers</w:t>
      </w:r>
      <w:r w:rsidR="00FD534F" w:rsidRPr="008C57EE">
        <w:rPr>
          <w:rFonts w:ascii="Arial" w:hAnsi="Arial"/>
          <w:szCs w:val="24"/>
          <w:lang w:val="en-AU"/>
        </w:rPr>
        <w:t xml:space="preserve"> </w:t>
      </w:r>
      <w:r w:rsidR="006439AA">
        <w:rPr>
          <w:rFonts w:ascii="Arial" w:hAnsi="Arial"/>
          <w:szCs w:val="24"/>
          <w:lang w:val="en-AU"/>
        </w:rPr>
        <w:t xml:space="preserve">helped </w:t>
      </w:r>
      <w:r w:rsidR="007E75EB" w:rsidRPr="008C57EE">
        <w:rPr>
          <w:rFonts w:ascii="Arial" w:hAnsi="Arial"/>
          <w:szCs w:val="24"/>
          <w:lang w:val="en-AU"/>
        </w:rPr>
        <w:t>the</w:t>
      </w:r>
      <w:r w:rsidR="006439AA">
        <w:rPr>
          <w:rFonts w:ascii="Arial" w:hAnsi="Arial"/>
          <w:szCs w:val="24"/>
          <w:lang w:val="en-AU"/>
        </w:rPr>
        <w:t>m</w:t>
      </w:r>
      <w:r w:rsidR="007E75EB" w:rsidRPr="008C57EE">
        <w:rPr>
          <w:rFonts w:ascii="Arial" w:hAnsi="Arial"/>
          <w:szCs w:val="24"/>
          <w:lang w:val="en-AU"/>
        </w:rPr>
        <w:t xml:space="preserve"> </w:t>
      </w:r>
      <w:r w:rsidR="006439AA">
        <w:rPr>
          <w:rFonts w:ascii="Arial" w:hAnsi="Arial"/>
          <w:szCs w:val="24"/>
          <w:lang w:val="en-AU"/>
        </w:rPr>
        <w:t xml:space="preserve">to find </w:t>
      </w:r>
      <w:r w:rsidR="005E73FE" w:rsidRPr="008C57EE">
        <w:rPr>
          <w:rFonts w:ascii="Arial" w:hAnsi="Arial"/>
          <w:szCs w:val="24"/>
          <w:lang w:val="en-AU"/>
        </w:rPr>
        <w:t>suitable</w:t>
      </w:r>
      <w:r w:rsidR="004D56A9">
        <w:rPr>
          <w:rFonts w:ascii="Arial" w:hAnsi="Arial"/>
          <w:szCs w:val="24"/>
          <w:lang w:val="en-AU"/>
        </w:rPr>
        <w:t xml:space="preserve"> alternative duties</w:t>
      </w:r>
      <w:r w:rsidR="005E73FE" w:rsidRPr="008C57EE">
        <w:rPr>
          <w:rFonts w:ascii="Arial" w:hAnsi="Arial"/>
          <w:szCs w:val="24"/>
          <w:lang w:val="en-AU"/>
        </w:rPr>
        <w:t>,</w:t>
      </w:r>
      <w:r w:rsidR="007E75EB" w:rsidRPr="008C57EE">
        <w:rPr>
          <w:rFonts w:ascii="Arial" w:hAnsi="Arial"/>
          <w:szCs w:val="24"/>
          <w:lang w:val="en-AU"/>
        </w:rPr>
        <w:t xml:space="preserve"> provided</w:t>
      </w:r>
      <w:r w:rsidR="00FD534F" w:rsidRPr="008C57EE">
        <w:rPr>
          <w:rFonts w:ascii="Arial" w:hAnsi="Arial"/>
          <w:szCs w:val="24"/>
          <w:lang w:val="en-AU"/>
        </w:rPr>
        <w:t xml:space="preserve"> information on</w:t>
      </w:r>
      <w:r w:rsidR="007E75EB" w:rsidRPr="008C57EE">
        <w:rPr>
          <w:rFonts w:ascii="Arial" w:hAnsi="Arial"/>
          <w:szCs w:val="24"/>
          <w:lang w:val="en-AU"/>
        </w:rPr>
        <w:t xml:space="preserve"> their</w:t>
      </w:r>
      <w:r w:rsidR="00FD534F" w:rsidRPr="008C57EE">
        <w:rPr>
          <w:rFonts w:ascii="Arial" w:hAnsi="Arial"/>
          <w:szCs w:val="24"/>
          <w:lang w:val="en-AU"/>
        </w:rPr>
        <w:t xml:space="preserve"> rights and responsibilities,</w:t>
      </w:r>
      <w:r w:rsidR="005E73FE" w:rsidRPr="008C57EE">
        <w:rPr>
          <w:rFonts w:ascii="Arial" w:hAnsi="Arial"/>
          <w:szCs w:val="24"/>
          <w:lang w:val="en-AU"/>
        </w:rPr>
        <w:t xml:space="preserve"> help</w:t>
      </w:r>
      <w:r w:rsidR="007E75EB" w:rsidRPr="008C57EE">
        <w:rPr>
          <w:rFonts w:ascii="Arial" w:hAnsi="Arial"/>
          <w:szCs w:val="24"/>
          <w:lang w:val="en-AU"/>
        </w:rPr>
        <w:t>ed</w:t>
      </w:r>
      <w:r w:rsidR="005E73FE" w:rsidRPr="008C57EE">
        <w:rPr>
          <w:rFonts w:ascii="Arial" w:hAnsi="Arial"/>
          <w:szCs w:val="24"/>
          <w:lang w:val="en-AU"/>
        </w:rPr>
        <w:t xml:space="preserve"> with recovery</w:t>
      </w:r>
      <w:r w:rsidR="007E75EB" w:rsidRPr="008C57EE">
        <w:rPr>
          <w:rFonts w:ascii="Arial" w:hAnsi="Arial"/>
          <w:szCs w:val="24"/>
          <w:lang w:val="en-AU"/>
        </w:rPr>
        <w:t>,</w:t>
      </w:r>
      <w:r w:rsidR="005E73FE" w:rsidRPr="008C57EE">
        <w:rPr>
          <w:rFonts w:ascii="Arial" w:hAnsi="Arial"/>
          <w:szCs w:val="24"/>
          <w:lang w:val="en-AU"/>
        </w:rPr>
        <w:t xml:space="preserve"> and treat</w:t>
      </w:r>
      <w:r w:rsidR="007E75EB" w:rsidRPr="008C57EE">
        <w:rPr>
          <w:rFonts w:ascii="Arial" w:hAnsi="Arial"/>
          <w:szCs w:val="24"/>
          <w:lang w:val="en-AU"/>
        </w:rPr>
        <w:t>ed</w:t>
      </w:r>
      <w:r w:rsidR="005E73FE" w:rsidRPr="008C57EE">
        <w:rPr>
          <w:rFonts w:ascii="Arial" w:hAnsi="Arial"/>
          <w:szCs w:val="24"/>
          <w:lang w:val="en-AU"/>
        </w:rPr>
        <w:t xml:space="preserve"> th</w:t>
      </w:r>
      <w:r w:rsidR="007E75EB" w:rsidRPr="008C57EE">
        <w:rPr>
          <w:rFonts w:ascii="Arial" w:hAnsi="Arial"/>
          <w:szCs w:val="24"/>
          <w:lang w:val="en-AU"/>
        </w:rPr>
        <w:t>em</w:t>
      </w:r>
      <w:r w:rsidR="005E73FE" w:rsidRPr="008C57EE">
        <w:rPr>
          <w:rFonts w:ascii="Arial" w:hAnsi="Arial"/>
          <w:szCs w:val="24"/>
          <w:lang w:val="en-AU"/>
        </w:rPr>
        <w:t xml:space="preserve"> fairly during and after the claims process.</w:t>
      </w:r>
    </w:p>
    <w:p w:rsidR="00096B37" w:rsidRPr="00096B37" w:rsidRDefault="00096B37" w:rsidP="00096B37">
      <w:pPr>
        <w:pStyle w:val="Heading3"/>
      </w:pPr>
      <w:r>
        <w:t>Early contact</w:t>
      </w:r>
    </w:p>
    <w:p w:rsidR="00390AC2" w:rsidRPr="008C57EE" w:rsidRDefault="00227A3C" w:rsidP="00CF075E">
      <w:pPr>
        <w:spacing w:after="120" w:line="240" w:lineRule="auto"/>
        <w:rPr>
          <w:rFonts w:ascii="Arial" w:hAnsi="Arial"/>
          <w:szCs w:val="24"/>
          <w:lang w:val="en-AU"/>
        </w:rPr>
      </w:pPr>
      <w:r w:rsidRPr="008C57EE">
        <w:rPr>
          <w:rFonts w:ascii="Arial" w:hAnsi="Arial"/>
          <w:szCs w:val="24"/>
          <w:lang w:val="en-AU"/>
        </w:rPr>
        <w:t>Early contact from the workplace</w:t>
      </w:r>
      <w:r w:rsidR="00346927" w:rsidRPr="008C57EE">
        <w:rPr>
          <w:rFonts w:ascii="Arial" w:hAnsi="Arial"/>
          <w:szCs w:val="24"/>
          <w:lang w:val="en-AU"/>
        </w:rPr>
        <w:t xml:space="preserve"> </w:t>
      </w:r>
      <w:r w:rsidR="00AF26CB">
        <w:rPr>
          <w:rFonts w:ascii="Arial" w:hAnsi="Arial"/>
          <w:szCs w:val="24"/>
          <w:lang w:val="en-AU"/>
        </w:rPr>
        <w:t>can be</w:t>
      </w:r>
      <w:r w:rsidR="00A9343F" w:rsidRPr="008C57EE">
        <w:rPr>
          <w:rFonts w:ascii="Arial" w:hAnsi="Arial"/>
          <w:szCs w:val="24"/>
          <w:lang w:val="en-AU"/>
        </w:rPr>
        <w:t xml:space="preserve"> important </w:t>
      </w:r>
      <w:r w:rsidR="00010577" w:rsidRPr="008C57EE">
        <w:rPr>
          <w:rFonts w:ascii="Arial" w:hAnsi="Arial"/>
          <w:szCs w:val="24"/>
          <w:lang w:val="en-AU"/>
        </w:rPr>
        <w:t xml:space="preserve">for </w:t>
      </w:r>
      <w:r w:rsidR="00A9343F" w:rsidRPr="008C57EE">
        <w:rPr>
          <w:rFonts w:ascii="Arial" w:hAnsi="Arial"/>
          <w:szCs w:val="24"/>
          <w:lang w:val="en-AU"/>
        </w:rPr>
        <w:t>RTW</w:t>
      </w:r>
      <w:r w:rsidR="00346927" w:rsidRPr="008C57EE">
        <w:rPr>
          <w:rFonts w:ascii="Arial" w:hAnsi="Arial"/>
          <w:szCs w:val="24"/>
          <w:lang w:val="en-AU"/>
        </w:rPr>
        <w:t xml:space="preserve">. </w:t>
      </w:r>
      <w:r w:rsidR="0091317B" w:rsidRPr="008C57EE">
        <w:rPr>
          <w:rFonts w:ascii="Arial" w:hAnsi="Arial"/>
          <w:szCs w:val="24"/>
          <w:lang w:val="en-AU"/>
        </w:rPr>
        <w:t>W</w:t>
      </w:r>
      <w:r w:rsidR="00E76CD0" w:rsidRPr="008C57EE">
        <w:rPr>
          <w:rFonts w:ascii="Arial" w:hAnsi="Arial"/>
          <w:szCs w:val="24"/>
          <w:lang w:val="en-AU"/>
        </w:rPr>
        <w:t xml:space="preserve">orkers </w:t>
      </w:r>
      <w:r w:rsidR="00DC26A6" w:rsidRPr="008C57EE">
        <w:rPr>
          <w:rFonts w:ascii="Arial" w:hAnsi="Arial"/>
          <w:szCs w:val="24"/>
          <w:lang w:val="en-AU"/>
        </w:rPr>
        <w:t xml:space="preserve">who </w:t>
      </w:r>
      <w:r w:rsidR="0005287B" w:rsidRPr="008C57EE">
        <w:rPr>
          <w:rFonts w:ascii="Arial" w:hAnsi="Arial"/>
          <w:szCs w:val="24"/>
          <w:lang w:val="en-AU"/>
        </w:rPr>
        <w:t>said</w:t>
      </w:r>
      <w:r w:rsidR="00390AC2" w:rsidRPr="008C57EE">
        <w:rPr>
          <w:rFonts w:ascii="Arial" w:hAnsi="Arial"/>
          <w:szCs w:val="24"/>
          <w:lang w:val="en-AU"/>
        </w:rPr>
        <w:t xml:space="preserve"> </w:t>
      </w:r>
      <w:r w:rsidR="0005287B" w:rsidRPr="008C57EE">
        <w:rPr>
          <w:rFonts w:ascii="Arial" w:hAnsi="Arial"/>
          <w:szCs w:val="24"/>
          <w:lang w:val="en-AU"/>
        </w:rPr>
        <w:t xml:space="preserve">their workplace had made contact with them </w:t>
      </w:r>
      <w:r w:rsidR="00390AC2" w:rsidRPr="008C57EE">
        <w:rPr>
          <w:rFonts w:ascii="Arial" w:hAnsi="Arial"/>
          <w:szCs w:val="24"/>
          <w:lang w:val="en-AU"/>
        </w:rPr>
        <w:t xml:space="preserve">soon after </w:t>
      </w:r>
      <w:r w:rsidR="0005287B" w:rsidRPr="008C57EE">
        <w:rPr>
          <w:rFonts w:ascii="Arial" w:hAnsi="Arial"/>
          <w:szCs w:val="24"/>
          <w:lang w:val="en-AU"/>
        </w:rPr>
        <w:t>their injury</w:t>
      </w:r>
      <w:r w:rsidR="00E76CD0" w:rsidRPr="008C57EE">
        <w:rPr>
          <w:rFonts w:ascii="Arial" w:hAnsi="Arial"/>
          <w:szCs w:val="24"/>
          <w:lang w:val="en-AU"/>
        </w:rPr>
        <w:t xml:space="preserve"> had higher RTW rates</w:t>
      </w:r>
      <w:r w:rsidR="00D71019" w:rsidRPr="008C57EE">
        <w:rPr>
          <w:rFonts w:ascii="Arial" w:hAnsi="Arial"/>
          <w:szCs w:val="24"/>
          <w:lang w:val="en-AU"/>
        </w:rPr>
        <w:t>,</w:t>
      </w:r>
      <w:r w:rsidR="00E76CD0" w:rsidRPr="008C57EE">
        <w:rPr>
          <w:rFonts w:ascii="Arial" w:hAnsi="Arial"/>
          <w:szCs w:val="24"/>
          <w:lang w:val="en-AU"/>
        </w:rPr>
        <w:t xml:space="preserve"> compared to those who were not contacted</w:t>
      </w:r>
      <w:r w:rsidR="00390AC2" w:rsidRPr="008C57EE">
        <w:rPr>
          <w:rFonts w:ascii="Arial" w:hAnsi="Arial"/>
          <w:szCs w:val="24"/>
          <w:lang w:val="en-AU"/>
        </w:rPr>
        <w:t>.</w:t>
      </w:r>
    </w:p>
    <w:p w:rsidR="00E76CD0" w:rsidRPr="008C57EE" w:rsidRDefault="002914EB" w:rsidP="008C57EE">
      <w:pPr>
        <w:spacing w:after="120" w:line="240" w:lineRule="auto"/>
        <w:rPr>
          <w:rFonts w:ascii="Arial" w:hAnsi="Arial" w:cs="Arial"/>
        </w:rPr>
      </w:pPr>
      <w:r w:rsidRPr="00CF075E">
        <w:rPr>
          <w:rFonts w:ascii="Arial" w:hAnsi="Arial" w:cs="Arial"/>
        </w:rPr>
        <w:t xml:space="preserve">Of the </w:t>
      </w:r>
      <w:r w:rsidR="00346927" w:rsidRPr="00CF075E">
        <w:rPr>
          <w:rFonts w:ascii="Arial" w:hAnsi="Arial" w:cs="Arial"/>
        </w:rPr>
        <w:t xml:space="preserve">workers </w:t>
      </w:r>
      <w:r w:rsidR="00390AC2" w:rsidRPr="00CF075E">
        <w:rPr>
          <w:rFonts w:ascii="Arial" w:hAnsi="Arial" w:cs="Arial"/>
        </w:rPr>
        <w:t>who</w:t>
      </w:r>
      <w:r w:rsidR="00F4445B" w:rsidRPr="00CF075E">
        <w:rPr>
          <w:rFonts w:ascii="Arial" w:hAnsi="Arial" w:cs="Arial"/>
        </w:rPr>
        <w:t xml:space="preserve"> </w:t>
      </w:r>
      <w:r w:rsidRPr="00CF075E">
        <w:rPr>
          <w:rFonts w:ascii="Arial" w:hAnsi="Arial" w:cs="Arial"/>
        </w:rPr>
        <w:t>were contacted by someone from work, 72</w:t>
      </w:r>
      <w:r w:rsidR="00307AFE" w:rsidRPr="00CF075E">
        <w:rPr>
          <w:rFonts w:ascii="Arial" w:hAnsi="Arial" w:cs="Arial"/>
        </w:rPr>
        <w:t> per cent</w:t>
      </w:r>
      <w:r w:rsidRPr="00CF075E">
        <w:rPr>
          <w:rFonts w:ascii="Arial" w:hAnsi="Arial" w:cs="Arial"/>
        </w:rPr>
        <w:t xml:space="preserve"> were back at work at the time of the survey. This </w:t>
      </w:r>
      <w:r w:rsidR="004C76A8" w:rsidRPr="00CF075E">
        <w:rPr>
          <w:rFonts w:ascii="Arial" w:hAnsi="Arial" w:cs="Arial"/>
        </w:rPr>
        <w:t>increased</w:t>
      </w:r>
      <w:r w:rsidRPr="00CF075E">
        <w:rPr>
          <w:rFonts w:ascii="Arial" w:hAnsi="Arial" w:cs="Arial"/>
        </w:rPr>
        <w:t xml:space="preserve"> to 77</w:t>
      </w:r>
      <w:r w:rsidR="00307AFE" w:rsidRPr="00CF075E">
        <w:rPr>
          <w:rFonts w:ascii="Arial" w:hAnsi="Arial" w:cs="Arial"/>
        </w:rPr>
        <w:t xml:space="preserve"> per cent</w:t>
      </w:r>
      <w:r w:rsidRPr="00CF075E">
        <w:rPr>
          <w:rFonts w:ascii="Arial" w:hAnsi="Arial" w:cs="Arial"/>
        </w:rPr>
        <w:t xml:space="preserve"> when contact </w:t>
      </w:r>
      <w:r w:rsidR="00F4445B" w:rsidRPr="00CF075E">
        <w:rPr>
          <w:rFonts w:ascii="Arial" w:hAnsi="Arial" w:cs="Arial"/>
        </w:rPr>
        <w:t>was</w:t>
      </w:r>
      <w:r w:rsidRPr="00CF075E">
        <w:rPr>
          <w:rFonts w:ascii="Arial" w:hAnsi="Arial" w:cs="Arial"/>
        </w:rPr>
        <w:t xml:space="preserve"> within three days</w:t>
      </w:r>
      <w:r w:rsidR="00AE59B9" w:rsidRPr="00CF075E">
        <w:rPr>
          <w:rFonts w:ascii="Arial" w:hAnsi="Arial" w:cs="Arial"/>
        </w:rPr>
        <w:t>.</w:t>
      </w:r>
      <w:r w:rsidR="00D71019" w:rsidRPr="00CF075E">
        <w:rPr>
          <w:rFonts w:ascii="Arial" w:hAnsi="Arial" w:cs="Arial"/>
        </w:rPr>
        <w:t xml:space="preserve"> </w:t>
      </w:r>
      <w:r w:rsidRPr="00CF075E">
        <w:rPr>
          <w:rFonts w:ascii="Arial" w:hAnsi="Arial" w:cs="Arial"/>
        </w:rPr>
        <w:t xml:space="preserve">In comparison, </w:t>
      </w:r>
      <w:r w:rsidR="00232787">
        <w:rPr>
          <w:rFonts w:ascii="Arial" w:hAnsi="Arial" w:cs="Arial"/>
        </w:rPr>
        <w:t xml:space="preserve">53 per cent of </w:t>
      </w:r>
      <w:r w:rsidRPr="00CF075E">
        <w:rPr>
          <w:rFonts w:ascii="Arial" w:hAnsi="Arial" w:cs="Arial"/>
        </w:rPr>
        <w:t xml:space="preserve">workers who </w:t>
      </w:r>
      <w:r w:rsidR="00307AFE" w:rsidRPr="00CF075E">
        <w:rPr>
          <w:rFonts w:ascii="Arial" w:hAnsi="Arial" w:cs="Arial"/>
        </w:rPr>
        <w:t>were</w:t>
      </w:r>
      <w:r w:rsidRPr="00CF075E">
        <w:rPr>
          <w:rFonts w:ascii="Arial" w:hAnsi="Arial" w:cs="Arial"/>
        </w:rPr>
        <w:t xml:space="preserve"> not contacted were at work at the time of the survey</w:t>
      </w:r>
      <w:r w:rsidR="00D71019" w:rsidRPr="00CF075E">
        <w:rPr>
          <w:rFonts w:ascii="Arial" w:hAnsi="Arial" w:cs="Arial"/>
        </w:rPr>
        <w:t>.</w:t>
      </w:r>
    </w:p>
    <w:p w:rsidR="00346927" w:rsidRDefault="00346927" w:rsidP="00346927">
      <w:pPr>
        <w:pStyle w:val="Heading3"/>
      </w:pPr>
      <w:r>
        <w:t>Assistance with lodging claim</w:t>
      </w:r>
      <w:r w:rsidR="003C6550">
        <w:t>s</w:t>
      </w:r>
    </w:p>
    <w:p w:rsidR="00F4445B" w:rsidRPr="008C57EE" w:rsidRDefault="00912A38" w:rsidP="008C57EE">
      <w:pPr>
        <w:spacing w:after="120" w:line="240" w:lineRule="auto"/>
        <w:rPr>
          <w:rFonts w:ascii="Arial" w:hAnsi="Arial"/>
          <w:szCs w:val="24"/>
          <w:lang w:val="en-AU"/>
        </w:rPr>
      </w:pPr>
      <w:r w:rsidRPr="008C57EE">
        <w:rPr>
          <w:rFonts w:ascii="Arial" w:hAnsi="Arial"/>
          <w:szCs w:val="24"/>
          <w:lang w:val="en-AU"/>
        </w:rPr>
        <w:t xml:space="preserve">RTW rates </w:t>
      </w:r>
      <w:r w:rsidR="00F4445B" w:rsidRPr="008C57EE">
        <w:rPr>
          <w:rFonts w:ascii="Arial" w:hAnsi="Arial"/>
          <w:szCs w:val="24"/>
          <w:lang w:val="en-AU"/>
        </w:rPr>
        <w:t xml:space="preserve">improved when </w:t>
      </w:r>
      <w:r w:rsidRPr="008C57EE">
        <w:rPr>
          <w:rFonts w:ascii="Arial" w:hAnsi="Arial"/>
          <w:szCs w:val="24"/>
          <w:lang w:val="en-AU"/>
        </w:rPr>
        <w:t xml:space="preserve">an employer helped a </w:t>
      </w:r>
      <w:r w:rsidR="00F4445B" w:rsidRPr="008C57EE">
        <w:rPr>
          <w:rFonts w:ascii="Arial" w:hAnsi="Arial"/>
          <w:szCs w:val="24"/>
          <w:lang w:val="en-AU"/>
        </w:rPr>
        <w:t xml:space="preserve">worker </w:t>
      </w:r>
      <w:r w:rsidRPr="008C57EE">
        <w:rPr>
          <w:rFonts w:ascii="Arial" w:hAnsi="Arial"/>
          <w:szCs w:val="24"/>
          <w:lang w:val="en-AU"/>
        </w:rPr>
        <w:t xml:space="preserve">manage their </w:t>
      </w:r>
      <w:r w:rsidR="004D56A9" w:rsidRPr="008C57EE">
        <w:rPr>
          <w:rFonts w:ascii="Arial" w:hAnsi="Arial"/>
          <w:szCs w:val="24"/>
          <w:lang w:val="en-AU"/>
        </w:rPr>
        <w:t>injury</w:t>
      </w:r>
      <w:r w:rsidR="00CA05A9">
        <w:rPr>
          <w:rFonts w:ascii="Arial" w:hAnsi="Arial"/>
          <w:szCs w:val="24"/>
          <w:lang w:val="en-AU"/>
        </w:rPr>
        <w:t>,</w:t>
      </w:r>
      <w:r w:rsidR="004D56A9">
        <w:rPr>
          <w:rFonts w:ascii="Arial" w:hAnsi="Arial"/>
          <w:szCs w:val="24"/>
          <w:lang w:val="en-AU"/>
        </w:rPr>
        <w:t xml:space="preserve"> such as support from the immediate supervisor and responding early to deal w</w:t>
      </w:r>
      <w:r w:rsidR="00CA05A9">
        <w:rPr>
          <w:rFonts w:ascii="Arial" w:hAnsi="Arial"/>
          <w:szCs w:val="24"/>
          <w:lang w:val="en-AU"/>
        </w:rPr>
        <w:t>ith injuries when they occur</w:t>
      </w:r>
      <w:r w:rsidR="004D56A9">
        <w:rPr>
          <w:rFonts w:ascii="Arial" w:hAnsi="Arial"/>
          <w:szCs w:val="24"/>
          <w:lang w:val="en-AU"/>
        </w:rPr>
        <w:t xml:space="preserve"> </w:t>
      </w:r>
      <w:r w:rsidR="00346927" w:rsidRPr="008C57EE">
        <w:rPr>
          <w:rFonts w:ascii="Arial" w:hAnsi="Arial"/>
          <w:szCs w:val="24"/>
          <w:lang w:val="en-AU"/>
        </w:rPr>
        <w:t>before a claim was lodged</w:t>
      </w:r>
      <w:r w:rsidR="00AE59B9" w:rsidRPr="008C57EE">
        <w:rPr>
          <w:rFonts w:ascii="Arial" w:hAnsi="Arial"/>
          <w:szCs w:val="24"/>
          <w:lang w:val="en-AU"/>
        </w:rPr>
        <w:t>.</w:t>
      </w:r>
      <w:r w:rsidRPr="008C57EE">
        <w:rPr>
          <w:rFonts w:ascii="Arial" w:hAnsi="Arial"/>
          <w:szCs w:val="24"/>
          <w:lang w:val="en-AU"/>
        </w:rPr>
        <w:t xml:space="preserve"> </w:t>
      </w:r>
      <w:r w:rsidR="007338CF">
        <w:rPr>
          <w:rFonts w:ascii="Arial" w:hAnsi="Arial"/>
          <w:szCs w:val="24"/>
          <w:lang w:val="en-AU"/>
        </w:rPr>
        <w:t xml:space="preserve">Seventy </w:t>
      </w:r>
      <w:r w:rsidR="00C7354D" w:rsidRPr="008C57EE">
        <w:rPr>
          <w:rFonts w:ascii="Arial" w:hAnsi="Arial"/>
          <w:szCs w:val="24"/>
          <w:lang w:val="en-AU"/>
        </w:rPr>
        <w:t>four</w:t>
      </w:r>
      <w:r w:rsidRPr="008C57EE">
        <w:rPr>
          <w:rFonts w:ascii="Arial" w:hAnsi="Arial"/>
          <w:szCs w:val="24"/>
          <w:lang w:val="en-AU"/>
        </w:rPr>
        <w:t xml:space="preserve"> per cent </w:t>
      </w:r>
      <w:r w:rsidR="00AE59B9" w:rsidRPr="008C57EE">
        <w:rPr>
          <w:rFonts w:ascii="Arial" w:hAnsi="Arial"/>
          <w:szCs w:val="24"/>
          <w:lang w:val="en-AU"/>
        </w:rPr>
        <w:t xml:space="preserve">of </w:t>
      </w:r>
      <w:r w:rsidR="006D10F6" w:rsidRPr="008C57EE">
        <w:rPr>
          <w:rFonts w:ascii="Arial" w:hAnsi="Arial"/>
          <w:szCs w:val="24"/>
          <w:lang w:val="en-AU"/>
        </w:rPr>
        <w:t xml:space="preserve">workers </w:t>
      </w:r>
      <w:r w:rsidRPr="008C57EE">
        <w:rPr>
          <w:rFonts w:ascii="Arial" w:hAnsi="Arial"/>
          <w:szCs w:val="24"/>
          <w:lang w:val="en-AU"/>
        </w:rPr>
        <w:t>who received</w:t>
      </w:r>
      <w:r w:rsidR="00007899" w:rsidRPr="008C57EE">
        <w:rPr>
          <w:rFonts w:ascii="Arial" w:hAnsi="Arial"/>
          <w:szCs w:val="24"/>
          <w:lang w:val="en-AU"/>
        </w:rPr>
        <w:t xml:space="preserve"> claim</w:t>
      </w:r>
      <w:r w:rsidRPr="008C57EE">
        <w:rPr>
          <w:rFonts w:ascii="Arial" w:hAnsi="Arial"/>
          <w:szCs w:val="24"/>
          <w:lang w:val="en-AU"/>
        </w:rPr>
        <w:t xml:space="preserve"> assistance were back at work</w:t>
      </w:r>
      <w:r w:rsidR="00AE59B9" w:rsidRPr="008C57EE">
        <w:rPr>
          <w:rFonts w:ascii="Arial" w:hAnsi="Arial"/>
          <w:szCs w:val="24"/>
          <w:lang w:val="en-AU"/>
        </w:rPr>
        <w:t>,</w:t>
      </w:r>
      <w:r w:rsidRPr="008C57EE">
        <w:rPr>
          <w:rFonts w:ascii="Arial" w:hAnsi="Arial"/>
          <w:szCs w:val="24"/>
          <w:lang w:val="en-AU"/>
        </w:rPr>
        <w:t xml:space="preserve"> compared to 55 per cent who did not receive early assistance. </w:t>
      </w:r>
      <w:r w:rsidR="00AE59B9" w:rsidRPr="008C57EE">
        <w:rPr>
          <w:rFonts w:ascii="Arial" w:hAnsi="Arial"/>
          <w:szCs w:val="24"/>
          <w:lang w:val="en-AU"/>
        </w:rPr>
        <w:t>O</w:t>
      </w:r>
      <w:r w:rsidR="0044004C">
        <w:rPr>
          <w:rFonts w:ascii="Arial" w:hAnsi="Arial"/>
          <w:szCs w:val="24"/>
          <w:lang w:val="en-AU"/>
        </w:rPr>
        <w:t>nly 19 per cent of worker</w:t>
      </w:r>
      <w:r w:rsidR="00307AFE" w:rsidRPr="008C57EE">
        <w:rPr>
          <w:rFonts w:ascii="Arial" w:hAnsi="Arial"/>
          <w:szCs w:val="24"/>
          <w:lang w:val="en-AU"/>
        </w:rPr>
        <w:t>s reported that their employer provided early assistance before they lodged their claim.</w:t>
      </w:r>
    </w:p>
    <w:p w:rsidR="00E25320" w:rsidRPr="004D75AB" w:rsidRDefault="00E25320" w:rsidP="004D75AB">
      <w:pPr>
        <w:pStyle w:val="Heading3"/>
      </w:pPr>
      <w:r w:rsidRPr="004D75AB">
        <w:lastRenderedPageBreak/>
        <w:t xml:space="preserve">Further information </w:t>
      </w:r>
    </w:p>
    <w:p w:rsidR="0044004C" w:rsidRPr="0044004C" w:rsidRDefault="0044004C" w:rsidP="004D75AB">
      <w:pPr>
        <w:pStyle w:val="ListParagraph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For information about workers’ rights and responsibilities, employers should contact the relevant </w:t>
      </w:r>
      <w:hyperlink r:id="rId8" w:history="1">
        <w:r w:rsidRPr="0044004C">
          <w:rPr>
            <w:rStyle w:val="Hyperlink"/>
            <w:rFonts w:ascii="Arial" w:hAnsi="Arial" w:cs="Arial"/>
          </w:rPr>
          <w:t>workers’ compensation authority</w:t>
        </w:r>
      </w:hyperlink>
      <w:r>
        <w:rPr>
          <w:rFonts w:ascii="Arial" w:hAnsi="Arial" w:cs="Arial"/>
        </w:rPr>
        <w:t xml:space="preserve"> </w:t>
      </w:r>
    </w:p>
    <w:p w:rsidR="00E25320" w:rsidRDefault="00F676C1" w:rsidP="004D75AB">
      <w:pPr>
        <w:pStyle w:val="ListParagraph"/>
        <w:numPr>
          <w:ilvl w:val="0"/>
          <w:numId w:val="11"/>
        </w:numPr>
        <w:rPr>
          <w:rFonts w:ascii="Arial" w:hAnsi="Arial" w:cs="Arial"/>
          <w:i/>
        </w:rPr>
      </w:pPr>
      <w:hyperlink r:id="rId9" w:history="1">
        <w:r w:rsidR="004D56A9" w:rsidRPr="00A0588A">
          <w:rPr>
            <w:rStyle w:val="Hyperlink"/>
            <w:rFonts w:ascii="Arial" w:hAnsi="Arial" w:cs="Arial"/>
            <w:i/>
          </w:rPr>
          <w:t>Return to work in psychological</w:t>
        </w:r>
        <w:r w:rsidR="0044004C">
          <w:rPr>
            <w:rStyle w:val="Hyperlink"/>
            <w:rFonts w:ascii="Arial" w:hAnsi="Arial" w:cs="Arial"/>
            <w:i/>
          </w:rPr>
          <w:t xml:space="preserve"> injury</w:t>
        </w:r>
        <w:r w:rsidR="004D56A9" w:rsidRPr="00A0588A">
          <w:rPr>
            <w:rStyle w:val="Hyperlink"/>
            <w:rFonts w:ascii="Arial" w:hAnsi="Arial" w:cs="Arial"/>
            <w:i/>
          </w:rPr>
          <w:t xml:space="preserve"> claims</w:t>
        </w:r>
      </w:hyperlink>
      <w:r w:rsidR="004D56A9" w:rsidRPr="00A0588A">
        <w:rPr>
          <w:rFonts w:ascii="Arial" w:hAnsi="Arial" w:cs="Arial"/>
          <w:i/>
        </w:rPr>
        <w:t xml:space="preserve"> </w:t>
      </w:r>
      <w:r w:rsidR="007338CF">
        <w:rPr>
          <w:rFonts w:ascii="Arial" w:hAnsi="Arial" w:cs="Arial"/>
        </w:rPr>
        <w:t>report</w:t>
      </w:r>
    </w:p>
    <w:p w:rsidR="00A0588A" w:rsidRPr="00BA3431" w:rsidRDefault="00F676C1" w:rsidP="00A0588A">
      <w:pPr>
        <w:pStyle w:val="ListParagraph"/>
        <w:numPr>
          <w:ilvl w:val="0"/>
          <w:numId w:val="11"/>
        </w:numPr>
      </w:pPr>
      <w:hyperlink r:id="rId10" w:history="1">
        <w:r w:rsidR="00A0588A" w:rsidRPr="003E3B40">
          <w:rPr>
            <w:rStyle w:val="Hyperlink"/>
            <w:rFonts w:ascii="Arial" w:hAnsi="Arial" w:cs="Arial"/>
          </w:rPr>
          <w:t>National Return to Work Survey</w:t>
        </w:r>
      </w:hyperlink>
    </w:p>
    <w:p w:rsidR="00CA05A9" w:rsidRPr="00A0588A" w:rsidRDefault="00F676C1" w:rsidP="00A0588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hyperlink r:id="rId11" w:history="1">
        <w:r w:rsidR="0044004C" w:rsidRPr="0044004C">
          <w:rPr>
            <w:rStyle w:val="Hyperlink"/>
            <w:rFonts w:ascii="Arial" w:hAnsi="Arial" w:cs="Arial"/>
          </w:rPr>
          <w:t>Mental health in the workplace</w:t>
        </w:r>
      </w:hyperlink>
      <w:r w:rsidR="00A0588A" w:rsidRPr="007338CF">
        <w:rPr>
          <w:rFonts w:ascii="Arial" w:hAnsi="Arial" w:cs="Arial"/>
        </w:rPr>
        <w:t xml:space="preserve"> </w:t>
      </w:r>
    </w:p>
    <w:sectPr w:rsidR="00CA05A9" w:rsidRPr="00A0588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D9" w:rsidRDefault="000D51D9" w:rsidP="004C76A8">
      <w:pPr>
        <w:spacing w:after="0" w:line="240" w:lineRule="auto"/>
      </w:pPr>
      <w:r>
        <w:separator/>
      </w:r>
    </w:p>
  </w:endnote>
  <w:endnote w:type="continuationSeparator" w:id="0">
    <w:p w:rsidR="000D51D9" w:rsidRDefault="000D51D9" w:rsidP="004C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D9" w:rsidRDefault="000D51D9" w:rsidP="004C76A8">
      <w:pPr>
        <w:spacing w:after="0" w:line="240" w:lineRule="auto"/>
      </w:pPr>
      <w:r>
        <w:separator/>
      </w:r>
    </w:p>
  </w:footnote>
  <w:footnote w:type="continuationSeparator" w:id="0">
    <w:p w:rsidR="000D51D9" w:rsidRDefault="000D51D9" w:rsidP="004C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A8" w:rsidRDefault="004C76A8">
    <w:pPr>
      <w:pStyle w:val="Header"/>
    </w:pPr>
    <w:r>
      <w:rPr>
        <w:noProof/>
        <w:lang w:val="en-AU" w:eastAsia="en-AU"/>
      </w:rPr>
      <w:drawing>
        <wp:inline distT="0" distB="0" distL="0" distR="0" wp14:anchorId="200BA5AF" wp14:editId="79DFDFC5">
          <wp:extent cx="1950720" cy="393192"/>
          <wp:effectExtent l="0" t="0" r="0" b="6985"/>
          <wp:docPr id="3" name="Picture 3" title="Safe Work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06F"/>
    <w:multiLevelType w:val="hybridMultilevel"/>
    <w:tmpl w:val="64FC7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708"/>
    <w:multiLevelType w:val="hybridMultilevel"/>
    <w:tmpl w:val="4C06E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CF4"/>
    <w:multiLevelType w:val="hybridMultilevel"/>
    <w:tmpl w:val="C1C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AA9"/>
    <w:multiLevelType w:val="hybridMultilevel"/>
    <w:tmpl w:val="0D34E2B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DDF48CE"/>
    <w:multiLevelType w:val="hybridMultilevel"/>
    <w:tmpl w:val="9B0C83DA"/>
    <w:lvl w:ilvl="0" w:tplc="FB72D8B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2727"/>
    <w:multiLevelType w:val="hybridMultilevel"/>
    <w:tmpl w:val="8E24A2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E3661"/>
    <w:multiLevelType w:val="hybridMultilevel"/>
    <w:tmpl w:val="B444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13EAE"/>
    <w:multiLevelType w:val="multilevel"/>
    <w:tmpl w:val="A4A602F4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ascii="Verdana" w:hAnsi="Verdana" w:hint="default"/>
        <w:spacing w:val="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E690B00"/>
    <w:multiLevelType w:val="hybridMultilevel"/>
    <w:tmpl w:val="8558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06521"/>
    <w:multiLevelType w:val="hybridMultilevel"/>
    <w:tmpl w:val="EA38E67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6B4742BF"/>
    <w:multiLevelType w:val="hybridMultilevel"/>
    <w:tmpl w:val="B5F2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4366C"/>
    <w:multiLevelType w:val="hybridMultilevel"/>
    <w:tmpl w:val="664035AA"/>
    <w:lvl w:ilvl="0" w:tplc="FDF8C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91"/>
    <w:rsid w:val="00006780"/>
    <w:rsid w:val="00007899"/>
    <w:rsid w:val="00010577"/>
    <w:rsid w:val="00014BB4"/>
    <w:rsid w:val="00027D98"/>
    <w:rsid w:val="00030563"/>
    <w:rsid w:val="0005287B"/>
    <w:rsid w:val="0006740E"/>
    <w:rsid w:val="000847CF"/>
    <w:rsid w:val="00096B37"/>
    <w:rsid w:val="000A589A"/>
    <w:rsid w:val="000D51D9"/>
    <w:rsid w:val="000D7E4A"/>
    <w:rsid w:val="000E01A9"/>
    <w:rsid w:val="000F171A"/>
    <w:rsid w:val="000F3572"/>
    <w:rsid w:val="00171BDA"/>
    <w:rsid w:val="00171CA4"/>
    <w:rsid w:val="00183875"/>
    <w:rsid w:val="001C3D85"/>
    <w:rsid w:val="001E1D33"/>
    <w:rsid w:val="00227A3C"/>
    <w:rsid w:val="00232787"/>
    <w:rsid w:val="00284E13"/>
    <w:rsid w:val="002914EB"/>
    <w:rsid w:val="002939FD"/>
    <w:rsid w:val="003008AC"/>
    <w:rsid w:val="00300DBE"/>
    <w:rsid w:val="00307AFE"/>
    <w:rsid w:val="003277AB"/>
    <w:rsid w:val="00346927"/>
    <w:rsid w:val="003561CF"/>
    <w:rsid w:val="00363D9C"/>
    <w:rsid w:val="00364C54"/>
    <w:rsid w:val="003705C6"/>
    <w:rsid w:val="00390AC2"/>
    <w:rsid w:val="00392B18"/>
    <w:rsid w:val="003A6DC3"/>
    <w:rsid w:val="003C6550"/>
    <w:rsid w:val="003C7892"/>
    <w:rsid w:val="003D292E"/>
    <w:rsid w:val="003E3B40"/>
    <w:rsid w:val="003F2609"/>
    <w:rsid w:val="0041351E"/>
    <w:rsid w:val="0044004C"/>
    <w:rsid w:val="00452731"/>
    <w:rsid w:val="004B1811"/>
    <w:rsid w:val="004C76A8"/>
    <w:rsid w:val="004D56A9"/>
    <w:rsid w:val="004D75AB"/>
    <w:rsid w:val="004F3F4A"/>
    <w:rsid w:val="00525105"/>
    <w:rsid w:val="00547EE1"/>
    <w:rsid w:val="00564A08"/>
    <w:rsid w:val="00565C1E"/>
    <w:rsid w:val="005B1FE5"/>
    <w:rsid w:val="005B20DD"/>
    <w:rsid w:val="005C31F2"/>
    <w:rsid w:val="005C62F9"/>
    <w:rsid w:val="005E73FE"/>
    <w:rsid w:val="005F7591"/>
    <w:rsid w:val="0060652D"/>
    <w:rsid w:val="006138FF"/>
    <w:rsid w:val="006425C9"/>
    <w:rsid w:val="006439AA"/>
    <w:rsid w:val="00665EB3"/>
    <w:rsid w:val="006831D2"/>
    <w:rsid w:val="00687F44"/>
    <w:rsid w:val="006911A7"/>
    <w:rsid w:val="006C4D89"/>
    <w:rsid w:val="006D10F6"/>
    <w:rsid w:val="006E07E8"/>
    <w:rsid w:val="00725729"/>
    <w:rsid w:val="007338CF"/>
    <w:rsid w:val="007674F6"/>
    <w:rsid w:val="007E75EB"/>
    <w:rsid w:val="00814733"/>
    <w:rsid w:val="00841510"/>
    <w:rsid w:val="00843B85"/>
    <w:rsid w:val="008841F4"/>
    <w:rsid w:val="008C50C6"/>
    <w:rsid w:val="008C57EE"/>
    <w:rsid w:val="008D54E9"/>
    <w:rsid w:val="008E31D9"/>
    <w:rsid w:val="00912A38"/>
    <w:rsid w:val="0091317B"/>
    <w:rsid w:val="00926E77"/>
    <w:rsid w:val="0095755E"/>
    <w:rsid w:val="00960191"/>
    <w:rsid w:val="009C4EFD"/>
    <w:rsid w:val="00A0588A"/>
    <w:rsid w:val="00A23802"/>
    <w:rsid w:val="00A32AF9"/>
    <w:rsid w:val="00A356AA"/>
    <w:rsid w:val="00A715E0"/>
    <w:rsid w:val="00A72440"/>
    <w:rsid w:val="00A75588"/>
    <w:rsid w:val="00A9343F"/>
    <w:rsid w:val="00AA1FEE"/>
    <w:rsid w:val="00AB03F4"/>
    <w:rsid w:val="00AE1FB7"/>
    <w:rsid w:val="00AE59B9"/>
    <w:rsid w:val="00AF26CB"/>
    <w:rsid w:val="00AF2D18"/>
    <w:rsid w:val="00AF6CE6"/>
    <w:rsid w:val="00B17A56"/>
    <w:rsid w:val="00B64037"/>
    <w:rsid w:val="00B71759"/>
    <w:rsid w:val="00BC5810"/>
    <w:rsid w:val="00BC687F"/>
    <w:rsid w:val="00C1506C"/>
    <w:rsid w:val="00C260E2"/>
    <w:rsid w:val="00C35CDE"/>
    <w:rsid w:val="00C36C92"/>
    <w:rsid w:val="00C433AC"/>
    <w:rsid w:val="00C652DD"/>
    <w:rsid w:val="00C71E01"/>
    <w:rsid w:val="00C7354D"/>
    <w:rsid w:val="00C850E8"/>
    <w:rsid w:val="00C929AB"/>
    <w:rsid w:val="00CA05A9"/>
    <w:rsid w:val="00CB7A95"/>
    <w:rsid w:val="00CD2A1C"/>
    <w:rsid w:val="00CE30B2"/>
    <w:rsid w:val="00CF075E"/>
    <w:rsid w:val="00D17DDA"/>
    <w:rsid w:val="00D51409"/>
    <w:rsid w:val="00D65C9A"/>
    <w:rsid w:val="00D71019"/>
    <w:rsid w:val="00D72798"/>
    <w:rsid w:val="00DA14F3"/>
    <w:rsid w:val="00DA5BC5"/>
    <w:rsid w:val="00DA761B"/>
    <w:rsid w:val="00DC26A6"/>
    <w:rsid w:val="00E10A1E"/>
    <w:rsid w:val="00E10FF6"/>
    <w:rsid w:val="00E15219"/>
    <w:rsid w:val="00E244CE"/>
    <w:rsid w:val="00E25320"/>
    <w:rsid w:val="00E76CD0"/>
    <w:rsid w:val="00E901A7"/>
    <w:rsid w:val="00ED4F23"/>
    <w:rsid w:val="00EF2AE0"/>
    <w:rsid w:val="00EF6620"/>
    <w:rsid w:val="00F1083B"/>
    <w:rsid w:val="00F40502"/>
    <w:rsid w:val="00F4445B"/>
    <w:rsid w:val="00F60338"/>
    <w:rsid w:val="00F61F64"/>
    <w:rsid w:val="00F676C1"/>
    <w:rsid w:val="00F94E3B"/>
    <w:rsid w:val="00FC195A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6A8"/>
    <w:pPr>
      <w:spacing w:before="240" w:after="120" w:line="240" w:lineRule="auto"/>
      <w:outlineLvl w:val="2"/>
    </w:pPr>
    <w:rPr>
      <w:rFonts w:ascii="Arial" w:eastAsiaTheme="majorEastAsia" w:hAnsi="Arial" w:cstheme="majorBidi"/>
      <w:b/>
      <w:bCs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01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5C9A"/>
  </w:style>
  <w:style w:type="paragraph" w:styleId="Header">
    <w:name w:val="header"/>
    <w:basedOn w:val="Normal"/>
    <w:link w:val="HeaderChar"/>
    <w:uiPriority w:val="99"/>
    <w:unhideWhenUsed/>
    <w:rsid w:val="004C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A8"/>
  </w:style>
  <w:style w:type="paragraph" w:styleId="Footer">
    <w:name w:val="footer"/>
    <w:basedOn w:val="Normal"/>
    <w:link w:val="FooterChar"/>
    <w:uiPriority w:val="99"/>
    <w:unhideWhenUsed/>
    <w:rsid w:val="004C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6A8"/>
  </w:style>
  <w:style w:type="paragraph" w:styleId="BalloonText">
    <w:name w:val="Balloon Text"/>
    <w:basedOn w:val="Normal"/>
    <w:link w:val="BalloonTextChar"/>
    <w:uiPriority w:val="99"/>
    <w:semiHidden/>
    <w:unhideWhenUsed/>
    <w:rsid w:val="004C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A8"/>
    <w:rPr>
      <w:rFonts w:ascii="Tahoma" w:hAnsi="Tahoma" w:cs="Tahoma"/>
      <w:sz w:val="16"/>
      <w:szCs w:val="16"/>
    </w:rPr>
  </w:style>
  <w:style w:type="paragraph" w:customStyle="1" w:styleId="SWA-TITLE">
    <w:name w:val="SWA - TITLE"/>
    <w:basedOn w:val="Normal"/>
    <w:qFormat/>
    <w:rsid w:val="004C76A8"/>
    <w:pPr>
      <w:tabs>
        <w:tab w:val="left" w:pos="425"/>
      </w:tabs>
      <w:spacing w:before="360" w:after="360" w:line="240" w:lineRule="auto"/>
      <w:ind w:left="425" w:hanging="425"/>
      <w:jc w:val="center"/>
    </w:pPr>
    <w:rPr>
      <w:rFonts w:ascii="Arial Bold" w:hAnsi="Arial Bold"/>
      <w:b/>
      <w:caps/>
      <w:color w:val="C00000"/>
      <w:sz w:val="36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C76A8"/>
    <w:rPr>
      <w:rFonts w:ascii="Arial" w:eastAsiaTheme="majorEastAsia" w:hAnsi="Arial" w:cstheme="majorBidi"/>
      <w:b/>
      <w:bCs/>
      <w:sz w:val="24"/>
      <w:lang w:val="en-AU"/>
    </w:rPr>
  </w:style>
  <w:style w:type="table" w:styleId="LightShading-Accent2">
    <w:name w:val="Light Shading Accent 2"/>
    <w:aliases w:val="SWA Table Style"/>
    <w:basedOn w:val="TableNormal"/>
    <w:uiPriority w:val="60"/>
    <w:rsid w:val="00AF2D18"/>
    <w:pPr>
      <w:spacing w:before="120" w:after="120" w:line="240" w:lineRule="auto"/>
    </w:pPr>
    <w:rPr>
      <w:rFonts w:ascii="Arial" w:hAnsi="Arial"/>
      <w:lang w:val="en-AU"/>
    </w:rPr>
    <w:tblPr>
      <w:tblStyleRowBandSize w:val="1"/>
      <w:tblStyleColBandSize w:val="1"/>
      <w:tblBorders>
        <w:top w:val="dotted" w:sz="4" w:space="0" w:color="FFFFFF" w:themeColor="background1"/>
        <w:left w:val="dotted" w:sz="4" w:space="0" w:color="FFFFFF" w:themeColor="background1"/>
        <w:bottom w:val="dotted" w:sz="4" w:space="0" w:color="FFFFFF" w:themeColor="background1"/>
        <w:right w:val="dotted" w:sz="4" w:space="0" w:color="FFFFFF" w:themeColor="background1"/>
        <w:insideH w:val="dotted" w:sz="4" w:space="0" w:color="FFFFFF" w:themeColor="background1"/>
        <w:insideV w:val="dotted" w:sz="4" w:space="0" w:color="FFFFFF" w:themeColor="background1"/>
      </w:tblBorders>
    </w:tblPr>
    <w:tcPr>
      <w:shd w:val="clear" w:color="auto" w:fill="FFFFFF" w:themeFill="background1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145B85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 Bold" w:hAnsi="Arial Bold"/>
        <w:b/>
        <w:bCs/>
        <w:color w:val="F8F8F8"/>
        <w:sz w:val="20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b/>
        <w:bCs/>
        <w:sz w:val="20"/>
      </w:rPr>
    </w:tblStylePr>
    <w:tblStylePr w:type="lastCol">
      <w:rPr>
        <w:rFonts w:ascii="Arial" w:hAnsi="Arial"/>
        <w:b/>
        <w:bCs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C9E5F7"/>
      </w:tcPr>
    </w:tblStylePr>
    <w:tblStylePr w:type="band1Horz">
      <w:tblPr/>
      <w:tcPr>
        <w:shd w:val="clear" w:color="auto" w:fill="C9E5F7"/>
      </w:tcPr>
    </w:tblStylePr>
    <w:tblStylePr w:type="band2Horz">
      <w:tblPr/>
      <w:tcPr>
        <w:tc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F2D18"/>
    <w:pPr>
      <w:keepNext/>
      <w:keepLines/>
      <w:spacing w:after="80" w:line="240" w:lineRule="auto"/>
      <w:ind w:left="142" w:hanging="142"/>
    </w:pPr>
    <w:rPr>
      <w:rFonts w:ascii="Calibri" w:hAnsi="Calibri"/>
      <w:i/>
      <w:color w:val="244061" w:themeColor="accent1" w:themeShade="80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8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0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7A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56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38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workaustralia.gov.au/whs-authorities-contact-inform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workaustralia.gov.au/topic/mental-heal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feworkaustralia.gov.au/collection/return-work-survey-2016-australia-and-new-zea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workaustralia.gov.au/doc/return-work-psychological-clai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7A8A-7694-4A32-BD7C-A46D557D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6FFE1DF.dotm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2018-07-04T07:09:00Z</dcterms:created>
  <dcterms:modified xsi:type="dcterms:W3CDTF">2018-07-04T07:09:00Z</dcterms:modified>
</cp:coreProperties>
</file>