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ABEC1" w14:textId="4C5F28C8" w:rsidR="004E5D67" w:rsidRPr="002D6100" w:rsidRDefault="006314AF" w:rsidP="00CA03B3">
      <w:pPr>
        <w:pStyle w:val="SWA-TITLE"/>
        <w:rPr>
          <w:sz w:val="38"/>
        </w:rPr>
      </w:pPr>
      <w:bookmarkStart w:id="0" w:name="_GoBack"/>
      <w:bookmarkEnd w:id="0"/>
      <w:r w:rsidRPr="002D6100">
        <w:rPr>
          <w:sz w:val="38"/>
        </w:rPr>
        <w:t>Summary of f</w:t>
      </w:r>
      <w:r w:rsidR="004E5D67" w:rsidRPr="002D6100">
        <w:rPr>
          <w:sz w:val="38"/>
        </w:rPr>
        <w:t xml:space="preserve">indings from the </w:t>
      </w:r>
      <w:r w:rsidR="004E5D67" w:rsidRPr="002D6100">
        <w:rPr>
          <w:i/>
          <w:sz w:val="38"/>
        </w:rPr>
        <w:t>Return to Work: A comparison of psychological and physical injury claims</w:t>
      </w:r>
      <w:r w:rsidR="004E5D67" w:rsidRPr="002D6100">
        <w:rPr>
          <w:sz w:val="38"/>
        </w:rPr>
        <w:t xml:space="preserve"> report </w:t>
      </w:r>
    </w:p>
    <w:p w14:paraId="6E137A8F" w14:textId="21DEAE8C" w:rsidR="00920557" w:rsidRPr="00BA3431" w:rsidRDefault="006314AF" w:rsidP="00BA3431">
      <w:pPr>
        <w:pStyle w:val="SWA-TITLE"/>
        <w:rPr>
          <w:b w:val="0"/>
          <w:caps w:val="0"/>
          <w:sz w:val="28"/>
        </w:rPr>
      </w:pPr>
      <w:r w:rsidRPr="00BA3431">
        <w:rPr>
          <w:b w:val="0"/>
          <w:caps w:val="0"/>
          <w:sz w:val="28"/>
        </w:rPr>
        <w:t xml:space="preserve">An </w:t>
      </w:r>
      <w:r w:rsidR="00CA03B3" w:rsidRPr="00BA3431">
        <w:rPr>
          <w:b w:val="0"/>
          <w:caps w:val="0"/>
          <w:sz w:val="28"/>
        </w:rPr>
        <w:t>e</w:t>
      </w:r>
      <w:r w:rsidRPr="00BA3431">
        <w:rPr>
          <w:b w:val="0"/>
          <w:caps w:val="0"/>
          <w:sz w:val="28"/>
        </w:rPr>
        <w:t xml:space="preserve">mployer’s </w:t>
      </w:r>
      <w:r w:rsidR="00CA03B3" w:rsidRPr="00BA3431">
        <w:rPr>
          <w:b w:val="0"/>
          <w:caps w:val="0"/>
          <w:sz w:val="28"/>
        </w:rPr>
        <w:t>r</w:t>
      </w:r>
      <w:r w:rsidR="003C2C44">
        <w:rPr>
          <w:b w:val="0"/>
          <w:caps w:val="0"/>
          <w:sz w:val="28"/>
        </w:rPr>
        <w:t>ole in r</w:t>
      </w:r>
      <w:r w:rsidRPr="00BA3431">
        <w:rPr>
          <w:b w:val="0"/>
          <w:caps w:val="0"/>
          <w:sz w:val="28"/>
        </w:rPr>
        <w:t xml:space="preserve">eturn to </w:t>
      </w:r>
      <w:r w:rsidR="003C2C44">
        <w:rPr>
          <w:b w:val="0"/>
          <w:caps w:val="0"/>
          <w:sz w:val="28"/>
        </w:rPr>
        <w:t>w</w:t>
      </w:r>
      <w:r w:rsidRPr="00BA3431">
        <w:rPr>
          <w:b w:val="0"/>
          <w:caps w:val="0"/>
          <w:sz w:val="28"/>
        </w:rPr>
        <w:t>ork for psychological and physical injury claims</w:t>
      </w:r>
    </w:p>
    <w:p w14:paraId="5DA4BA45" w14:textId="6796DCB7" w:rsidR="004E5D67" w:rsidRDefault="002F67DF" w:rsidP="004E5D67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Workers</w:t>
      </w:r>
      <w:r w:rsidR="004E5D67" w:rsidRPr="003705C6">
        <w:rPr>
          <w:rFonts w:ascii="Arial" w:hAnsi="Arial"/>
          <w:szCs w:val="24"/>
          <w:lang w:val="en-AU"/>
        </w:rPr>
        <w:t xml:space="preserve"> with psychological injur</w:t>
      </w:r>
      <w:r w:rsidR="00166FF0">
        <w:rPr>
          <w:rFonts w:ascii="Arial" w:hAnsi="Arial"/>
          <w:szCs w:val="24"/>
          <w:lang w:val="en-AU"/>
        </w:rPr>
        <w:t>ies generally</w:t>
      </w:r>
      <w:r w:rsidR="004E5D67" w:rsidRPr="003705C6">
        <w:rPr>
          <w:rFonts w:ascii="Arial" w:hAnsi="Arial"/>
          <w:szCs w:val="24"/>
          <w:lang w:val="en-AU"/>
        </w:rPr>
        <w:t xml:space="preserve"> ha</w:t>
      </w:r>
      <w:r w:rsidR="00FB57AD">
        <w:rPr>
          <w:rFonts w:ascii="Arial" w:hAnsi="Arial"/>
          <w:szCs w:val="24"/>
          <w:lang w:val="en-AU"/>
        </w:rPr>
        <w:t>ve</w:t>
      </w:r>
      <w:r w:rsidR="004E5D67" w:rsidRPr="003705C6">
        <w:rPr>
          <w:rFonts w:ascii="Arial" w:hAnsi="Arial"/>
          <w:szCs w:val="24"/>
          <w:lang w:val="en-AU"/>
        </w:rPr>
        <w:t xml:space="preserve"> lower </w:t>
      </w:r>
      <w:r>
        <w:rPr>
          <w:rFonts w:ascii="Arial" w:hAnsi="Arial"/>
          <w:szCs w:val="24"/>
          <w:lang w:val="en-AU"/>
        </w:rPr>
        <w:t>return to work (</w:t>
      </w:r>
      <w:r w:rsidR="004E5D67" w:rsidRPr="003705C6">
        <w:rPr>
          <w:rFonts w:ascii="Arial" w:hAnsi="Arial"/>
          <w:szCs w:val="24"/>
          <w:lang w:val="en-AU"/>
        </w:rPr>
        <w:t>RTW</w:t>
      </w:r>
      <w:r>
        <w:rPr>
          <w:rFonts w:ascii="Arial" w:hAnsi="Arial"/>
          <w:szCs w:val="24"/>
          <w:lang w:val="en-AU"/>
        </w:rPr>
        <w:t>)</w:t>
      </w:r>
      <w:r w:rsidR="004E5D67" w:rsidRPr="003705C6">
        <w:rPr>
          <w:rFonts w:ascii="Arial" w:hAnsi="Arial"/>
          <w:szCs w:val="24"/>
          <w:lang w:val="en-AU"/>
        </w:rPr>
        <w:t xml:space="preserve"> rates </w:t>
      </w:r>
      <w:r w:rsidR="00A43062">
        <w:rPr>
          <w:rFonts w:ascii="Arial" w:hAnsi="Arial"/>
          <w:szCs w:val="24"/>
          <w:lang w:val="en-AU"/>
        </w:rPr>
        <w:t>than</w:t>
      </w:r>
      <w:r w:rsidR="004E5D67">
        <w:rPr>
          <w:rFonts w:ascii="Arial" w:hAnsi="Arial"/>
          <w:szCs w:val="24"/>
          <w:lang w:val="en-AU"/>
        </w:rPr>
        <w:t xml:space="preserve"> </w:t>
      </w:r>
      <w:r w:rsidR="000905C1">
        <w:rPr>
          <w:rFonts w:ascii="Arial" w:hAnsi="Arial"/>
          <w:szCs w:val="24"/>
          <w:lang w:val="en-AU"/>
        </w:rPr>
        <w:t xml:space="preserve">workers </w:t>
      </w:r>
      <w:r w:rsidR="004E5D67">
        <w:rPr>
          <w:rFonts w:ascii="Arial" w:hAnsi="Arial"/>
          <w:szCs w:val="24"/>
          <w:lang w:val="en-AU"/>
        </w:rPr>
        <w:t xml:space="preserve">with physical </w:t>
      </w:r>
      <w:r w:rsidR="00166FF0">
        <w:rPr>
          <w:rFonts w:ascii="Arial" w:hAnsi="Arial"/>
          <w:szCs w:val="24"/>
          <w:lang w:val="en-AU"/>
        </w:rPr>
        <w:t>injuries</w:t>
      </w:r>
      <w:r w:rsidR="007D4673">
        <w:rPr>
          <w:rFonts w:ascii="Arial" w:hAnsi="Arial"/>
          <w:szCs w:val="24"/>
          <w:lang w:val="en-AU"/>
        </w:rPr>
        <w:t>,</w:t>
      </w:r>
      <w:r w:rsidR="00166FF0">
        <w:rPr>
          <w:rFonts w:ascii="Arial" w:hAnsi="Arial"/>
          <w:szCs w:val="24"/>
          <w:lang w:val="en-AU"/>
        </w:rPr>
        <w:t xml:space="preserve"> but there are things </w:t>
      </w:r>
      <w:r w:rsidR="007D4673">
        <w:rPr>
          <w:rFonts w:ascii="Arial" w:hAnsi="Arial"/>
          <w:szCs w:val="24"/>
          <w:lang w:val="en-AU"/>
        </w:rPr>
        <w:t>employers</w:t>
      </w:r>
      <w:r w:rsidR="00166FF0">
        <w:rPr>
          <w:rFonts w:ascii="Arial" w:hAnsi="Arial"/>
          <w:szCs w:val="24"/>
          <w:lang w:val="en-AU"/>
        </w:rPr>
        <w:t xml:space="preserve"> can </w:t>
      </w:r>
      <w:r w:rsidR="007D4673">
        <w:rPr>
          <w:rFonts w:ascii="Arial" w:hAnsi="Arial"/>
          <w:szCs w:val="24"/>
          <w:lang w:val="en-AU"/>
        </w:rPr>
        <w:t>do</w:t>
      </w:r>
      <w:r w:rsidR="00166FF0">
        <w:rPr>
          <w:rFonts w:ascii="Arial" w:hAnsi="Arial"/>
          <w:szCs w:val="24"/>
          <w:lang w:val="en-AU"/>
        </w:rPr>
        <w:t xml:space="preserve"> to improve the outcomes</w:t>
      </w:r>
      <w:r w:rsidR="000905C1">
        <w:rPr>
          <w:rFonts w:ascii="Arial" w:hAnsi="Arial"/>
          <w:szCs w:val="24"/>
          <w:lang w:val="en-AU"/>
        </w:rPr>
        <w:t>.</w:t>
      </w:r>
    </w:p>
    <w:p w14:paraId="283D4A3B" w14:textId="4BD2304E" w:rsidR="00C55295" w:rsidRDefault="004E5D67" w:rsidP="00C46696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 xml:space="preserve">The </w:t>
      </w:r>
      <w:r>
        <w:rPr>
          <w:rFonts w:ascii="Arial" w:hAnsi="Arial"/>
          <w:i/>
          <w:szCs w:val="24"/>
          <w:lang w:val="en-AU"/>
        </w:rPr>
        <w:t xml:space="preserve">Return to work: A comparison of </w:t>
      </w:r>
      <w:r w:rsidR="005144CB">
        <w:rPr>
          <w:rFonts w:ascii="Arial" w:hAnsi="Arial"/>
          <w:i/>
          <w:szCs w:val="24"/>
          <w:lang w:val="en-AU"/>
        </w:rPr>
        <w:t>psycho</w:t>
      </w:r>
      <w:r w:rsidR="009311D6">
        <w:rPr>
          <w:rFonts w:ascii="Arial" w:hAnsi="Arial"/>
          <w:i/>
          <w:szCs w:val="24"/>
          <w:lang w:val="en-AU"/>
        </w:rPr>
        <w:t>logical</w:t>
      </w:r>
      <w:r>
        <w:rPr>
          <w:rFonts w:ascii="Arial" w:hAnsi="Arial"/>
          <w:i/>
          <w:szCs w:val="24"/>
          <w:lang w:val="en-AU"/>
        </w:rPr>
        <w:t xml:space="preserve"> and physical injury claims </w:t>
      </w:r>
      <w:r w:rsidR="00BC09E4" w:rsidRPr="00A75588">
        <w:rPr>
          <w:rFonts w:ascii="Arial" w:hAnsi="Arial"/>
          <w:szCs w:val="24"/>
          <w:lang w:val="en-AU"/>
        </w:rPr>
        <w:t xml:space="preserve">report </w:t>
      </w:r>
      <w:r w:rsidR="000905C1">
        <w:rPr>
          <w:rFonts w:ascii="Arial" w:hAnsi="Arial"/>
          <w:szCs w:val="24"/>
          <w:lang w:val="en-AU"/>
        </w:rPr>
        <w:t xml:space="preserve">looks at </w:t>
      </w:r>
      <w:r w:rsidR="00BC09E4" w:rsidRPr="00A75588">
        <w:rPr>
          <w:rFonts w:ascii="Arial" w:hAnsi="Arial"/>
          <w:szCs w:val="24"/>
          <w:lang w:val="en-AU"/>
        </w:rPr>
        <w:t xml:space="preserve">the similarities and differences </w:t>
      </w:r>
      <w:r w:rsidR="00166FF0">
        <w:rPr>
          <w:rFonts w:ascii="Arial" w:hAnsi="Arial"/>
          <w:szCs w:val="24"/>
          <w:lang w:val="en-AU"/>
        </w:rPr>
        <w:t>between</w:t>
      </w:r>
      <w:r w:rsidR="00166FF0" w:rsidRPr="00A75588">
        <w:rPr>
          <w:rFonts w:ascii="Arial" w:hAnsi="Arial"/>
          <w:szCs w:val="24"/>
          <w:lang w:val="en-AU"/>
        </w:rPr>
        <w:t xml:space="preserve"> </w:t>
      </w:r>
      <w:r w:rsidR="000905C1">
        <w:rPr>
          <w:rFonts w:ascii="Arial" w:hAnsi="Arial"/>
          <w:szCs w:val="24"/>
          <w:lang w:val="en-AU"/>
        </w:rPr>
        <w:t>psychological and physical</w:t>
      </w:r>
      <w:r w:rsidR="00BC09E4" w:rsidRPr="00A75588">
        <w:rPr>
          <w:rFonts w:ascii="Arial" w:hAnsi="Arial"/>
          <w:szCs w:val="24"/>
          <w:lang w:val="en-AU"/>
        </w:rPr>
        <w:t xml:space="preserve"> claims</w:t>
      </w:r>
      <w:r w:rsidR="001E24B8">
        <w:rPr>
          <w:rFonts w:ascii="Arial" w:hAnsi="Arial"/>
          <w:szCs w:val="24"/>
          <w:lang w:val="en-AU"/>
        </w:rPr>
        <w:t>, including how workers view the</w:t>
      </w:r>
      <w:r w:rsidR="00B00091">
        <w:rPr>
          <w:rFonts w:ascii="Arial" w:hAnsi="Arial"/>
          <w:szCs w:val="24"/>
          <w:lang w:val="en-AU"/>
        </w:rPr>
        <w:t>ir</w:t>
      </w:r>
      <w:r w:rsidR="001E24B8">
        <w:rPr>
          <w:rFonts w:ascii="Arial" w:hAnsi="Arial"/>
          <w:szCs w:val="24"/>
          <w:lang w:val="en-AU"/>
        </w:rPr>
        <w:t xml:space="preserve"> claims experience</w:t>
      </w:r>
      <w:r w:rsidR="00BC09E4" w:rsidRPr="00A75588">
        <w:rPr>
          <w:rFonts w:ascii="Arial" w:hAnsi="Arial"/>
          <w:szCs w:val="24"/>
          <w:lang w:val="en-AU"/>
        </w:rPr>
        <w:t>.</w:t>
      </w:r>
      <w:r w:rsidR="00D1518B">
        <w:rPr>
          <w:rFonts w:ascii="Arial" w:hAnsi="Arial"/>
          <w:szCs w:val="24"/>
          <w:lang w:val="en-AU"/>
        </w:rPr>
        <w:t xml:space="preserve"> </w:t>
      </w:r>
      <w:r w:rsidR="00C55295" w:rsidRPr="00C55295">
        <w:rPr>
          <w:rFonts w:ascii="Arial" w:hAnsi="Arial"/>
          <w:szCs w:val="24"/>
          <w:lang w:val="en-AU"/>
        </w:rPr>
        <w:t>Th</w:t>
      </w:r>
      <w:r w:rsidR="00C55295">
        <w:rPr>
          <w:rFonts w:ascii="Arial" w:hAnsi="Arial"/>
          <w:szCs w:val="24"/>
          <w:lang w:val="en-AU"/>
        </w:rPr>
        <w:t>is</w:t>
      </w:r>
      <w:r w:rsidR="00C55295" w:rsidRPr="00C55295">
        <w:rPr>
          <w:rFonts w:ascii="Arial" w:hAnsi="Arial"/>
          <w:szCs w:val="24"/>
          <w:lang w:val="en-AU"/>
        </w:rPr>
        <w:t xml:space="preserve"> report is based on results from the 2013 and 2014 National Return to Work Surveys</w:t>
      </w:r>
      <w:r w:rsidR="00F70BDA">
        <w:rPr>
          <w:rFonts w:ascii="Arial" w:hAnsi="Arial"/>
          <w:szCs w:val="24"/>
          <w:lang w:val="en-AU"/>
        </w:rPr>
        <w:t xml:space="preserve"> (the Survey)</w:t>
      </w:r>
      <w:r w:rsidR="00C55295" w:rsidRPr="00C55295">
        <w:rPr>
          <w:rFonts w:ascii="Arial" w:hAnsi="Arial"/>
          <w:szCs w:val="24"/>
          <w:lang w:val="en-AU"/>
        </w:rPr>
        <w:t>.</w:t>
      </w:r>
    </w:p>
    <w:p w14:paraId="1E2771D2" w14:textId="77777777" w:rsidR="00BC09E4" w:rsidRDefault="00BC09E4" w:rsidP="00BC09E4">
      <w:pPr>
        <w:pStyle w:val="Heading3"/>
        <w:rPr>
          <w:szCs w:val="24"/>
        </w:rPr>
      </w:pPr>
      <w:r>
        <w:rPr>
          <w:szCs w:val="24"/>
        </w:rPr>
        <w:t xml:space="preserve">Key </w:t>
      </w:r>
      <w:r w:rsidRPr="006C4D89">
        <w:t>findings</w:t>
      </w:r>
      <w:r w:rsidR="005144CB">
        <w:t xml:space="preserve"> for employers</w:t>
      </w:r>
    </w:p>
    <w:p w14:paraId="3B6C44B1" w14:textId="67284C7C" w:rsidR="00DD2187" w:rsidRDefault="00C55295" w:rsidP="001E24B8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Employers play an important role in RTW and can help to improve RTW outcomes</w:t>
      </w:r>
      <w:r>
        <w:rPr>
          <w:rFonts w:ascii="Arial" w:hAnsi="Arial" w:cs="Arial"/>
        </w:rPr>
        <w:t>.</w:t>
      </w:r>
      <w:r w:rsidR="00B142A4">
        <w:rPr>
          <w:rFonts w:ascii="Arial" w:hAnsi="Arial"/>
          <w:szCs w:val="24"/>
          <w:lang w:val="en-AU"/>
        </w:rPr>
        <w:t>The report found that the key</w:t>
      </w:r>
      <w:r w:rsidR="00DD2187">
        <w:rPr>
          <w:rFonts w:ascii="Arial" w:hAnsi="Arial"/>
          <w:szCs w:val="24"/>
          <w:lang w:val="en-AU"/>
        </w:rPr>
        <w:t xml:space="preserve"> influencing factors </w:t>
      </w:r>
      <w:r w:rsidR="00B142A4">
        <w:rPr>
          <w:rFonts w:ascii="Arial" w:hAnsi="Arial"/>
          <w:szCs w:val="24"/>
          <w:lang w:val="en-AU"/>
        </w:rPr>
        <w:t xml:space="preserve">such as the employer’s response to injury and early contact from the </w:t>
      </w:r>
      <w:r w:rsidR="00647457">
        <w:rPr>
          <w:rFonts w:ascii="Arial" w:hAnsi="Arial"/>
          <w:szCs w:val="24"/>
          <w:lang w:val="en-AU"/>
        </w:rPr>
        <w:t>workplace</w:t>
      </w:r>
      <w:r w:rsidR="00B142A4">
        <w:rPr>
          <w:rFonts w:ascii="Arial" w:hAnsi="Arial"/>
          <w:szCs w:val="24"/>
          <w:lang w:val="en-AU"/>
        </w:rPr>
        <w:t xml:space="preserve"> were common to both physical and psychological injuries. </w:t>
      </w:r>
    </w:p>
    <w:p w14:paraId="5E3B000E" w14:textId="449307EC" w:rsidR="001E24B8" w:rsidRPr="00FF70ED" w:rsidRDefault="00603768" w:rsidP="00BC09E4">
      <w:pPr>
        <w:spacing w:after="120" w:line="240" w:lineRule="auto"/>
        <w:rPr>
          <w:rFonts w:ascii="Arial" w:hAnsi="Arial"/>
          <w:b/>
          <w:szCs w:val="24"/>
          <w:lang w:val="en-AU"/>
        </w:rPr>
      </w:pPr>
      <w:r w:rsidRPr="00FF70ED">
        <w:rPr>
          <w:rFonts w:ascii="Arial" w:hAnsi="Arial"/>
          <w:b/>
          <w:szCs w:val="24"/>
          <w:lang w:val="en-AU"/>
        </w:rPr>
        <w:t>Psychological injury claims</w:t>
      </w:r>
    </w:p>
    <w:p w14:paraId="6A4647F9" w14:textId="3323DB1B" w:rsidR="00BC09E4" w:rsidRPr="00FF70ED" w:rsidRDefault="009865A5" w:rsidP="00FF70ED">
      <w:pPr>
        <w:spacing w:after="120" w:line="240" w:lineRule="auto"/>
        <w:rPr>
          <w:rFonts w:ascii="Arial" w:hAnsi="Arial"/>
          <w:szCs w:val="24"/>
          <w:lang w:val="en-AU"/>
        </w:rPr>
      </w:pPr>
      <w:r w:rsidRPr="00FF70ED">
        <w:rPr>
          <w:rFonts w:ascii="Arial" w:hAnsi="Arial"/>
          <w:szCs w:val="24"/>
          <w:lang w:val="en-AU"/>
        </w:rPr>
        <w:t xml:space="preserve">Workers </w:t>
      </w:r>
      <w:r w:rsidR="00BC09E4" w:rsidRPr="00FF70ED">
        <w:rPr>
          <w:rFonts w:ascii="Arial" w:hAnsi="Arial"/>
          <w:szCs w:val="24"/>
          <w:lang w:val="en-AU"/>
        </w:rPr>
        <w:t>with psychological injury claims</w:t>
      </w:r>
      <w:r w:rsidR="00B00091">
        <w:rPr>
          <w:rFonts w:ascii="Arial" w:hAnsi="Arial"/>
          <w:szCs w:val="24"/>
          <w:lang w:val="en-AU"/>
        </w:rPr>
        <w:t xml:space="preserve"> </w:t>
      </w:r>
      <w:r w:rsidR="0091085E">
        <w:rPr>
          <w:rFonts w:ascii="Arial" w:hAnsi="Arial"/>
          <w:szCs w:val="24"/>
          <w:lang w:val="en-AU"/>
        </w:rPr>
        <w:t>were</w:t>
      </w:r>
      <w:r w:rsidR="00B00091">
        <w:rPr>
          <w:rFonts w:ascii="Arial" w:hAnsi="Arial"/>
          <w:szCs w:val="24"/>
          <w:lang w:val="en-AU"/>
        </w:rPr>
        <w:t xml:space="preserve"> more likely to</w:t>
      </w:r>
      <w:r w:rsidR="00BC09E4" w:rsidRPr="00FF70ED">
        <w:rPr>
          <w:rFonts w:ascii="Arial" w:hAnsi="Arial"/>
          <w:szCs w:val="24"/>
          <w:lang w:val="en-AU"/>
        </w:rPr>
        <w:t xml:space="preserve"> report a negative </w:t>
      </w:r>
      <w:r w:rsidR="00FB57AD" w:rsidRPr="00FF70ED">
        <w:rPr>
          <w:rFonts w:ascii="Arial" w:hAnsi="Arial"/>
          <w:szCs w:val="24"/>
          <w:lang w:val="en-AU"/>
        </w:rPr>
        <w:t>claims e</w:t>
      </w:r>
      <w:r w:rsidR="00BC09E4" w:rsidRPr="00FF70ED">
        <w:rPr>
          <w:rFonts w:ascii="Arial" w:hAnsi="Arial"/>
          <w:szCs w:val="24"/>
          <w:lang w:val="en-AU"/>
        </w:rPr>
        <w:t>xperience</w:t>
      </w:r>
      <w:r w:rsidR="0091085E">
        <w:rPr>
          <w:rFonts w:ascii="Arial" w:hAnsi="Arial"/>
          <w:szCs w:val="24"/>
          <w:lang w:val="en-AU"/>
        </w:rPr>
        <w:t>,</w:t>
      </w:r>
      <w:r w:rsidR="00692CF4" w:rsidRPr="00FF70ED">
        <w:rPr>
          <w:rFonts w:ascii="Arial" w:hAnsi="Arial"/>
          <w:szCs w:val="24"/>
          <w:lang w:val="en-AU"/>
        </w:rPr>
        <w:t xml:space="preserve"> including </w:t>
      </w:r>
      <w:r w:rsidR="001172C0">
        <w:rPr>
          <w:rFonts w:ascii="Arial" w:hAnsi="Arial"/>
          <w:szCs w:val="24"/>
          <w:lang w:val="en-AU"/>
        </w:rPr>
        <w:t>less</w:t>
      </w:r>
      <w:r w:rsidR="00BC09E4" w:rsidRPr="00FF70ED">
        <w:rPr>
          <w:rFonts w:ascii="Arial" w:hAnsi="Arial"/>
          <w:szCs w:val="24"/>
          <w:lang w:val="en-AU"/>
        </w:rPr>
        <w:t xml:space="preserve"> contact from the</w:t>
      </w:r>
      <w:r w:rsidR="00B00091">
        <w:rPr>
          <w:rFonts w:ascii="Arial" w:hAnsi="Arial"/>
          <w:szCs w:val="24"/>
          <w:lang w:val="en-AU"/>
        </w:rPr>
        <w:t>ir</w:t>
      </w:r>
      <w:r w:rsidR="00BC09E4" w:rsidRPr="00FF70ED">
        <w:rPr>
          <w:rFonts w:ascii="Arial" w:hAnsi="Arial"/>
          <w:szCs w:val="24"/>
          <w:lang w:val="en-AU"/>
        </w:rPr>
        <w:t xml:space="preserve"> workplace, </w:t>
      </w:r>
      <w:r w:rsidR="00B00091">
        <w:rPr>
          <w:rFonts w:ascii="Arial" w:hAnsi="Arial"/>
          <w:szCs w:val="24"/>
          <w:lang w:val="en-AU"/>
        </w:rPr>
        <w:t xml:space="preserve">more </w:t>
      </w:r>
      <w:r w:rsidR="00BC09E4" w:rsidRPr="00FF70ED">
        <w:rPr>
          <w:rFonts w:ascii="Arial" w:hAnsi="Arial"/>
          <w:szCs w:val="24"/>
          <w:lang w:val="en-AU"/>
        </w:rPr>
        <w:t>disputes</w:t>
      </w:r>
      <w:r w:rsidR="006314AF">
        <w:rPr>
          <w:rFonts w:ascii="Arial" w:hAnsi="Arial"/>
          <w:szCs w:val="24"/>
          <w:lang w:val="en-AU"/>
        </w:rPr>
        <w:t xml:space="preserve"> relating to difference of opinion between the worker and employer or claim organisation,</w:t>
      </w:r>
      <w:r w:rsidR="00BC09E4" w:rsidRPr="00FF70ED">
        <w:rPr>
          <w:rFonts w:ascii="Arial" w:hAnsi="Arial"/>
          <w:szCs w:val="24"/>
          <w:lang w:val="en-AU"/>
        </w:rPr>
        <w:t xml:space="preserve"> and lower levels of support. </w:t>
      </w:r>
      <w:r w:rsidR="001172C0">
        <w:rPr>
          <w:rFonts w:ascii="Arial" w:hAnsi="Arial"/>
          <w:szCs w:val="24"/>
          <w:lang w:val="en-AU"/>
        </w:rPr>
        <w:t>Findings from the report show:</w:t>
      </w:r>
    </w:p>
    <w:p w14:paraId="4DC1F2D6" w14:textId="4D910C60" w:rsidR="00FB57AD" w:rsidRDefault="009865A5" w:rsidP="00FF70ED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/>
          <w:szCs w:val="24"/>
          <w:lang w:val="en-AU"/>
        </w:rPr>
      </w:pPr>
      <w:r w:rsidRPr="00FF70ED">
        <w:rPr>
          <w:rFonts w:ascii="Arial" w:hAnsi="Arial"/>
          <w:szCs w:val="24"/>
          <w:lang w:val="en-AU"/>
        </w:rPr>
        <w:t xml:space="preserve">Workers with psychological </w:t>
      </w:r>
      <w:r>
        <w:rPr>
          <w:rFonts w:ascii="Arial" w:hAnsi="Arial"/>
          <w:szCs w:val="24"/>
          <w:lang w:val="en-AU"/>
        </w:rPr>
        <w:t xml:space="preserve">injury </w:t>
      </w:r>
      <w:r w:rsidRPr="00FF70ED">
        <w:rPr>
          <w:rFonts w:ascii="Arial" w:hAnsi="Arial"/>
          <w:szCs w:val="24"/>
          <w:lang w:val="en-AU"/>
        </w:rPr>
        <w:t>claim</w:t>
      </w:r>
      <w:r w:rsidR="00FB57AD">
        <w:rPr>
          <w:rFonts w:ascii="Arial" w:hAnsi="Arial"/>
          <w:szCs w:val="24"/>
          <w:lang w:val="en-AU"/>
        </w:rPr>
        <w:t>s</w:t>
      </w:r>
      <w:r w:rsidRPr="00FF70ED">
        <w:rPr>
          <w:rFonts w:ascii="Arial" w:hAnsi="Arial"/>
          <w:szCs w:val="24"/>
          <w:lang w:val="en-AU"/>
        </w:rPr>
        <w:t xml:space="preserve"> were less likely to have</w:t>
      </w:r>
      <w:r w:rsidR="006314AF">
        <w:rPr>
          <w:rFonts w:ascii="Arial" w:hAnsi="Arial"/>
          <w:szCs w:val="24"/>
          <w:lang w:val="en-AU"/>
        </w:rPr>
        <w:t xml:space="preserve"> </w:t>
      </w:r>
      <w:r w:rsidR="00EF18C2">
        <w:rPr>
          <w:rFonts w:ascii="Arial" w:hAnsi="Arial"/>
          <w:szCs w:val="24"/>
          <w:lang w:val="en-AU"/>
        </w:rPr>
        <w:t>received</w:t>
      </w:r>
      <w:r w:rsidRPr="00FF70ED">
        <w:rPr>
          <w:rFonts w:ascii="Arial" w:hAnsi="Arial"/>
          <w:szCs w:val="24"/>
          <w:lang w:val="en-AU"/>
        </w:rPr>
        <w:t xml:space="preserve"> contact</w:t>
      </w:r>
      <w:r w:rsidR="006314AF">
        <w:rPr>
          <w:rFonts w:ascii="Arial" w:hAnsi="Arial"/>
          <w:szCs w:val="24"/>
          <w:lang w:val="en-AU"/>
        </w:rPr>
        <w:t xml:space="preserve"> from </w:t>
      </w:r>
      <w:r w:rsidRPr="00FF70ED">
        <w:rPr>
          <w:rFonts w:ascii="Arial" w:hAnsi="Arial"/>
          <w:szCs w:val="24"/>
          <w:lang w:val="en-AU"/>
        </w:rPr>
        <w:t xml:space="preserve">their employer </w:t>
      </w:r>
      <w:r>
        <w:rPr>
          <w:rFonts w:ascii="Arial" w:hAnsi="Arial"/>
          <w:szCs w:val="24"/>
          <w:lang w:val="en-AU"/>
        </w:rPr>
        <w:t>(</w:t>
      </w:r>
      <w:r w:rsidRPr="00FF70ED">
        <w:rPr>
          <w:rFonts w:ascii="Arial" w:hAnsi="Arial"/>
          <w:szCs w:val="24"/>
          <w:lang w:val="en-AU"/>
        </w:rPr>
        <w:t xml:space="preserve">36 per cent compared to 59 per cent of those with a physical </w:t>
      </w:r>
      <w:r>
        <w:rPr>
          <w:rFonts w:ascii="Arial" w:hAnsi="Arial"/>
          <w:szCs w:val="24"/>
          <w:lang w:val="en-AU"/>
        </w:rPr>
        <w:t xml:space="preserve">injury </w:t>
      </w:r>
      <w:r w:rsidRPr="00FF70ED">
        <w:rPr>
          <w:rFonts w:ascii="Arial" w:hAnsi="Arial"/>
          <w:szCs w:val="24"/>
          <w:lang w:val="en-AU"/>
        </w:rPr>
        <w:t>claim</w:t>
      </w:r>
      <w:r>
        <w:rPr>
          <w:rFonts w:ascii="Arial" w:hAnsi="Arial"/>
          <w:szCs w:val="24"/>
          <w:lang w:val="en-AU"/>
        </w:rPr>
        <w:t>)</w:t>
      </w:r>
      <w:r w:rsidRPr="00FF70ED">
        <w:rPr>
          <w:rFonts w:ascii="Arial" w:hAnsi="Arial"/>
          <w:szCs w:val="24"/>
          <w:lang w:val="en-AU"/>
        </w:rPr>
        <w:t>.</w:t>
      </w:r>
    </w:p>
    <w:p w14:paraId="50963D49" w14:textId="50948D66" w:rsidR="000064CA" w:rsidRPr="00FF70ED" w:rsidRDefault="00FB57AD" w:rsidP="00FF70ED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 xml:space="preserve">Workers with </w:t>
      </w:r>
      <w:r w:rsidR="000064CA" w:rsidRPr="00FF70ED">
        <w:rPr>
          <w:rFonts w:ascii="Arial" w:hAnsi="Arial"/>
          <w:szCs w:val="24"/>
          <w:lang w:val="en-AU"/>
        </w:rPr>
        <w:t>psychological injury claim</w:t>
      </w:r>
      <w:r>
        <w:rPr>
          <w:rFonts w:ascii="Arial" w:hAnsi="Arial"/>
          <w:szCs w:val="24"/>
          <w:lang w:val="en-AU"/>
        </w:rPr>
        <w:t>s</w:t>
      </w:r>
      <w:r w:rsidR="000064CA" w:rsidRPr="00FF70ED">
        <w:rPr>
          <w:rFonts w:ascii="Arial" w:hAnsi="Arial"/>
          <w:szCs w:val="24"/>
          <w:lang w:val="en-AU"/>
        </w:rPr>
        <w:t xml:space="preserve"> were more likely to be concerned about lodging a claim</w:t>
      </w:r>
      <w:r w:rsidR="007C51D6">
        <w:rPr>
          <w:rFonts w:ascii="Arial" w:hAnsi="Arial"/>
          <w:szCs w:val="24"/>
          <w:lang w:val="en-AU"/>
        </w:rPr>
        <w:t xml:space="preserve"> (likely due to the worker’s anticipation of how the employer will respond)</w:t>
      </w:r>
      <w:r w:rsidR="000064CA" w:rsidRPr="00FF70ED">
        <w:rPr>
          <w:rFonts w:ascii="Arial" w:hAnsi="Arial"/>
          <w:szCs w:val="24"/>
          <w:lang w:val="en-AU"/>
        </w:rPr>
        <w:t>.</w:t>
      </w:r>
    </w:p>
    <w:p w14:paraId="579A2BFC" w14:textId="64979461" w:rsidR="000064CA" w:rsidRPr="00FF70ED" w:rsidRDefault="00BA2938" w:rsidP="00FF70ED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D</w:t>
      </w:r>
      <w:r w:rsidR="000064CA">
        <w:rPr>
          <w:rFonts w:ascii="Arial" w:hAnsi="Arial"/>
          <w:szCs w:val="24"/>
          <w:lang w:val="en-AU"/>
        </w:rPr>
        <w:t xml:space="preserve">isputes are more </w:t>
      </w:r>
      <w:r w:rsidR="00F02B7E">
        <w:rPr>
          <w:rFonts w:ascii="Arial" w:hAnsi="Arial"/>
          <w:szCs w:val="24"/>
          <w:lang w:val="en-AU"/>
        </w:rPr>
        <w:t xml:space="preserve">likely in psychological claims. </w:t>
      </w:r>
      <w:r w:rsidR="000064CA">
        <w:rPr>
          <w:rFonts w:ascii="Arial" w:hAnsi="Arial"/>
          <w:szCs w:val="24"/>
          <w:lang w:val="en-AU"/>
        </w:rPr>
        <w:t>Twice as many workers with a psychological</w:t>
      </w:r>
      <w:r w:rsidR="001172C0">
        <w:rPr>
          <w:rFonts w:ascii="Arial" w:hAnsi="Arial"/>
          <w:szCs w:val="24"/>
          <w:lang w:val="en-AU"/>
        </w:rPr>
        <w:t xml:space="preserve"> injury</w:t>
      </w:r>
      <w:r w:rsidR="000064CA">
        <w:rPr>
          <w:rFonts w:ascii="Arial" w:hAnsi="Arial"/>
          <w:szCs w:val="24"/>
          <w:lang w:val="en-AU"/>
        </w:rPr>
        <w:t xml:space="preserve"> claim reported a difference of opinion with their employer or claim organisation</w:t>
      </w:r>
      <w:r w:rsidR="00D13AA4">
        <w:rPr>
          <w:rFonts w:ascii="Arial" w:hAnsi="Arial"/>
          <w:szCs w:val="24"/>
          <w:lang w:val="en-AU"/>
        </w:rPr>
        <w:t>.</w:t>
      </w:r>
    </w:p>
    <w:p w14:paraId="76743972" w14:textId="746C155E" w:rsidR="009865A5" w:rsidRPr="00FF70ED" w:rsidRDefault="006314AF" w:rsidP="00BC09E4">
      <w:pPr>
        <w:spacing w:after="120" w:line="240" w:lineRule="auto"/>
        <w:rPr>
          <w:rFonts w:ascii="Arial" w:hAnsi="Arial"/>
          <w:b/>
          <w:szCs w:val="24"/>
          <w:lang w:val="en-AU"/>
        </w:rPr>
      </w:pPr>
      <w:r>
        <w:rPr>
          <w:rFonts w:ascii="Arial" w:hAnsi="Arial"/>
          <w:b/>
          <w:szCs w:val="24"/>
          <w:lang w:val="en-AU"/>
        </w:rPr>
        <w:t xml:space="preserve">How employers can improve </w:t>
      </w:r>
      <w:r w:rsidR="009865A5" w:rsidRPr="00FF70ED">
        <w:rPr>
          <w:rFonts w:ascii="Arial" w:hAnsi="Arial"/>
          <w:b/>
          <w:szCs w:val="24"/>
          <w:lang w:val="en-AU"/>
        </w:rPr>
        <w:t xml:space="preserve">return to work </w:t>
      </w:r>
      <w:r>
        <w:rPr>
          <w:rFonts w:ascii="Arial" w:hAnsi="Arial"/>
          <w:b/>
          <w:szCs w:val="24"/>
          <w:lang w:val="en-AU"/>
        </w:rPr>
        <w:t>outcomes</w:t>
      </w:r>
    </w:p>
    <w:p w14:paraId="408A4A9F" w14:textId="393A9F91" w:rsidR="00BC09E4" w:rsidRDefault="00F70BDA" w:rsidP="00BC09E4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The Survey results show that e</w:t>
      </w:r>
      <w:r w:rsidR="00FB57AD">
        <w:rPr>
          <w:rFonts w:ascii="Arial" w:hAnsi="Arial"/>
          <w:szCs w:val="24"/>
          <w:lang w:val="en-AU"/>
        </w:rPr>
        <w:t>mployer</w:t>
      </w:r>
      <w:r>
        <w:rPr>
          <w:rFonts w:ascii="Arial" w:hAnsi="Arial"/>
          <w:szCs w:val="24"/>
          <w:lang w:val="en-AU"/>
        </w:rPr>
        <w:t>s</w:t>
      </w:r>
      <w:r w:rsidR="00FB57AD">
        <w:rPr>
          <w:rFonts w:ascii="Arial" w:hAnsi="Arial"/>
          <w:szCs w:val="24"/>
          <w:lang w:val="en-AU"/>
        </w:rPr>
        <w:t xml:space="preserve"> </w:t>
      </w:r>
      <w:r w:rsidR="00D13AA4">
        <w:rPr>
          <w:rFonts w:ascii="Arial" w:hAnsi="Arial"/>
          <w:szCs w:val="24"/>
          <w:lang w:val="en-AU"/>
        </w:rPr>
        <w:t xml:space="preserve">can </w:t>
      </w:r>
      <w:r>
        <w:rPr>
          <w:rFonts w:ascii="Arial" w:hAnsi="Arial"/>
          <w:szCs w:val="24"/>
          <w:lang w:val="en-AU"/>
        </w:rPr>
        <w:t>help to</w:t>
      </w:r>
      <w:r w:rsidR="00D13AA4">
        <w:rPr>
          <w:rFonts w:ascii="Arial" w:hAnsi="Arial"/>
          <w:szCs w:val="24"/>
          <w:lang w:val="en-AU"/>
        </w:rPr>
        <w:t xml:space="preserve"> improve RTW outcomes </w:t>
      </w:r>
      <w:r w:rsidR="00665F26">
        <w:rPr>
          <w:rFonts w:ascii="Arial" w:hAnsi="Arial"/>
          <w:szCs w:val="24"/>
          <w:lang w:val="en-AU"/>
        </w:rPr>
        <w:t xml:space="preserve">for </w:t>
      </w:r>
      <w:r>
        <w:rPr>
          <w:rFonts w:ascii="Arial" w:hAnsi="Arial"/>
          <w:szCs w:val="24"/>
          <w:lang w:val="en-AU"/>
        </w:rPr>
        <w:t xml:space="preserve">injured workers with </w:t>
      </w:r>
      <w:r w:rsidR="00665F26">
        <w:rPr>
          <w:rFonts w:ascii="Arial" w:hAnsi="Arial"/>
          <w:szCs w:val="24"/>
          <w:lang w:val="en-AU"/>
        </w:rPr>
        <w:t>psychological and physical claim</w:t>
      </w:r>
      <w:r>
        <w:rPr>
          <w:rFonts w:ascii="Arial" w:hAnsi="Arial"/>
          <w:szCs w:val="24"/>
          <w:lang w:val="en-AU"/>
        </w:rPr>
        <w:t>s by</w:t>
      </w:r>
      <w:r w:rsidR="00BC09E4">
        <w:rPr>
          <w:rFonts w:ascii="Arial" w:hAnsi="Arial"/>
          <w:szCs w:val="24"/>
          <w:lang w:val="en-AU"/>
        </w:rPr>
        <w:t>:</w:t>
      </w:r>
    </w:p>
    <w:p w14:paraId="41208DFC" w14:textId="48D0820A" w:rsidR="00665F26" w:rsidRDefault="00665F26" w:rsidP="00BC09E4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mak</w:t>
      </w:r>
      <w:r w:rsidR="00F70BDA">
        <w:rPr>
          <w:rFonts w:ascii="Arial" w:hAnsi="Arial"/>
          <w:szCs w:val="24"/>
          <w:lang w:val="en-AU"/>
        </w:rPr>
        <w:t>ing</w:t>
      </w:r>
      <w:r>
        <w:rPr>
          <w:rFonts w:ascii="Arial" w:hAnsi="Arial"/>
          <w:szCs w:val="24"/>
          <w:lang w:val="en-AU"/>
        </w:rPr>
        <w:t xml:space="preserve"> genuine and regular contact with the worker</w:t>
      </w:r>
    </w:p>
    <w:p w14:paraId="145D8078" w14:textId="560E7D5F" w:rsidR="00BC09E4" w:rsidRPr="003A6DC3" w:rsidRDefault="000064CA" w:rsidP="00BC09E4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u</w:t>
      </w:r>
      <w:r w:rsidR="00BC09E4" w:rsidRPr="003A6DC3">
        <w:rPr>
          <w:rFonts w:ascii="Arial" w:hAnsi="Arial"/>
          <w:szCs w:val="24"/>
          <w:lang w:val="en-AU"/>
        </w:rPr>
        <w:t>nderstand</w:t>
      </w:r>
      <w:r w:rsidR="00F70BDA">
        <w:rPr>
          <w:rFonts w:ascii="Arial" w:hAnsi="Arial"/>
          <w:szCs w:val="24"/>
          <w:lang w:val="en-AU"/>
        </w:rPr>
        <w:t>ing</w:t>
      </w:r>
      <w:r w:rsidR="00BC09E4" w:rsidRPr="003A6DC3">
        <w:rPr>
          <w:rFonts w:ascii="Arial" w:hAnsi="Arial"/>
          <w:szCs w:val="24"/>
          <w:lang w:val="en-AU"/>
        </w:rPr>
        <w:t xml:space="preserve"> and provid</w:t>
      </w:r>
      <w:r w:rsidR="00F70BDA">
        <w:rPr>
          <w:rFonts w:ascii="Arial" w:hAnsi="Arial"/>
          <w:szCs w:val="24"/>
          <w:lang w:val="en-AU"/>
        </w:rPr>
        <w:t>ing</w:t>
      </w:r>
      <w:r w:rsidR="00BC09E4" w:rsidRPr="003A6DC3">
        <w:rPr>
          <w:rFonts w:ascii="Arial" w:hAnsi="Arial"/>
          <w:szCs w:val="24"/>
          <w:lang w:val="en-AU"/>
        </w:rPr>
        <w:t xml:space="preserve"> information </w:t>
      </w:r>
      <w:r>
        <w:rPr>
          <w:rFonts w:ascii="Arial" w:hAnsi="Arial"/>
          <w:szCs w:val="24"/>
          <w:lang w:val="en-AU"/>
        </w:rPr>
        <w:t xml:space="preserve">about </w:t>
      </w:r>
      <w:r w:rsidR="00BC09E4" w:rsidRPr="003A6DC3">
        <w:rPr>
          <w:rFonts w:ascii="Arial" w:hAnsi="Arial"/>
          <w:szCs w:val="24"/>
          <w:lang w:val="en-AU"/>
        </w:rPr>
        <w:t xml:space="preserve">the </w:t>
      </w:r>
      <w:r>
        <w:rPr>
          <w:rFonts w:ascii="Arial" w:hAnsi="Arial"/>
          <w:szCs w:val="24"/>
          <w:lang w:val="en-AU"/>
        </w:rPr>
        <w:t>worker’s</w:t>
      </w:r>
      <w:r w:rsidRPr="003A6DC3">
        <w:rPr>
          <w:rFonts w:ascii="Arial" w:hAnsi="Arial"/>
          <w:szCs w:val="24"/>
          <w:lang w:val="en-AU"/>
        </w:rPr>
        <w:t xml:space="preserve"> </w:t>
      </w:r>
      <w:r w:rsidR="00BC09E4" w:rsidRPr="003A6DC3">
        <w:rPr>
          <w:rFonts w:ascii="Arial" w:hAnsi="Arial"/>
          <w:szCs w:val="24"/>
          <w:lang w:val="en-AU"/>
        </w:rPr>
        <w:t>rights and responsibilities</w:t>
      </w:r>
    </w:p>
    <w:p w14:paraId="621632BD" w14:textId="717CBCBE" w:rsidR="00BC09E4" w:rsidRPr="003A6DC3" w:rsidRDefault="000064CA" w:rsidP="00BC09E4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m</w:t>
      </w:r>
      <w:r w:rsidR="00BC09E4" w:rsidRPr="003A6DC3">
        <w:rPr>
          <w:rFonts w:ascii="Arial" w:hAnsi="Arial"/>
          <w:szCs w:val="24"/>
          <w:lang w:val="en-AU"/>
        </w:rPr>
        <w:t>ak</w:t>
      </w:r>
      <w:r w:rsidR="00F70BDA">
        <w:rPr>
          <w:rFonts w:ascii="Arial" w:hAnsi="Arial"/>
          <w:szCs w:val="24"/>
          <w:lang w:val="en-AU"/>
        </w:rPr>
        <w:t xml:space="preserve">ing </w:t>
      </w:r>
      <w:r w:rsidR="00BC09E4" w:rsidRPr="003A6DC3">
        <w:rPr>
          <w:rFonts w:ascii="Arial" w:hAnsi="Arial"/>
          <w:szCs w:val="24"/>
          <w:lang w:val="en-AU"/>
        </w:rPr>
        <w:t xml:space="preserve">an effort to find suitable </w:t>
      </w:r>
      <w:r w:rsidR="006314AF">
        <w:rPr>
          <w:rFonts w:ascii="Arial" w:hAnsi="Arial"/>
          <w:szCs w:val="24"/>
          <w:lang w:val="en-AU"/>
        </w:rPr>
        <w:t xml:space="preserve">alternative duties </w:t>
      </w:r>
    </w:p>
    <w:p w14:paraId="08A570E1" w14:textId="2F79FA0E" w:rsidR="00BC09E4" w:rsidRPr="003A6DC3" w:rsidRDefault="000064CA" w:rsidP="00BC09E4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a</w:t>
      </w:r>
      <w:r w:rsidR="00BC09E4" w:rsidRPr="003A6DC3">
        <w:rPr>
          <w:rFonts w:ascii="Arial" w:hAnsi="Arial"/>
          <w:szCs w:val="24"/>
          <w:lang w:val="en-AU"/>
        </w:rPr>
        <w:t>ssist</w:t>
      </w:r>
      <w:r w:rsidR="00F70BDA">
        <w:rPr>
          <w:rFonts w:ascii="Arial" w:hAnsi="Arial"/>
          <w:szCs w:val="24"/>
          <w:lang w:val="en-AU"/>
        </w:rPr>
        <w:t>ing</w:t>
      </w:r>
      <w:r>
        <w:rPr>
          <w:rFonts w:ascii="Arial" w:hAnsi="Arial"/>
          <w:szCs w:val="24"/>
          <w:lang w:val="en-AU"/>
        </w:rPr>
        <w:t xml:space="preserve"> </w:t>
      </w:r>
      <w:r w:rsidR="00F70BDA">
        <w:rPr>
          <w:rFonts w:ascii="Arial" w:hAnsi="Arial"/>
          <w:szCs w:val="24"/>
          <w:lang w:val="en-AU"/>
        </w:rPr>
        <w:t xml:space="preserve">the injured worker </w:t>
      </w:r>
      <w:r w:rsidR="00BC09E4" w:rsidRPr="003A6DC3">
        <w:rPr>
          <w:rFonts w:ascii="Arial" w:hAnsi="Arial"/>
          <w:szCs w:val="24"/>
          <w:lang w:val="en-AU"/>
        </w:rPr>
        <w:t>with their recovery</w:t>
      </w:r>
      <w:r w:rsidR="006314AF">
        <w:rPr>
          <w:rFonts w:ascii="Arial" w:hAnsi="Arial"/>
          <w:szCs w:val="24"/>
          <w:lang w:val="en-AU"/>
        </w:rPr>
        <w:t xml:space="preserve"> such as </w:t>
      </w:r>
      <w:r w:rsidR="00D723DA">
        <w:rPr>
          <w:rFonts w:ascii="Arial" w:hAnsi="Arial"/>
          <w:szCs w:val="24"/>
          <w:lang w:val="en-AU"/>
        </w:rPr>
        <w:t>providing support and encouragement</w:t>
      </w:r>
      <w:r>
        <w:rPr>
          <w:rFonts w:ascii="Arial" w:hAnsi="Arial"/>
          <w:szCs w:val="24"/>
          <w:lang w:val="en-AU"/>
        </w:rPr>
        <w:t>, and</w:t>
      </w:r>
    </w:p>
    <w:p w14:paraId="4DE810A6" w14:textId="0B1B836E" w:rsidR="00BC09E4" w:rsidRDefault="000064CA" w:rsidP="00BC09E4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t</w:t>
      </w:r>
      <w:r w:rsidR="00BC09E4" w:rsidRPr="003A6DC3">
        <w:rPr>
          <w:rFonts w:ascii="Arial" w:hAnsi="Arial"/>
          <w:szCs w:val="24"/>
          <w:lang w:val="en-AU"/>
        </w:rPr>
        <w:t>reat</w:t>
      </w:r>
      <w:r w:rsidR="00F70BDA">
        <w:rPr>
          <w:rFonts w:ascii="Arial" w:hAnsi="Arial"/>
          <w:szCs w:val="24"/>
          <w:lang w:val="en-AU"/>
        </w:rPr>
        <w:t>ing</w:t>
      </w:r>
      <w:r w:rsidR="00BC09E4" w:rsidRPr="003A6DC3">
        <w:rPr>
          <w:rFonts w:ascii="Arial" w:hAnsi="Arial"/>
          <w:szCs w:val="24"/>
          <w:lang w:val="en-AU"/>
        </w:rPr>
        <w:t xml:space="preserve"> the </w:t>
      </w:r>
      <w:r>
        <w:rPr>
          <w:rFonts w:ascii="Arial" w:hAnsi="Arial"/>
          <w:szCs w:val="24"/>
          <w:lang w:val="en-AU"/>
        </w:rPr>
        <w:t xml:space="preserve">worker </w:t>
      </w:r>
      <w:r w:rsidR="00BC09E4" w:rsidRPr="003A6DC3">
        <w:rPr>
          <w:rFonts w:ascii="Arial" w:hAnsi="Arial"/>
          <w:szCs w:val="24"/>
          <w:lang w:val="en-AU"/>
        </w:rPr>
        <w:t>fairly durin</w:t>
      </w:r>
      <w:r w:rsidR="00BC09E4">
        <w:rPr>
          <w:rFonts w:ascii="Arial" w:hAnsi="Arial"/>
          <w:szCs w:val="24"/>
          <w:lang w:val="en-AU"/>
        </w:rPr>
        <w:t>g and after claim lodgement</w:t>
      </w:r>
      <w:r>
        <w:rPr>
          <w:rFonts w:ascii="Arial" w:hAnsi="Arial"/>
          <w:szCs w:val="24"/>
          <w:lang w:val="en-AU"/>
        </w:rPr>
        <w:t>.</w:t>
      </w:r>
    </w:p>
    <w:p w14:paraId="5AD390E3" w14:textId="6560AF0F" w:rsidR="00BC09E4" w:rsidRDefault="000064CA" w:rsidP="00BC09E4">
      <w:p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E</w:t>
      </w:r>
      <w:r w:rsidR="00BC09E4">
        <w:rPr>
          <w:rFonts w:ascii="Arial" w:hAnsi="Arial"/>
          <w:szCs w:val="24"/>
          <w:lang w:val="en-AU"/>
        </w:rPr>
        <w:t xml:space="preserve">arly intervention </w:t>
      </w:r>
      <w:r>
        <w:rPr>
          <w:rFonts w:ascii="Arial" w:hAnsi="Arial"/>
          <w:szCs w:val="24"/>
          <w:lang w:val="en-AU"/>
        </w:rPr>
        <w:t xml:space="preserve">also </w:t>
      </w:r>
      <w:r w:rsidR="00BC09E4">
        <w:rPr>
          <w:rFonts w:ascii="Arial" w:hAnsi="Arial"/>
          <w:szCs w:val="24"/>
          <w:lang w:val="en-AU"/>
        </w:rPr>
        <w:t xml:space="preserve">improves RTW outcomes. </w:t>
      </w:r>
      <w:r w:rsidR="00F70BDA">
        <w:rPr>
          <w:rFonts w:ascii="Arial" w:hAnsi="Arial"/>
          <w:szCs w:val="24"/>
          <w:lang w:val="en-AU"/>
        </w:rPr>
        <w:t>Employers can help their w</w:t>
      </w:r>
      <w:r>
        <w:rPr>
          <w:rFonts w:ascii="Arial" w:hAnsi="Arial"/>
          <w:szCs w:val="24"/>
          <w:lang w:val="en-AU"/>
        </w:rPr>
        <w:t xml:space="preserve">orkers </w:t>
      </w:r>
      <w:r w:rsidR="00F70BDA">
        <w:rPr>
          <w:rFonts w:ascii="Arial" w:hAnsi="Arial"/>
          <w:szCs w:val="24"/>
          <w:lang w:val="en-AU"/>
        </w:rPr>
        <w:t xml:space="preserve">to </w:t>
      </w:r>
      <w:r w:rsidR="00D13AA4">
        <w:rPr>
          <w:rFonts w:ascii="Arial" w:hAnsi="Arial"/>
          <w:szCs w:val="24"/>
          <w:lang w:val="en-AU"/>
        </w:rPr>
        <w:t xml:space="preserve">successfully RTW </w:t>
      </w:r>
      <w:r w:rsidR="00F70BDA">
        <w:rPr>
          <w:rFonts w:ascii="Arial" w:hAnsi="Arial"/>
          <w:szCs w:val="24"/>
          <w:lang w:val="en-AU"/>
        </w:rPr>
        <w:t>by:</w:t>
      </w:r>
    </w:p>
    <w:p w14:paraId="016A337A" w14:textId="0F2AE75A" w:rsidR="00BC09E4" w:rsidRDefault="00BC09E4" w:rsidP="00BC09E4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lastRenderedPageBreak/>
        <w:t>hav</w:t>
      </w:r>
      <w:r w:rsidR="00F70BDA">
        <w:rPr>
          <w:rFonts w:ascii="Arial" w:hAnsi="Arial"/>
          <w:szCs w:val="24"/>
          <w:lang w:val="en-AU"/>
        </w:rPr>
        <w:t>ing</w:t>
      </w:r>
      <w:r>
        <w:rPr>
          <w:rFonts w:ascii="Arial" w:hAnsi="Arial"/>
          <w:szCs w:val="24"/>
          <w:lang w:val="en-AU"/>
        </w:rPr>
        <w:t xml:space="preserve"> </w:t>
      </w:r>
      <w:r w:rsidRPr="00AF2D18">
        <w:rPr>
          <w:rFonts w:ascii="Arial" w:hAnsi="Arial"/>
          <w:szCs w:val="24"/>
          <w:lang w:val="en-AU"/>
        </w:rPr>
        <w:t xml:space="preserve">a </w:t>
      </w:r>
      <w:r w:rsidR="004C2E18">
        <w:rPr>
          <w:rFonts w:ascii="Arial" w:hAnsi="Arial"/>
          <w:szCs w:val="24"/>
          <w:lang w:val="en-AU"/>
        </w:rPr>
        <w:t>pre-claim discussion with their worker</w:t>
      </w:r>
    </w:p>
    <w:p w14:paraId="62458F15" w14:textId="04BEED14" w:rsidR="00BC09E4" w:rsidRDefault="00F70BDA" w:rsidP="00BC09E4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>providing</w:t>
      </w:r>
      <w:r w:rsidR="00BC09E4" w:rsidRPr="00AF2D18">
        <w:rPr>
          <w:rFonts w:ascii="Arial" w:hAnsi="Arial"/>
          <w:szCs w:val="24"/>
          <w:lang w:val="en-AU"/>
        </w:rPr>
        <w:t xml:space="preserve"> pre-claim assistance</w:t>
      </w:r>
    </w:p>
    <w:p w14:paraId="218F0893" w14:textId="66DA95CA" w:rsidR="00BC09E4" w:rsidRDefault="00F70BDA" w:rsidP="00BC09E4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/>
          <w:szCs w:val="24"/>
          <w:lang w:val="en-AU"/>
        </w:rPr>
      </w:pPr>
      <w:r>
        <w:rPr>
          <w:rFonts w:ascii="Arial" w:hAnsi="Arial"/>
          <w:szCs w:val="24"/>
          <w:lang w:val="en-AU"/>
        </w:rPr>
        <w:t xml:space="preserve">helping workers to </w:t>
      </w:r>
      <w:r w:rsidR="00BC09E4">
        <w:rPr>
          <w:rFonts w:ascii="Arial" w:hAnsi="Arial"/>
          <w:szCs w:val="24"/>
          <w:lang w:val="en-AU"/>
        </w:rPr>
        <w:t>lodge their claim early, and</w:t>
      </w:r>
    </w:p>
    <w:p w14:paraId="0748BC95" w14:textId="1CF955D0" w:rsidR="00BC09E4" w:rsidRPr="00AF2D18" w:rsidRDefault="00BC09E4" w:rsidP="00BC09E4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/>
          <w:szCs w:val="24"/>
          <w:lang w:val="en-AU"/>
        </w:rPr>
      </w:pPr>
      <w:proofErr w:type="gramStart"/>
      <w:r w:rsidRPr="00AF2D18">
        <w:rPr>
          <w:rFonts w:ascii="Arial" w:hAnsi="Arial"/>
          <w:szCs w:val="24"/>
          <w:lang w:val="en-AU"/>
        </w:rPr>
        <w:t>hav</w:t>
      </w:r>
      <w:r w:rsidR="00F70BDA">
        <w:rPr>
          <w:rFonts w:ascii="Arial" w:hAnsi="Arial"/>
          <w:szCs w:val="24"/>
          <w:lang w:val="en-AU"/>
        </w:rPr>
        <w:t>ing</w:t>
      </w:r>
      <w:proofErr w:type="gramEnd"/>
      <w:r w:rsidRPr="00AF2D18">
        <w:rPr>
          <w:rFonts w:ascii="Arial" w:hAnsi="Arial"/>
          <w:szCs w:val="24"/>
          <w:lang w:val="en-AU"/>
        </w:rPr>
        <w:t xml:space="preserve"> early contact with their</w:t>
      </w:r>
      <w:r w:rsidR="004C2E18">
        <w:rPr>
          <w:rFonts w:ascii="Arial" w:hAnsi="Arial"/>
          <w:szCs w:val="24"/>
          <w:lang w:val="en-AU"/>
        </w:rPr>
        <w:t xml:space="preserve"> worker</w:t>
      </w:r>
      <w:r w:rsidR="00F02B7E">
        <w:rPr>
          <w:rFonts w:ascii="Arial" w:hAnsi="Arial"/>
          <w:szCs w:val="24"/>
          <w:lang w:val="en-AU"/>
        </w:rPr>
        <w:t>.</w:t>
      </w:r>
    </w:p>
    <w:p w14:paraId="708AA78A" w14:textId="77777777" w:rsidR="00F55849" w:rsidRDefault="00F55849" w:rsidP="00BC09E4">
      <w:pPr>
        <w:jc w:val="both"/>
        <w:rPr>
          <w:rFonts w:ascii="Arial" w:hAnsi="Arial"/>
          <w:b/>
          <w:szCs w:val="24"/>
          <w:lang w:val="en-AU"/>
        </w:rPr>
      </w:pPr>
      <w:r w:rsidRPr="00FF70ED">
        <w:rPr>
          <w:rFonts w:ascii="Arial" w:hAnsi="Arial"/>
          <w:b/>
          <w:szCs w:val="24"/>
          <w:lang w:val="en-AU"/>
        </w:rPr>
        <w:t xml:space="preserve">Further information </w:t>
      </w:r>
    </w:p>
    <w:p w14:paraId="35FED3F4" w14:textId="622AEE2C" w:rsidR="001224FA" w:rsidRPr="001224FA" w:rsidRDefault="001224FA" w:rsidP="00F55849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For information about workers’ rights and responsibilities, employers should contact the relevant </w:t>
      </w:r>
      <w:hyperlink r:id="rId8" w:history="1">
        <w:r w:rsidRPr="001224FA">
          <w:rPr>
            <w:rStyle w:val="Hyperlink"/>
            <w:rFonts w:ascii="Arial" w:hAnsi="Arial" w:cs="Arial"/>
          </w:rPr>
          <w:t>workers’ compensation authority</w:t>
        </w:r>
      </w:hyperlink>
      <w:r>
        <w:rPr>
          <w:rFonts w:ascii="Arial" w:hAnsi="Arial" w:cs="Arial"/>
        </w:rPr>
        <w:t xml:space="preserve"> </w:t>
      </w:r>
    </w:p>
    <w:p w14:paraId="124A5EF5" w14:textId="22D73AFD" w:rsidR="00F55849" w:rsidRPr="00D723DA" w:rsidRDefault="00586905" w:rsidP="00F55849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hyperlink r:id="rId9" w:history="1">
        <w:r w:rsidR="006314AF" w:rsidRPr="00D723DA">
          <w:rPr>
            <w:rStyle w:val="Hyperlink"/>
            <w:rFonts w:ascii="Arial" w:hAnsi="Arial" w:cs="Arial"/>
            <w:i/>
          </w:rPr>
          <w:t xml:space="preserve">Return to work: A comparison </w:t>
        </w:r>
        <w:r w:rsidR="00B17D86" w:rsidRPr="00D723DA">
          <w:rPr>
            <w:rStyle w:val="Hyperlink"/>
            <w:rFonts w:ascii="Arial" w:hAnsi="Arial" w:cs="Arial"/>
            <w:i/>
          </w:rPr>
          <w:t>of psychological and physical injury claims</w:t>
        </w:r>
      </w:hyperlink>
      <w:r w:rsidR="00B17D86" w:rsidRPr="00D723DA">
        <w:rPr>
          <w:rFonts w:ascii="Arial" w:hAnsi="Arial" w:cs="Arial"/>
          <w:i/>
        </w:rPr>
        <w:t xml:space="preserve"> </w:t>
      </w:r>
      <w:r w:rsidR="00F02B7E">
        <w:rPr>
          <w:rFonts w:ascii="Arial" w:hAnsi="Arial" w:cs="Arial"/>
        </w:rPr>
        <w:t>report</w:t>
      </w:r>
    </w:p>
    <w:p w14:paraId="07614F26" w14:textId="1BFA0BB2" w:rsidR="00BA3431" w:rsidRPr="00BA3431" w:rsidRDefault="00586905" w:rsidP="00BA3431">
      <w:pPr>
        <w:pStyle w:val="ListParagraph"/>
        <w:numPr>
          <w:ilvl w:val="0"/>
          <w:numId w:val="8"/>
        </w:numPr>
      </w:pPr>
      <w:hyperlink r:id="rId10" w:history="1">
        <w:r w:rsidR="00F55849" w:rsidRPr="00F02B7E">
          <w:rPr>
            <w:rStyle w:val="Hyperlink"/>
            <w:rFonts w:ascii="Arial" w:hAnsi="Arial" w:cs="Arial"/>
          </w:rPr>
          <w:t>National Return to Work Survey</w:t>
        </w:r>
      </w:hyperlink>
    </w:p>
    <w:p w14:paraId="45367D45" w14:textId="5D844ABC" w:rsidR="000D7E4A" w:rsidRPr="00F02B7E" w:rsidRDefault="00586905" w:rsidP="00F02B7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hyperlink r:id="rId11" w:history="1">
        <w:r w:rsidR="001224FA" w:rsidRPr="001224FA">
          <w:rPr>
            <w:rStyle w:val="Hyperlink"/>
            <w:rFonts w:ascii="Arial" w:hAnsi="Arial" w:cs="Arial"/>
          </w:rPr>
          <w:t>Mental health in the workplace</w:t>
        </w:r>
      </w:hyperlink>
      <w:r w:rsidR="001224FA">
        <w:rPr>
          <w:rFonts w:ascii="Arial" w:hAnsi="Arial" w:cs="Arial"/>
        </w:rPr>
        <w:t xml:space="preserve"> </w:t>
      </w:r>
    </w:p>
    <w:sectPr w:rsidR="000D7E4A" w:rsidRPr="00F02B7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BBA4" w14:textId="77777777" w:rsidR="00262B21" w:rsidRDefault="00262B21" w:rsidP="004C76A8">
      <w:pPr>
        <w:spacing w:after="0" w:line="240" w:lineRule="auto"/>
      </w:pPr>
      <w:r>
        <w:separator/>
      </w:r>
    </w:p>
  </w:endnote>
  <w:endnote w:type="continuationSeparator" w:id="0">
    <w:p w14:paraId="625E437E" w14:textId="77777777" w:rsidR="00262B21" w:rsidRDefault="00262B21" w:rsidP="004C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10F70" w14:textId="77777777" w:rsidR="00262B21" w:rsidRDefault="00262B21" w:rsidP="004C76A8">
      <w:pPr>
        <w:spacing w:after="0" w:line="240" w:lineRule="auto"/>
      </w:pPr>
      <w:r>
        <w:separator/>
      </w:r>
    </w:p>
  </w:footnote>
  <w:footnote w:type="continuationSeparator" w:id="0">
    <w:p w14:paraId="29FE3165" w14:textId="77777777" w:rsidR="00262B21" w:rsidRDefault="00262B21" w:rsidP="004C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D955A" w14:textId="77777777" w:rsidR="004C76A8" w:rsidRDefault="004C76A8">
    <w:pPr>
      <w:pStyle w:val="Header"/>
    </w:pPr>
    <w:r>
      <w:rPr>
        <w:noProof/>
        <w:lang w:val="en-AU" w:eastAsia="en-AU"/>
      </w:rPr>
      <w:drawing>
        <wp:inline distT="0" distB="0" distL="0" distR="0" wp14:anchorId="4A1CA4FE" wp14:editId="47F286E1">
          <wp:extent cx="1950720" cy="393192"/>
          <wp:effectExtent l="0" t="0" r="0" b="6985"/>
          <wp:docPr id="3" name="Picture 3" title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CF4"/>
    <w:multiLevelType w:val="hybridMultilevel"/>
    <w:tmpl w:val="C1C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AA9"/>
    <w:multiLevelType w:val="hybridMultilevel"/>
    <w:tmpl w:val="0D34E2B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DDF48CE"/>
    <w:multiLevelType w:val="hybridMultilevel"/>
    <w:tmpl w:val="9B0C83DA"/>
    <w:lvl w:ilvl="0" w:tplc="FB72D8B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2727"/>
    <w:multiLevelType w:val="hybridMultilevel"/>
    <w:tmpl w:val="8E24A2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E3661"/>
    <w:multiLevelType w:val="hybridMultilevel"/>
    <w:tmpl w:val="B444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3EAE"/>
    <w:multiLevelType w:val="multilevel"/>
    <w:tmpl w:val="A4A602F4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Verdana" w:hAnsi="Verdana" w:hint="default"/>
        <w:spacing w:val="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E690B00"/>
    <w:multiLevelType w:val="hybridMultilevel"/>
    <w:tmpl w:val="8558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463D8"/>
    <w:multiLevelType w:val="hybridMultilevel"/>
    <w:tmpl w:val="960CB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742BF"/>
    <w:multiLevelType w:val="hybridMultilevel"/>
    <w:tmpl w:val="B5F2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4366C"/>
    <w:multiLevelType w:val="hybridMultilevel"/>
    <w:tmpl w:val="664035AA"/>
    <w:lvl w:ilvl="0" w:tplc="FDF8C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91"/>
    <w:rsid w:val="000064CA"/>
    <w:rsid w:val="00006780"/>
    <w:rsid w:val="00014BB4"/>
    <w:rsid w:val="00027D98"/>
    <w:rsid w:val="00030563"/>
    <w:rsid w:val="0005287B"/>
    <w:rsid w:val="00067ACA"/>
    <w:rsid w:val="000905C1"/>
    <w:rsid w:val="000A589A"/>
    <w:rsid w:val="000D7E4A"/>
    <w:rsid w:val="000E01A9"/>
    <w:rsid w:val="000F171A"/>
    <w:rsid w:val="001172C0"/>
    <w:rsid w:val="001224FA"/>
    <w:rsid w:val="00166FF0"/>
    <w:rsid w:val="00171BDA"/>
    <w:rsid w:val="001C3D85"/>
    <w:rsid w:val="001E1D33"/>
    <w:rsid w:val="001E24B8"/>
    <w:rsid w:val="00212074"/>
    <w:rsid w:val="00221E7D"/>
    <w:rsid w:val="00227A3C"/>
    <w:rsid w:val="002335B8"/>
    <w:rsid w:val="00252313"/>
    <w:rsid w:val="00262B21"/>
    <w:rsid w:val="00284E13"/>
    <w:rsid w:val="002914EB"/>
    <w:rsid w:val="002939FD"/>
    <w:rsid w:val="002B087D"/>
    <w:rsid w:val="002C3FE3"/>
    <w:rsid w:val="002D6100"/>
    <w:rsid w:val="002F67DF"/>
    <w:rsid w:val="00307AFE"/>
    <w:rsid w:val="003277AB"/>
    <w:rsid w:val="003546C9"/>
    <w:rsid w:val="00363D9C"/>
    <w:rsid w:val="00364C54"/>
    <w:rsid w:val="003705C6"/>
    <w:rsid w:val="00390AC2"/>
    <w:rsid w:val="003A6DC3"/>
    <w:rsid w:val="003B2D77"/>
    <w:rsid w:val="003C2C44"/>
    <w:rsid w:val="003D292E"/>
    <w:rsid w:val="003F2609"/>
    <w:rsid w:val="0041351E"/>
    <w:rsid w:val="004774C0"/>
    <w:rsid w:val="004A5993"/>
    <w:rsid w:val="004B1811"/>
    <w:rsid w:val="004C2E18"/>
    <w:rsid w:val="004C76A8"/>
    <w:rsid w:val="004E5D67"/>
    <w:rsid w:val="005144CB"/>
    <w:rsid w:val="00547EE1"/>
    <w:rsid w:val="00564A08"/>
    <w:rsid w:val="00565C1E"/>
    <w:rsid w:val="00586905"/>
    <w:rsid w:val="005B1FE5"/>
    <w:rsid w:val="005B20DD"/>
    <w:rsid w:val="005C31F2"/>
    <w:rsid w:val="00603768"/>
    <w:rsid w:val="0060652D"/>
    <w:rsid w:val="006212C0"/>
    <w:rsid w:val="006314AF"/>
    <w:rsid w:val="00637BF0"/>
    <w:rsid w:val="00647457"/>
    <w:rsid w:val="00665EB3"/>
    <w:rsid w:val="00665F26"/>
    <w:rsid w:val="00692CF4"/>
    <w:rsid w:val="006C4D89"/>
    <w:rsid w:val="006C64D2"/>
    <w:rsid w:val="006E07E8"/>
    <w:rsid w:val="00725729"/>
    <w:rsid w:val="00753330"/>
    <w:rsid w:val="007674F6"/>
    <w:rsid w:val="007C51D6"/>
    <w:rsid w:val="007D4673"/>
    <w:rsid w:val="00814733"/>
    <w:rsid w:val="00841510"/>
    <w:rsid w:val="008841F4"/>
    <w:rsid w:val="008E31D9"/>
    <w:rsid w:val="0091085E"/>
    <w:rsid w:val="00912A38"/>
    <w:rsid w:val="00920557"/>
    <w:rsid w:val="009311D6"/>
    <w:rsid w:val="00960191"/>
    <w:rsid w:val="009865A5"/>
    <w:rsid w:val="009B6B76"/>
    <w:rsid w:val="009E6FE3"/>
    <w:rsid w:val="00A0323A"/>
    <w:rsid w:val="00A23802"/>
    <w:rsid w:val="00A356AA"/>
    <w:rsid w:val="00A43062"/>
    <w:rsid w:val="00A715E0"/>
    <w:rsid w:val="00A72440"/>
    <w:rsid w:val="00A75588"/>
    <w:rsid w:val="00A9343F"/>
    <w:rsid w:val="00AA39C4"/>
    <w:rsid w:val="00AB03F4"/>
    <w:rsid w:val="00AE1FB7"/>
    <w:rsid w:val="00AE59B9"/>
    <w:rsid w:val="00AF2D18"/>
    <w:rsid w:val="00AF4733"/>
    <w:rsid w:val="00AF6CE6"/>
    <w:rsid w:val="00B00091"/>
    <w:rsid w:val="00B142A4"/>
    <w:rsid w:val="00B17A56"/>
    <w:rsid w:val="00B17D86"/>
    <w:rsid w:val="00B64037"/>
    <w:rsid w:val="00BA2938"/>
    <w:rsid w:val="00BA3431"/>
    <w:rsid w:val="00BC09E4"/>
    <w:rsid w:val="00C02FB6"/>
    <w:rsid w:val="00C1506C"/>
    <w:rsid w:val="00C46696"/>
    <w:rsid w:val="00C55295"/>
    <w:rsid w:val="00C652DD"/>
    <w:rsid w:val="00C850E8"/>
    <w:rsid w:val="00CA03B3"/>
    <w:rsid w:val="00CB7A95"/>
    <w:rsid w:val="00CD2A1C"/>
    <w:rsid w:val="00CE30B2"/>
    <w:rsid w:val="00D01263"/>
    <w:rsid w:val="00D04795"/>
    <w:rsid w:val="00D13AA4"/>
    <w:rsid w:val="00D1518B"/>
    <w:rsid w:val="00D17DDA"/>
    <w:rsid w:val="00D51409"/>
    <w:rsid w:val="00D65C9A"/>
    <w:rsid w:val="00D6776F"/>
    <w:rsid w:val="00D723DA"/>
    <w:rsid w:val="00D72798"/>
    <w:rsid w:val="00DA14F3"/>
    <w:rsid w:val="00DA5BC5"/>
    <w:rsid w:val="00DA761B"/>
    <w:rsid w:val="00DC26A6"/>
    <w:rsid w:val="00DD2187"/>
    <w:rsid w:val="00E00940"/>
    <w:rsid w:val="00E10A1E"/>
    <w:rsid w:val="00E15219"/>
    <w:rsid w:val="00E25320"/>
    <w:rsid w:val="00E47B5F"/>
    <w:rsid w:val="00E76CD0"/>
    <w:rsid w:val="00E901A7"/>
    <w:rsid w:val="00E912F9"/>
    <w:rsid w:val="00ED4F23"/>
    <w:rsid w:val="00EF18C2"/>
    <w:rsid w:val="00EF6620"/>
    <w:rsid w:val="00F02B7E"/>
    <w:rsid w:val="00F1083B"/>
    <w:rsid w:val="00F35851"/>
    <w:rsid w:val="00F4445B"/>
    <w:rsid w:val="00F55849"/>
    <w:rsid w:val="00F60338"/>
    <w:rsid w:val="00F61F64"/>
    <w:rsid w:val="00F70BDA"/>
    <w:rsid w:val="00F94E3B"/>
    <w:rsid w:val="00FB57AD"/>
    <w:rsid w:val="00FF2FA0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5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9E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A8"/>
    <w:pPr>
      <w:spacing w:before="240" w:after="120" w:line="240" w:lineRule="auto"/>
      <w:outlineLvl w:val="2"/>
    </w:pPr>
    <w:rPr>
      <w:rFonts w:ascii="Arial" w:eastAsiaTheme="majorEastAsia" w:hAnsi="Arial" w:cstheme="majorBidi"/>
      <w:b/>
      <w:bCs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01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5C9A"/>
  </w:style>
  <w:style w:type="paragraph" w:styleId="Header">
    <w:name w:val="header"/>
    <w:basedOn w:val="Normal"/>
    <w:link w:val="HeaderChar"/>
    <w:uiPriority w:val="99"/>
    <w:unhideWhenUsed/>
    <w:rsid w:val="004C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A8"/>
  </w:style>
  <w:style w:type="paragraph" w:styleId="Footer">
    <w:name w:val="footer"/>
    <w:basedOn w:val="Normal"/>
    <w:link w:val="FooterChar"/>
    <w:uiPriority w:val="99"/>
    <w:unhideWhenUsed/>
    <w:rsid w:val="004C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6A8"/>
  </w:style>
  <w:style w:type="paragraph" w:styleId="BalloonText">
    <w:name w:val="Balloon Text"/>
    <w:basedOn w:val="Normal"/>
    <w:link w:val="BalloonTextChar"/>
    <w:uiPriority w:val="99"/>
    <w:semiHidden/>
    <w:unhideWhenUsed/>
    <w:rsid w:val="004C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A8"/>
    <w:rPr>
      <w:rFonts w:ascii="Tahoma" w:hAnsi="Tahoma" w:cs="Tahoma"/>
      <w:sz w:val="16"/>
      <w:szCs w:val="16"/>
    </w:rPr>
  </w:style>
  <w:style w:type="paragraph" w:customStyle="1" w:styleId="SWA-TITLE">
    <w:name w:val="SWA - TITLE"/>
    <w:basedOn w:val="Normal"/>
    <w:qFormat/>
    <w:rsid w:val="004C76A8"/>
    <w:pPr>
      <w:tabs>
        <w:tab w:val="left" w:pos="425"/>
      </w:tabs>
      <w:spacing w:before="360" w:after="360" w:line="240" w:lineRule="auto"/>
      <w:ind w:left="425" w:hanging="425"/>
      <w:jc w:val="center"/>
    </w:pPr>
    <w:rPr>
      <w:rFonts w:ascii="Arial Bold" w:hAnsi="Arial Bold"/>
      <w:b/>
      <w:caps/>
      <w:color w:val="C00000"/>
      <w:sz w:val="36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C76A8"/>
    <w:rPr>
      <w:rFonts w:ascii="Arial" w:eastAsiaTheme="majorEastAsia" w:hAnsi="Arial" w:cstheme="majorBidi"/>
      <w:b/>
      <w:bCs/>
      <w:sz w:val="24"/>
      <w:lang w:val="en-AU"/>
    </w:rPr>
  </w:style>
  <w:style w:type="table" w:styleId="LightShading-Accent2">
    <w:name w:val="Light Shading Accent 2"/>
    <w:aliases w:val="SWA Table Style"/>
    <w:basedOn w:val="TableNormal"/>
    <w:uiPriority w:val="60"/>
    <w:rsid w:val="00AF2D18"/>
    <w:pPr>
      <w:spacing w:before="120" w:after="120" w:line="240" w:lineRule="auto"/>
    </w:pPr>
    <w:rPr>
      <w:rFonts w:ascii="Arial" w:hAnsi="Arial"/>
      <w:lang w:val="en-AU"/>
    </w:rPr>
    <w:tblPr>
      <w:tblStyleRowBandSize w:val="1"/>
      <w:tblStyleColBandSize w:val="1"/>
      <w:tblBorders>
        <w:top w:val="dotted" w:sz="4" w:space="0" w:color="FFFFFF" w:themeColor="background1"/>
        <w:left w:val="dotted" w:sz="4" w:space="0" w:color="FFFFFF" w:themeColor="background1"/>
        <w:bottom w:val="dotted" w:sz="4" w:space="0" w:color="FFFFFF" w:themeColor="background1"/>
        <w:right w:val="dotted" w:sz="4" w:space="0" w:color="FFFFFF" w:themeColor="background1"/>
        <w:insideH w:val="dotted" w:sz="4" w:space="0" w:color="FFFFFF" w:themeColor="background1"/>
        <w:insideV w:val="dotted" w:sz="4" w:space="0" w:color="FFFFFF" w:themeColor="background1"/>
      </w:tblBorders>
    </w:tblPr>
    <w:tcPr>
      <w:shd w:val="clear" w:color="auto" w:fill="FFFFFF" w:themeFill="background1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145B85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 Bold" w:hAnsi="Arial Bold"/>
        <w:b/>
        <w:bCs/>
        <w:color w:val="F8F8F8"/>
        <w:sz w:val="20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b/>
        <w:bCs/>
        <w:sz w:val="20"/>
      </w:rPr>
    </w:tblStylePr>
    <w:tblStylePr w:type="lastCol">
      <w:rPr>
        <w:rFonts w:ascii="Arial" w:hAnsi="Arial"/>
        <w:b/>
        <w:bCs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C9E5F7"/>
      </w:tcPr>
    </w:tblStylePr>
    <w:tblStylePr w:type="band1Horz">
      <w:tblPr/>
      <w:tcPr>
        <w:shd w:val="clear" w:color="auto" w:fill="C9E5F7"/>
      </w:tcPr>
    </w:tblStylePr>
    <w:tblStylePr w:type="band2Horz">
      <w:tblPr/>
      <w:tcPr>
        <w:tc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F2D18"/>
    <w:pPr>
      <w:keepNext/>
      <w:keepLines/>
      <w:spacing w:after="80" w:line="240" w:lineRule="auto"/>
      <w:ind w:left="142" w:hanging="142"/>
    </w:pPr>
    <w:rPr>
      <w:rFonts w:ascii="Calibri" w:hAnsi="Calibri"/>
      <w:i/>
      <w:color w:val="244061" w:themeColor="accent1" w:themeShade="80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8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0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7A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7D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workaustralia.gov.au/whs-authorities-contact-inform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workaustralia.gov.au/topic/mental-heal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feworkaustralia.gov.au/collection/return-work-survey-2016-australia-and-new-zea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workaustralia.gov.au/doc/return-work-comparison-psychological-and-physical-injury-clai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1536-3B13-483E-8E6A-059D78B0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22709401.dotm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2018-07-04T07:10:00Z</dcterms:created>
  <dcterms:modified xsi:type="dcterms:W3CDTF">2018-07-04T07:10:00Z</dcterms:modified>
</cp:coreProperties>
</file>