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szCs w:val="20"/>
        </w:rPr>
        <w:id w:val="-1534421027"/>
        <w:docPartObj>
          <w:docPartGallery w:val="Cover Pages"/>
          <w:docPartUnique/>
        </w:docPartObj>
      </w:sdtPr>
      <w:sdtEndPr>
        <w:rPr>
          <w:rFonts w:ascii="Arial" w:hAnsi="Arial" w:cs="Arial"/>
          <w:sz w:val="22"/>
          <w:szCs w:val="22"/>
        </w:rPr>
      </w:sdtEndPr>
      <w:sdtContent>
        <w:p w:rsidR="00D249D9" w:rsidRDefault="00D249D9" w:rsidP="00D249D9">
          <w:pPr>
            <w:pStyle w:val="Title"/>
            <w:spacing w:before="480" w:after="0"/>
            <w:rPr>
              <w:rFonts w:ascii="Arial" w:hAnsi="Arial" w:cs="Arial"/>
              <w:b/>
              <w:color w:val="FFFFFF" w:themeColor="background1"/>
              <w:sz w:val="80"/>
              <w:szCs w:val="80"/>
            </w:rPr>
          </w:pPr>
          <w:r w:rsidRPr="00C56FFA">
            <w:rPr>
              <w:noProof/>
              <w:color w:val="FFFFFF" w:themeColor="background1"/>
              <w:sz w:val="80"/>
              <w:szCs w:val="80"/>
            </w:rPr>
            <w:drawing>
              <wp:anchor distT="0" distB="0" distL="114300" distR="114300" simplePos="0" relativeHeight="251659264" behindDoc="1" locked="0" layoutInCell="1" allowOverlap="1" wp14:anchorId="2C3414D3" wp14:editId="650FAEDA">
                <wp:simplePos x="0" y="0"/>
                <wp:positionH relativeFrom="column">
                  <wp:posOffset>-954405</wp:posOffset>
                </wp:positionH>
                <wp:positionV relativeFrom="paragraph">
                  <wp:posOffset>-469265</wp:posOffset>
                </wp:positionV>
                <wp:extent cx="9429750" cy="2886075"/>
                <wp:effectExtent l="0" t="0" r="0" b="9525"/>
                <wp:wrapNone/>
                <wp:docPr id="1" name="Picture 1"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29750"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551">
            <w:rPr>
              <w:rFonts w:ascii="Arial" w:hAnsi="Arial" w:cs="Arial"/>
              <w:b/>
              <w:color w:val="FFFFFF" w:themeColor="background1"/>
              <w:sz w:val="56"/>
              <w:szCs w:val="80"/>
            </w:rPr>
            <w:t xml:space="preserve">Priority </w:t>
          </w:r>
          <w:r>
            <w:rPr>
              <w:rFonts w:ascii="Arial" w:hAnsi="Arial" w:cs="Arial"/>
              <w:b/>
              <w:color w:val="FFFFFF" w:themeColor="background1"/>
              <w:sz w:val="56"/>
              <w:szCs w:val="80"/>
            </w:rPr>
            <w:t>i</w:t>
          </w:r>
          <w:r w:rsidRPr="002E6551">
            <w:rPr>
              <w:rFonts w:ascii="Arial" w:hAnsi="Arial" w:cs="Arial"/>
              <w:b/>
              <w:color w:val="FFFFFF" w:themeColor="background1"/>
              <w:sz w:val="56"/>
              <w:szCs w:val="80"/>
            </w:rPr>
            <w:t xml:space="preserve">ndustry </w:t>
          </w:r>
          <w:r>
            <w:rPr>
              <w:rFonts w:ascii="Arial" w:hAnsi="Arial" w:cs="Arial"/>
              <w:b/>
              <w:color w:val="FFFFFF" w:themeColor="background1"/>
              <w:sz w:val="56"/>
              <w:szCs w:val="80"/>
            </w:rPr>
            <w:t>s</w:t>
          </w:r>
          <w:r w:rsidRPr="002E6551">
            <w:rPr>
              <w:rFonts w:ascii="Arial" w:hAnsi="Arial" w:cs="Arial"/>
              <w:b/>
              <w:color w:val="FFFFFF" w:themeColor="background1"/>
              <w:sz w:val="56"/>
              <w:szCs w:val="80"/>
            </w:rPr>
            <w:t>napshot</w:t>
          </w:r>
          <w:r>
            <w:rPr>
              <w:rFonts w:ascii="Arial" w:hAnsi="Arial" w:cs="Arial"/>
              <w:b/>
              <w:color w:val="FFFFFF" w:themeColor="background1"/>
              <w:sz w:val="56"/>
              <w:szCs w:val="80"/>
            </w:rPr>
            <w:t>:</w:t>
          </w:r>
        </w:p>
        <w:p w:rsidR="00D249D9" w:rsidRPr="00EC7A3C" w:rsidRDefault="00D249D9" w:rsidP="00D249D9">
          <w:pPr>
            <w:pStyle w:val="Title"/>
            <w:spacing w:after="0"/>
            <w:rPr>
              <w:rFonts w:ascii="Arial" w:hAnsi="Arial" w:cs="Arial"/>
              <w:b/>
              <w:color w:val="FFFFFF" w:themeColor="background1"/>
              <w:sz w:val="72"/>
              <w:szCs w:val="80"/>
            </w:rPr>
          </w:pPr>
          <w:r w:rsidRPr="00EC7A3C">
            <w:rPr>
              <w:rFonts w:ascii="Arial" w:hAnsi="Arial" w:cs="Arial"/>
              <w:b/>
              <w:color w:val="FFFFFF" w:themeColor="background1"/>
              <w:sz w:val="72"/>
              <w:szCs w:val="80"/>
            </w:rPr>
            <w:t xml:space="preserve">Public </w:t>
          </w:r>
          <w:r>
            <w:rPr>
              <w:rFonts w:ascii="Arial" w:hAnsi="Arial" w:cs="Arial"/>
              <w:b/>
              <w:color w:val="FFFFFF" w:themeColor="background1"/>
              <w:sz w:val="72"/>
              <w:szCs w:val="80"/>
            </w:rPr>
            <w:t>a</w:t>
          </w:r>
          <w:r w:rsidRPr="00EC7A3C">
            <w:rPr>
              <w:rFonts w:ascii="Arial" w:hAnsi="Arial" w:cs="Arial"/>
              <w:b/>
              <w:color w:val="FFFFFF" w:themeColor="background1"/>
              <w:sz w:val="72"/>
              <w:szCs w:val="80"/>
            </w:rPr>
            <w:t xml:space="preserve">dministration </w:t>
          </w:r>
        </w:p>
        <w:p w:rsidR="00D249D9" w:rsidRPr="00EC7A3C" w:rsidRDefault="00D249D9" w:rsidP="00D249D9">
          <w:pPr>
            <w:pStyle w:val="Title"/>
            <w:spacing w:after="0"/>
            <w:rPr>
              <w:rFonts w:ascii="Arial" w:hAnsi="Arial" w:cs="Arial"/>
              <w:b/>
              <w:color w:val="FFFFFF" w:themeColor="background1"/>
              <w:sz w:val="72"/>
              <w:szCs w:val="80"/>
            </w:rPr>
          </w:pPr>
          <w:r w:rsidRPr="00EC7A3C">
            <w:rPr>
              <w:rFonts w:ascii="Arial" w:hAnsi="Arial" w:cs="Arial"/>
              <w:b/>
              <w:color w:val="FFFFFF" w:themeColor="background1"/>
              <w:sz w:val="72"/>
              <w:szCs w:val="80"/>
            </w:rPr>
            <w:t xml:space="preserve">&amp; </w:t>
          </w:r>
          <w:r>
            <w:rPr>
              <w:rFonts w:ascii="Arial" w:hAnsi="Arial" w:cs="Arial"/>
              <w:b/>
              <w:color w:val="FFFFFF" w:themeColor="background1"/>
              <w:sz w:val="72"/>
              <w:szCs w:val="80"/>
            </w:rPr>
            <w:t>s</w:t>
          </w:r>
          <w:r w:rsidRPr="00EC7A3C">
            <w:rPr>
              <w:rFonts w:ascii="Arial" w:hAnsi="Arial" w:cs="Arial"/>
              <w:b/>
              <w:color w:val="FFFFFF" w:themeColor="background1"/>
              <w:sz w:val="72"/>
              <w:szCs w:val="80"/>
            </w:rPr>
            <w:t>afety</w:t>
          </w:r>
        </w:p>
        <w:p w:rsidR="00D249D9" w:rsidRPr="00425A9D" w:rsidRDefault="00D249D9" w:rsidP="00D249D9">
          <w:pPr>
            <w:pStyle w:val="Title"/>
            <w:spacing w:after="240"/>
            <w:jc w:val="right"/>
            <w:rPr>
              <w:rFonts w:ascii="Arial" w:hAnsi="Arial" w:cs="Arial"/>
              <w:b/>
              <w:color w:val="FFFFFF" w:themeColor="background1"/>
              <w:sz w:val="36"/>
              <w:szCs w:val="36"/>
            </w:rPr>
          </w:pPr>
          <w:r>
            <w:rPr>
              <w:rFonts w:ascii="Arial" w:hAnsi="Arial" w:cs="Arial"/>
              <w:b/>
              <w:color w:val="FFFFFF" w:themeColor="background1"/>
              <w:sz w:val="36"/>
              <w:szCs w:val="36"/>
            </w:rPr>
            <w:t xml:space="preserve">June </w:t>
          </w:r>
          <w:r w:rsidRPr="00425A9D">
            <w:rPr>
              <w:rFonts w:ascii="Arial" w:hAnsi="Arial" w:cs="Arial"/>
              <w:b/>
              <w:color w:val="FFFFFF" w:themeColor="background1"/>
              <w:sz w:val="36"/>
              <w:szCs w:val="36"/>
            </w:rPr>
            <w:t>2018</w:t>
          </w:r>
        </w:p>
        <w:p w:rsidR="00D249D9" w:rsidRDefault="00D249D9" w:rsidP="00D249D9">
          <w:pPr>
            <w:pStyle w:val="Bodytextjustified"/>
            <w:spacing w:before="0" w:after="0"/>
            <w:jc w:val="left"/>
          </w:pPr>
        </w:p>
        <w:p w:rsidR="00D249D9" w:rsidRPr="009356EF" w:rsidRDefault="00D249D9" w:rsidP="00D249D9">
          <w:pPr>
            <w:pStyle w:val="Bodytextjustified"/>
            <w:jc w:val="left"/>
          </w:pPr>
          <w:r w:rsidRPr="009356EF">
            <w:t xml:space="preserve">The </w:t>
          </w:r>
          <w:r>
            <w:t>p</w:t>
          </w:r>
          <w:r w:rsidRPr="009356EF">
            <w:t xml:space="preserve">ublic administration and safety industry </w:t>
          </w:r>
          <w:proofErr w:type="gramStart"/>
          <w:r w:rsidRPr="009356EF">
            <w:t>is identified</w:t>
          </w:r>
          <w:proofErr w:type="gramEnd"/>
          <w:r w:rsidRPr="009356EF">
            <w:t xml:space="preserve"> as a national priority </w:t>
          </w:r>
          <w:r>
            <w:t>to reduce the number and rate of work-related injuries and diseases in</w:t>
          </w:r>
          <w:r w:rsidRPr="009356EF">
            <w:t xml:space="preserve"> the </w:t>
          </w:r>
          <w:r w:rsidRPr="00425A9D">
            <w:rPr>
              <w:i/>
            </w:rPr>
            <w:t xml:space="preserve">Australian Work Health and Safety Strategy </w:t>
          </w:r>
          <w:r>
            <w:rPr>
              <w:i/>
            </w:rPr>
            <w:t xml:space="preserve">2012-2022. </w:t>
          </w:r>
          <w:r>
            <w:t xml:space="preserve">The industry accounts for 6 per cent of total employment in </w:t>
          </w:r>
          <w:r w:rsidRPr="009356EF">
            <w:t>Australia</w:t>
          </w:r>
          <w:r>
            <w:t xml:space="preserve"> and includes </w:t>
          </w:r>
          <w:r w:rsidRPr="009356EF">
            <w:t xml:space="preserve">three sub-industries: </w:t>
          </w:r>
          <w:r>
            <w:t>p</w:t>
          </w:r>
          <w:r w:rsidRPr="009356EF">
            <w:t xml:space="preserve">ublic administration; </w:t>
          </w:r>
          <w:r>
            <w:t>d</w:t>
          </w:r>
          <w:r w:rsidRPr="009356EF">
            <w:t xml:space="preserve">efence; and </w:t>
          </w:r>
          <w:r>
            <w:t>p</w:t>
          </w:r>
          <w:r w:rsidRPr="009356EF">
            <w:t>ublic order, safety and regulatory services.</w:t>
          </w:r>
        </w:p>
        <w:p w:rsidR="00E449F4" w:rsidRDefault="00D249D9" w:rsidP="00E449F4">
          <w:pPr>
            <w:pStyle w:val="Bodytextjustified"/>
            <w:jc w:val="left"/>
          </w:pPr>
          <w:r>
            <w:t xml:space="preserve">This is an overview of </w:t>
          </w:r>
          <w:r w:rsidRPr="009356EF">
            <w:t xml:space="preserve">the industry and its work health and safety </w:t>
          </w:r>
          <w:r>
            <w:t xml:space="preserve">(WHS) </w:t>
          </w:r>
          <w:r w:rsidRPr="009356EF">
            <w:t xml:space="preserve">performance, identifying key WHS issues and segments of the industry where performance </w:t>
          </w:r>
          <w:r>
            <w:t>may be</w:t>
          </w:r>
          <w:r w:rsidRPr="009356EF">
            <w:t xml:space="preserve"> lagging.</w:t>
          </w:r>
        </w:p>
        <w:p w:rsidR="006508D7" w:rsidRDefault="006508D7" w:rsidP="00E449F4">
          <w:pPr>
            <w:pStyle w:val="Bodytextjustified"/>
            <w:jc w:val="left"/>
          </w:pPr>
          <w:r w:rsidRPr="00C035C5">
            <w:rPr>
              <w:b/>
              <w:noProof/>
              <w:color w:val="AF1E2D"/>
              <w:sz w:val="32"/>
            </w:rPr>
            <mc:AlternateContent>
              <mc:Choice Requires="wps">
                <w:drawing>
                  <wp:inline distT="0" distB="0" distL="0" distR="0" wp14:anchorId="1D7294DE" wp14:editId="4FC5CEB5">
                    <wp:extent cx="6391275" cy="5519420"/>
                    <wp:effectExtent l="0" t="0" r="28575" b="2159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5519420"/>
                            </a:xfrm>
                            <a:prstGeom prst="rect">
                              <a:avLst/>
                            </a:prstGeom>
                            <a:solidFill>
                              <a:schemeClr val="bg1">
                                <a:lumMod val="85000"/>
                              </a:schemeClr>
                            </a:solidFill>
                            <a:ln w="9525">
                              <a:solidFill>
                                <a:srgbClr val="000000"/>
                              </a:solidFill>
                              <a:miter lim="800000"/>
                              <a:headEnd/>
                              <a:tailEnd/>
                            </a:ln>
                          </wps:spPr>
                          <wps:txbx>
                            <w:txbxContent>
                              <w:p w:rsidR="006508D7" w:rsidRDefault="006508D7" w:rsidP="006508D7">
                                <w:pPr>
                                  <w:pStyle w:val="Heading1"/>
                                  <w:spacing w:before="120"/>
                                </w:pPr>
                                <w:r>
                                  <w:t>Key points</w:t>
                                </w:r>
                              </w:p>
                              <w:p w:rsidR="006508D7" w:rsidRDefault="006508D7" w:rsidP="006508D7">
                                <w:pPr>
                                  <w:pStyle w:val="Bodytextjustified"/>
                                  <w:numPr>
                                    <w:ilvl w:val="0"/>
                                    <w:numId w:val="37"/>
                                  </w:numPr>
                                  <w:ind w:left="426"/>
                                </w:pPr>
                                <w:r>
                                  <w:t xml:space="preserve">Worker fatalities are relatively low with </w:t>
                                </w:r>
                                <w:proofErr w:type="gramStart"/>
                                <w:r>
                                  <w:t>7</w:t>
                                </w:r>
                                <w:proofErr w:type="gramEnd"/>
                                <w:r>
                                  <w:t xml:space="preserve"> fatalities per year. </w:t>
                                </w:r>
                              </w:p>
                              <w:p w:rsidR="006508D7" w:rsidRDefault="006508D7" w:rsidP="006508D7">
                                <w:pPr>
                                  <w:pStyle w:val="Bodytextjustified"/>
                                  <w:numPr>
                                    <w:ilvl w:val="0"/>
                                    <w:numId w:val="37"/>
                                  </w:numPr>
                                  <w:ind w:left="426"/>
                                </w:pPr>
                                <w:r>
                                  <w:t>Serious claims rates are slightly higher than the average rate with 7.1 serious claims per million hours worked, but has declined by 33 per cent since 2010-11.</w:t>
                                </w:r>
                              </w:p>
                              <w:p w:rsidR="006508D7" w:rsidRDefault="006508D7" w:rsidP="006508D7">
                                <w:pPr>
                                  <w:pStyle w:val="Bodytextjustified"/>
                                  <w:numPr>
                                    <w:ilvl w:val="0"/>
                                    <w:numId w:val="37"/>
                                  </w:numPr>
                                  <w:ind w:left="426"/>
                                </w:pPr>
                                <w:r>
                                  <w:t>Workers aged 35-54 years account for the majority of worker fatalities and have the highest serious claim frequency rates.</w:t>
                                </w:r>
                              </w:p>
                              <w:p w:rsidR="006508D7" w:rsidRDefault="006508D7" w:rsidP="006508D7">
                                <w:pPr>
                                  <w:pStyle w:val="Bodytextjustified"/>
                                  <w:numPr>
                                    <w:ilvl w:val="0"/>
                                    <w:numId w:val="37"/>
                                  </w:numPr>
                                  <w:ind w:left="426"/>
                                </w:pPr>
                                <w:r>
                                  <w:t>The public order, safety and regulatory services sub-sector accounts for over 50 per cent of serious claims and 46 per cent of worker fatalities.</w:t>
                                </w:r>
                              </w:p>
                              <w:p w:rsidR="006508D7" w:rsidRDefault="006508D7" w:rsidP="006508D7">
                                <w:pPr>
                                  <w:pStyle w:val="Bodytextjustified"/>
                                  <w:numPr>
                                    <w:ilvl w:val="0"/>
                                    <w:numId w:val="37"/>
                                  </w:numPr>
                                  <w:ind w:left="426"/>
                                </w:pPr>
                                <w:r>
                                  <w:t>Protective security workers account for 29 per cent of worker fatalities and 46 per cent of serious claims.</w:t>
                                </w:r>
                              </w:p>
                              <w:p w:rsidR="006508D7" w:rsidRDefault="006508D7" w:rsidP="006508D7">
                                <w:pPr>
                                  <w:pStyle w:val="Bodytextjustified"/>
                                  <w:numPr>
                                    <w:ilvl w:val="0"/>
                                    <w:numId w:val="37"/>
                                  </w:numPr>
                                  <w:ind w:left="426"/>
                                </w:pPr>
                                <w:r>
                                  <w:t>Vehicle incidents account for 46 per cent of worker fatalities.</w:t>
                                </w:r>
                              </w:p>
                              <w:p w:rsidR="006508D7" w:rsidRDefault="006508D7" w:rsidP="006508D7">
                                <w:pPr>
                                  <w:pStyle w:val="Bodytextjustified"/>
                                  <w:numPr>
                                    <w:ilvl w:val="0"/>
                                    <w:numId w:val="37"/>
                                  </w:numPr>
                                  <w:ind w:left="426"/>
                                </w:pPr>
                                <w:r>
                                  <w:t>Falls on the same level and muscular stress while handling objects both account for 14 per cent of serious claims.</w:t>
                                </w:r>
                              </w:p>
                            </w:txbxContent>
                          </wps:txbx>
                          <wps:bodyPr rot="0" vert="horz" wrap="square" lIns="91440" tIns="45720" rIns="91440" bIns="45720" anchor="t" anchorCtr="0">
                            <a:spAutoFit/>
                          </wps:bodyPr>
                        </wps:wsp>
                      </a:graphicData>
                    </a:graphic>
                  </wp:inline>
                </w:drawing>
              </mc:Choice>
              <mc:Fallback>
                <w:pict>
                  <v:shapetype w14:anchorId="1D7294DE" id="_x0000_t202" coordsize="21600,21600" o:spt="202" path="m,l,21600r21600,l21600,xe">
                    <v:stroke joinstyle="miter"/>
                    <v:path gradientshapeok="t" o:connecttype="rect"/>
                  </v:shapetype>
                  <v:shape id="Text Box 5" o:spid="_x0000_s1026" type="#_x0000_t202" style="width:503.25pt;height:4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" fillcolor="#d8d8d8 [2732]">
                    <v:textbox style="mso-fit-shape-to-text:t">
                      <w:txbxContent>
                        <w:p w:rsidR="006508D7" w:rsidRDefault="006508D7" w:rsidP="006508D7">
                          <w:pPr>
                            <w:pStyle w:val="Heading1"/>
                            <w:spacing w:before="120"/>
                          </w:pPr>
                          <w:r>
                            <w:t>Key points</w:t>
                          </w:r>
                        </w:p>
                        <w:p w:rsidR="006508D7" w:rsidRDefault="006508D7" w:rsidP="006508D7">
                          <w:pPr>
                            <w:pStyle w:val="Bodytextjustified"/>
                            <w:numPr>
                              <w:ilvl w:val="0"/>
                              <w:numId w:val="37"/>
                            </w:numPr>
                            <w:ind w:left="426"/>
                          </w:pPr>
                          <w:r>
                            <w:t xml:space="preserve">Worker fatalities are relatively low with </w:t>
                          </w:r>
                          <w:proofErr w:type="gramStart"/>
                          <w:r>
                            <w:t>7</w:t>
                          </w:r>
                          <w:proofErr w:type="gramEnd"/>
                          <w:r>
                            <w:t xml:space="preserve"> fatalities per year. </w:t>
                          </w:r>
                        </w:p>
                        <w:p w:rsidR="006508D7" w:rsidRDefault="006508D7" w:rsidP="006508D7">
                          <w:pPr>
                            <w:pStyle w:val="Bodytextjustified"/>
                            <w:numPr>
                              <w:ilvl w:val="0"/>
                              <w:numId w:val="37"/>
                            </w:numPr>
                            <w:ind w:left="426"/>
                          </w:pPr>
                          <w:r>
                            <w:t>Serious claims rates are slightly higher than the average rate with 7.1 serious claims per million hours worked, but has declined by 33 per cent since 2010-11.</w:t>
                          </w:r>
                        </w:p>
                        <w:p w:rsidR="006508D7" w:rsidRDefault="006508D7" w:rsidP="006508D7">
                          <w:pPr>
                            <w:pStyle w:val="Bodytextjustified"/>
                            <w:numPr>
                              <w:ilvl w:val="0"/>
                              <w:numId w:val="37"/>
                            </w:numPr>
                            <w:ind w:left="426"/>
                          </w:pPr>
                          <w:r>
                            <w:t>Workers aged 35-54 years account for the majority of worker fatalities and have the highest serious claim frequency rates.</w:t>
                          </w:r>
                        </w:p>
                        <w:p w:rsidR="006508D7" w:rsidRDefault="006508D7" w:rsidP="006508D7">
                          <w:pPr>
                            <w:pStyle w:val="Bodytextjustified"/>
                            <w:numPr>
                              <w:ilvl w:val="0"/>
                              <w:numId w:val="37"/>
                            </w:numPr>
                            <w:ind w:left="426"/>
                          </w:pPr>
                          <w:r>
                            <w:t>The public order, safety and regulatory services sub-sector accounts for over 50 per cent of serious claims and 46 per cent of worker fatalities.</w:t>
                          </w:r>
                        </w:p>
                        <w:p w:rsidR="006508D7" w:rsidRDefault="006508D7" w:rsidP="006508D7">
                          <w:pPr>
                            <w:pStyle w:val="Bodytextjustified"/>
                            <w:numPr>
                              <w:ilvl w:val="0"/>
                              <w:numId w:val="37"/>
                            </w:numPr>
                            <w:ind w:left="426"/>
                          </w:pPr>
                          <w:r>
                            <w:t>Protective security workers account for 29 per cent of worker fatalities and 46 per cent of serious claims.</w:t>
                          </w:r>
                        </w:p>
                        <w:p w:rsidR="006508D7" w:rsidRDefault="006508D7" w:rsidP="006508D7">
                          <w:pPr>
                            <w:pStyle w:val="Bodytextjustified"/>
                            <w:numPr>
                              <w:ilvl w:val="0"/>
                              <w:numId w:val="37"/>
                            </w:numPr>
                            <w:ind w:left="426"/>
                          </w:pPr>
                          <w:r>
                            <w:t>Vehicle incidents account for 46 per cent of worker fatalities.</w:t>
                          </w:r>
                        </w:p>
                        <w:p w:rsidR="006508D7" w:rsidRDefault="006508D7" w:rsidP="006508D7">
                          <w:pPr>
                            <w:pStyle w:val="Bodytextjustified"/>
                            <w:numPr>
                              <w:ilvl w:val="0"/>
                              <w:numId w:val="37"/>
                            </w:numPr>
                            <w:ind w:left="426"/>
                          </w:pPr>
                          <w:r>
                            <w:t>Falls on the same level and muscular stress while handling objects both account for 14 per cent of serious claims.</w:t>
                          </w:r>
                        </w:p>
                      </w:txbxContent>
                    </v:textbox>
                    <w10:anchorlock/>
                  </v:shape>
                </w:pict>
              </mc:Fallback>
            </mc:AlternateContent>
          </w:r>
        </w:p>
        <w:p w:rsidR="001B4305" w:rsidRPr="00D249D9" w:rsidRDefault="00D249D9">
          <w:pPr>
            <w:spacing w:before="0" w:after="0"/>
            <w:rPr>
              <w:rFonts w:ascii="Arial" w:hAnsi="Arial" w:cs="Arial"/>
              <w:sz w:val="22"/>
              <w:szCs w:val="22"/>
            </w:rPr>
          </w:pPr>
          <w:r>
            <w:rPr>
              <w:rFonts w:ascii="Arial" w:hAnsi="Arial" w:cs="Arial"/>
              <w:sz w:val="22"/>
              <w:szCs w:val="22"/>
            </w:rPr>
            <w:br w:type="page"/>
          </w:r>
        </w:p>
      </w:sdtContent>
    </w:sdt>
    <w:p w:rsidR="009D1116" w:rsidRPr="009D1116" w:rsidRDefault="009D1116" w:rsidP="00CC6AE4">
      <w:pPr>
        <w:pStyle w:val="Heading1"/>
      </w:pPr>
      <w:r w:rsidRPr="009D1116">
        <w:lastRenderedPageBreak/>
        <w:t xml:space="preserve">The </w:t>
      </w:r>
      <w:r w:rsidR="00D96E30">
        <w:t>e</w:t>
      </w:r>
      <w:r w:rsidRPr="009D1116">
        <w:t>vidence</w:t>
      </w:r>
      <w:r w:rsidR="00E15973" w:rsidRPr="00991F6C">
        <w:rPr>
          <w:rStyle w:val="FootnoteReference"/>
          <w:sz w:val="24"/>
        </w:rPr>
        <w:footnoteReference w:id="1"/>
      </w:r>
    </w:p>
    <w:p w:rsidR="00622839" w:rsidRDefault="00622839" w:rsidP="00CC6AE4">
      <w:pPr>
        <w:pStyle w:val="Heading2"/>
      </w:pPr>
      <w:r>
        <w:t xml:space="preserve">Industry </w:t>
      </w:r>
      <w:r w:rsidRPr="00CC6AE4">
        <w:t>profile</w:t>
      </w:r>
      <w:r w:rsidR="00E15973">
        <w:rPr>
          <w:rStyle w:val="FootnoteReference"/>
        </w:rPr>
        <w:footnoteReference w:id="2"/>
      </w:r>
    </w:p>
    <w:p w:rsidR="00B4443B" w:rsidRDefault="00B4443B" w:rsidP="00425A9D">
      <w:pPr>
        <w:pStyle w:val="Bodytextjustified"/>
        <w:jc w:val="left"/>
      </w:pPr>
      <w:r>
        <w:t xml:space="preserve">The </w:t>
      </w:r>
      <w:r w:rsidR="0057794B">
        <w:t>p</w:t>
      </w:r>
      <w:r>
        <w:t xml:space="preserve">ublic administration and safety industry accounted for 6 per cent of total employment in November 2017, with employment growing by 7 per cent over the five years to November 2017 (slightly lower than overall employment growth of 8 per cent). Employment in the industry </w:t>
      </w:r>
      <w:proofErr w:type="gramStart"/>
      <w:r>
        <w:t>is projected</w:t>
      </w:r>
      <w:proofErr w:type="gramEnd"/>
      <w:r>
        <w:t xml:space="preserve"> to increase by a further 9 per cent over the next five years.</w:t>
      </w:r>
    </w:p>
    <w:p w:rsidR="00B4443B" w:rsidRDefault="0057794B" w:rsidP="00425A9D">
      <w:pPr>
        <w:pStyle w:val="Bodytextjustified"/>
        <w:jc w:val="left"/>
        <w:rPr>
          <w:rFonts w:cs="Calibri"/>
        </w:rPr>
      </w:pPr>
      <w:r>
        <w:rPr>
          <w:rFonts w:cs="Calibri"/>
        </w:rPr>
        <w:t>T</w:t>
      </w:r>
      <w:r w:rsidR="00B4443B">
        <w:rPr>
          <w:rFonts w:cs="Calibri"/>
        </w:rPr>
        <w:t xml:space="preserve">he industry is comprised of a slightly older demographic, with just over a quarter of workers aged under </w:t>
      </w:r>
      <w:r w:rsidR="00B4443B" w:rsidRPr="00A12469">
        <w:rPr>
          <w:rFonts w:cs="Calibri"/>
        </w:rPr>
        <w:t xml:space="preserve">35 years, compared with almost 40 per cent across all industries. </w:t>
      </w:r>
      <w:r w:rsidR="009B1ADC">
        <w:rPr>
          <w:rFonts w:cs="Calibri"/>
        </w:rPr>
        <w:t>T</w:t>
      </w:r>
      <w:r w:rsidR="00B4443B" w:rsidRPr="00A12469">
        <w:rPr>
          <w:rFonts w:cs="Calibri"/>
        </w:rPr>
        <w:t>he industry has a higher proportion of full-time workers (83 per cent compared to the all industry average of 69 per cent), and a much lower proportion of casual employees (11 per cent</w:t>
      </w:r>
      <w:r>
        <w:rPr>
          <w:rFonts w:cs="Calibri"/>
        </w:rPr>
        <w:t>,</w:t>
      </w:r>
      <w:r w:rsidR="00B4443B" w:rsidRPr="00A12469">
        <w:rPr>
          <w:rFonts w:cs="Calibri"/>
        </w:rPr>
        <w:t xml:space="preserve"> compared to the all industry average of 25</w:t>
      </w:r>
      <w:r w:rsidR="00425A9D">
        <w:rPr>
          <w:rFonts w:cs="Calibri"/>
        </w:rPr>
        <w:t> </w:t>
      </w:r>
      <w:r w:rsidR="00B4443B" w:rsidRPr="00A12469">
        <w:rPr>
          <w:rFonts w:cs="Calibri"/>
        </w:rPr>
        <w:t>per</w:t>
      </w:r>
      <w:r w:rsidR="00425A9D">
        <w:rPr>
          <w:rFonts w:cs="Calibri"/>
        </w:rPr>
        <w:t> </w:t>
      </w:r>
      <w:r w:rsidR="00B4443B" w:rsidRPr="00A12469">
        <w:rPr>
          <w:rFonts w:cs="Calibri"/>
        </w:rPr>
        <w:t>cent).</w:t>
      </w:r>
    </w:p>
    <w:p w:rsidR="00622839" w:rsidRDefault="002A6ACF" w:rsidP="002A6ACF">
      <w:pPr>
        <w:spacing w:before="240" w:line="288" w:lineRule="auto"/>
        <w:jc w:val="center"/>
        <w:rPr>
          <w:rFonts w:ascii="Arial" w:hAnsi="Arial" w:cs="Arial"/>
          <w:b/>
          <w:color w:val="AF1E2D"/>
          <w:sz w:val="24"/>
          <w:szCs w:val="22"/>
        </w:rPr>
      </w:pPr>
      <w:r>
        <w:rPr>
          <w:rFonts w:ascii="Arial" w:hAnsi="Arial" w:cs="Arial"/>
          <w:b/>
          <w:noProof/>
          <w:color w:val="AF1E2D"/>
          <w:sz w:val="24"/>
          <w:szCs w:val="22"/>
        </w:rPr>
        <w:drawing>
          <wp:inline distT="0" distB="0" distL="0" distR="0" wp14:anchorId="461574EE">
            <wp:extent cx="5300120" cy="1569600"/>
            <wp:effectExtent l="0" t="0" r="0" b="0"/>
            <wp:docPr id="4" name="Picture 4" descr="This image provides a visual overview of the key characteristics of the Public Administration and Safety industry, discussed in the above paragraphs.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0120" cy="1569600"/>
                    </a:xfrm>
                    <a:prstGeom prst="rect">
                      <a:avLst/>
                    </a:prstGeom>
                    <a:noFill/>
                  </pic:spPr>
                </pic:pic>
              </a:graphicData>
            </a:graphic>
          </wp:inline>
        </w:drawing>
      </w:r>
    </w:p>
    <w:p w:rsidR="00C26809" w:rsidRDefault="00957371" w:rsidP="00CC6AE4">
      <w:pPr>
        <w:pStyle w:val="Heading2"/>
      </w:pPr>
      <w:r w:rsidRPr="00957371">
        <w:t xml:space="preserve">Why is the </w:t>
      </w:r>
      <w:r w:rsidR="0057794B">
        <w:t>p</w:t>
      </w:r>
      <w:r w:rsidR="00602232">
        <w:t>ublic administration and safety</w:t>
      </w:r>
      <w:r w:rsidR="007259EB" w:rsidRPr="00957371">
        <w:t xml:space="preserve"> </w:t>
      </w:r>
      <w:r w:rsidRPr="00957371">
        <w:t xml:space="preserve">industry a </w:t>
      </w:r>
      <w:r w:rsidR="00C26809" w:rsidRPr="00957371">
        <w:t>priority</w:t>
      </w:r>
      <w:r w:rsidRPr="00957371">
        <w:t>?</w:t>
      </w:r>
    </w:p>
    <w:p w:rsidR="00B4443B" w:rsidRPr="00957F06" w:rsidRDefault="009B1ADC" w:rsidP="00425A9D">
      <w:pPr>
        <w:pStyle w:val="Bodytextjustified"/>
        <w:jc w:val="left"/>
      </w:pPr>
      <w:r>
        <w:t>On average, t</w:t>
      </w:r>
      <w:r w:rsidR="00B4443B">
        <w:t xml:space="preserve">he </w:t>
      </w:r>
      <w:r w:rsidR="0057794B">
        <w:t>p</w:t>
      </w:r>
      <w:r w:rsidR="00B4443B">
        <w:t xml:space="preserve">ublic administration and safety industry accounted for 8 per cent of serious workers’ compensation claims over the four years between 2012–13 and 2015–16. As a result, this industry </w:t>
      </w:r>
      <w:proofErr w:type="gramStart"/>
      <w:r w:rsidR="00B4443B">
        <w:t>was ranked</w:t>
      </w:r>
      <w:proofErr w:type="gramEnd"/>
      <w:r w:rsidR="00B4443B">
        <w:t xml:space="preserve"> sixth highest in the number of serious claims during th</w:t>
      </w:r>
      <w:r w:rsidR="0057794B">
        <w:t>is</w:t>
      </w:r>
      <w:r w:rsidR="00B4443B">
        <w:t xml:space="preserve"> period and seventh highest in the frequency rate of serious claims. </w:t>
      </w:r>
      <w:r>
        <w:t>T</w:t>
      </w:r>
      <w:r w:rsidR="00B4443B">
        <w:t xml:space="preserve">he </w:t>
      </w:r>
      <w:r w:rsidR="0057794B">
        <w:t>p</w:t>
      </w:r>
      <w:r w:rsidR="00B4443B">
        <w:t xml:space="preserve">ublic administration and safety industry ranked seventh </w:t>
      </w:r>
      <w:r w:rsidR="0057794B">
        <w:t xml:space="preserve">in the number of fatalities </w:t>
      </w:r>
      <w:r w:rsidR="00B4443B">
        <w:t>and eleventh</w:t>
      </w:r>
      <w:r w:rsidR="0057794B">
        <w:t xml:space="preserve"> for</w:t>
      </w:r>
      <w:r w:rsidR="00B4443B">
        <w:t xml:space="preserve"> the fatality rate, during the four</w:t>
      </w:r>
      <w:r w:rsidR="004F3508">
        <w:noBreakHyphen/>
      </w:r>
      <w:r w:rsidR="00B4443B">
        <w:t>year period.</w:t>
      </w:r>
    </w:p>
    <w:p w:rsidR="005F2B2E" w:rsidRDefault="00EC59CD" w:rsidP="009A1755">
      <w:pPr>
        <w:pStyle w:val="Bodytextjustified"/>
        <w:jc w:val="center"/>
      </w:pPr>
      <w:r>
        <w:rPr>
          <w:noProof/>
        </w:rPr>
        <w:drawing>
          <wp:inline distT="0" distB="0" distL="0" distR="0">
            <wp:extent cx="5807489" cy="2093077"/>
            <wp:effectExtent l="0" t="0" r="3175" b="2540"/>
            <wp:docPr id="15" name="Picture 15" descr="This image provides a visual overview of work-related fatality and injury in the Public Administration and Safety industry, discussed in the above paragraph.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3795\AppData\Local\Microsoft\Windows\INetCache\Content.Word\180702 Priority Industry Snapshot - Infographic - Public Administration ....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808928" cy="2093596"/>
                    </a:xfrm>
                    <a:prstGeom prst="rect">
                      <a:avLst/>
                    </a:prstGeom>
                    <a:noFill/>
                    <a:ln>
                      <a:noFill/>
                    </a:ln>
                    <a:extLst>
                      <a:ext uri="{53640926-AAD7-44D8-BBD7-CCE9431645EC}">
                        <a14:shadowObscured xmlns:a14="http://schemas.microsoft.com/office/drawing/2010/main"/>
                      </a:ext>
                    </a:extLst>
                  </pic:spPr>
                </pic:pic>
              </a:graphicData>
            </a:graphic>
          </wp:inline>
        </w:drawing>
      </w:r>
    </w:p>
    <w:p w:rsidR="00E15973" w:rsidRDefault="00E15973">
      <w:pPr>
        <w:spacing w:before="0" w:after="0"/>
        <w:rPr>
          <w:rFonts w:ascii="Arial" w:hAnsi="Arial" w:cs="Arial"/>
          <w:b/>
          <w:color w:val="AF1E2D"/>
          <w:sz w:val="24"/>
          <w:szCs w:val="22"/>
        </w:rPr>
      </w:pPr>
      <w:r>
        <w:rPr>
          <w:rFonts w:ascii="Arial" w:hAnsi="Arial" w:cs="Arial"/>
          <w:b/>
          <w:color w:val="AF1E2D"/>
          <w:sz w:val="24"/>
          <w:szCs w:val="22"/>
        </w:rPr>
        <w:br w:type="page"/>
      </w:r>
    </w:p>
    <w:p w:rsidR="007A6525" w:rsidRPr="00957371" w:rsidRDefault="00957371" w:rsidP="00CC6AE4">
      <w:pPr>
        <w:pStyle w:val="Heading2"/>
      </w:pPr>
      <w:r w:rsidRPr="00957371">
        <w:lastRenderedPageBreak/>
        <w:t>WHS performance of the industry</w:t>
      </w:r>
    </w:p>
    <w:p w:rsidR="00333966" w:rsidRDefault="00396B29" w:rsidP="009400C5">
      <w:pPr>
        <w:pStyle w:val="Bodytextjustified"/>
      </w:pPr>
      <w:r>
        <w:t xml:space="preserve">Both the number and frequency rate of serious claims in the </w:t>
      </w:r>
      <w:r w:rsidR="008857E5">
        <w:t>p</w:t>
      </w:r>
      <w:r>
        <w:t>ublic administration and safety industry have been trending down in recent years.</w:t>
      </w:r>
      <w:r w:rsidR="004615CF">
        <w:t xml:space="preserve"> </w:t>
      </w:r>
      <w:r w:rsidR="00ED2E92">
        <w:t>T</w:t>
      </w:r>
      <w:r w:rsidR="003A3E08">
        <w:t xml:space="preserve">he number of serious claims </w:t>
      </w:r>
      <w:r>
        <w:t xml:space="preserve">in the industry has </w:t>
      </w:r>
      <w:r w:rsidR="004615CF">
        <w:t xml:space="preserve">decreased by </w:t>
      </w:r>
      <w:r w:rsidR="00A51C1F">
        <w:t>28</w:t>
      </w:r>
      <w:r w:rsidR="009F3C70">
        <w:t> </w:t>
      </w:r>
      <w:r w:rsidR="003A3E08">
        <w:t xml:space="preserve">per cent </w:t>
      </w:r>
      <w:r w:rsidR="00A51C1F">
        <w:t>and t</w:t>
      </w:r>
      <w:r w:rsidR="00333966">
        <w:t xml:space="preserve">he frequency rate of serious claims </w:t>
      </w:r>
      <w:r w:rsidR="00A51C1F">
        <w:t xml:space="preserve">has fallen by </w:t>
      </w:r>
      <w:r w:rsidR="008857E5">
        <w:t>33 per cent</w:t>
      </w:r>
      <w:r w:rsidR="00ED2E92">
        <w:t xml:space="preserve"> since 2010-11</w:t>
      </w:r>
      <w:r w:rsidR="008857E5">
        <w:t>.</w:t>
      </w:r>
    </w:p>
    <w:p w:rsidR="007A6525" w:rsidRDefault="00A51C1F" w:rsidP="009400C5">
      <w:pPr>
        <w:pStyle w:val="Bodytextjustified"/>
      </w:pPr>
      <w:r>
        <w:t>Following a period of year-on-year volatility, both t</w:t>
      </w:r>
      <w:r w:rsidR="00533C5C">
        <w:t>he</w:t>
      </w:r>
      <w:r>
        <w:t xml:space="preserve"> number of fatalities and the </w:t>
      </w:r>
      <w:r w:rsidR="00533C5C">
        <w:t>fatality rate</w:t>
      </w:r>
      <w:r w:rsidR="00F83814">
        <w:t xml:space="preserve"> </w:t>
      </w:r>
      <w:r w:rsidR="004615CF">
        <w:t>in the industry</w:t>
      </w:r>
      <w:r>
        <w:t xml:space="preserve"> have started to trend down since 2013</w:t>
      </w:r>
      <w:r w:rsidR="00F83814">
        <w:t>.</w:t>
      </w:r>
    </w:p>
    <w:p w:rsidR="002F6D4A" w:rsidRDefault="00977CB5" w:rsidP="00564DD2">
      <w:pPr>
        <w:spacing w:line="288" w:lineRule="auto"/>
        <w:rPr>
          <w:noProof/>
        </w:rPr>
      </w:pPr>
      <w:r>
        <w:rPr>
          <w:noProof/>
        </w:rPr>
        <w:drawing>
          <wp:inline distT="0" distB="0" distL="0" distR="0" wp14:anchorId="13F70729">
            <wp:extent cx="3121886" cy="2170800"/>
            <wp:effectExtent l="0" t="0" r="2540" b="1270"/>
            <wp:docPr id="13" name="Picture 13" descr="This chart presents the number of worker fatalities and the worker fatality rate for the Public Administration and Safety industry between 2007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886" cy="2170800"/>
                    </a:xfrm>
                    <a:prstGeom prst="rect">
                      <a:avLst/>
                    </a:prstGeom>
                    <a:noFill/>
                  </pic:spPr>
                </pic:pic>
              </a:graphicData>
            </a:graphic>
          </wp:inline>
        </w:drawing>
      </w:r>
      <w:r w:rsidR="00396B29">
        <w:rPr>
          <w:noProof/>
        </w:rPr>
        <w:t xml:space="preserve"> </w:t>
      </w:r>
      <w:r>
        <w:rPr>
          <w:noProof/>
        </w:rPr>
        <w:drawing>
          <wp:inline distT="0" distB="0" distL="0" distR="0" wp14:anchorId="5E568617">
            <wp:extent cx="3035063" cy="2170800"/>
            <wp:effectExtent l="0" t="0" r="0" b="1270"/>
            <wp:docPr id="11" name="Picture 11" descr="This chart presents the number of serious workers’ compensation claims and the frequency of serious workers’ compensation claims for the Public Administration and Safety industry between 2006-7 and 2015-16p.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063" cy="2170800"/>
                    </a:xfrm>
                    <a:prstGeom prst="rect">
                      <a:avLst/>
                    </a:prstGeom>
                    <a:noFill/>
                  </pic:spPr>
                </pic:pic>
              </a:graphicData>
            </a:graphic>
          </wp:inline>
        </w:drawing>
      </w:r>
    </w:p>
    <w:p w:rsidR="00E15973" w:rsidRDefault="00E15973" w:rsidP="00CC6AE4">
      <w:pPr>
        <w:pStyle w:val="Heading2"/>
      </w:pPr>
      <w:r>
        <w:t>Demographics</w:t>
      </w:r>
    </w:p>
    <w:p w:rsidR="00B4443B" w:rsidRDefault="008857E5" w:rsidP="00425A9D">
      <w:pPr>
        <w:pStyle w:val="Bodytextjustified"/>
        <w:jc w:val="left"/>
      </w:pPr>
      <w:r>
        <w:t>F</w:t>
      </w:r>
      <w:r w:rsidR="00B4443B">
        <w:t xml:space="preserve">rom 2013-2016, the majority of worker fatalities in the </w:t>
      </w:r>
      <w:r>
        <w:t>p</w:t>
      </w:r>
      <w:r w:rsidR="00B4443B">
        <w:t>ublic administration and safety industry were workers aged 35-54 which account for half (50 per cent) of the 28 workers killed in the industry. Workers in these middle age groups also recorded the highest rate of serious claims from 2012-13 to 2015-16. Workers aged 45-54 recorded the highest rate (8.2 serious claims per million hours worked), followed closely by workers aged 35-44 (7.8 serious claims per million hours worked).</w:t>
      </w:r>
    </w:p>
    <w:p w:rsidR="00E15973" w:rsidRPr="009950B2" w:rsidRDefault="00A15EC3" w:rsidP="00E15973">
      <w:pPr>
        <w:pStyle w:val="Bodytextjustified"/>
      </w:pPr>
      <w:r>
        <w:rPr>
          <w:noProof/>
        </w:rPr>
        <w:drawing>
          <wp:inline distT="0" distB="0" distL="0" distR="0" wp14:anchorId="1876997C">
            <wp:extent cx="3211135" cy="1922400"/>
            <wp:effectExtent l="0" t="0" r="8890" b="1905"/>
            <wp:docPr id="6" name="Picture 6" descr="This chart presents the frequency rate of serious workers’ compensation claims by age in the Public Administration and Safety industry between 2013 and 2016. Theabove paragraph presents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1135" cy="1922400"/>
                    </a:xfrm>
                    <a:prstGeom prst="rect">
                      <a:avLst/>
                    </a:prstGeom>
                    <a:noFill/>
                  </pic:spPr>
                </pic:pic>
              </a:graphicData>
            </a:graphic>
          </wp:inline>
        </w:drawing>
      </w:r>
      <w:r w:rsidR="00E15973">
        <w:t xml:space="preserve"> </w:t>
      </w:r>
      <w:r>
        <w:rPr>
          <w:noProof/>
        </w:rPr>
        <w:drawing>
          <wp:inline distT="0" distB="0" distL="0" distR="0" wp14:anchorId="556C0F17">
            <wp:extent cx="3211135" cy="1922400"/>
            <wp:effectExtent l="0" t="0" r="8890" b="1905"/>
            <wp:docPr id="8" name="Picture 8" descr="This image presents the proportion and frequency rate of serious workers’ compensation claims by sub-industries in the Public Administration and Safety industry between 2006-7 and 2015-16. The above paragraph presents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1135" cy="1922400"/>
                    </a:xfrm>
                    <a:prstGeom prst="rect">
                      <a:avLst/>
                    </a:prstGeom>
                    <a:noFill/>
                  </pic:spPr>
                </pic:pic>
              </a:graphicData>
            </a:graphic>
          </wp:inline>
        </w:drawing>
      </w:r>
    </w:p>
    <w:p w:rsidR="00E15973" w:rsidRDefault="00E15973">
      <w:pPr>
        <w:spacing w:before="0" w:after="0"/>
        <w:rPr>
          <w:rFonts w:ascii="Arial" w:hAnsi="Arial" w:cs="Arial"/>
          <w:b/>
          <w:color w:val="AF1E2D"/>
          <w:sz w:val="24"/>
          <w:szCs w:val="22"/>
        </w:rPr>
      </w:pPr>
      <w:r>
        <w:rPr>
          <w:rFonts w:ascii="Arial" w:hAnsi="Arial" w:cs="Arial"/>
          <w:b/>
          <w:color w:val="AF1E2D"/>
          <w:sz w:val="24"/>
          <w:szCs w:val="22"/>
        </w:rPr>
        <w:br w:type="page"/>
      </w:r>
    </w:p>
    <w:p w:rsidR="007A6525" w:rsidRPr="00EB0250" w:rsidRDefault="00EB0250" w:rsidP="00CC6AE4">
      <w:pPr>
        <w:pStyle w:val="Heading2"/>
      </w:pPr>
      <w:r w:rsidRPr="00EB0250">
        <w:lastRenderedPageBreak/>
        <w:t>Key areas of the industry</w:t>
      </w:r>
    </w:p>
    <w:p w:rsidR="007A6525" w:rsidRPr="00CC6AE4" w:rsidRDefault="00824A0B" w:rsidP="00CC6AE4">
      <w:pPr>
        <w:pStyle w:val="Heading3"/>
      </w:pPr>
      <w:r w:rsidRPr="00CC6AE4">
        <w:t>Sub-industries</w:t>
      </w:r>
    </w:p>
    <w:p w:rsidR="00B4443B" w:rsidRPr="00912BFE" w:rsidRDefault="00B4443B" w:rsidP="00B4443B">
      <w:pPr>
        <w:pStyle w:val="Bodytextjustified"/>
        <w:jc w:val="left"/>
      </w:pPr>
      <w:r>
        <w:t xml:space="preserve">While the </w:t>
      </w:r>
      <w:r w:rsidR="008857E5">
        <w:t>p</w:t>
      </w:r>
      <w:r>
        <w:t xml:space="preserve">ublic order, safety and regulatory services sub-industry make up </w:t>
      </w:r>
      <w:r w:rsidR="008857E5">
        <w:t>about a</w:t>
      </w:r>
      <w:r>
        <w:t xml:space="preserve"> quarter of the industry’s workforce, it accounts for the majority of serious claims (55.5 per cent), and just under half (46 per cent) of worker fatalities. Not surprisingly, accounting for the size of the workforce, t</w:t>
      </w:r>
      <w:r w:rsidRPr="006415B3">
        <w:t xml:space="preserve">he </w:t>
      </w:r>
      <w:r w:rsidR="008857E5">
        <w:t>p</w:t>
      </w:r>
      <w:r>
        <w:t>ublic order, safety and regulatory services sub-industry also ha</w:t>
      </w:r>
      <w:r w:rsidR="008857E5">
        <w:t>s</w:t>
      </w:r>
      <w:r>
        <w:t xml:space="preserve"> by far the highest </w:t>
      </w:r>
      <w:r w:rsidR="00E02592">
        <w:t xml:space="preserve">serious claim </w:t>
      </w:r>
      <w:r>
        <w:t>frequency rate (17.0 serious claims per million hours worked) and the highest fatality rate (1.6 fatalities per 100,000 workers).</w:t>
      </w:r>
    </w:p>
    <w:p w:rsidR="00FF6463" w:rsidRDefault="00B4443B" w:rsidP="00D37EAE">
      <w:pPr>
        <w:pStyle w:val="Bodytextjustified"/>
        <w:jc w:val="center"/>
      </w:pPr>
      <w:r>
        <w:rPr>
          <w:noProof/>
        </w:rPr>
        <w:drawing>
          <wp:inline distT="0" distB="0" distL="0" distR="0" wp14:anchorId="74C10A5B" wp14:editId="2CB73826">
            <wp:extent cx="4339719" cy="2160000"/>
            <wp:effectExtent l="0" t="0" r="3810" b="0"/>
            <wp:docPr id="29" name="Picture 29" descr="This image presents the proportion and fatality rate of workers by sub-industries in the Public Administration and Safety industry. The above paragraph presents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9719" cy="2160000"/>
                    </a:xfrm>
                    <a:prstGeom prst="rect">
                      <a:avLst/>
                    </a:prstGeom>
                    <a:noFill/>
                  </pic:spPr>
                </pic:pic>
              </a:graphicData>
            </a:graphic>
          </wp:inline>
        </w:drawing>
      </w:r>
      <w:r w:rsidR="00D37EAE">
        <w:rPr>
          <w:noProof/>
        </w:rPr>
        <w:drawing>
          <wp:inline distT="0" distB="0" distL="0" distR="0" wp14:anchorId="68BE95D2" wp14:editId="72868B67">
            <wp:extent cx="4270463" cy="2160000"/>
            <wp:effectExtent l="0" t="0" r="0" b="0"/>
            <wp:docPr id="7" name="Picture 7" descr="This image presents the proportion and fatality rate of workers by sub-industries in the Public Administration and Safety industry. The above paragraph presents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0463" cy="2160000"/>
                    </a:xfrm>
                    <a:prstGeom prst="rect">
                      <a:avLst/>
                    </a:prstGeom>
                    <a:noFill/>
                  </pic:spPr>
                </pic:pic>
              </a:graphicData>
            </a:graphic>
          </wp:inline>
        </w:drawing>
      </w:r>
    </w:p>
    <w:p w:rsidR="00FF6463" w:rsidRDefault="00FF6463" w:rsidP="00D37EAE">
      <w:pPr>
        <w:pStyle w:val="Bodytextjustified"/>
        <w:jc w:val="center"/>
      </w:pPr>
    </w:p>
    <w:p w:rsidR="00BE2D4D" w:rsidRDefault="00BE2D4D" w:rsidP="00BE2D4D">
      <w:r>
        <w:br w:type="page"/>
      </w:r>
    </w:p>
    <w:p w:rsidR="00824A0B" w:rsidRDefault="00957F06" w:rsidP="00CC6AE4">
      <w:pPr>
        <w:pStyle w:val="Heading3"/>
      </w:pPr>
      <w:r>
        <w:lastRenderedPageBreak/>
        <w:t>O</w:t>
      </w:r>
      <w:r w:rsidR="00824A0B" w:rsidRPr="00E826F3">
        <w:t>ccupations</w:t>
      </w:r>
    </w:p>
    <w:p w:rsidR="00B4443B" w:rsidRDefault="00B4443B" w:rsidP="00425A9D">
      <w:pPr>
        <w:pStyle w:val="Bodytextjustified"/>
        <w:jc w:val="left"/>
      </w:pPr>
      <w:r>
        <w:t xml:space="preserve">Within the </w:t>
      </w:r>
      <w:r w:rsidR="008857E5">
        <w:t>p</w:t>
      </w:r>
      <w:r>
        <w:t xml:space="preserve">ublic administration and safety industry, </w:t>
      </w:r>
      <w:r w:rsidR="008857E5">
        <w:t>p</w:t>
      </w:r>
      <w:r>
        <w:t xml:space="preserve">rotective service workers accounted for the highest proportion of worker fatalities (29 per cent or 8 fatalities over the four-year period), followed by </w:t>
      </w:r>
      <w:r w:rsidR="008857E5">
        <w:t>l</w:t>
      </w:r>
      <w:r>
        <w:t xml:space="preserve">egal, social and welfare professionals (11 per cent or 3 fatalities), and </w:t>
      </w:r>
      <w:r w:rsidR="008857E5">
        <w:t>d</w:t>
      </w:r>
      <w:r>
        <w:t>esign, engineering, science and transport professionals (11 per cent or 3 fatalities).</w:t>
      </w:r>
    </w:p>
    <w:p w:rsidR="00B4443B" w:rsidRDefault="00B4443B" w:rsidP="00425A9D">
      <w:pPr>
        <w:pStyle w:val="Bodytextjustified"/>
        <w:jc w:val="left"/>
      </w:pPr>
      <w:r>
        <w:t xml:space="preserve">Protective service workers also accounted for the highest proportion of serious claims (46 per cent or an average of 4,080 claims per year), followed by </w:t>
      </w:r>
      <w:r w:rsidR="008857E5">
        <w:t>o</w:t>
      </w:r>
      <w:r>
        <w:t xml:space="preserve">ther clerical and administrative workers (9 per cent or an average of 770 claims per year), and </w:t>
      </w:r>
      <w:r w:rsidR="008857E5">
        <w:t>o</w:t>
      </w:r>
      <w:r>
        <w:t>ther labourers (8 per cent or an average of 700 claims per year).</w:t>
      </w:r>
    </w:p>
    <w:p w:rsidR="000160BF" w:rsidRDefault="00912BFE" w:rsidP="00197CE5">
      <w:pPr>
        <w:pStyle w:val="Bodytextjustified"/>
      </w:pPr>
      <w:r>
        <w:rPr>
          <w:noProof/>
        </w:rPr>
        <w:drawing>
          <wp:inline distT="0" distB="0" distL="0" distR="0" wp14:anchorId="6D36E040">
            <wp:extent cx="3219450" cy="1760287"/>
            <wp:effectExtent l="0" t="0" r="0" b="0"/>
            <wp:docPr id="10" name="Picture 10" descr="This chart presents the proportion of fatalities in the Public Administration and Safety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780" cy="1771949"/>
                    </a:xfrm>
                    <a:prstGeom prst="rect">
                      <a:avLst/>
                    </a:prstGeom>
                    <a:noFill/>
                  </pic:spPr>
                </pic:pic>
              </a:graphicData>
            </a:graphic>
          </wp:inline>
        </w:drawing>
      </w:r>
      <w:r>
        <w:rPr>
          <w:noProof/>
        </w:rPr>
        <w:drawing>
          <wp:inline distT="0" distB="0" distL="0" distR="0" wp14:anchorId="2B21E894">
            <wp:extent cx="3230326" cy="1764000"/>
            <wp:effectExtent l="0" t="0" r="8255" b="8255"/>
            <wp:docPr id="3" name="Picture 3" descr="This chart presents the proportion of workers’ compensation claims in the Public Administration and Safety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0326" cy="1764000"/>
                    </a:xfrm>
                    <a:prstGeom prst="rect">
                      <a:avLst/>
                    </a:prstGeom>
                    <a:noFill/>
                  </pic:spPr>
                </pic:pic>
              </a:graphicData>
            </a:graphic>
          </wp:inline>
        </w:drawing>
      </w:r>
    </w:p>
    <w:p w:rsidR="007A6525" w:rsidRDefault="00EB0250" w:rsidP="00CC6AE4">
      <w:pPr>
        <w:pStyle w:val="Heading2"/>
      </w:pPr>
      <w:r w:rsidRPr="00EB0250">
        <w:t>Key WHS issues in the industry</w:t>
      </w:r>
    </w:p>
    <w:p w:rsidR="00B4443B" w:rsidRDefault="00B4443B" w:rsidP="00B4443B">
      <w:pPr>
        <w:spacing w:line="288" w:lineRule="auto"/>
        <w:rPr>
          <w:rFonts w:ascii="Arial" w:hAnsi="Arial" w:cs="Arial"/>
          <w:sz w:val="22"/>
          <w:szCs w:val="22"/>
        </w:rPr>
      </w:pPr>
      <w:r>
        <w:rPr>
          <w:rFonts w:ascii="Arial" w:hAnsi="Arial" w:cs="Arial"/>
          <w:sz w:val="22"/>
          <w:szCs w:val="22"/>
        </w:rPr>
        <w:t>Vehicle incident</w:t>
      </w:r>
      <w:r w:rsidR="00E02592">
        <w:rPr>
          <w:rFonts w:ascii="Arial" w:hAnsi="Arial" w:cs="Arial"/>
          <w:sz w:val="22"/>
          <w:szCs w:val="22"/>
        </w:rPr>
        <w:t>s</w:t>
      </w:r>
      <w:r>
        <w:rPr>
          <w:rFonts w:ascii="Arial" w:hAnsi="Arial" w:cs="Arial"/>
          <w:sz w:val="22"/>
          <w:szCs w:val="22"/>
        </w:rPr>
        <w:t xml:space="preserve"> accounted for the largest proportion of fatalities (46 per cent)</w:t>
      </w:r>
      <w:r w:rsidR="004959F1">
        <w:rPr>
          <w:rFonts w:ascii="Arial" w:hAnsi="Arial" w:cs="Arial"/>
          <w:sz w:val="22"/>
          <w:szCs w:val="22"/>
        </w:rPr>
        <w:t xml:space="preserve"> within the public administration and safety industry</w:t>
      </w:r>
      <w:r>
        <w:rPr>
          <w:rFonts w:ascii="Arial" w:hAnsi="Arial" w:cs="Arial"/>
          <w:sz w:val="22"/>
          <w:szCs w:val="22"/>
        </w:rPr>
        <w:t xml:space="preserve">, followed by </w:t>
      </w:r>
      <w:r w:rsidR="00A26060">
        <w:rPr>
          <w:rFonts w:ascii="Arial" w:hAnsi="Arial" w:cs="Arial"/>
          <w:sz w:val="22"/>
          <w:szCs w:val="22"/>
        </w:rPr>
        <w:t>b</w:t>
      </w:r>
      <w:r>
        <w:rPr>
          <w:rFonts w:ascii="Arial" w:hAnsi="Arial" w:cs="Arial"/>
          <w:sz w:val="22"/>
          <w:szCs w:val="22"/>
        </w:rPr>
        <w:t xml:space="preserve">eing hit by moving objects (18 per cent), and </w:t>
      </w:r>
      <w:r w:rsidR="00A26060">
        <w:rPr>
          <w:rFonts w:ascii="Arial" w:hAnsi="Arial" w:cs="Arial"/>
          <w:sz w:val="22"/>
          <w:szCs w:val="22"/>
        </w:rPr>
        <w:t>b</w:t>
      </w:r>
      <w:r>
        <w:rPr>
          <w:rFonts w:ascii="Arial" w:hAnsi="Arial" w:cs="Arial"/>
          <w:sz w:val="22"/>
          <w:szCs w:val="22"/>
        </w:rPr>
        <w:t>eing hit by falling objects (11 per cent). With regard to serious claims, the main cause of injuries was</w:t>
      </w:r>
      <w:r w:rsidRPr="007C4B8F">
        <w:rPr>
          <w:rFonts w:ascii="Arial" w:hAnsi="Arial" w:cs="Arial"/>
          <w:sz w:val="22"/>
          <w:szCs w:val="22"/>
        </w:rPr>
        <w:t xml:space="preserve"> </w:t>
      </w:r>
      <w:r w:rsidR="00A26060">
        <w:rPr>
          <w:rFonts w:ascii="Arial" w:hAnsi="Arial" w:cs="Arial"/>
          <w:sz w:val="22"/>
          <w:szCs w:val="22"/>
        </w:rPr>
        <w:t>f</w:t>
      </w:r>
      <w:r>
        <w:rPr>
          <w:rFonts w:ascii="Arial" w:hAnsi="Arial" w:cs="Arial"/>
          <w:sz w:val="22"/>
          <w:szCs w:val="22"/>
        </w:rPr>
        <w:t>alls on the same level (14 per cent), followed by</w:t>
      </w:r>
      <w:r w:rsidRPr="007C4B8F">
        <w:rPr>
          <w:rFonts w:ascii="Arial" w:hAnsi="Arial" w:cs="Arial"/>
          <w:sz w:val="22"/>
          <w:szCs w:val="22"/>
        </w:rPr>
        <w:t xml:space="preserve"> </w:t>
      </w:r>
      <w:r w:rsidR="00A26060">
        <w:rPr>
          <w:rFonts w:ascii="Arial" w:hAnsi="Arial" w:cs="Arial"/>
          <w:sz w:val="22"/>
          <w:szCs w:val="22"/>
        </w:rPr>
        <w:t>m</w:t>
      </w:r>
      <w:r>
        <w:rPr>
          <w:rFonts w:ascii="Arial" w:hAnsi="Arial" w:cs="Arial"/>
          <w:sz w:val="22"/>
          <w:szCs w:val="22"/>
        </w:rPr>
        <w:t xml:space="preserve">uscular stress while handling objects (14 per cent), and </w:t>
      </w:r>
      <w:r w:rsidR="00A26060">
        <w:rPr>
          <w:rFonts w:ascii="Arial" w:hAnsi="Arial" w:cs="Arial"/>
          <w:sz w:val="22"/>
          <w:szCs w:val="22"/>
        </w:rPr>
        <w:t>m</w:t>
      </w:r>
      <w:r>
        <w:rPr>
          <w:rFonts w:ascii="Arial" w:hAnsi="Arial" w:cs="Arial"/>
          <w:sz w:val="22"/>
          <w:szCs w:val="22"/>
        </w:rPr>
        <w:t>uscular stress while lifting, carrying or putting down objects (9 per cent).</w:t>
      </w:r>
    </w:p>
    <w:p w:rsidR="002B4F29" w:rsidRDefault="00912BFE" w:rsidP="00D30825">
      <w:pPr>
        <w:pStyle w:val="Bodytextjustified"/>
      </w:pPr>
      <w:r>
        <w:rPr>
          <w:noProof/>
        </w:rPr>
        <w:drawing>
          <wp:inline distT="0" distB="0" distL="0" distR="0" wp14:anchorId="1617105D">
            <wp:extent cx="3038475" cy="2433353"/>
            <wp:effectExtent l="0" t="0" r="0" b="5080"/>
            <wp:docPr id="12" name="Picture 12" descr="This chart presents a proportionate breakdown of the main causes of fatalities in the Public Administration and Safety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5443" cy="2438933"/>
                    </a:xfrm>
                    <a:prstGeom prst="rect">
                      <a:avLst/>
                    </a:prstGeom>
                    <a:noFill/>
                  </pic:spPr>
                </pic:pic>
              </a:graphicData>
            </a:graphic>
          </wp:inline>
        </w:drawing>
      </w:r>
      <w:r>
        <w:rPr>
          <w:noProof/>
        </w:rPr>
        <w:drawing>
          <wp:inline distT="0" distB="0" distL="0" distR="0" wp14:anchorId="67BB8A1E">
            <wp:extent cx="3185703" cy="2543175"/>
            <wp:effectExtent l="0" t="0" r="0" b="0"/>
            <wp:docPr id="9" name="Picture 9" descr="This chart presents a proportionate breakdown of the main causes of injuries resulting in serious workers’ compensation claims in the Public Administration and Safety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88494" cy="2545403"/>
                    </a:xfrm>
                    <a:prstGeom prst="rect">
                      <a:avLst/>
                    </a:prstGeom>
                    <a:noFill/>
                  </pic:spPr>
                </pic:pic>
              </a:graphicData>
            </a:graphic>
          </wp:inline>
        </w:drawing>
      </w:r>
    </w:p>
    <w:p w:rsidR="00E02592" w:rsidRDefault="00E02592" w:rsidP="00E02592">
      <w:pPr>
        <w:pStyle w:val="Bodytextjustified"/>
        <w:jc w:val="left"/>
      </w:pPr>
    </w:p>
    <w:p w:rsidR="00E02592" w:rsidRDefault="00E02592" w:rsidP="00E02592">
      <w:pPr>
        <w:pStyle w:val="Bodytextjustified"/>
        <w:jc w:val="left"/>
      </w:pPr>
      <w:r>
        <w:t>At the sub-industry level, v</w:t>
      </w:r>
      <w:r w:rsidRPr="007C4B8F">
        <w:t>ehicle incident</w:t>
      </w:r>
      <w:r>
        <w:t>s</w:t>
      </w:r>
      <w:r w:rsidRPr="007C4B8F">
        <w:t xml:space="preserve"> w</w:t>
      </w:r>
      <w:r>
        <w:t>ere</w:t>
      </w:r>
      <w:r w:rsidRPr="007C4B8F">
        <w:t xml:space="preserve"> the main cause of fatalities in all three sub-industries</w:t>
      </w:r>
      <w:r>
        <w:t>. For serious claims, falls on the same level was the main cause of injury for public administration and defence sub-industries</w:t>
      </w:r>
      <w:r w:rsidRPr="007C4B8F">
        <w:t xml:space="preserve">, while </w:t>
      </w:r>
      <w:r>
        <w:t>muscular stress while handling objects was the main cause for the public order, safety and regulatory services sub-industry.</w:t>
      </w:r>
    </w:p>
    <w:p w:rsidR="00E02592" w:rsidRDefault="00E02592" w:rsidP="00D30825">
      <w:pPr>
        <w:pStyle w:val="Bodytextjustified"/>
      </w:pPr>
    </w:p>
    <w:p w:rsidR="00CC6AE4" w:rsidRDefault="00CC6AE4" w:rsidP="00CC6AE4">
      <w:pPr>
        <w:rPr>
          <w:rFonts w:ascii="Arial" w:hAnsi="Arial" w:cs="Arial"/>
          <w:sz w:val="22"/>
          <w:szCs w:val="22"/>
        </w:rPr>
      </w:pPr>
      <w:r>
        <w:br w:type="page"/>
      </w:r>
    </w:p>
    <w:tbl>
      <w:tblPr>
        <w:tblStyle w:val="TableGrid"/>
        <w:tblW w:w="0" w:type="auto"/>
        <w:tblLook w:val="04A0" w:firstRow="1" w:lastRow="0" w:firstColumn="1" w:lastColumn="0" w:noHBand="0" w:noVBand="1"/>
        <w:tblDescription w:val="This table presents the main causes of fatalities and injuries resulting in workers’ serious compensation claims in the Public Administration and Safety industry by sub-industry. The above paragraph presents the table key messages."/>
      </w:tblPr>
      <w:tblGrid>
        <w:gridCol w:w="5098"/>
        <w:gridCol w:w="5098"/>
      </w:tblGrid>
      <w:tr w:rsidR="00F21980" w:rsidRPr="00F21980" w:rsidTr="00912BFE">
        <w:trPr>
          <w:tblHeader/>
        </w:trPr>
        <w:tc>
          <w:tcPr>
            <w:tcW w:w="5141" w:type="dxa"/>
            <w:tcBorders>
              <w:bottom w:val="single" w:sz="4" w:space="0" w:color="auto"/>
            </w:tcBorders>
            <w:shd w:val="clear" w:color="auto" w:fill="C10A27"/>
          </w:tcPr>
          <w:p w:rsidR="00E10B88" w:rsidRPr="00F21980" w:rsidRDefault="00E10B88" w:rsidP="00E826F3">
            <w:pPr>
              <w:spacing w:line="288" w:lineRule="auto"/>
              <w:jc w:val="center"/>
              <w:rPr>
                <w:rFonts w:ascii="Arial" w:hAnsi="Arial" w:cs="Arial"/>
                <w:b/>
                <w:color w:val="FFFFFF" w:themeColor="background1"/>
                <w:sz w:val="22"/>
                <w:szCs w:val="22"/>
                <w:u w:val="single"/>
              </w:rPr>
            </w:pPr>
            <w:r w:rsidRPr="00F21980">
              <w:rPr>
                <w:rFonts w:ascii="Arial" w:hAnsi="Arial" w:cs="Arial"/>
                <w:b/>
                <w:color w:val="FFFFFF" w:themeColor="background1"/>
                <w:sz w:val="22"/>
                <w:szCs w:val="22"/>
                <w:u w:val="single"/>
              </w:rPr>
              <w:lastRenderedPageBreak/>
              <w:t>Main causes of fatalities</w:t>
            </w:r>
          </w:p>
        </w:tc>
        <w:tc>
          <w:tcPr>
            <w:tcW w:w="5140" w:type="dxa"/>
            <w:tcBorders>
              <w:bottom w:val="single" w:sz="4" w:space="0" w:color="auto"/>
            </w:tcBorders>
            <w:shd w:val="clear" w:color="auto" w:fill="C10A27"/>
          </w:tcPr>
          <w:p w:rsidR="00E10B88" w:rsidRPr="00F21980" w:rsidRDefault="00E10B88" w:rsidP="00D30825">
            <w:pPr>
              <w:spacing w:line="288" w:lineRule="auto"/>
              <w:jc w:val="center"/>
              <w:rPr>
                <w:rFonts w:ascii="Arial" w:hAnsi="Arial" w:cs="Arial"/>
                <w:b/>
                <w:color w:val="FFFFFF" w:themeColor="background1"/>
                <w:sz w:val="22"/>
                <w:szCs w:val="22"/>
                <w:u w:val="single"/>
              </w:rPr>
            </w:pPr>
            <w:r w:rsidRPr="00F21980">
              <w:rPr>
                <w:rFonts w:ascii="Arial" w:hAnsi="Arial" w:cs="Arial"/>
                <w:b/>
                <w:color w:val="FFFFFF" w:themeColor="background1"/>
                <w:sz w:val="22"/>
                <w:szCs w:val="22"/>
                <w:u w:val="single"/>
              </w:rPr>
              <w:t xml:space="preserve">Main causes of </w:t>
            </w:r>
            <w:r w:rsidR="00D30825">
              <w:rPr>
                <w:rFonts w:ascii="Arial" w:hAnsi="Arial" w:cs="Arial"/>
                <w:b/>
                <w:color w:val="FFFFFF" w:themeColor="background1"/>
                <w:sz w:val="22"/>
                <w:szCs w:val="22"/>
                <w:u w:val="single"/>
              </w:rPr>
              <w:t>serious claims</w:t>
            </w:r>
          </w:p>
        </w:tc>
      </w:tr>
      <w:tr w:rsidR="00105EF6" w:rsidTr="00CC6AE4">
        <w:trPr>
          <w:tblHeader/>
        </w:trPr>
        <w:tc>
          <w:tcPr>
            <w:tcW w:w="5141" w:type="dxa"/>
            <w:tcBorders>
              <w:top w:val="single" w:sz="4" w:space="0" w:color="auto"/>
              <w:bottom w:val="single" w:sz="4" w:space="0" w:color="auto"/>
            </w:tcBorders>
          </w:tcPr>
          <w:p w:rsidR="00105EF6" w:rsidRDefault="00105EF6" w:rsidP="000813BC">
            <w:pPr>
              <w:spacing w:line="288" w:lineRule="auto"/>
              <w:rPr>
                <w:rFonts w:ascii="Arial" w:hAnsi="Arial" w:cs="Arial"/>
                <w:b/>
                <w:sz w:val="22"/>
                <w:szCs w:val="22"/>
              </w:rPr>
            </w:pPr>
            <w:r>
              <w:rPr>
                <w:rFonts w:ascii="Arial" w:hAnsi="Arial" w:cs="Arial"/>
                <w:b/>
                <w:sz w:val="22"/>
                <w:szCs w:val="22"/>
              </w:rPr>
              <w:t>Public administration</w:t>
            </w:r>
          </w:p>
          <w:p w:rsidR="00105EF6" w:rsidRDefault="00105EF6" w:rsidP="00BF4A20">
            <w:pPr>
              <w:pStyle w:val="ListParagraph"/>
              <w:numPr>
                <w:ilvl w:val="0"/>
                <w:numId w:val="29"/>
              </w:numPr>
              <w:spacing w:line="288" w:lineRule="auto"/>
              <w:ind w:left="426"/>
              <w:rPr>
                <w:rFonts w:ascii="Arial" w:hAnsi="Arial" w:cs="Arial"/>
                <w:sz w:val="22"/>
                <w:szCs w:val="22"/>
              </w:rPr>
            </w:pPr>
            <w:r>
              <w:rPr>
                <w:rFonts w:ascii="Arial" w:hAnsi="Arial" w:cs="Arial"/>
                <w:sz w:val="22"/>
                <w:szCs w:val="22"/>
              </w:rPr>
              <w:t>Vehicle incident – 50</w:t>
            </w:r>
            <w:r w:rsidR="00BF4A20">
              <w:rPr>
                <w:rFonts w:ascii="Arial" w:hAnsi="Arial" w:cs="Arial"/>
                <w:sz w:val="22"/>
                <w:szCs w:val="22"/>
              </w:rPr>
              <w:t>%</w:t>
            </w:r>
          </w:p>
          <w:p w:rsidR="00105EF6" w:rsidRDefault="00105EF6" w:rsidP="00BF4A20">
            <w:pPr>
              <w:pStyle w:val="ListParagraph"/>
              <w:numPr>
                <w:ilvl w:val="0"/>
                <w:numId w:val="29"/>
              </w:numPr>
              <w:spacing w:line="288" w:lineRule="auto"/>
              <w:ind w:left="426"/>
              <w:rPr>
                <w:rFonts w:ascii="Arial" w:hAnsi="Arial" w:cs="Arial"/>
                <w:b/>
                <w:sz w:val="22"/>
                <w:szCs w:val="22"/>
              </w:rPr>
            </w:pPr>
            <w:r w:rsidRPr="00991FE3">
              <w:rPr>
                <w:rFonts w:ascii="Arial" w:hAnsi="Arial" w:cs="Arial"/>
                <w:sz w:val="22"/>
                <w:szCs w:val="22"/>
              </w:rPr>
              <w:t xml:space="preserve">Being </w:t>
            </w:r>
            <w:r>
              <w:rPr>
                <w:rFonts w:ascii="Arial" w:hAnsi="Arial" w:cs="Arial"/>
                <w:sz w:val="22"/>
                <w:szCs w:val="22"/>
              </w:rPr>
              <w:t xml:space="preserve">hit by moving objects </w:t>
            </w:r>
            <w:r w:rsidRPr="00991FE3">
              <w:rPr>
                <w:rFonts w:ascii="Arial" w:hAnsi="Arial" w:cs="Arial"/>
                <w:sz w:val="22"/>
                <w:szCs w:val="22"/>
              </w:rPr>
              <w:t xml:space="preserve">– </w:t>
            </w:r>
            <w:r>
              <w:rPr>
                <w:rFonts w:ascii="Arial" w:hAnsi="Arial" w:cs="Arial"/>
                <w:sz w:val="22"/>
                <w:szCs w:val="22"/>
              </w:rPr>
              <w:t>21</w:t>
            </w:r>
            <w:r w:rsidR="00BF4A20">
              <w:rPr>
                <w:rFonts w:ascii="Arial" w:hAnsi="Arial" w:cs="Arial"/>
                <w:sz w:val="22"/>
                <w:szCs w:val="22"/>
              </w:rPr>
              <w:t>%</w:t>
            </w:r>
          </w:p>
        </w:tc>
        <w:tc>
          <w:tcPr>
            <w:tcW w:w="5140" w:type="dxa"/>
            <w:tcBorders>
              <w:top w:val="single" w:sz="4" w:space="0" w:color="auto"/>
              <w:bottom w:val="single" w:sz="4" w:space="0" w:color="auto"/>
            </w:tcBorders>
          </w:tcPr>
          <w:p w:rsidR="00105EF6" w:rsidRDefault="00105EF6" w:rsidP="000813BC">
            <w:pPr>
              <w:spacing w:line="288" w:lineRule="auto"/>
              <w:rPr>
                <w:rFonts w:ascii="Arial" w:hAnsi="Arial" w:cs="Arial"/>
                <w:b/>
                <w:sz w:val="22"/>
                <w:szCs w:val="22"/>
              </w:rPr>
            </w:pPr>
            <w:r>
              <w:rPr>
                <w:rFonts w:ascii="Arial" w:hAnsi="Arial" w:cs="Arial"/>
                <w:b/>
                <w:sz w:val="22"/>
                <w:szCs w:val="22"/>
              </w:rPr>
              <w:t>Public administration</w:t>
            </w:r>
          </w:p>
          <w:p w:rsidR="00105EF6" w:rsidRDefault="00105EF6" w:rsidP="00BF4A20">
            <w:pPr>
              <w:pStyle w:val="ListParagraph"/>
              <w:numPr>
                <w:ilvl w:val="0"/>
                <w:numId w:val="29"/>
              </w:numPr>
              <w:spacing w:line="288" w:lineRule="auto"/>
              <w:ind w:left="426"/>
              <w:rPr>
                <w:rFonts w:ascii="Arial" w:hAnsi="Arial" w:cs="Arial"/>
                <w:sz w:val="22"/>
                <w:szCs w:val="22"/>
              </w:rPr>
            </w:pPr>
            <w:r>
              <w:rPr>
                <w:rFonts w:ascii="Arial" w:hAnsi="Arial" w:cs="Arial"/>
                <w:sz w:val="22"/>
                <w:szCs w:val="22"/>
              </w:rPr>
              <w:t>Falls on the same level – 16</w:t>
            </w:r>
            <w:r w:rsidR="00BF4A20">
              <w:rPr>
                <w:rFonts w:ascii="Arial" w:hAnsi="Arial" w:cs="Arial"/>
                <w:sz w:val="22"/>
                <w:szCs w:val="22"/>
              </w:rPr>
              <w:t>%</w:t>
            </w:r>
          </w:p>
          <w:p w:rsidR="00105EF6" w:rsidRDefault="00105EF6" w:rsidP="00BF4A20">
            <w:pPr>
              <w:pStyle w:val="ListParagraph"/>
              <w:numPr>
                <w:ilvl w:val="0"/>
                <w:numId w:val="29"/>
              </w:numPr>
              <w:spacing w:line="288" w:lineRule="auto"/>
              <w:ind w:left="426"/>
              <w:rPr>
                <w:rFonts w:ascii="Arial" w:hAnsi="Arial" w:cs="Arial"/>
                <w:b/>
                <w:sz w:val="22"/>
                <w:szCs w:val="22"/>
              </w:rPr>
            </w:pPr>
            <w:r>
              <w:rPr>
                <w:rFonts w:ascii="Arial" w:hAnsi="Arial" w:cs="Arial"/>
                <w:sz w:val="22"/>
                <w:szCs w:val="22"/>
              </w:rPr>
              <w:t xml:space="preserve">Muscular stress while handling objects </w:t>
            </w:r>
            <w:r w:rsidRPr="00991FE3">
              <w:rPr>
                <w:rFonts w:ascii="Arial" w:hAnsi="Arial" w:cs="Arial"/>
                <w:sz w:val="22"/>
                <w:szCs w:val="22"/>
              </w:rPr>
              <w:t xml:space="preserve">– </w:t>
            </w:r>
            <w:r>
              <w:rPr>
                <w:rFonts w:ascii="Arial" w:hAnsi="Arial" w:cs="Arial"/>
                <w:sz w:val="22"/>
                <w:szCs w:val="22"/>
              </w:rPr>
              <w:t>13</w:t>
            </w:r>
            <w:r w:rsidR="00BF4A20">
              <w:rPr>
                <w:rFonts w:ascii="Arial" w:hAnsi="Arial" w:cs="Arial"/>
                <w:sz w:val="22"/>
                <w:szCs w:val="22"/>
              </w:rPr>
              <w:t>%</w:t>
            </w:r>
          </w:p>
        </w:tc>
      </w:tr>
      <w:tr w:rsidR="00E826F3" w:rsidTr="00CC6AE4">
        <w:trPr>
          <w:tblHeader/>
        </w:trPr>
        <w:tc>
          <w:tcPr>
            <w:tcW w:w="5141" w:type="dxa"/>
            <w:tcBorders>
              <w:top w:val="single" w:sz="4" w:space="0" w:color="auto"/>
              <w:bottom w:val="single" w:sz="4" w:space="0" w:color="auto"/>
            </w:tcBorders>
          </w:tcPr>
          <w:p w:rsidR="00E826F3" w:rsidRDefault="00DB4670" w:rsidP="00E826F3">
            <w:pPr>
              <w:spacing w:line="288" w:lineRule="auto"/>
              <w:rPr>
                <w:rFonts w:ascii="Arial" w:hAnsi="Arial" w:cs="Arial"/>
                <w:b/>
                <w:sz w:val="22"/>
                <w:szCs w:val="22"/>
              </w:rPr>
            </w:pPr>
            <w:r>
              <w:rPr>
                <w:rFonts w:ascii="Arial" w:hAnsi="Arial" w:cs="Arial"/>
                <w:b/>
                <w:sz w:val="22"/>
                <w:szCs w:val="22"/>
              </w:rPr>
              <w:t>Defence</w:t>
            </w:r>
          </w:p>
          <w:p w:rsidR="00991FE3" w:rsidRPr="00200402" w:rsidRDefault="00991FE3" w:rsidP="00BF4A20">
            <w:pPr>
              <w:pStyle w:val="ListParagraph"/>
              <w:numPr>
                <w:ilvl w:val="0"/>
                <w:numId w:val="29"/>
              </w:numPr>
              <w:spacing w:line="360" w:lineRule="auto"/>
              <w:ind w:left="426"/>
              <w:rPr>
                <w:rFonts w:ascii="Arial" w:hAnsi="Arial" w:cs="Arial"/>
                <w:sz w:val="22"/>
                <w:szCs w:val="22"/>
              </w:rPr>
            </w:pPr>
            <w:r>
              <w:rPr>
                <w:rFonts w:ascii="Arial" w:hAnsi="Arial" w:cs="Arial"/>
                <w:sz w:val="22"/>
                <w:szCs w:val="22"/>
              </w:rPr>
              <w:t>Vehicle incident</w:t>
            </w:r>
            <w:r w:rsidR="00D30825">
              <w:rPr>
                <w:rFonts w:ascii="Arial" w:hAnsi="Arial" w:cs="Arial"/>
                <w:sz w:val="22"/>
                <w:szCs w:val="22"/>
              </w:rPr>
              <w:t xml:space="preserve"> </w:t>
            </w:r>
            <w:r w:rsidR="00E826F3">
              <w:rPr>
                <w:rFonts w:ascii="Arial" w:hAnsi="Arial" w:cs="Arial"/>
                <w:sz w:val="22"/>
                <w:szCs w:val="22"/>
              </w:rPr>
              <w:t xml:space="preserve">– </w:t>
            </w:r>
            <w:r w:rsidR="00DB4670">
              <w:rPr>
                <w:rFonts w:ascii="Arial" w:hAnsi="Arial" w:cs="Arial"/>
                <w:sz w:val="22"/>
                <w:szCs w:val="22"/>
              </w:rPr>
              <w:t>100</w:t>
            </w:r>
            <w:r w:rsidR="00BF4A20">
              <w:rPr>
                <w:rFonts w:ascii="Arial" w:hAnsi="Arial" w:cs="Arial"/>
                <w:sz w:val="22"/>
                <w:szCs w:val="22"/>
              </w:rPr>
              <w:t>%</w:t>
            </w:r>
          </w:p>
        </w:tc>
        <w:tc>
          <w:tcPr>
            <w:tcW w:w="5140" w:type="dxa"/>
            <w:tcBorders>
              <w:top w:val="single" w:sz="4" w:space="0" w:color="auto"/>
              <w:bottom w:val="single" w:sz="4" w:space="0" w:color="auto"/>
            </w:tcBorders>
          </w:tcPr>
          <w:p w:rsidR="00BE1982" w:rsidRDefault="001835DD" w:rsidP="00BE1982">
            <w:pPr>
              <w:spacing w:line="288" w:lineRule="auto"/>
              <w:rPr>
                <w:rFonts w:ascii="Arial" w:hAnsi="Arial" w:cs="Arial"/>
                <w:b/>
                <w:sz w:val="22"/>
                <w:szCs w:val="22"/>
              </w:rPr>
            </w:pPr>
            <w:r>
              <w:rPr>
                <w:rFonts w:ascii="Arial" w:hAnsi="Arial" w:cs="Arial"/>
                <w:b/>
                <w:sz w:val="22"/>
                <w:szCs w:val="22"/>
              </w:rPr>
              <w:t>Defence</w:t>
            </w:r>
          </w:p>
          <w:p w:rsidR="00BE1982" w:rsidRDefault="001835DD" w:rsidP="00BF4A20">
            <w:pPr>
              <w:pStyle w:val="ListParagraph"/>
              <w:numPr>
                <w:ilvl w:val="0"/>
                <w:numId w:val="29"/>
              </w:numPr>
              <w:spacing w:line="288" w:lineRule="auto"/>
              <w:ind w:left="426"/>
              <w:rPr>
                <w:rFonts w:ascii="Arial" w:hAnsi="Arial" w:cs="Arial"/>
                <w:sz w:val="22"/>
                <w:szCs w:val="22"/>
              </w:rPr>
            </w:pPr>
            <w:r>
              <w:rPr>
                <w:rFonts w:ascii="Arial" w:hAnsi="Arial" w:cs="Arial"/>
                <w:sz w:val="22"/>
                <w:szCs w:val="22"/>
              </w:rPr>
              <w:t>Falls on the same level</w:t>
            </w:r>
            <w:r w:rsidR="00BE1982">
              <w:rPr>
                <w:rFonts w:ascii="Arial" w:hAnsi="Arial" w:cs="Arial"/>
                <w:sz w:val="22"/>
                <w:szCs w:val="22"/>
              </w:rPr>
              <w:t xml:space="preserve"> – </w:t>
            </w:r>
            <w:r>
              <w:rPr>
                <w:rFonts w:ascii="Arial" w:hAnsi="Arial" w:cs="Arial"/>
                <w:sz w:val="22"/>
                <w:szCs w:val="22"/>
              </w:rPr>
              <w:t>17</w:t>
            </w:r>
            <w:r w:rsidR="00BF4A20">
              <w:rPr>
                <w:rFonts w:ascii="Arial" w:hAnsi="Arial" w:cs="Arial"/>
                <w:sz w:val="22"/>
                <w:szCs w:val="22"/>
              </w:rPr>
              <w:t>%</w:t>
            </w:r>
          </w:p>
          <w:p w:rsidR="00E826F3" w:rsidRPr="00BE1982" w:rsidRDefault="001835DD" w:rsidP="00BF4A20">
            <w:pPr>
              <w:pStyle w:val="ListParagraph"/>
              <w:numPr>
                <w:ilvl w:val="0"/>
                <w:numId w:val="29"/>
              </w:numPr>
              <w:spacing w:line="288" w:lineRule="auto"/>
              <w:ind w:left="426"/>
              <w:rPr>
                <w:rFonts w:ascii="Arial" w:hAnsi="Arial" w:cs="Arial"/>
                <w:sz w:val="22"/>
                <w:szCs w:val="22"/>
              </w:rPr>
            </w:pPr>
            <w:r>
              <w:rPr>
                <w:rFonts w:ascii="Arial" w:hAnsi="Arial" w:cs="Arial"/>
                <w:sz w:val="22"/>
                <w:szCs w:val="22"/>
              </w:rPr>
              <w:t>Repetitive movement, low muscle loading</w:t>
            </w:r>
            <w:r w:rsidR="00BE1982">
              <w:rPr>
                <w:rFonts w:ascii="Arial" w:hAnsi="Arial" w:cs="Arial"/>
                <w:sz w:val="22"/>
                <w:szCs w:val="22"/>
              </w:rPr>
              <w:t xml:space="preserve"> – </w:t>
            </w:r>
            <w:r>
              <w:rPr>
                <w:rFonts w:ascii="Arial" w:hAnsi="Arial" w:cs="Arial"/>
                <w:sz w:val="22"/>
                <w:szCs w:val="22"/>
              </w:rPr>
              <w:t>16</w:t>
            </w:r>
            <w:r w:rsidR="00BF4A20">
              <w:rPr>
                <w:rFonts w:ascii="Arial" w:hAnsi="Arial" w:cs="Arial"/>
                <w:sz w:val="22"/>
                <w:szCs w:val="22"/>
              </w:rPr>
              <w:t>%</w:t>
            </w:r>
          </w:p>
        </w:tc>
      </w:tr>
      <w:tr w:rsidR="009279F6" w:rsidTr="00CC6AE4">
        <w:trPr>
          <w:tblHeader/>
        </w:trPr>
        <w:tc>
          <w:tcPr>
            <w:tcW w:w="5141" w:type="dxa"/>
            <w:tcBorders>
              <w:top w:val="single" w:sz="4" w:space="0" w:color="auto"/>
              <w:bottom w:val="single" w:sz="4" w:space="0" w:color="auto"/>
            </w:tcBorders>
          </w:tcPr>
          <w:p w:rsidR="009279F6" w:rsidRPr="00991FE3" w:rsidRDefault="001835DD" w:rsidP="009279F6">
            <w:pPr>
              <w:spacing w:line="288" w:lineRule="auto"/>
              <w:rPr>
                <w:rFonts w:ascii="Arial" w:hAnsi="Arial" w:cs="Arial"/>
                <w:sz w:val="22"/>
                <w:szCs w:val="22"/>
              </w:rPr>
            </w:pPr>
            <w:r>
              <w:rPr>
                <w:rFonts w:ascii="Arial" w:hAnsi="Arial" w:cs="Arial"/>
                <w:b/>
                <w:sz w:val="22"/>
                <w:szCs w:val="22"/>
              </w:rPr>
              <w:t>Public order, safety and regulatory services</w:t>
            </w:r>
          </w:p>
          <w:p w:rsidR="009279F6" w:rsidRDefault="009279F6" w:rsidP="00BF4A20">
            <w:pPr>
              <w:pStyle w:val="ListParagraph"/>
              <w:numPr>
                <w:ilvl w:val="0"/>
                <w:numId w:val="29"/>
              </w:numPr>
              <w:spacing w:line="288" w:lineRule="auto"/>
              <w:ind w:left="426"/>
              <w:rPr>
                <w:rFonts w:ascii="Arial" w:hAnsi="Arial" w:cs="Arial"/>
                <w:sz w:val="22"/>
                <w:szCs w:val="22"/>
              </w:rPr>
            </w:pPr>
            <w:r>
              <w:rPr>
                <w:rFonts w:ascii="Arial" w:hAnsi="Arial" w:cs="Arial"/>
                <w:sz w:val="22"/>
                <w:szCs w:val="22"/>
              </w:rPr>
              <w:t xml:space="preserve">Vehicle incident – </w:t>
            </w:r>
            <w:r w:rsidR="001835DD">
              <w:rPr>
                <w:rFonts w:ascii="Arial" w:hAnsi="Arial" w:cs="Arial"/>
                <w:sz w:val="22"/>
                <w:szCs w:val="22"/>
              </w:rPr>
              <w:t>38</w:t>
            </w:r>
            <w:r w:rsidR="00BF4A20">
              <w:rPr>
                <w:rFonts w:ascii="Arial" w:hAnsi="Arial" w:cs="Arial"/>
                <w:sz w:val="22"/>
                <w:szCs w:val="22"/>
              </w:rPr>
              <w:t>%</w:t>
            </w:r>
          </w:p>
          <w:p w:rsidR="001835DD" w:rsidRDefault="001835DD" w:rsidP="00BF4A20">
            <w:pPr>
              <w:pStyle w:val="ListParagraph"/>
              <w:numPr>
                <w:ilvl w:val="0"/>
                <w:numId w:val="29"/>
              </w:numPr>
              <w:spacing w:line="288" w:lineRule="auto"/>
              <w:ind w:left="426"/>
              <w:rPr>
                <w:rFonts w:ascii="Arial" w:hAnsi="Arial" w:cs="Arial"/>
                <w:sz w:val="22"/>
                <w:szCs w:val="22"/>
              </w:rPr>
            </w:pPr>
            <w:r>
              <w:rPr>
                <w:rFonts w:ascii="Arial" w:hAnsi="Arial" w:cs="Arial"/>
                <w:sz w:val="22"/>
                <w:szCs w:val="22"/>
              </w:rPr>
              <w:t>Being hit by falling objects – 15</w:t>
            </w:r>
            <w:r w:rsidR="00BF4A20">
              <w:rPr>
                <w:rFonts w:ascii="Arial" w:hAnsi="Arial" w:cs="Arial"/>
                <w:sz w:val="22"/>
                <w:szCs w:val="22"/>
              </w:rPr>
              <w:t>%</w:t>
            </w:r>
          </w:p>
          <w:p w:rsidR="009279F6" w:rsidRDefault="009279F6" w:rsidP="00BF4A20">
            <w:pPr>
              <w:pStyle w:val="ListParagraph"/>
              <w:numPr>
                <w:ilvl w:val="0"/>
                <w:numId w:val="29"/>
              </w:numPr>
              <w:spacing w:line="288" w:lineRule="auto"/>
              <w:ind w:left="426"/>
              <w:rPr>
                <w:rFonts w:ascii="Arial" w:hAnsi="Arial" w:cs="Arial"/>
                <w:b/>
                <w:sz w:val="22"/>
                <w:szCs w:val="22"/>
              </w:rPr>
            </w:pPr>
            <w:r>
              <w:rPr>
                <w:rFonts w:ascii="Arial" w:hAnsi="Arial" w:cs="Arial"/>
                <w:sz w:val="22"/>
                <w:szCs w:val="22"/>
              </w:rPr>
              <w:t xml:space="preserve">Being hit by moving objects – </w:t>
            </w:r>
            <w:r w:rsidR="001835DD">
              <w:rPr>
                <w:rFonts w:ascii="Arial" w:hAnsi="Arial" w:cs="Arial"/>
                <w:sz w:val="22"/>
                <w:szCs w:val="22"/>
              </w:rPr>
              <w:t>15</w:t>
            </w:r>
            <w:r w:rsidR="00BF4A20">
              <w:rPr>
                <w:rFonts w:ascii="Arial" w:hAnsi="Arial" w:cs="Arial"/>
                <w:sz w:val="22"/>
                <w:szCs w:val="22"/>
              </w:rPr>
              <w:t>%</w:t>
            </w:r>
          </w:p>
        </w:tc>
        <w:tc>
          <w:tcPr>
            <w:tcW w:w="5140" w:type="dxa"/>
            <w:tcBorders>
              <w:top w:val="single" w:sz="4" w:space="0" w:color="auto"/>
              <w:bottom w:val="single" w:sz="4" w:space="0" w:color="auto"/>
            </w:tcBorders>
          </w:tcPr>
          <w:p w:rsidR="001835DD" w:rsidRDefault="001835DD" w:rsidP="001835DD">
            <w:pPr>
              <w:spacing w:line="288" w:lineRule="auto"/>
              <w:rPr>
                <w:rFonts w:ascii="Arial" w:hAnsi="Arial" w:cs="Arial"/>
                <w:b/>
                <w:sz w:val="22"/>
                <w:szCs w:val="22"/>
              </w:rPr>
            </w:pPr>
            <w:r w:rsidRPr="001835DD">
              <w:rPr>
                <w:rFonts w:ascii="Arial" w:hAnsi="Arial" w:cs="Arial"/>
                <w:b/>
                <w:sz w:val="22"/>
                <w:szCs w:val="22"/>
              </w:rPr>
              <w:t>Public order, safety and regulatory services</w:t>
            </w:r>
          </w:p>
          <w:p w:rsidR="001835DD" w:rsidRPr="001835DD" w:rsidRDefault="001835DD" w:rsidP="00BF4A20">
            <w:pPr>
              <w:pStyle w:val="ListParagraph"/>
              <w:numPr>
                <w:ilvl w:val="0"/>
                <w:numId w:val="29"/>
              </w:numPr>
              <w:spacing w:line="288" w:lineRule="auto"/>
              <w:ind w:left="426"/>
              <w:rPr>
                <w:rFonts w:ascii="Arial" w:hAnsi="Arial" w:cs="Arial"/>
                <w:sz w:val="22"/>
                <w:szCs w:val="22"/>
              </w:rPr>
            </w:pPr>
            <w:r w:rsidRPr="001835DD">
              <w:rPr>
                <w:rFonts w:ascii="Arial" w:hAnsi="Arial" w:cs="Arial"/>
                <w:sz w:val="22"/>
                <w:szCs w:val="22"/>
              </w:rPr>
              <w:t>Muscular stress while handling objects – 15</w:t>
            </w:r>
            <w:r w:rsidR="00BF4A20">
              <w:rPr>
                <w:rFonts w:ascii="Arial" w:hAnsi="Arial" w:cs="Arial"/>
                <w:sz w:val="22"/>
                <w:szCs w:val="22"/>
              </w:rPr>
              <w:t>%</w:t>
            </w:r>
          </w:p>
          <w:p w:rsidR="009279F6" w:rsidRDefault="009279F6" w:rsidP="00BF4A20">
            <w:pPr>
              <w:pStyle w:val="ListParagraph"/>
              <w:numPr>
                <w:ilvl w:val="0"/>
                <w:numId w:val="29"/>
              </w:numPr>
              <w:spacing w:line="288" w:lineRule="auto"/>
              <w:ind w:left="426"/>
              <w:rPr>
                <w:rFonts w:ascii="Arial" w:hAnsi="Arial" w:cs="Arial"/>
                <w:b/>
                <w:sz w:val="22"/>
                <w:szCs w:val="22"/>
              </w:rPr>
            </w:pPr>
            <w:r>
              <w:rPr>
                <w:rFonts w:ascii="Arial" w:hAnsi="Arial" w:cs="Arial"/>
                <w:sz w:val="22"/>
                <w:szCs w:val="22"/>
              </w:rPr>
              <w:t>Falls on the same level – 1</w:t>
            </w:r>
            <w:r w:rsidR="001835DD">
              <w:rPr>
                <w:rFonts w:ascii="Arial" w:hAnsi="Arial" w:cs="Arial"/>
                <w:sz w:val="22"/>
                <w:szCs w:val="22"/>
              </w:rPr>
              <w:t>3</w:t>
            </w:r>
            <w:r w:rsidR="00BF4A20">
              <w:rPr>
                <w:rFonts w:ascii="Arial" w:hAnsi="Arial" w:cs="Arial"/>
                <w:sz w:val="22"/>
                <w:szCs w:val="22"/>
              </w:rPr>
              <w:t>%</w:t>
            </w:r>
          </w:p>
        </w:tc>
      </w:tr>
    </w:tbl>
    <w:p w:rsidR="00C374D3" w:rsidRPr="00C374D3" w:rsidRDefault="00C374D3" w:rsidP="00CE55CE">
      <w:pPr>
        <w:spacing w:before="360" w:line="288" w:lineRule="auto"/>
        <w:rPr>
          <w:rFonts w:ascii="Arial" w:hAnsi="Arial" w:cs="Arial"/>
          <w:b/>
          <w:color w:val="AF1E2D"/>
          <w:sz w:val="32"/>
          <w:szCs w:val="22"/>
        </w:rPr>
      </w:pPr>
    </w:p>
    <w:sectPr w:rsidR="00C374D3" w:rsidRPr="00C374D3" w:rsidSect="00D249D9">
      <w:footerReference w:type="default" r:id="rId21"/>
      <w:footerReference w:type="first" r:id="rId22"/>
      <w:pgSz w:w="11906" w:h="16838" w:code="9"/>
      <w:pgMar w:top="709" w:right="707" w:bottom="1135" w:left="993" w:header="567" w:footer="2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09" w:rsidRDefault="00C26809" w:rsidP="00046BC1">
      <w:pPr>
        <w:spacing w:before="0" w:after="0"/>
      </w:pPr>
      <w:r>
        <w:separator/>
      </w:r>
    </w:p>
  </w:endnote>
  <w:endnote w:type="continuationSeparator" w:id="0">
    <w:p w:rsidR="00C26809" w:rsidRDefault="00C26809" w:rsidP="00046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09" w:rsidRDefault="00C26809">
    <w:pPr>
      <w:pStyle w:val="Footer"/>
      <w:jc w:val="right"/>
    </w:pPr>
  </w:p>
  <w:p w:rsidR="00C26809" w:rsidRPr="00393709" w:rsidRDefault="00C55366" w:rsidP="00C56FFA">
    <w:pPr>
      <w:pStyle w:val="Footer"/>
      <w:pBdr>
        <w:top w:val="single" w:sz="6" w:space="1" w:color="C10A27"/>
      </w:pBdr>
      <w:jc w:val="right"/>
      <w:rPr>
        <w:rFonts w:ascii="Arial" w:hAnsi="Arial" w:cs="Arial"/>
      </w:rPr>
    </w:pPr>
    <w:sdt>
      <w:sdtPr>
        <w:id w:val="-647830215"/>
        <w:docPartObj>
          <w:docPartGallery w:val="Page Numbers (Bottom of Page)"/>
          <w:docPartUnique/>
        </w:docPartObj>
      </w:sdtPr>
      <w:sdtEndPr>
        <w:rPr>
          <w:rFonts w:ascii="Arial" w:hAnsi="Arial" w:cs="Arial"/>
          <w:noProof/>
        </w:rPr>
      </w:sdtEndPr>
      <w:sdtContent>
        <w:r w:rsidR="00C26809" w:rsidRPr="00393709">
          <w:rPr>
            <w:rFonts w:ascii="Arial" w:hAnsi="Arial" w:cs="Arial"/>
          </w:rPr>
          <w:fldChar w:fldCharType="begin"/>
        </w:r>
        <w:r w:rsidR="00C26809" w:rsidRPr="00393709">
          <w:rPr>
            <w:rFonts w:ascii="Arial" w:hAnsi="Arial" w:cs="Arial"/>
          </w:rPr>
          <w:instrText xml:space="preserve"> PAGE   \* MERGEFORMAT </w:instrText>
        </w:r>
        <w:r w:rsidR="00C26809" w:rsidRPr="00393709">
          <w:rPr>
            <w:rFonts w:ascii="Arial" w:hAnsi="Arial" w:cs="Arial"/>
          </w:rPr>
          <w:fldChar w:fldCharType="separate"/>
        </w:r>
        <w:r>
          <w:rPr>
            <w:rFonts w:ascii="Arial" w:hAnsi="Arial" w:cs="Arial"/>
            <w:noProof/>
          </w:rPr>
          <w:t>5</w:t>
        </w:r>
        <w:r w:rsidR="00C26809" w:rsidRPr="00393709">
          <w:rPr>
            <w:rFonts w:ascii="Arial" w:hAnsi="Arial" w:cs="Arial"/>
            <w:noProof/>
          </w:rPr>
          <w:fldChar w:fldCharType="end"/>
        </w:r>
      </w:sdtContent>
    </w:sdt>
  </w:p>
  <w:p w:rsidR="00C26809" w:rsidRPr="00FA03F8" w:rsidRDefault="00C26809" w:rsidP="00FA0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9" w:rsidRDefault="00D249D9" w:rsidP="00D249D9">
    <w:pPr>
      <w:pStyle w:val="Footer"/>
      <w:ind w:left="7200"/>
    </w:pPr>
    <w:r w:rsidRPr="00FB6794">
      <w:rPr>
        <w:rFonts w:ascii="Arial" w:hAnsi="Arial" w:cs="Arial"/>
        <w:noProof/>
      </w:rPr>
      <mc:AlternateContent>
        <mc:Choice Requires="wps">
          <w:drawing>
            <wp:anchor distT="45720" distB="45720" distL="114300" distR="114300" simplePos="0" relativeHeight="251649536" behindDoc="0" locked="0" layoutInCell="1" allowOverlap="1" wp14:anchorId="2988C624" wp14:editId="7F2626B2">
              <wp:simplePos x="0" y="0"/>
              <wp:positionH relativeFrom="column">
                <wp:posOffset>2322195</wp:posOffset>
              </wp:positionH>
              <wp:positionV relativeFrom="paragraph">
                <wp:posOffset>65405</wp:posOffset>
              </wp:positionV>
              <wp:extent cx="154305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noFill/>
                      <a:ln w="9525">
                        <a:noFill/>
                        <a:miter lim="800000"/>
                        <a:headEnd/>
                        <a:tailEnd/>
                      </a:ln>
                    </wps:spPr>
                    <wps:txbx>
                      <w:txbxContent>
                        <w:p w:rsidR="00D249D9" w:rsidRPr="00FF67CE" w:rsidRDefault="00D249D9" w:rsidP="00D249D9">
                          <w:pPr>
                            <w:pStyle w:val="Footer"/>
                            <w:jc w:val="both"/>
                            <w:rPr>
                              <w:rFonts w:ascii="Arial" w:hAnsi="Arial" w:cs="Arial"/>
                            </w:rPr>
                          </w:pPr>
                          <w:r w:rsidRPr="00FF67CE">
                            <w:rPr>
                              <w:rFonts w:ascii="Arial" w:hAnsi="Arial" w:cs="Arial"/>
                            </w:rPr>
                            <w:t>Creative Commons 4.0</w:t>
                          </w:r>
                        </w:p>
                        <w:p w:rsidR="00D249D9" w:rsidRPr="00FF67CE" w:rsidRDefault="00D249D9" w:rsidP="00D249D9">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8C624" id="_x0000_t202" coordsize="21600,21600" o:spt="202" path="m,l,21600r21600,l21600,xe">
              <v:stroke joinstyle="miter"/>
              <v:path gradientshapeok="t" o:connecttype="rect"/>
            </v:shapetype>
            <v:shape id="Text Box 2" o:spid="_x0000_s1027" type="#_x0000_t202" style="position:absolute;left:0;text-align:left;margin-left:182.85pt;margin-top:5.15pt;width:121.5pt;height:3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" filled="f" stroked="f">
              <v:textbox>
                <w:txbxContent>
                  <w:p w:rsidR="00D249D9" w:rsidRPr="00FF67CE" w:rsidRDefault="00D249D9" w:rsidP="00D249D9">
                    <w:pPr>
                      <w:pStyle w:val="Footer"/>
                      <w:jc w:val="both"/>
                      <w:rPr>
                        <w:rFonts w:ascii="Arial" w:hAnsi="Arial" w:cs="Arial"/>
                      </w:rPr>
                    </w:pPr>
                    <w:r w:rsidRPr="00FF67CE">
                      <w:rPr>
                        <w:rFonts w:ascii="Arial" w:hAnsi="Arial" w:cs="Arial"/>
                      </w:rPr>
                      <w:t>Creative Commons 4.0</w:t>
                    </w:r>
                  </w:p>
                  <w:p w:rsidR="00D249D9" w:rsidRPr="00FF67CE" w:rsidRDefault="00D249D9" w:rsidP="00D249D9">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v:textbox>
              <w10:wrap type="square"/>
            </v:shape>
          </w:pict>
        </mc:Fallback>
      </mc:AlternateContent>
    </w:r>
    <w:r w:rsidRPr="00902E00">
      <w:rPr>
        <w:rFonts w:ascii="Arial" w:hAnsi="Arial" w:cs="Arial"/>
        <w:noProof/>
      </w:rPr>
      <w:drawing>
        <wp:anchor distT="0" distB="0" distL="114300" distR="114300" simplePos="0" relativeHeight="251648512" behindDoc="0" locked="0" layoutInCell="1" allowOverlap="1" wp14:anchorId="75A76FC6" wp14:editId="3377FB89">
          <wp:simplePos x="0" y="0"/>
          <wp:positionH relativeFrom="column">
            <wp:posOffset>3789680</wp:posOffset>
          </wp:positionH>
          <wp:positionV relativeFrom="paragraph">
            <wp:posOffset>83185</wp:posOffset>
          </wp:positionV>
          <wp:extent cx="981075" cy="343236"/>
          <wp:effectExtent l="0" t="0" r="0" b="0"/>
          <wp:wrapThrough wrapText="bothSides">
            <wp:wrapPolygon edited="0">
              <wp:start x="0" y="0"/>
              <wp:lineTo x="0" y="20400"/>
              <wp:lineTo x="20971" y="20400"/>
              <wp:lineTo x="20971" y="0"/>
              <wp:lineTo x="0" y="0"/>
            </wp:wrapPolygon>
          </wp:wrapThrough>
          <wp:docPr id="14" name="Picture 14" descr="Creative commons 4.0 International lic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eative Commons CC by.png"/>
                  <pic:cNvPicPr/>
                </pic:nvPicPr>
                <pic:blipFill>
                  <a:blip r:embed="rId1">
                    <a:extLst>
                      <a:ext uri="{28A0092B-C50C-407E-A947-70E740481C1C}">
                        <a14:useLocalDpi xmlns:a14="http://schemas.microsoft.com/office/drawing/2010/main" val="0"/>
                      </a:ext>
                    </a:extLst>
                  </a:blip>
                  <a:stretch>
                    <a:fillRect/>
                  </a:stretch>
                </pic:blipFill>
                <pic:spPr>
                  <a:xfrm>
                    <a:off x="0" y="0"/>
                    <a:ext cx="981075" cy="3432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1CF9934F" wp14:editId="2D94FDB0">
          <wp:simplePos x="0" y="0"/>
          <wp:positionH relativeFrom="column">
            <wp:posOffset>-116205</wp:posOffset>
          </wp:positionH>
          <wp:positionV relativeFrom="paragraph">
            <wp:posOffset>8255</wp:posOffset>
          </wp:positionV>
          <wp:extent cx="2247900" cy="452755"/>
          <wp:effectExtent l="0" t="0" r="0" b="4445"/>
          <wp:wrapSquare wrapText="bothSides"/>
          <wp:docPr id="21" name="Picture 2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794">
      <w:rPr>
        <w:rFonts w:ascii="Arial" w:hAnsi="Arial" w:cs="Arial"/>
        <w:noProof/>
      </w:rPr>
      <mc:AlternateContent>
        <mc:Choice Requires="wps">
          <w:drawing>
            <wp:anchor distT="45720" distB="45720" distL="114300" distR="114300" simplePos="0" relativeHeight="251650560" behindDoc="0" locked="0" layoutInCell="1" allowOverlap="1" wp14:anchorId="47D5276C" wp14:editId="575635F2">
              <wp:simplePos x="0" y="0"/>
              <wp:positionH relativeFrom="column">
                <wp:posOffset>4741545</wp:posOffset>
              </wp:positionH>
              <wp:positionV relativeFrom="paragraph">
                <wp:posOffset>55880</wp:posOffset>
              </wp:positionV>
              <wp:extent cx="1952625" cy="4667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66725"/>
                      </a:xfrm>
                      <a:prstGeom prst="rect">
                        <a:avLst/>
                      </a:prstGeom>
                      <a:noFill/>
                      <a:ln w="9525">
                        <a:noFill/>
                        <a:miter lim="800000"/>
                        <a:headEnd/>
                        <a:tailEnd/>
                      </a:ln>
                    </wps:spPr>
                    <wps:txbx>
                      <w:txbxContent>
                        <w:p w:rsidR="00D249D9" w:rsidRDefault="00833EBB" w:rsidP="00D249D9">
                          <w:pPr>
                            <w:pStyle w:val="Footer"/>
                            <w:rPr>
                              <w:rFonts w:ascii="Arial" w:hAnsi="Arial" w:cs="Arial"/>
                              <w:sz w:val="18"/>
                            </w:rPr>
                          </w:pPr>
                          <w:r>
                            <w:rPr>
                              <w:rFonts w:ascii="Arial" w:hAnsi="Arial" w:cs="Arial"/>
                            </w:rPr>
                            <w:t xml:space="preserve">978-1-76051-518-8   </w:t>
                          </w:r>
                          <w:r w:rsidR="00D249D9">
                            <w:rPr>
                              <w:rFonts w:ascii="Arial" w:hAnsi="Arial" w:cs="Arial"/>
                            </w:rPr>
                            <w:t>[PDF]</w:t>
                          </w:r>
                          <w:r w:rsidR="00D249D9" w:rsidRPr="00FF67CE">
                            <w:rPr>
                              <w:rFonts w:ascii="Arial" w:hAnsi="Arial" w:cs="Arial"/>
                              <w:sz w:val="18"/>
                            </w:rPr>
                            <w:t xml:space="preserve"> </w:t>
                          </w:r>
                        </w:p>
                        <w:p w:rsidR="00D249D9" w:rsidRPr="00FF67CE" w:rsidRDefault="00833EBB" w:rsidP="00D249D9">
                          <w:pPr>
                            <w:pStyle w:val="Footer"/>
                            <w:rPr>
                              <w:rFonts w:ascii="Arial" w:hAnsi="Arial" w:cs="Arial"/>
                            </w:rPr>
                          </w:pPr>
                          <w:r>
                            <w:rPr>
                              <w:rFonts w:ascii="Arial" w:hAnsi="Arial" w:cs="Arial"/>
                            </w:rPr>
                            <w:t xml:space="preserve">978-1-76051-519-5   </w:t>
                          </w:r>
                          <w:r w:rsidR="00D249D9">
                            <w:rPr>
                              <w:rFonts w:ascii="Arial" w:hAnsi="Arial" w:cs="Arial"/>
                            </w:rPr>
                            <w:t>[DOCX]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5276C" id="_x0000_s1028" type="#_x0000_t202" style="position:absolute;left:0;text-align:left;margin-left:373.35pt;margin-top:4.4pt;width:153.75pt;height:36.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" filled="f" stroked="f">
              <v:textbox>
                <w:txbxContent>
                  <w:p w:rsidR="00D249D9" w:rsidRDefault="00833EBB" w:rsidP="00D249D9">
                    <w:pPr>
                      <w:pStyle w:val="Footer"/>
                      <w:rPr>
                        <w:rFonts w:ascii="Arial" w:hAnsi="Arial" w:cs="Arial"/>
                        <w:sz w:val="18"/>
                      </w:rPr>
                    </w:pPr>
                    <w:r>
                      <w:rPr>
                        <w:rFonts w:ascii="Arial" w:hAnsi="Arial" w:cs="Arial"/>
                      </w:rPr>
                      <w:t xml:space="preserve">978-1-76051-518-8   </w:t>
                    </w:r>
                    <w:r w:rsidR="00D249D9">
                      <w:rPr>
                        <w:rFonts w:ascii="Arial" w:hAnsi="Arial" w:cs="Arial"/>
                      </w:rPr>
                      <w:t>[PDF]</w:t>
                    </w:r>
                    <w:r w:rsidR="00D249D9" w:rsidRPr="00FF67CE">
                      <w:rPr>
                        <w:rFonts w:ascii="Arial" w:hAnsi="Arial" w:cs="Arial"/>
                        <w:sz w:val="18"/>
                      </w:rPr>
                      <w:t xml:space="preserve"> </w:t>
                    </w:r>
                  </w:p>
                  <w:p w:rsidR="00D249D9" w:rsidRPr="00FF67CE" w:rsidRDefault="00833EBB" w:rsidP="00D249D9">
                    <w:pPr>
                      <w:pStyle w:val="Footer"/>
                      <w:rPr>
                        <w:rFonts w:ascii="Arial" w:hAnsi="Arial" w:cs="Arial"/>
                      </w:rPr>
                    </w:pPr>
                    <w:r>
                      <w:rPr>
                        <w:rFonts w:ascii="Arial" w:hAnsi="Arial" w:cs="Arial"/>
                      </w:rPr>
                      <w:t xml:space="preserve">978-1-76051-519-5   </w:t>
                    </w:r>
                    <w:r w:rsidR="00D249D9">
                      <w:rPr>
                        <w:rFonts w:ascii="Arial" w:hAnsi="Arial" w:cs="Arial"/>
                      </w:rPr>
                      <w:t>[DOCX]</w:t>
                    </w:r>
                  </w:p>
                </w:txbxContent>
              </v:textbox>
              <w10:wrap type="square"/>
            </v:shape>
          </w:pict>
        </mc:Fallback>
      </mc:AlternateContent>
    </w:r>
    <w:bookmarkStart w:id="0" w:name="_GoBack"/>
    <w:bookmarkEnd w:id="0"/>
  </w:p>
  <w:p w:rsidR="00D249D9" w:rsidRDefault="00D2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09" w:rsidRDefault="00C26809" w:rsidP="00046BC1">
      <w:pPr>
        <w:spacing w:before="0" w:after="0"/>
      </w:pPr>
      <w:r>
        <w:separator/>
      </w:r>
    </w:p>
  </w:footnote>
  <w:footnote w:type="continuationSeparator" w:id="0">
    <w:p w:rsidR="00C26809" w:rsidRDefault="00C26809" w:rsidP="00046BC1">
      <w:pPr>
        <w:spacing w:before="0" w:after="0"/>
      </w:pPr>
      <w:r>
        <w:continuationSeparator/>
      </w:r>
    </w:p>
  </w:footnote>
  <w:footnote w:id="1">
    <w:p w:rsidR="00E15973" w:rsidRDefault="00E15973" w:rsidP="00E15973">
      <w:pPr>
        <w:pStyle w:val="FootnoteText"/>
      </w:pPr>
      <w:r>
        <w:rPr>
          <w:rStyle w:val="FootnoteReference"/>
        </w:rPr>
        <w:footnoteRef/>
      </w:r>
      <w:r>
        <w:t xml:space="preserve"> Unless otherwise specified, the data contained in this report </w:t>
      </w:r>
      <w:proofErr w:type="gramStart"/>
      <w:r>
        <w:t>is sourced</w:t>
      </w:r>
      <w:proofErr w:type="gramEnd"/>
      <w:r>
        <w:t xml:space="preserve"> from Safe Work Australia’s National Data Set for Compensation-based Statistics and Work-related Traumatic Injury Fatalities data set.</w:t>
      </w:r>
      <w:r w:rsidR="00CC428C">
        <w:t xml:space="preserve"> Fatalities data relate to the period 2013 to 2016, while serious claim data related to 2012-13 to 2015-16.</w:t>
      </w:r>
    </w:p>
  </w:footnote>
  <w:footnote w:id="2">
    <w:p w:rsidR="00E15973" w:rsidRPr="00991F6C" w:rsidRDefault="00E15973" w:rsidP="00E15973">
      <w:pPr>
        <w:pStyle w:val="FootnoteText"/>
        <w:rPr>
          <w:i/>
        </w:rPr>
      </w:pPr>
      <w:r>
        <w:rPr>
          <w:rStyle w:val="FootnoteReference"/>
        </w:rPr>
        <w:footnoteRef/>
      </w:r>
      <w:r>
        <w:t xml:space="preserve"> The data in this section </w:t>
      </w:r>
      <w:proofErr w:type="gramStart"/>
      <w:r>
        <w:t>is sourced</w:t>
      </w:r>
      <w:proofErr w:type="gramEnd"/>
      <w:r>
        <w:t xml:space="preserve"> from the Australian Bureau of Statistics and the Department of Employment’s </w:t>
      </w:r>
      <w:r>
        <w:rPr>
          <w:i/>
        </w:rPr>
        <w:t>Employment Outlook to May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784"/>
    <w:multiLevelType w:val="hybridMultilevel"/>
    <w:tmpl w:val="413AC0F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8F724D6"/>
    <w:multiLevelType w:val="hybridMultilevel"/>
    <w:tmpl w:val="BD1A18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C0B03"/>
    <w:multiLevelType w:val="hybridMultilevel"/>
    <w:tmpl w:val="3DF67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59776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6B2C1A"/>
    <w:multiLevelType w:val="hybridMultilevel"/>
    <w:tmpl w:val="3656E8B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DE65B6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F5C6D51"/>
    <w:multiLevelType w:val="hybridMultilevel"/>
    <w:tmpl w:val="2070B55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4733676"/>
    <w:multiLevelType w:val="hybridMultilevel"/>
    <w:tmpl w:val="F85A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C11C7"/>
    <w:multiLevelType w:val="multilevel"/>
    <w:tmpl w:val="4E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66302"/>
    <w:multiLevelType w:val="hybridMultilevel"/>
    <w:tmpl w:val="23B2C6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D03A9"/>
    <w:multiLevelType w:val="hybridMultilevel"/>
    <w:tmpl w:val="432EBAE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516DC7"/>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B192A2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0365153"/>
    <w:multiLevelType w:val="hybridMultilevel"/>
    <w:tmpl w:val="F8F0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C66CA7"/>
    <w:multiLevelType w:val="hybridMultilevel"/>
    <w:tmpl w:val="4594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E43D4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F3756E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F3C189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51044AC"/>
    <w:multiLevelType w:val="hybridMultilevel"/>
    <w:tmpl w:val="69901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4205B8"/>
    <w:multiLevelType w:val="hybridMultilevel"/>
    <w:tmpl w:val="04EC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87FB2"/>
    <w:multiLevelType w:val="hybridMultilevel"/>
    <w:tmpl w:val="2F38D8A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CA0617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CB73E0A"/>
    <w:multiLevelType w:val="hybridMultilevel"/>
    <w:tmpl w:val="7610A5E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2780B58"/>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7A54E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3D27634"/>
    <w:multiLevelType w:val="hybridMultilevel"/>
    <w:tmpl w:val="FA1EFD1E"/>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5266B1D"/>
    <w:multiLevelType w:val="hybridMultilevel"/>
    <w:tmpl w:val="FA681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51387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D540040"/>
    <w:multiLevelType w:val="hybridMultilevel"/>
    <w:tmpl w:val="AC14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27C38"/>
    <w:multiLevelType w:val="hybridMultilevel"/>
    <w:tmpl w:val="A37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925059"/>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1372E1A"/>
    <w:multiLevelType w:val="hybridMultilevel"/>
    <w:tmpl w:val="BC5A5BF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5E824E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8812C92"/>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ABF4CE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E41001"/>
    <w:multiLevelType w:val="hybridMultilevel"/>
    <w:tmpl w:val="F30EF232"/>
    <w:lvl w:ilvl="0" w:tplc="2E78F6CE">
      <w:start w:val="1"/>
      <w:numFmt w:val="bullet"/>
      <w:pStyle w:val="Bullet-para"/>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DA86880"/>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7"/>
  </w:num>
  <w:num w:numId="2">
    <w:abstractNumId w:val="7"/>
  </w:num>
  <w:num w:numId="3">
    <w:abstractNumId w:val="0"/>
  </w:num>
  <w:num w:numId="4">
    <w:abstractNumId w:val="11"/>
  </w:num>
  <w:num w:numId="5">
    <w:abstractNumId w:val="12"/>
  </w:num>
  <w:num w:numId="6">
    <w:abstractNumId w:val="17"/>
  </w:num>
  <w:num w:numId="7">
    <w:abstractNumId w:val="28"/>
  </w:num>
  <w:num w:numId="8">
    <w:abstractNumId w:val="16"/>
  </w:num>
  <w:num w:numId="9">
    <w:abstractNumId w:val="24"/>
  </w:num>
  <w:num w:numId="10">
    <w:abstractNumId w:val="15"/>
  </w:num>
  <w:num w:numId="11">
    <w:abstractNumId w:val="35"/>
  </w:num>
  <w:num w:numId="12">
    <w:abstractNumId w:val="13"/>
  </w:num>
  <w:num w:numId="13">
    <w:abstractNumId w:val="30"/>
  </w:num>
  <w:num w:numId="14">
    <w:abstractNumId w:val="19"/>
  </w:num>
  <w:num w:numId="15">
    <w:abstractNumId w:val="8"/>
  </w:num>
  <w:num w:numId="16">
    <w:abstractNumId w:val="34"/>
  </w:num>
  <w:num w:numId="17">
    <w:abstractNumId w:val="5"/>
  </w:num>
  <w:num w:numId="18">
    <w:abstractNumId w:val="26"/>
  </w:num>
  <w:num w:numId="19">
    <w:abstractNumId w:val="33"/>
  </w:num>
  <w:num w:numId="20">
    <w:abstractNumId w:val="37"/>
  </w:num>
  <w:num w:numId="21">
    <w:abstractNumId w:val="23"/>
  </w:num>
  <w:num w:numId="22">
    <w:abstractNumId w:val="3"/>
  </w:num>
  <w:num w:numId="23">
    <w:abstractNumId w:val="10"/>
  </w:num>
  <w:num w:numId="24">
    <w:abstractNumId w:val="32"/>
  </w:num>
  <w:num w:numId="25">
    <w:abstractNumId w:val="36"/>
  </w:num>
  <w:num w:numId="26">
    <w:abstractNumId w:val="31"/>
  </w:num>
  <w:num w:numId="27">
    <w:abstractNumId w:val="21"/>
  </w:num>
  <w:num w:numId="28">
    <w:abstractNumId w:val="4"/>
  </w:num>
  <w:num w:numId="29">
    <w:abstractNumId w:val="6"/>
  </w:num>
  <w:num w:numId="30">
    <w:abstractNumId w:val="25"/>
  </w:num>
  <w:num w:numId="31">
    <w:abstractNumId w:val="22"/>
  </w:num>
  <w:num w:numId="32">
    <w:abstractNumId w:val="20"/>
  </w:num>
  <w:num w:numId="33">
    <w:abstractNumId w:val="1"/>
  </w:num>
  <w:num w:numId="34">
    <w:abstractNumId w:val="9"/>
  </w:num>
  <w:num w:numId="35">
    <w:abstractNumId w:val="29"/>
  </w:num>
  <w:num w:numId="36">
    <w:abstractNumId w:val="18"/>
  </w:num>
  <w:num w:numId="37">
    <w:abstractNumId w:val="1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D80106"/>
    <w:rsid w:val="000019FE"/>
    <w:rsid w:val="0001009B"/>
    <w:rsid w:val="00011CE9"/>
    <w:rsid w:val="00012DB4"/>
    <w:rsid w:val="00013AE4"/>
    <w:rsid w:val="00013F11"/>
    <w:rsid w:val="000160BF"/>
    <w:rsid w:val="00020902"/>
    <w:rsid w:val="00022172"/>
    <w:rsid w:val="0002445B"/>
    <w:rsid w:val="000330A1"/>
    <w:rsid w:val="000441EB"/>
    <w:rsid w:val="00045722"/>
    <w:rsid w:val="00046BC1"/>
    <w:rsid w:val="000643EF"/>
    <w:rsid w:val="000661BA"/>
    <w:rsid w:val="0007294F"/>
    <w:rsid w:val="00074105"/>
    <w:rsid w:val="000776F8"/>
    <w:rsid w:val="00082186"/>
    <w:rsid w:val="00091E2D"/>
    <w:rsid w:val="00092DF4"/>
    <w:rsid w:val="00093A39"/>
    <w:rsid w:val="00096F22"/>
    <w:rsid w:val="000A4481"/>
    <w:rsid w:val="000B7228"/>
    <w:rsid w:val="000C107D"/>
    <w:rsid w:val="000C514D"/>
    <w:rsid w:val="000D72D6"/>
    <w:rsid w:val="000E2777"/>
    <w:rsid w:val="000F4B67"/>
    <w:rsid w:val="001058EC"/>
    <w:rsid w:val="00105EF6"/>
    <w:rsid w:val="00106458"/>
    <w:rsid w:val="0011022E"/>
    <w:rsid w:val="001109B5"/>
    <w:rsid w:val="00120B8C"/>
    <w:rsid w:val="00134C15"/>
    <w:rsid w:val="001437B6"/>
    <w:rsid w:val="00147210"/>
    <w:rsid w:val="001504AC"/>
    <w:rsid w:val="00157689"/>
    <w:rsid w:val="00157C40"/>
    <w:rsid w:val="00160EE6"/>
    <w:rsid w:val="001622EC"/>
    <w:rsid w:val="00167138"/>
    <w:rsid w:val="00170B90"/>
    <w:rsid w:val="001804E7"/>
    <w:rsid w:val="001835DD"/>
    <w:rsid w:val="00197CE5"/>
    <w:rsid w:val="00197DB3"/>
    <w:rsid w:val="001A5243"/>
    <w:rsid w:val="001B1F8E"/>
    <w:rsid w:val="001B4305"/>
    <w:rsid w:val="001B7916"/>
    <w:rsid w:val="001C2C32"/>
    <w:rsid w:val="001C719B"/>
    <w:rsid w:val="001C7808"/>
    <w:rsid w:val="001C7D70"/>
    <w:rsid w:val="001D12F3"/>
    <w:rsid w:val="001F2388"/>
    <w:rsid w:val="001F4840"/>
    <w:rsid w:val="001F4BEB"/>
    <w:rsid w:val="00200402"/>
    <w:rsid w:val="002042D4"/>
    <w:rsid w:val="00205127"/>
    <w:rsid w:val="002228A8"/>
    <w:rsid w:val="00222D33"/>
    <w:rsid w:val="00223CDA"/>
    <w:rsid w:val="00224C3F"/>
    <w:rsid w:val="00236897"/>
    <w:rsid w:val="0024348C"/>
    <w:rsid w:val="002444A9"/>
    <w:rsid w:val="00251155"/>
    <w:rsid w:val="00274113"/>
    <w:rsid w:val="00281576"/>
    <w:rsid w:val="00281C35"/>
    <w:rsid w:val="00283000"/>
    <w:rsid w:val="002874D3"/>
    <w:rsid w:val="00292D90"/>
    <w:rsid w:val="00295DD8"/>
    <w:rsid w:val="002A0340"/>
    <w:rsid w:val="002A24D1"/>
    <w:rsid w:val="002A4898"/>
    <w:rsid w:val="002A5EC1"/>
    <w:rsid w:val="002A6ACF"/>
    <w:rsid w:val="002A7725"/>
    <w:rsid w:val="002B41D4"/>
    <w:rsid w:val="002B4F29"/>
    <w:rsid w:val="002C1299"/>
    <w:rsid w:val="002C14E8"/>
    <w:rsid w:val="002C4623"/>
    <w:rsid w:val="002C4F99"/>
    <w:rsid w:val="002D483D"/>
    <w:rsid w:val="002D4E89"/>
    <w:rsid w:val="002D532A"/>
    <w:rsid w:val="002F1E7A"/>
    <w:rsid w:val="002F57F1"/>
    <w:rsid w:val="002F6D4A"/>
    <w:rsid w:val="00302F43"/>
    <w:rsid w:val="003042F6"/>
    <w:rsid w:val="00305789"/>
    <w:rsid w:val="00306222"/>
    <w:rsid w:val="003074B2"/>
    <w:rsid w:val="00312EE0"/>
    <w:rsid w:val="0031380D"/>
    <w:rsid w:val="00316173"/>
    <w:rsid w:val="00322A6D"/>
    <w:rsid w:val="00332574"/>
    <w:rsid w:val="00333966"/>
    <w:rsid w:val="00334EFE"/>
    <w:rsid w:val="00340379"/>
    <w:rsid w:val="00342D23"/>
    <w:rsid w:val="00345591"/>
    <w:rsid w:val="003479CF"/>
    <w:rsid w:val="00347A57"/>
    <w:rsid w:val="00357874"/>
    <w:rsid w:val="00360AF6"/>
    <w:rsid w:val="0036272B"/>
    <w:rsid w:val="0037001B"/>
    <w:rsid w:val="00373613"/>
    <w:rsid w:val="00375927"/>
    <w:rsid w:val="003803A9"/>
    <w:rsid w:val="003803CD"/>
    <w:rsid w:val="003850F0"/>
    <w:rsid w:val="00393709"/>
    <w:rsid w:val="00395FED"/>
    <w:rsid w:val="00396B29"/>
    <w:rsid w:val="003A1912"/>
    <w:rsid w:val="003A3BD2"/>
    <w:rsid w:val="003A3E08"/>
    <w:rsid w:val="003A5481"/>
    <w:rsid w:val="003A585E"/>
    <w:rsid w:val="003B2026"/>
    <w:rsid w:val="003B2F3C"/>
    <w:rsid w:val="003B3AAE"/>
    <w:rsid w:val="003D2DBC"/>
    <w:rsid w:val="003E0E67"/>
    <w:rsid w:val="003E3AC6"/>
    <w:rsid w:val="003E5110"/>
    <w:rsid w:val="003F1D05"/>
    <w:rsid w:val="003F1EBA"/>
    <w:rsid w:val="003F23DE"/>
    <w:rsid w:val="00403B85"/>
    <w:rsid w:val="00404D2C"/>
    <w:rsid w:val="00404EA3"/>
    <w:rsid w:val="00405398"/>
    <w:rsid w:val="00407533"/>
    <w:rsid w:val="004076EF"/>
    <w:rsid w:val="0041580C"/>
    <w:rsid w:val="00425A9D"/>
    <w:rsid w:val="00427DC5"/>
    <w:rsid w:val="00431310"/>
    <w:rsid w:val="00441A7B"/>
    <w:rsid w:val="0044203F"/>
    <w:rsid w:val="00444F71"/>
    <w:rsid w:val="00446764"/>
    <w:rsid w:val="0045074E"/>
    <w:rsid w:val="004615CF"/>
    <w:rsid w:val="00465A3C"/>
    <w:rsid w:val="004711FF"/>
    <w:rsid w:val="00477983"/>
    <w:rsid w:val="0048145C"/>
    <w:rsid w:val="0048534D"/>
    <w:rsid w:val="0048755A"/>
    <w:rsid w:val="00487719"/>
    <w:rsid w:val="00490281"/>
    <w:rsid w:val="004926EC"/>
    <w:rsid w:val="00494850"/>
    <w:rsid w:val="004959F1"/>
    <w:rsid w:val="00495DF4"/>
    <w:rsid w:val="00497A39"/>
    <w:rsid w:val="004A136B"/>
    <w:rsid w:val="004B0935"/>
    <w:rsid w:val="004B5C2C"/>
    <w:rsid w:val="004C2791"/>
    <w:rsid w:val="004C2F51"/>
    <w:rsid w:val="004C53D1"/>
    <w:rsid w:val="004D7C38"/>
    <w:rsid w:val="004E3E69"/>
    <w:rsid w:val="004F0B05"/>
    <w:rsid w:val="004F0D3C"/>
    <w:rsid w:val="004F2A1D"/>
    <w:rsid w:val="004F3508"/>
    <w:rsid w:val="004F5621"/>
    <w:rsid w:val="004F708D"/>
    <w:rsid w:val="00502672"/>
    <w:rsid w:val="00516830"/>
    <w:rsid w:val="00520F32"/>
    <w:rsid w:val="00527D54"/>
    <w:rsid w:val="00533C5C"/>
    <w:rsid w:val="005360FE"/>
    <w:rsid w:val="005374D9"/>
    <w:rsid w:val="005428A4"/>
    <w:rsid w:val="00543BE3"/>
    <w:rsid w:val="00550A41"/>
    <w:rsid w:val="00554F3C"/>
    <w:rsid w:val="00557E42"/>
    <w:rsid w:val="00564DD2"/>
    <w:rsid w:val="0056504C"/>
    <w:rsid w:val="00565228"/>
    <w:rsid w:val="005653C1"/>
    <w:rsid w:val="0056541C"/>
    <w:rsid w:val="00572A96"/>
    <w:rsid w:val="00574468"/>
    <w:rsid w:val="0057794B"/>
    <w:rsid w:val="00586B64"/>
    <w:rsid w:val="00586F60"/>
    <w:rsid w:val="005936BF"/>
    <w:rsid w:val="005A46F1"/>
    <w:rsid w:val="005A5694"/>
    <w:rsid w:val="005B207B"/>
    <w:rsid w:val="005B46A5"/>
    <w:rsid w:val="005B75C0"/>
    <w:rsid w:val="005B7F2B"/>
    <w:rsid w:val="005C2E83"/>
    <w:rsid w:val="005C5428"/>
    <w:rsid w:val="005C5E44"/>
    <w:rsid w:val="005E0077"/>
    <w:rsid w:val="005F226C"/>
    <w:rsid w:val="005F2B2E"/>
    <w:rsid w:val="005F6406"/>
    <w:rsid w:val="00601A63"/>
    <w:rsid w:val="00602232"/>
    <w:rsid w:val="006024F2"/>
    <w:rsid w:val="00602B8B"/>
    <w:rsid w:val="00612FDF"/>
    <w:rsid w:val="00622839"/>
    <w:rsid w:val="00633EE8"/>
    <w:rsid w:val="00640B02"/>
    <w:rsid w:val="006415B3"/>
    <w:rsid w:val="006508D7"/>
    <w:rsid w:val="0065349E"/>
    <w:rsid w:val="00662D0B"/>
    <w:rsid w:val="00665647"/>
    <w:rsid w:val="00665F87"/>
    <w:rsid w:val="006667AA"/>
    <w:rsid w:val="00675BD8"/>
    <w:rsid w:val="00677F80"/>
    <w:rsid w:val="006820DA"/>
    <w:rsid w:val="0068505E"/>
    <w:rsid w:val="00692110"/>
    <w:rsid w:val="006938B9"/>
    <w:rsid w:val="0069671C"/>
    <w:rsid w:val="006A78A2"/>
    <w:rsid w:val="006B0BA3"/>
    <w:rsid w:val="006B310D"/>
    <w:rsid w:val="006B357C"/>
    <w:rsid w:val="006C0423"/>
    <w:rsid w:val="006C1B92"/>
    <w:rsid w:val="006C3D4E"/>
    <w:rsid w:val="006C595E"/>
    <w:rsid w:val="006C5AD8"/>
    <w:rsid w:val="006D4FA9"/>
    <w:rsid w:val="006D763E"/>
    <w:rsid w:val="006E1B60"/>
    <w:rsid w:val="006E2D22"/>
    <w:rsid w:val="006F30F2"/>
    <w:rsid w:val="006F3DDB"/>
    <w:rsid w:val="007011AA"/>
    <w:rsid w:val="00705A86"/>
    <w:rsid w:val="007079F7"/>
    <w:rsid w:val="00707D76"/>
    <w:rsid w:val="007102E0"/>
    <w:rsid w:val="00711CA3"/>
    <w:rsid w:val="007259EB"/>
    <w:rsid w:val="00725B06"/>
    <w:rsid w:val="007307F5"/>
    <w:rsid w:val="00731D10"/>
    <w:rsid w:val="007467AC"/>
    <w:rsid w:val="00747C75"/>
    <w:rsid w:val="00751F02"/>
    <w:rsid w:val="007618D1"/>
    <w:rsid w:val="00770ADB"/>
    <w:rsid w:val="0078082D"/>
    <w:rsid w:val="00791E58"/>
    <w:rsid w:val="00797407"/>
    <w:rsid w:val="007A3265"/>
    <w:rsid w:val="007A45E4"/>
    <w:rsid w:val="007A6525"/>
    <w:rsid w:val="007B2A85"/>
    <w:rsid w:val="007B6953"/>
    <w:rsid w:val="007C4B8F"/>
    <w:rsid w:val="007D6070"/>
    <w:rsid w:val="007E0C2B"/>
    <w:rsid w:val="007E3302"/>
    <w:rsid w:val="007F5A29"/>
    <w:rsid w:val="00802F3E"/>
    <w:rsid w:val="0080500C"/>
    <w:rsid w:val="00805DE6"/>
    <w:rsid w:val="008070AB"/>
    <w:rsid w:val="0081015F"/>
    <w:rsid w:val="00812D3F"/>
    <w:rsid w:val="00820DA1"/>
    <w:rsid w:val="00821AC6"/>
    <w:rsid w:val="00824A0B"/>
    <w:rsid w:val="00831881"/>
    <w:rsid w:val="00833951"/>
    <w:rsid w:val="00833EBB"/>
    <w:rsid w:val="00835854"/>
    <w:rsid w:val="008444BC"/>
    <w:rsid w:val="008507EB"/>
    <w:rsid w:val="00855757"/>
    <w:rsid w:val="0086407B"/>
    <w:rsid w:val="00870A7A"/>
    <w:rsid w:val="00876317"/>
    <w:rsid w:val="008834BE"/>
    <w:rsid w:val="00883BE1"/>
    <w:rsid w:val="008857E5"/>
    <w:rsid w:val="008872AF"/>
    <w:rsid w:val="00890045"/>
    <w:rsid w:val="00891793"/>
    <w:rsid w:val="00892F89"/>
    <w:rsid w:val="008934F4"/>
    <w:rsid w:val="00894E05"/>
    <w:rsid w:val="008A7E33"/>
    <w:rsid w:val="008B0C49"/>
    <w:rsid w:val="008B18A1"/>
    <w:rsid w:val="008B41C7"/>
    <w:rsid w:val="008C0C0A"/>
    <w:rsid w:val="008C0CA4"/>
    <w:rsid w:val="008D53D4"/>
    <w:rsid w:val="008E032C"/>
    <w:rsid w:val="008E6D54"/>
    <w:rsid w:val="008F1FDE"/>
    <w:rsid w:val="008F616E"/>
    <w:rsid w:val="009021BC"/>
    <w:rsid w:val="00904815"/>
    <w:rsid w:val="00912BFE"/>
    <w:rsid w:val="009279F6"/>
    <w:rsid w:val="0093298C"/>
    <w:rsid w:val="009356EF"/>
    <w:rsid w:val="00936679"/>
    <w:rsid w:val="009400C5"/>
    <w:rsid w:val="00940622"/>
    <w:rsid w:val="00947E12"/>
    <w:rsid w:val="009504F5"/>
    <w:rsid w:val="00951A3C"/>
    <w:rsid w:val="00956AC7"/>
    <w:rsid w:val="00957371"/>
    <w:rsid w:val="00957EAC"/>
    <w:rsid w:val="00957F06"/>
    <w:rsid w:val="00961BB0"/>
    <w:rsid w:val="00961E98"/>
    <w:rsid w:val="0096753F"/>
    <w:rsid w:val="009711BB"/>
    <w:rsid w:val="0097145B"/>
    <w:rsid w:val="009726E3"/>
    <w:rsid w:val="00972DF9"/>
    <w:rsid w:val="00974093"/>
    <w:rsid w:val="0097571C"/>
    <w:rsid w:val="0097785B"/>
    <w:rsid w:val="00977CB5"/>
    <w:rsid w:val="0098592F"/>
    <w:rsid w:val="00991305"/>
    <w:rsid w:val="00991FE3"/>
    <w:rsid w:val="00992FDC"/>
    <w:rsid w:val="009A1755"/>
    <w:rsid w:val="009A7E39"/>
    <w:rsid w:val="009B1ADC"/>
    <w:rsid w:val="009B22F7"/>
    <w:rsid w:val="009B231B"/>
    <w:rsid w:val="009B5DAE"/>
    <w:rsid w:val="009B77E3"/>
    <w:rsid w:val="009C07DC"/>
    <w:rsid w:val="009D1116"/>
    <w:rsid w:val="009D450B"/>
    <w:rsid w:val="009D6A51"/>
    <w:rsid w:val="009E0B59"/>
    <w:rsid w:val="009E1763"/>
    <w:rsid w:val="009E3326"/>
    <w:rsid w:val="009E7E8A"/>
    <w:rsid w:val="009F2112"/>
    <w:rsid w:val="009F3C70"/>
    <w:rsid w:val="009F4CB4"/>
    <w:rsid w:val="009F55BE"/>
    <w:rsid w:val="00A07EBC"/>
    <w:rsid w:val="00A12469"/>
    <w:rsid w:val="00A12D49"/>
    <w:rsid w:val="00A15EC3"/>
    <w:rsid w:val="00A1648E"/>
    <w:rsid w:val="00A25BF0"/>
    <w:rsid w:val="00A26060"/>
    <w:rsid w:val="00A2649D"/>
    <w:rsid w:val="00A26D75"/>
    <w:rsid w:val="00A26E53"/>
    <w:rsid w:val="00A27A86"/>
    <w:rsid w:val="00A3763E"/>
    <w:rsid w:val="00A418F9"/>
    <w:rsid w:val="00A43B24"/>
    <w:rsid w:val="00A51C1F"/>
    <w:rsid w:val="00A569EB"/>
    <w:rsid w:val="00A650B4"/>
    <w:rsid w:val="00A707CC"/>
    <w:rsid w:val="00A70A63"/>
    <w:rsid w:val="00A71165"/>
    <w:rsid w:val="00A7441D"/>
    <w:rsid w:val="00AA5CFC"/>
    <w:rsid w:val="00AC2BE3"/>
    <w:rsid w:val="00AC3029"/>
    <w:rsid w:val="00AC3894"/>
    <w:rsid w:val="00AD09D3"/>
    <w:rsid w:val="00AE0C6F"/>
    <w:rsid w:val="00AE11AA"/>
    <w:rsid w:val="00AE205C"/>
    <w:rsid w:val="00AE2339"/>
    <w:rsid w:val="00AE5939"/>
    <w:rsid w:val="00AF0125"/>
    <w:rsid w:val="00AF015C"/>
    <w:rsid w:val="00AF04A8"/>
    <w:rsid w:val="00AF203A"/>
    <w:rsid w:val="00AF38A5"/>
    <w:rsid w:val="00B11590"/>
    <w:rsid w:val="00B23E2F"/>
    <w:rsid w:val="00B321A0"/>
    <w:rsid w:val="00B33D2D"/>
    <w:rsid w:val="00B34A74"/>
    <w:rsid w:val="00B40807"/>
    <w:rsid w:val="00B41E6B"/>
    <w:rsid w:val="00B4443B"/>
    <w:rsid w:val="00B45AEB"/>
    <w:rsid w:val="00B45DF2"/>
    <w:rsid w:val="00B71C54"/>
    <w:rsid w:val="00B722EB"/>
    <w:rsid w:val="00B82799"/>
    <w:rsid w:val="00B82E0E"/>
    <w:rsid w:val="00B82E5A"/>
    <w:rsid w:val="00B8380D"/>
    <w:rsid w:val="00B87E63"/>
    <w:rsid w:val="00B933ED"/>
    <w:rsid w:val="00B94429"/>
    <w:rsid w:val="00B95491"/>
    <w:rsid w:val="00B96FDB"/>
    <w:rsid w:val="00BA13DC"/>
    <w:rsid w:val="00BA2234"/>
    <w:rsid w:val="00BA418F"/>
    <w:rsid w:val="00BA6578"/>
    <w:rsid w:val="00BA6C83"/>
    <w:rsid w:val="00BB12FA"/>
    <w:rsid w:val="00BB3505"/>
    <w:rsid w:val="00BB3C7B"/>
    <w:rsid w:val="00BD7A61"/>
    <w:rsid w:val="00BE1982"/>
    <w:rsid w:val="00BE2D4D"/>
    <w:rsid w:val="00BE697A"/>
    <w:rsid w:val="00BF4A20"/>
    <w:rsid w:val="00BF4B3B"/>
    <w:rsid w:val="00C03529"/>
    <w:rsid w:val="00C03DC6"/>
    <w:rsid w:val="00C07AD3"/>
    <w:rsid w:val="00C22E13"/>
    <w:rsid w:val="00C26809"/>
    <w:rsid w:val="00C32FC6"/>
    <w:rsid w:val="00C374D3"/>
    <w:rsid w:val="00C40D10"/>
    <w:rsid w:val="00C47A36"/>
    <w:rsid w:val="00C55366"/>
    <w:rsid w:val="00C56FFA"/>
    <w:rsid w:val="00C63E9C"/>
    <w:rsid w:val="00C64471"/>
    <w:rsid w:val="00C7047B"/>
    <w:rsid w:val="00C72464"/>
    <w:rsid w:val="00C73C42"/>
    <w:rsid w:val="00C75C59"/>
    <w:rsid w:val="00C86610"/>
    <w:rsid w:val="00CC25BB"/>
    <w:rsid w:val="00CC281F"/>
    <w:rsid w:val="00CC428C"/>
    <w:rsid w:val="00CC4A17"/>
    <w:rsid w:val="00CC4CCC"/>
    <w:rsid w:val="00CC6AE4"/>
    <w:rsid w:val="00CD01C3"/>
    <w:rsid w:val="00CD03A3"/>
    <w:rsid w:val="00CD0729"/>
    <w:rsid w:val="00CE2375"/>
    <w:rsid w:val="00CE3C77"/>
    <w:rsid w:val="00CE4037"/>
    <w:rsid w:val="00CE55CE"/>
    <w:rsid w:val="00CE7C15"/>
    <w:rsid w:val="00CF2490"/>
    <w:rsid w:val="00CF3D0C"/>
    <w:rsid w:val="00CF5751"/>
    <w:rsid w:val="00CF6135"/>
    <w:rsid w:val="00D017DA"/>
    <w:rsid w:val="00D07710"/>
    <w:rsid w:val="00D16369"/>
    <w:rsid w:val="00D16FCF"/>
    <w:rsid w:val="00D249D9"/>
    <w:rsid w:val="00D27EA9"/>
    <w:rsid w:val="00D306C6"/>
    <w:rsid w:val="00D30825"/>
    <w:rsid w:val="00D30B05"/>
    <w:rsid w:val="00D3115D"/>
    <w:rsid w:val="00D33756"/>
    <w:rsid w:val="00D37457"/>
    <w:rsid w:val="00D37B12"/>
    <w:rsid w:val="00D37EAE"/>
    <w:rsid w:val="00D41D46"/>
    <w:rsid w:val="00D4231B"/>
    <w:rsid w:val="00D50EFB"/>
    <w:rsid w:val="00D542EC"/>
    <w:rsid w:val="00D56995"/>
    <w:rsid w:val="00D57E3F"/>
    <w:rsid w:val="00D60342"/>
    <w:rsid w:val="00D6138C"/>
    <w:rsid w:val="00D62F28"/>
    <w:rsid w:val="00D71B56"/>
    <w:rsid w:val="00D80106"/>
    <w:rsid w:val="00D801D1"/>
    <w:rsid w:val="00D86613"/>
    <w:rsid w:val="00D96E30"/>
    <w:rsid w:val="00DA4DBC"/>
    <w:rsid w:val="00DB4670"/>
    <w:rsid w:val="00DB6BF3"/>
    <w:rsid w:val="00DC53C8"/>
    <w:rsid w:val="00DC69C0"/>
    <w:rsid w:val="00DD1AC3"/>
    <w:rsid w:val="00E0116D"/>
    <w:rsid w:val="00E01A0E"/>
    <w:rsid w:val="00E01B32"/>
    <w:rsid w:val="00E02592"/>
    <w:rsid w:val="00E034C7"/>
    <w:rsid w:val="00E1015B"/>
    <w:rsid w:val="00E10B88"/>
    <w:rsid w:val="00E15973"/>
    <w:rsid w:val="00E2654F"/>
    <w:rsid w:val="00E35134"/>
    <w:rsid w:val="00E35579"/>
    <w:rsid w:val="00E37D47"/>
    <w:rsid w:val="00E41605"/>
    <w:rsid w:val="00E449F4"/>
    <w:rsid w:val="00E46792"/>
    <w:rsid w:val="00E50747"/>
    <w:rsid w:val="00E5353B"/>
    <w:rsid w:val="00E56340"/>
    <w:rsid w:val="00E57023"/>
    <w:rsid w:val="00E5748F"/>
    <w:rsid w:val="00E61F4B"/>
    <w:rsid w:val="00E66B7B"/>
    <w:rsid w:val="00E756A7"/>
    <w:rsid w:val="00E772BC"/>
    <w:rsid w:val="00E826F3"/>
    <w:rsid w:val="00E83D81"/>
    <w:rsid w:val="00E84278"/>
    <w:rsid w:val="00E8741D"/>
    <w:rsid w:val="00E930B3"/>
    <w:rsid w:val="00E9640E"/>
    <w:rsid w:val="00EA1EF1"/>
    <w:rsid w:val="00EA696A"/>
    <w:rsid w:val="00EA7042"/>
    <w:rsid w:val="00EB0250"/>
    <w:rsid w:val="00EB4366"/>
    <w:rsid w:val="00EB71D6"/>
    <w:rsid w:val="00EC1C7E"/>
    <w:rsid w:val="00EC2412"/>
    <w:rsid w:val="00EC59CD"/>
    <w:rsid w:val="00EC7A3C"/>
    <w:rsid w:val="00ED29DA"/>
    <w:rsid w:val="00ED2E92"/>
    <w:rsid w:val="00ED66F0"/>
    <w:rsid w:val="00EE2754"/>
    <w:rsid w:val="00EE727D"/>
    <w:rsid w:val="00F036C2"/>
    <w:rsid w:val="00F05108"/>
    <w:rsid w:val="00F064DE"/>
    <w:rsid w:val="00F07A52"/>
    <w:rsid w:val="00F21980"/>
    <w:rsid w:val="00F3114B"/>
    <w:rsid w:val="00F31514"/>
    <w:rsid w:val="00F33558"/>
    <w:rsid w:val="00F33C69"/>
    <w:rsid w:val="00F4346C"/>
    <w:rsid w:val="00F45183"/>
    <w:rsid w:val="00F51AC2"/>
    <w:rsid w:val="00F57868"/>
    <w:rsid w:val="00F5788D"/>
    <w:rsid w:val="00F62087"/>
    <w:rsid w:val="00F62AB9"/>
    <w:rsid w:val="00F62DC6"/>
    <w:rsid w:val="00F64ABA"/>
    <w:rsid w:val="00F6735C"/>
    <w:rsid w:val="00F70C35"/>
    <w:rsid w:val="00F71F69"/>
    <w:rsid w:val="00F723FB"/>
    <w:rsid w:val="00F72BE1"/>
    <w:rsid w:val="00F72E32"/>
    <w:rsid w:val="00F75229"/>
    <w:rsid w:val="00F75445"/>
    <w:rsid w:val="00F816B0"/>
    <w:rsid w:val="00F83814"/>
    <w:rsid w:val="00F9493B"/>
    <w:rsid w:val="00FA03F8"/>
    <w:rsid w:val="00FA0F77"/>
    <w:rsid w:val="00FA4E29"/>
    <w:rsid w:val="00FB2639"/>
    <w:rsid w:val="00FB6541"/>
    <w:rsid w:val="00FC2466"/>
    <w:rsid w:val="00FC2DDB"/>
    <w:rsid w:val="00FC7699"/>
    <w:rsid w:val="00FD2F1F"/>
    <w:rsid w:val="00FD43DA"/>
    <w:rsid w:val="00FE2192"/>
    <w:rsid w:val="00FE309A"/>
    <w:rsid w:val="00FF2D7D"/>
    <w:rsid w:val="00FF3DD2"/>
    <w:rsid w:val="00FF6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AE4"/>
    <w:pPr>
      <w:spacing w:before="120" w:after="120"/>
    </w:pPr>
    <w:rPr>
      <w:rFonts w:ascii="Myriad Pro" w:hAnsi="Myriad Pro"/>
    </w:rPr>
  </w:style>
  <w:style w:type="paragraph" w:styleId="Heading1">
    <w:name w:val="heading 1"/>
    <w:basedOn w:val="Normal"/>
    <w:next w:val="Normal"/>
    <w:link w:val="Heading1Char"/>
    <w:qFormat/>
    <w:rsid w:val="00B4443B"/>
    <w:pPr>
      <w:spacing w:before="360" w:after="0" w:line="288" w:lineRule="auto"/>
      <w:outlineLvl w:val="0"/>
    </w:pPr>
    <w:rPr>
      <w:rFonts w:ascii="Arial" w:hAnsi="Arial" w:cs="Arial"/>
      <w:b/>
      <w:color w:val="C10A27"/>
      <w:sz w:val="32"/>
      <w:szCs w:val="22"/>
    </w:rPr>
  </w:style>
  <w:style w:type="paragraph" w:styleId="Heading2">
    <w:name w:val="heading 2"/>
    <w:basedOn w:val="Normal"/>
    <w:next w:val="Normal"/>
    <w:link w:val="Heading2Char"/>
    <w:unhideWhenUsed/>
    <w:qFormat/>
    <w:rsid w:val="00B4443B"/>
    <w:pPr>
      <w:spacing w:before="240" w:line="288" w:lineRule="auto"/>
      <w:outlineLvl w:val="1"/>
    </w:pPr>
    <w:rPr>
      <w:rFonts w:ascii="Arial" w:hAnsi="Arial" w:cs="Arial"/>
      <w:b/>
      <w:color w:val="C10A27"/>
      <w:sz w:val="24"/>
      <w:szCs w:val="22"/>
    </w:rPr>
  </w:style>
  <w:style w:type="paragraph" w:styleId="Heading3">
    <w:name w:val="heading 3"/>
    <w:basedOn w:val="Normal"/>
    <w:next w:val="Normal"/>
    <w:link w:val="Heading3Char"/>
    <w:unhideWhenUsed/>
    <w:qFormat/>
    <w:rsid w:val="00B4443B"/>
    <w:pPr>
      <w:spacing w:before="240" w:line="288" w:lineRule="auto"/>
      <w:outlineLvl w:val="2"/>
    </w:pPr>
    <w:rPr>
      <w:rFonts w:ascii="Arial" w:hAnsi="Arial" w:cs="Arial"/>
      <w:b/>
      <w:color w:val="C10A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B4443B"/>
    <w:rPr>
      <w:rFonts w:ascii="Arial" w:hAnsi="Arial" w:cs="Arial"/>
      <w:b/>
      <w:color w:val="C10A27"/>
      <w:sz w:val="24"/>
      <w:szCs w:val="22"/>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 w:type="paragraph" w:styleId="FootnoteText">
    <w:name w:val="footnote text"/>
    <w:basedOn w:val="Normal"/>
    <w:link w:val="FootnoteTextChar"/>
    <w:unhideWhenUsed/>
    <w:rsid w:val="00B4443B"/>
    <w:pPr>
      <w:spacing w:before="0" w:after="0"/>
    </w:pPr>
    <w:rPr>
      <w:rFonts w:ascii="Arial" w:eastAsiaTheme="minorHAnsi" w:hAnsi="Arial" w:cstheme="minorBidi"/>
      <w:lang w:eastAsia="en-US"/>
    </w:rPr>
  </w:style>
  <w:style w:type="character" w:customStyle="1" w:styleId="FootnoteTextChar">
    <w:name w:val="Footnote Text Char"/>
    <w:basedOn w:val="DefaultParagraphFont"/>
    <w:link w:val="FootnoteText"/>
    <w:rsid w:val="00B4443B"/>
    <w:rPr>
      <w:rFonts w:ascii="Arial" w:eastAsiaTheme="minorHAnsi" w:hAnsi="Arial" w:cstheme="minorBidi"/>
      <w:lang w:eastAsia="en-US"/>
    </w:rPr>
  </w:style>
  <w:style w:type="character" w:styleId="FootnoteReference">
    <w:name w:val="footnote reference"/>
    <w:basedOn w:val="DefaultParagraphFont"/>
    <w:unhideWhenUsed/>
    <w:rsid w:val="00D62F28"/>
    <w:rPr>
      <w:vertAlign w:val="superscript"/>
    </w:rPr>
  </w:style>
  <w:style w:type="paragraph" w:styleId="NormalWeb">
    <w:name w:val="Normal (Web)"/>
    <w:basedOn w:val="Normal"/>
    <w:uiPriority w:val="99"/>
    <w:unhideWhenUsed/>
    <w:rsid w:val="003850F0"/>
    <w:pPr>
      <w:spacing w:before="100" w:beforeAutospacing="1" w:after="100" w:afterAutospacing="1"/>
    </w:pPr>
    <w:rPr>
      <w:rFonts w:ascii="Times New Roman" w:hAnsi="Times New Roman"/>
      <w:sz w:val="24"/>
      <w:szCs w:val="24"/>
    </w:rPr>
  </w:style>
  <w:style w:type="paragraph" w:customStyle="1" w:styleId="Bodytextjustified">
    <w:name w:val="Body text justified"/>
    <w:basedOn w:val="Normal"/>
    <w:qFormat/>
    <w:rsid w:val="009400C5"/>
    <w:pPr>
      <w:spacing w:line="288" w:lineRule="auto"/>
      <w:jc w:val="both"/>
    </w:pPr>
    <w:rPr>
      <w:rFonts w:ascii="Arial" w:hAnsi="Arial" w:cs="Arial"/>
      <w:sz w:val="22"/>
      <w:szCs w:val="22"/>
    </w:rPr>
  </w:style>
  <w:style w:type="paragraph" w:customStyle="1" w:styleId="Bullet-para">
    <w:name w:val="Bullet-para"/>
    <w:basedOn w:val="ListParagraph"/>
    <w:rsid w:val="00F70C35"/>
    <w:pPr>
      <w:numPr>
        <w:numId w:val="25"/>
      </w:numPr>
      <w:spacing w:before="120" w:after="120" w:line="288" w:lineRule="auto"/>
      <w:ind w:left="709" w:hanging="357"/>
      <w:jc w:val="both"/>
    </w:pPr>
    <w:rPr>
      <w:rFonts w:ascii="Arial" w:hAnsi="Arial"/>
      <w:sz w:val="22"/>
    </w:rPr>
  </w:style>
  <w:style w:type="paragraph" w:customStyle="1" w:styleId="Style1">
    <w:name w:val="Style1"/>
    <w:basedOn w:val="Normal"/>
    <w:qFormat/>
    <w:rsid w:val="00A3763E"/>
    <w:pPr>
      <w:spacing w:after="160" w:line="24" w:lineRule="atLeast"/>
      <w:ind w:left="357" w:firstLine="357"/>
    </w:pPr>
    <w:rPr>
      <w:rFonts w:ascii="Arial" w:hAnsi="Arial" w:cs="Arial"/>
    </w:rPr>
  </w:style>
  <w:style w:type="paragraph" w:customStyle="1" w:styleId="Nobulletpara">
    <w:name w:val="No bullet para"/>
    <w:basedOn w:val="Bullet-para"/>
    <w:qFormat/>
    <w:rsid w:val="00F70C35"/>
    <w:pPr>
      <w:numPr>
        <w:numId w:val="0"/>
      </w:numPr>
      <w:ind w:left="680"/>
      <w:contextualSpacing w:val="0"/>
    </w:pPr>
  </w:style>
  <w:style w:type="paragraph" w:styleId="EndnoteText">
    <w:name w:val="endnote text"/>
    <w:basedOn w:val="Normal"/>
    <w:link w:val="EndnoteTextChar"/>
    <w:rsid w:val="00B45DF2"/>
    <w:pPr>
      <w:spacing w:before="0" w:after="0"/>
    </w:pPr>
  </w:style>
  <w:style w:type="character" w:customStyle="1" w:styleId="EndnoteTextChar">
    <w:name w:val="Endnote Text Char"/>
    <w:basedOn w:val="DefaultParagraphFont"/>
    <w:link w:val="EndnoteText"/>
    <w:rsid w:val="00B45DF2"/>
    <w:rPr>
      <w:rFonts w:ascii="Myriad Pro" w:hAnsi="Myriad Pro"/>
    </w:rPr>
  </w:style>
  <w:style w:type="character" w:styleId="EndnoteReference">
    <w:name w:val="endnote reference"/>
    <w:basedOn w:val="DefaultParagraphFont"/>
    <w:rsid w:val="00B45DF2"/>
    <w:rPr>
      <w:vertAlign w:val="superscript"/>
    </w:rPr>
  </w:style>
  <w:style w:type="character" w:customStyle="1" w:styleId="Heading1Char">
    <w:name w:val="Heading 1 Char"/>
    <w:basedOn w:val="DefaultParagraphFont"/>
    <w:link w:val="Heading1"/>
    <w:rsid w:val="00B4443B"/>
    <w:rPr>
      <w:rFonts w:ascii="Arial" w:hAnsi="Arial" w:cs="Arial"/>
      <w:b/>
      <w:color w:val="C10A27"/>
      <w:sz w:val="32"/>
      <w:szCs w:val="22"/>
    </w:rPr>
  </w:style>
  <w:style w:type="character" w:customStyle="1" w:styleId="Heading3Char">
    <w:name w:val="Heading 3 Char"/>
    <w:basedOn w:val="DefaultParagraphFont"/>
    <w:link w:val="Heading3"/>
    <w:rsid w:val="00B4443B"/>
    <w:rPr>
      <w:rFonts w:ascii="Arial" w:hAnsi="Arial" w:cs="Arial"/>
      <w:b/>
      <w:color w:val="C10A27"/>
      <w:sz w:val="22"/>
      <w:szCs w:val="22"/>
    </w:rPr>
  </w:style>
  <w:style w:type="paragraph" w:styleId="NoSpacing">
    <w:name w:val="No Spacing"/>
    <w:link w:val="NoSpacingChar"/>
    <w:uiPriority w:val="1"/>
    <w:qFormat/>
    <w:rsid w:val="00D249D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249D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13">
      <w:bodyDiv w:val="1"/>
      <w:marLeft w:val="0"/>
      <w:marRight w:val="0"/>
      <w:marTop w:val="0"/>
      <w:marBottom w:val="0"/>
      <w:divBdr>
        <w:top w:val="none" w:sz="0" w:space="0" w:color="auto"/>
        <w:left w:val="none" w:sz="0" w:space="0" w:color="auto"/>
        <w:bottom w:val="none" w:sz="0" w:space="0" w:color="auto"/>
        <w:right w:val="none" w:sz="0" w:space="0" w:color="auto"/>
      </w:divBdr>
    </w:div>
    <w:div w:id="29260914">
      <w:bodyDiv w:val="1"/>
      <w:marLeft w:val="0"/>
      <w:marRight w:val="0"/>
      <w:marTop w:val="0"/>
      <w:marBottom w:val="0"/>
      <w:divBdr>
        <w:top w:val="none" w:sz="0" w:space="0" w:color="auto"/>
        <w:left w:val="none" w:sz="0" w:space="0" w:color="auto"/>
        <w:bottom w:val="none" w:sz="0" w:space="0" w:color="auto"/>
        <w:right w:val="none" w:sz="0" w:space="0" w:color="auto"/>
      </w:divBdr>
    </w:div>
    <w:div w:id="60249301">
      <w:bodyDiv w:val="1"/>
      <w:marLeft w:val="0"/>
      <w:marRight w:val="0"/>
      <w:marTop w:val="0"/>
      <w:marBottom w:val="0"/>
      <w:divBdr>
        <w:top w:val="none" w:sz="0" w:space="0" w:color="auto"/>
        <w:left w:val="none" w:sz="0" w:space="0" w:color="auto"/>
        <w:bottom w:val="none" w:sz="0" w:space="0" w:color="auto"/>
        <w:right w:val="none" w:sz="0" w:space="0" w:color="auto"/>
      </w:divBdr>
    </w:div>
    <w:div w:id="131337309">
      <w:bodyDiv w:val="1"/>
      <w:marLeft w:val="0"/>
      <w:marRight w:val="0"/>
      <w:marTop w:val="0"/>
      <w:marBottom w:val="0"/>
      <w:divBdr>
        <w:top w:val="none" w:sz="0" w:space="0" w:color="auto"/>
        <w:left w:val="none" w:sz="0" w:space="0" w:color="auto"/>
        <w:bottom w:val="none" w:sz="0" w:space="0" w:color="auto"/>
        <w:right w:val="none" w:sz="0" w:space="0" w:color="auto"/>
      </w:divBdr>
    </w:div>
    <w:div w:id="295188398">
      <w:bodyDiv w:val="1"/>
      <w:marLeft w:val="0"/>
      <w:marRight w:val="0"/>
      <w:marTop w:val="0"/>
      <w:marBottom w:val="0"/>
      <w:divBdr>
        <w:top w:val="none" w:sz="0" w:space="0" w:color="auto"/>
        <w:left w:val="none" w:sz="0" w:space="0" w:color="auto"/>
        <w:bottom w:val="none" w:sz="0" w:space="0" w:color="auto"/>
        <w:right w:val="none" w:sz="0" w:space="0" w:color="auto"/>
      </w:divBdr>
    </w:div>
    <w:div w:id="376242516">
      <w:bodyDiv w:val="1"/>
      <w:marLeft w:val="0"/>
      <w:marRight w:val="0"/>
      <w:marTop w:val="0"/>
      <w:marBottom w:val="0"/>
      <w:divBdr>
        <w:top w:val="none" w:sz="0" w:space="0" w:color="auto"/>
        <w:left w:val="none" w:sz="0" w:space="0" w:color="auto"/>
        <w:bottom w:val="none" w:sz="0" w:space="0" w:color="auto"/>
        <w:right w:val="none" w:sz="0" w:space="0" w:color="auto"/>
      </w:divBdr>
    </w:div>
    <w:div w:id="450561679">
      <w:bodyDiv w:val="1"/>
      <w:marLeft w:val="0"/>
      <w:marRight w:val="0"/>
      <w:marTop w:val="0"/>
      <w:marBottom w:val="0"/>
      <w:divBdr>
        <w:top w:val="none" w:sz="0" w:space="0" w:color="auto"/>
        <w:left w:val="none" w:sz="0" w:space="0" w:color="auto"/>
        <w:bottom w:val="none" w:sz="0" w:space="0" w:color="auto"/>
        <w:right w:val="none" w:sz="0" w:space="0" w:color="auto"/>
      </w:divBdr>
    </w:div>
    <w:div w:id="467479492">
      <w:bodyDiv w:val="1"/>
      <w:marLeft w:val="0"/>
      <w:marRight w:val="0"/>
      <w:marTop w:val="0"/>
      <w:marBottom w:val="0"/>
      <w:divBdr>
        <w:top w:val="none" w:sz="0" w:space="0" w:color="auto"/>
        <w:left w:val="none" w:sz="0" w:space="0" w:color="auto"/>
        <w:bottom w:val="none" w:sz="0" w:space="0" w:color="auto"/>
        <w:right w:val="none" w:sz="0" w:space="0" w:color="auto"/>
      </w:divBdr>
    </w:div>
    <w:div w:id="556235832">
      <w:bodyDiv w:val="1"/>
      <w:marLeft w:val="0"/>
      <w:marRight w:val="0"/>
      <w:marTop w:val="0"/>
      <w:marBottom w:val="0"/>
      <w:divBdr>
        <w:top w:val="none" w:sz="0" w:space="0" w:color="auto"/>
        <w:left w:val="none" w:sz="0" w:space="0" w:color="auto"/>
        <w:bottom w:val="none" w:sz="0" w:space="0" w:color="auto"/>
        <w:right w:val="none" w:sz="0" w:space="0" w:color="auto"/>
      </w:divBdr>
    </w:div>
    <w:div w:id="571084924">
      <w:bodyDiv w:val="1"/>
      <w:marLeft w:val="0"/>
      <w:marRight w:val="0"/>
      <w:marTop w:val="0"/>
      <w:marBottom w:val="0"/>
      <w:divBdr>
        <w:top w:val="none" w:sz="0" w:space="0" w:color="auto"/>
        <w:left w:val="none" w:sz="0" w:space="0" w:color="auto"/>
        <w:bottom w:val="none" w:sz="0" w:space="0" w:color="auto"/>
        <w:right w:val="none" w:sz="0" w:space="0" w:color="auto"/>
      </w:divBdr>
      <w:divsChild>
        <w:div w:id="1291672049">
          <w:marLeft w:val="0"/>
          <w:marRight w:val="0"/>
          <w:marTop w:val="0"/>
          <w:marBottom w:val="0"/>
          <w:divBdr>
            <w:top w:val="none" w:sz="0" w:space="0" w:color="auto"/>
            <w:left w:val="none" w:sz="0" w:space="0" w:color="auto"/>
            <w:bottom w:val="none" w:sz="0" w:space="0" w:color="auto"/>
            <w:right w:val="none" w:sz="0" w:space="0" w:color="auto"/>
          </w:divBdr>
          <w:divsChild>
            <w:div w:id="1863476566">
              <w:marLeft w:val="0"/>
              <w:marRight w:val="0"/>
              <w:marTop w:val="0"/>
              <w:marBottom w:val="0"/>
              <w:divBdr>
                <w:top w:val="none" w:sz="0" w:space="0" w:color="auto"/>
                <w:left w:val="none" w:sz="0" w:space="0" w:color="auto"/>
                <w:bottom w:val="none" w:sz="0" w:space="0" w:color="auto"/>
                <w:right w:val="none" w:sz="0" w:space="0" w:color="auto"/>
              </w:divBdr>
              <w:divsChild>
                <w:div w:id="1700665128">
                  <w:marLeft w:val="0"/>
                  <w:marRight w:val="0"/>
                  <w:marTop w:val="0"/>
                  <w:marBottom w:val="0"/>
                  <w:divBdr>
                    <w:top w:val="none" w:sz="0" w:space="0" w:color="auto"/>
                    <w:left w:val="none" w:sz="0" w:space="0" w:color="auto"/>
                    <w:bottom w:val="none" w:sz="0" w:space="0" w:color="auto"/>
                    <w:right w:val="none" w:sz="0" w:space="0" w:color="auto"/>
                  </w:divBdr>
                  <w:divsChild>
                    <w:div w:id="941374097">
                      <w:marLeft w:val="0"/>
                      <w:marRight w:val="0"/>
                      <w:marTop w:val="0"/>
                      <w:marBottom w:val="0"/>
                      <w:divBdr>
                        <w:top w:val="none" w:sz="0" w:space="0" w:color="auto"/>
                        <w:left w:val="none" w:sz="0" w:space="0" w:color="auto"/>
                        <w:bottom w:val="none" w:sz="0" w:space="0" w:color="auto"/>
                        <w:right w:val="none" w:sz="0" w:space="0" w:color="auto"/>
                      </w:divBdr>
                      <w:divsChild>
                        <w:div w:id="1011645697">
                          <w:marLeft w:val="0"/>
                          <w:marRight w:val="0"/>
                          <w:marTop w:val="0"/>
                          <w:marBottom w:val="0"/>
                          <w:divBdr>
                            <w:top w:val="none" w:sz="0" w:space="0" w:color="auto"/>
                            <w:left w:val="none" w:sz="0" w:space="0" w:color="auto"/>
                            <w:bottom w:val="none" w:sz="0" w:space="0" w:color="auto"/>
                            <w:right w:val="none" w:sz="0" w:space="0" w:color="auto"/>
                          </w:divBdr>
                          <w:divsChild>
                            <w:div w:id="157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11309">
      <w:bodyDiv w:val="1"/>
      <w:marLeft w:val="0"/>
      <w:marRight w:val="0"/>
      <w:marTop w:val="0"/>
      <w:marBottom w:val="0"/>
      <w:divBdr>
        <w:top w:val="none" w:sz="0" w:space="0" w:color="auto"/>
        <w:left w:val="none" w:sz="0" w:space="0" w:color="auto"/>
        <w:bottom w:val="none" w:sz="0" w:space="0" w:color="auto"/>
        <w:right w:val="none" w:sz="0" w:space="0" w:color="auto"/>
      </w:divBdr>
      <w:divsChild>
        <w:div w:id="1448813551">
          <w:marLeft w:val="0"/>
          <w:marRight w:val="0"/>
          <w:marTop w:val="0"/>
          <w:marBottom w:val="0"/>
          <w:divBdr>
            <w:top w:val="none" w:sz="0" w:space="0" w:color="auto"/>
            <w:left w:val="none" w:sz="0" w:space="0" w:color="auto"/>
            <w:bottom w:val="none" w:sz="0" w:space="0" w:color="auto"/>
            <w:right w:val="none" w:sz="0" w:space="0" w:color="auto"/>
          </w:divBdr>
          <w:divsChild>
            <w:div w:id="1412121096">
              <w:marLeft w:val="0"/>
              <w:marRight w:val="0"/>
              <w:marTop w:val="0"/>
              <w:marBottom w:val="0"/>
              <w:divBdr>
                <w:top w:val="none" w:sz="0" w:space="0" w:color="auto"/>
                <w:left w:val="none" w:sz="0" w:space="0" w:color="auto"/>
                <w:bottom w:val="none" w:sz="0" w:space="0" w:color="auto"/>
                <w:right w:val="none" w:sz="0" w:space="0" w:color="auto"/>
              </w:divBdr>
              <w:divsChild>
                <w:div w:id="1754929659">
                  <w:marLeft w:val="0"/>
                  <w:marRight w:val="0"/>
                  <w:marTop w:val="195"/>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sChild>
                        <w:div w:id="212163102">
                          <w:marLeft w:val="0"/>
                          <w:marRight w:val="0"/>
                          <w:marTop w:val="0"/>
                          <w:marBottom w:val="0"/>
                          <w:divBdr>
                            <w:top w:val="none" w:sz="0" w:space="0" w:color="auto"/>
                            <w:left w:val="none" w:sz="0" w:space="0" w:color="auto"/>
                            <w:bottom w:val="none" w:sz="0" w:space="0" w:color="auto"/>
                            <w:right w:val="none" w:sz="0" w:space="0" w:color="auto"/>
                          </w:divBdr>
                          <w:divsChild>
                            <w:div w:id="1581022357">
                              <w:marLeft w:val="0"/>
                              <w:marRight w:val="0"/>
                              <w:marTop w:val="0"/>
                              <w:marBottom w:val="0"/>
                              <w:divBdr>
                                <w:top w:val="none" w:sz="0" w:space="0" w:color="auto"/>
                                <w:left w:val="none" w:sz="0" w:space="0" w:color="auto"/>
                                <w:bottom w:val="none" w:sz="0" w:space="0" w:color="auto"/>
                                <w:right w:val="none" w:sz="0" w:space="0" w:color="auto"/>
                              </w:divBdr>
                              <w:divsChild>
                                <w:div w:id="249781420">
                                  <w:marLeft w:val="0"/>
                                  <w:marRight w:val="0"/>
                                  <w:marTop w:val="0"/>
                                  <w:marBottom w:val="0"/>
                                  <w:divBdr>
                                    <w:top w:val="none" w:sz="0" w:space="0" w:color="auto"/>
                                    <w:left w:val="none" w:sz="0" w:space="0" w:color="auto"/>
                                    <w:bottom w:val="none" w:sz="0" w:space="0" w:color="auto"/>
                                    <w:right w:val="none" w:sz="0" w:space="0" w:color="auto"/>
                                  </w:divBdr>
                                  <w:divsChild>
                                    <w:div w:id="237639755">
                                      <w:marLeft w:val="0"/>
                                      <w:marRight w:val="0"/>
                                      <w:marTop w:val="0"/>
                                      <w:marBottom w:val="0"/>
                                      <w:divBdr>
                                        <w:top w:val="none" w:sz="0" w:space="0" w:color="auto"/>
                                        <w:left w:val="none" w:sz="0" w:space="0" w:color="auto"/>
                                        <w:bottom w:val="none" w:sz="0" w:space="0" w:color="auto"/>
                                        <w:right w:val="none" w:sz="0" w:space="0" w:color="auto"/>
                                      </w:divBdr>
                                      <w:divsChild>
                                        <w:div w:id="637537655">
                                          <w:marLeft w:val="0"/>
                                          <w:marRight w:val="0"/>
                                          <w:marTop w:val="90"/>
                                          <w:marBottom w:val="0"/>
                                          <w:divBdr>
                                            <w:top w:val="none" w:sz="0" w:space="0" w:color="auto"/>
                                            <w:left w:val="none" w:sz="0" w:space="0" w:color="auto"/>
                                            <w:bottom w:val="none" w:sz="0" w:space="0" w:color="auto"/>
                                            <w:right w:val="none" w:sz="0" w:space="0" w:color="auto"/>
                                          </w:divBdr>
                                          <w:divsChild>
                                            <w:div w:id="154153935">
                                              <w:marLeft w:val="0"/>
                                              <w:marRight w:val="0"/>
                                              <w:marTop w:val="0"/>
                                              <w:marBottom w:val="0"/>
                                              <w:divBdr>
                                                <w:top w:val="none" w:sz="0" w:space="0" w:color="auto"/>
                                                <w:left w:val="none" w:sz="0" w:space="0" w:color="auto"/>
                                                <w:bottom w:val="none" w:sz="0" w:space="0" w:color="auto"/>
                                                <w:right w:val="none" w:sz="0" w:space="0" w:color="auto"/>
                                              </w:divBdr>
                                              <w:divsChild>
                                                <w:div w:id="614943206">
                                                  <w:marLeft w:val="0"/>
                                                  <w:marRight w:val="0"/>
                                                  <w:marTop w:val="0"/>
                                                  <w:marBottom w:val="0"/>
                                                  <w:divBdr>
                                                    <w:top w:val="none" w:sz="0" w:space="0" w:color="auto"/>
                                                    <w:left w:val="none" w:sz="0" w:space="0" w:color="auto"/>
                                                    <w:bottom w:val="none" w:sz="0" w:space="0" w:color="auto"/>
                                                    <w:right w:val="none" w:sz="0" w:space="0" w:color="auto"/>
                                                  </w:divBdr>
                                                  <w:divsChild>
                                                    <w:div w:id="1914781371">
                                                      <w:marLeft w:val="0"/>
                                                      <w:marRight w:val="0"/>
                                                      <w:marTop w:val="0"/>
                                                      <w:marBottom w:val="180"/>
                                                      <w:divBdr>
                                                        <w:top w:val="none" w:sz="0" w:space="0" w:color="auto"/>
                                                        <w:left w:val="none" w:sz="0" w:space="0" w:color="auto"/>
                                                        <w:bottom w:val="none" w:sz="0" w:space="0" w:color="auto"/>
                                                        <w:right w:val="none" w:sz="0" w:space="0" w:color="auto"/>
                                                      </w:divBdr>
                                                      <w:divsChild>
                                                        <w:div w:id="392312845">
                                                          <w:marLeft w:val="0"/>
                                                          <w:marRight w:val="0"/>
                                                          <w:marTop w:val="0"/>
                                                          <w:marBottom w:val="0"/>
                                                          <w:divBdr>
                                                            <w:top w:val="none" w:sz="0" w:space="0" w:color="auto"/>
                                                            <w:left w:val="none" w:sz="0" w:space="0" w:color="auto"/>
                                                            <w:bottom w:val="none" w:sz="0" w:space="0" w:color="auto"/>
                                                            <w:right w:val="none" w:sz="0" w:space="0" w:color="auto"/>
                                                          </w:divBdr>
                                                          <w:divsChild>
                                                            <w:div w:id="402870311">
                                                              <w:marLeft w:val="0"/>
                                                              <w:marRight w:val="0"/>
                                                              <w:marTop w:val="0"/>
                                                              <w:marBottom w:val="0"/>
                                                              <w:divBdr>
                                                                <w:top w:val="none" w:sz="0" w:space="0" w:color="auto"/>
                                                                <w:left w:val="none" w:sz="0" w:space="0" w:color="auto"/>
                                                                <w:bottom w:val="none" w:sz="0" w:space="0" w:color="auto"/>
                                                                <w:right w:val="none" w:sz="0" w:space="0" w:color="auto"/>
                                                              </w:divBdr>
                                                              <w:divsChild>
                                                                <w:div w:id="1805152138">
                                                                  <w:marLeft w:val="0"/>
                                                                  <w:marRight w:val="0"/>
                                                                  <w:marTop w:val="0"/>
                                                                  <w:marBottom w:val="0"/>
                                                                  <w:divBdr>
                                                                    <w:top w:val="none" w:sz="0" w:space="0" w:color="auto"/>
                                                                    <w:left w:val="none" w:sz="0" w:space="0" w:color="auto"/>
                                                                    <w:bottom w:val="none" w:sz="0" w:space="0" w:color="auto"/>
                                                                    <w:right w:val="none" w:sz="0" w:space="0" w:color="auto"/>
                                                                  </w:divBdr>
                                                                  <w:divsChild>
                                                                    <w:div w:id="1392458145">
                                                                      <w:marLeft w:val="0"/>
                                                                      <w:marRight w:val="0"/>
                                                                      <w:marTop w:val="0"/>
                                                                      <w:marBottom w:val="0"/>
                                                                      <w:divBdr>
                                                                        <w:top w:val="none" w:sz="0" w:space="0" w:color="auto"/>
                                                                        <w:left w:val="none" w:sz="0" w:space="0" w:color="auto"/>
                                                                        <w:bottom w:val="none" w:sz="0" w:space="0" w:color="auto"/>
                                                                        <w:right w:val="none" w:sz="0" w:space="0" w:color="auto"/>
                                                                      </w:divBdr>
                                                                      <w:divsChild>
                                                                        <w:div w:id="806046657">
                                                                          <w:marLeft w:val="0"/>
                                                                          <w:marRight w:val="0"/>
                                                                          <w:marTop w:val="0"/>
                                                                          <w:marBottom w:val="0"/>
                                                                          <w:divBdr>
                                                                            <w:top w:val="none" w:sz="0" w:space="0" w:color="auto"/>
                                                                            <w:left w:val="none" w:sz="0" w:space="0" w:color="auto"/>
                                                                            <w:bottom w:val="none" w:sz="0" w:space="0" w:color="auto"/>
                                                                            <w:right w:val="none" w:sz="0" w:space="0" w:color="auto"/>
                                                                          </w:divBdr>
                                                                          <w:divsChild>
                                                                            <w:div w:id="567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279127">
      <w:bodyDiv w:val="1"/>
      <w:marLeft w:val="0"/>
      <w:marRight w:val="0"/>
      <w:marTop w:val="0"/>
      <w:marBottom w:val="0"/>
      <w:divBdr>
        <w:top w:val="none" w:sz="0" w:space="0" w:color="auto"/>
        <w:left w:val="none" w:sz="0" w:space="0" w:color="auto"/>
        <w:bottom w:val="none" w:sz="0" w:space="0" w:color="auto"/>
        <w:right w:val="none" w:sz="0" w:space="0" w:color="auto"/>
      </w:divBdr>
    </w:div>
    <w:div w:id="761684168">
      <w:bodyDiv w:val="1"/>
      <w:marLeft w:val="0"/>
      <w:marRight w:val="0"/>
      <w:marTop w:val="0"/>
      <w:marBottom w:val="0"/>
      <w:divBdr>
        <w:top w:val="none" w:sz="0" w:space="0" w:color="auto"/>
        <w:left w:val="none" w:sz="0" w:space="0" w:color="auto"/>
        <w:bottom w:val="none" w:sz="0" w:space="0" w:color="auto"/>
        <w:right w:val="none" w:sz="0" w:space="0" w:color="auto"/>
      </w:divBdr>
    </w:div>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860900787">
      <w:bodyDiv w:val="1"/>
      <w:marLeft w:val="0"/>
      <w:marRight w:val="0"/>
      <w:marTop w:val="0"/>
      <w:marBottom w:val="0"/>
      <w:divBdr>
        <w:top w:val="none" w:sz="0" w:space="0" w:color="auto"/>
        <w:left w:val="none" w:sz="0" w:space="0" w:color="auto"/>
        <w:bottom w:val="none" w:sz="0" w:space="0" w:color="auto"/>
        <w:right w:val="none" w:sz="0" w:space="0" w:color="auto"/>
      </w:divBdr>
    </w:div>
    <w:div w:id="965239029">
      <w:bodyDiv w:val="1"/>
      <w:marLeft w:val="0"/>
      <w:marRight w:val="0"/>
      <w:marTop w:val="0"/>
      <w:marBottom w:val="0"/>
      <w:divBdr>
        <w:top w:val="none" w:sz="0" w:space="0" w:color="auto"/>
        <w:left w:val="none" w:sz="0" w:space="0" w:color="auto"/>
        <w:bottom w:val="none" w:sz="0" w:space="0" w:color="auto"/>
        <w:right w:val="none" w:sz="0" w:space="0" w:color="auto"/>
      </w:divBdr>
    </w:div>
    <w:div w:id="1108961329">
      <w:bodyDiv w:val="1"/>
      <w:marLeft w:val="0"/>
      <w:marRight w:val="0"/>
      <w:marTop w:val="0"/>
      <w:marBottom w:val="0"/>
      <w:divBdr>
        <w:top w:val="none" w:sz="0" w:space="0" w:color="auto"/>
        <w:left w:val="none" w:sz="0" w:space="0" w:color="auto"/>
        <w:bottom w:val="none" w:sz="0" w:space="0" w:color="auto"/>
        <w:right w:val="none" w:sz="0" w:space="0" w:color="auto"/>
      </w:divBdr>
      <w:divsChild>
        <w:div w:id="1259870545">
          <w:marLeft w:val="0"/>
          <w:marRight w:val="0"/>
          <w:marTop w:val="0"/>
          <w:marBottom w:val="0"/>
          <w:divBdr>
            <w:top w:val="none" w:sz="0" w:space="0" w:color="auto"/>
            <w:left w:val="none" w:sz="0" w:space="0" w:color="auto"/>
            <w:bottom w:val="none" w:sz="0" w:space="0" w:color="auto"/>
            <w:right w:val="none" w:sz="0" w:space="0" w:color="auto"/>
          </w:divBdr>
          <w:divsChild>
            <w:div w:id="1195655845">
              <w:marLeft w:val="0"/>
              <w:marRight w:val="0"/>
              <w:marTop w:val="0"/>
              <w:marBottom w:val="0"/>
              <w:divBdr>
                <w:top w:val="none" w:sz="0" w:space="0" w:color="auto"/>
                <w:left w:val="none" w:sz="0" w:space="0" w:color="auto"/>
                <w:bottom w:val="none" w:sz="0" w:space="0" w:color="auto"/>
                <w:right w:val="none" w:sz="0" w:space="0" w:color="auto"/>
              </w:divBdr>
              <w:divsChild>
                <w:div w:id="1411855922">
                  <w:marLeft w:val="0"/>
                  <w:marRight w:val="0"/>
                  <w:marTop w:val="0"/>
                  <w:marBottom w:val="0"/>
                  <w:divBdr>
                    <w:top w:val="none" w:sz="0" w:space="0" w:color="auto"/>
                    <w:left w:val="none" w:sz="0" w:space="0" w:color="auto"/>
                    <w:bottom w:val="none" w:sz="0" w:space="0" w:color="auto"/>
                    <w:right w:val="none" w:sz="0" w:space="0" w:color="auto"/>
                  </w:divBdr>
                  <w:divsChild>
                    <w:div w:id="1090004126">
                      <w:marLeft w:val="0"/>
                      <w:marRight w:val="0"/>
                      <w:marTop w:val="0"/>
                      <w:marBottom w:val="0"/>
                      <w:divBdr>
                        <w:top w:val="none" w:sz="0" w:space="0" w:color="auto"/>
                        <w:left w:val="none" w:sz="0" w:space="0" w:color="auto"/>
                        <w:bottom w:val="none" w:sz="0" w:space="0" w:color="auto"/>
                        <w:right w:val="none" w:sz="0" w:space="0" w:color="auto"/>
                      </w:divBdr>
                      <w:divsChild>
                        <w:div w:id="1983147321">
                          <w:marLeft w:val="0"/>
                          <w:marRight w:val="0"/>
                          <w:marTop w:val="0"/>
                          <w:marBottom w:val="0"/>
                          <w:divBdr>
                            <w:top w:val="none" w:sz="0" w:space="0" w:color="auto"/>
                            <w:left w:val="none" w:sz="0" w:space="0" w:color="auto"/>
                            <w:bottom w:val="none" w:sz="0" w:space="0" w:color="auto"/>
                            <w:right w:val="none" w:sz="0" w:space="0" w:color="auto"/>
                          </w:divBdr>
                          <w:divsChild>
                            <w:div w:id="1906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7993">
      <w:bodyDiv w:val="1"/>
      <w:marLeft w:val="0"/>
      <w:marRight w:val="0"/>
      <w:marTop w:val="0"/>
      <w:marBottom w:val="0"/>
      <w:divBdr>
        <w:top w:val="none" w:sz="0" w:space="0" w:color="auto"/>
        <w:left w:val="none" w:sz="0" w:space="0" w:color="auto"/>
        <w:bottom w:val="none" w:sz="0" w:space="0" w:color="auto"/>
        <w:right w:val="none" w:sz="0" w:space="0" w:color="auto"/>
      </w:divBdr>
    </w:div>
    <w:div w:id="1358312846">
      <w:bodyDiv w:val="1"/>
      <w:marLeft w:val="0"/>
      <w:marRight w:val="0"/>
      <w:marTop w:val="0"/>
      <w:marBottom w:val="0"/>
      <w:divBdr>
        <w:top w:val="none" w:sz="0" w:space="0" w:color="auto"/>
        <w:left w:val="none" w:sz="0" w:space="0" w:color="auto"/>
        <w:bottom w:val="none" w:sz="0" w:space="0" w:color="auto"/>
        <w:right w:val="none" w:sz="0" w:space="0" w:color="auto"/>
      </w:divBdr>
    </w:div>
    <w:div w:id="1605111660">
      <w:bodyDiv w:val="1"/>
      <w:marLeft w:val="0"/>
      <w:marRight w:val="0"/>
      <w:marTop w:val="0"/>
      <w:marBottom w:val="0"/>
      <w:divBdr>
        <w:top w:val="none" w:sz="0" w:space="0" w:color="auto"/>
        <w:left w:val="none" w:sz="0" w:space="0" w:color="auto"/>
        <w:bottom w:val="none" w:sz="0" w:space="0" w:color="auto"/>
        <w:right w:val="none" w:sz="0" w:space="0" w:color="auto"/>
      </w:divBdr>
    </w:div>
    <w:div w:id="1630748662">
      <w:bodyDiv w:val="1"/>
      <w:marLeft w:val="0"/>
      <w:marRight w:val="0"/>
      <w:marTop w:val="0"/>
      <w:marBottom w:val="0"/>
      <w:divBdr>
        <w:top w:val="none" w:sz="0" w:space="0" w:color="auto"/>
        <w:left w:val="none" w:sz="0" w:space="0" w:color="auto"/>
        <w:bottom w:val="none" w:sz="0" w:space="0" w:color="auto"/>
        <w:right w:val="none" w:sz="0" w:space="0" w:color="auto"/>
      </w:divBdr>
    </w:div>
    <w:div w:id="1669745597">
      <w:bodyDiv w:val="1"/>
      <w:marLeft w:val="0"/>
      <w:marRight w:val="0"/>
      <w:marTop w:val="0"/>
      <w:marBottom w:val="0"/>
      <w:divBdr>
        <w:top w:val="none" w:sz="0" w:space="0" w:color="auto"/>
        <w:left w:val="none" w:sz="0" w:space="0" w:color="auto"/>
        <w:bottom w:val="none" w:sz="0" w:space="0" w:color="auto"/>
        <w:right w:val="none" w:sz="0" w:space="0" w:color="auto"/>
      </w:divBdr>
    </w:div>
    <w:div w:id="1673726968">
      <w:bodyDiv w:val="1"/>
      <w:marLeft w:val="0"/>
      <w:marRight w:val="0"/>
      <w:marTop w:val="0"/>
      <w:marBottom w:val="0"/>
      <w:divBdr>
        <w:top w:val="none" w:sz="0" w:space="0" w:color="auto"/>
        <w:left w:val="none" w:sz="0" w:space="0" w:color="auto"/>
        <w:bottom w:val="none" w:sz="0" w:space="0" w:color="auto"/>
        <w:right w:val="none" w:sz="0" w:space="0" w:color="auto"/>
      </w:divBdr>
      <w:divsChild>
        <w:div w:id="1341853196">
          <w:marLeft w:val="0"/>
          <w:marRight w:val="0"/>
          <w:marTop w:val="0"/>
          <w:marBottom w:val="0"/>
          <w:divBdr>
            <w:top w:val="none" w:sz="0" w:space="0" w:color="auto"/>
            <w:left w:val="none" w:sz="0" w:space="0" w:color="auto"/>
            <w:bottom w:val="none" w:sz="0" w:space="0" w:color="auto"/>
            <w:right w:val="none" w:sz="0" w:space="0" w:color="auto"/>
          </w:divBdr>
          <w:divsChild>
            <w:div w:id="1243685579">
              <w:marLeft w:val="0"/>
              <w:marRight w:val="0"/>
              <w:marTop w:val="0"/>
              <w:marBottom w:val="0"/>
              <w:divBdr>
                <w:top w:val="none" w:sz="0" w:space="0" w:color="auto"/>
                <w:left w:val="none" w:sz="0" w:space="0" w:color="auto"/>
                <w:bottom w:val="none" w:sz="0" w:space="0" w:color="auto"/>
                <w:right w:val="none" w:sz="0" w:space="0" w:color="auto"/>
              </w:divBdr>
              <w:divsChild>
                <w:div w:id="1343049735">
                  <w:marLeft w:val="0"/>
                  <w:marRight w:val="0"/>
                  <w:marTop w:val="0"/>
                  <w:marBottom w:val="0"/>
                  <w:divBdr>
                    <w:top w:val="none" w:sz="0" w:space="0" w:color="auto"/>
                    <w:left w:val="none" w:sz="0" w:space="0" w:color="auto"/>
                    <w:bottom w:val="none" w:sz="0" w:space="0" w:color="auto"/>
                    <w:right w:val="none" w:sz="0" w:space="0" w:color="auto"/>
                  </w:divBdr>
                  <w:divsChild>
                    <w:div w:id="266734725">
                      <w:marLeft w:val="0"/>
                      <w:marRight w:val="0"/>
                      <w:marTop w:val="0"/>
                      <w:marBottom w:val="0"/>
                      <w:divBdr>
                        <w:top w:val="none" w:sz="0" w:space="0" w:color="auto"/>
                        <w:left w:val="none" w:sz="0" w:space="0" w:color="auto"/>
                        <w:bottom w:val="none" w:sz="0" w:space="0" w:color="auto"/>
                        <w:right w:val="none" w:sz="0" w:space="0" w:color="auto"/>
                      </w:divBdr>
                      <w:divsChild>
                        <w:div w:id="1665234285">
                          <w:marLeft w:val="0"/>
                          <w:marRight w:val="0"/>
                          <w:marTop w:val="0"/>
                          <w:marBottom w:val="0"/>
                          <w:divBdr>
                            <w:top w:val="none" w:sz="0" w:space="0" w:color="auto"/>
                            <w:left w:val="none" w:sz="0" w:space="0" w:color="auto"/>
                            <w:bottom w:val="none" w:sz="0" w:space="0" w:color="auto"/>
                            <w:right w:val="none" w:sz="0" w:space="0" w:color="auto"/>
                          </w:divBdr>
                          <w:divsChild>
                            <w:div w:id="1473716979">
                              <w:marLeft w:val="0"/>
                              <w:marRight w:val="0"/>
                              <w:marTop w:val="0"/>
                              <w:marBottom w:val="0"/>
                              <w:divBdr>
                                <w:top w:val="none" w:sz="0" w:space="0" w:color="auto"/>
                                <w:left w:val="none" w:sz="0" w:space="0" w:color="auto"/>
                                <w:bottom w:val="none" w:sz="0" w:space="0" w:color="auto"/>
                                <w:right w:val="none" w:sz="0" w:space="0" w:color="auto"/>
                              </w:divBdr>
                              <w:divsChild>
                                <w:div w:id="1880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763852">
      <w:bodyDiv w:val="1"/>
      <w:marLeft w:val="0"/>
      <w:marRight w:val="0"/>
      <w:marTop w:val="0"/>
      <w:marBottom w:val="0"/>
      <w:divBdr>
        <w:top w:val="none" w:sz="0" w:space="0" w:color="auto"/>
        <w:left w:val="none" w:sz="0" w:space="0" w:color="auto"/>
        <w:bottom w:val="none" w:sz="0" w:space="0" w:color="auto"/>
        <w:right w:val="none" w:sz="0" w:space="0" w:color="auto"/>
      </w:divBdr>
    </w:div>
    <w:div w:id="1871529454">
      <w:bodyDiv w:val="1"/>
      <w:marLeft w:val="0"/>
      <w:marRight w:val="0"/>
      <w:marTop w:val="0"/>
      <w:marBottom w:val="0"/>
      <w:divBdr>
        <w:top w:val="none" w:sz="0" w:space="0" w:color="auto"/>
        <w:left w:val="none" w:sz="0" w:space="0" w:color="auto"/>
        <w:bottom w:val="none" w:sz="0" w:space="0" w:color="auto"/>
        <w:right w:val="none" w:sz="0" w:space="0" w:color="auto"/>
      </w:divBdr>
    </w:div>
    <w:div w:id="1905984657">
      <w:bodyDiv w:val="1"/>
      <w:marLeft w:val="0"/>
      <w:marRight w:val="0"/>
      <w:marTop w:val="0"/>
      <w:marBottom w:val="0"/>
      <w:divBdr>
        <w:top w:val="none" w:sz="0" w:space="0" w:color="auto"/>
        <w:left w:val="none" w:sz="0" w:space="0" w:color="auto"/>
        <w:bottom w:val="none" w:sz="0" w:space="0" w:color="auto"/>
        <w:right w:val="none" w:sz="0" w:space="0" w:color="auto"/>
      </w:divBdr>
    </w:div>
    <w:div w:id="1907720110">
      <w:bodyDiv w:val="1"/>
      <w:marLeft w:val="0"/>
      <w:marRight w:val="0"/>
      <w:marTop w:val="0"/>
      <w:marBottom w:val="0"/>
      <w:divBdr>
        <w:top w:val="none" w:sz="0" w:space="0" w:color="auto"/>
        <w:left w:val="none" w:sz="0" w:space="0" w:color="auto"/>
        <w:bottom w:val="none" w:sz="0" w:space="0" w:color="auto"/>
        <w:right w:val="none" w:sz="0" w:space="0" w:color="auto"/>
      </w:divBdr>
    </w:div>
    <w:div w:id="1921985897">
      <w:bodyDiv w:val="1"/>
      <w:marLeft w:val="0"/>
      <w:marRight w:val="0"/>
      <w:marTop w:val="0"/>
      <w:marBottom w:val="0"/>
      <w:divBdr>
        <w:top w:val="none" w:sz="0" w:space="0" w:color="auto"/>
        <w:left w:val="none" w:sz="0" w:space="0" w:color="auto"/>
        <w:bottom w:val="none" w:sz="0" w:space="0" w:color="auto"/>
        <w:right w:val="none" w:sz="0" w:space="0" w:color="auto"/>
      </w:divBdr>
    </w:div>
    <w:div w:id="1922982742">
      <w:bodyDiv w:val="1"/>
      <w:marLeft w:val="0"/>
      <w:marRight w:val="0"/>
      <w:marTop w:val="0"/>
      <w:marBottom w:val="0"/>
      <w:divBdr>
        <w:top w:val="none" w:sz="0" w:space="0" w:color="auto"/>
        <w:left w:val="none" w:sz="0" w:space="0" w:color="auto"/>
        <w:bottom w:val="none" w:sz="0" w:space="0" w:color="auto"/>
        <w:right w:val="none" w:sz="0" w:space="0" w:color="auto"/>
      </w:divBdr>
    </w:div>
    <w:div w:id="2025083674">
      <w:bodyDiv w:val="1"/>
      <w:marLeft w:val="0"/>
      <w:marRight w:val="0"/>
      <w:marTop w:val="0"/>
      <w:marBottom w:val="0"/>
      <w:divBdr>
        <w:top w:val="none" w:sz="0" w:space="0" w:color="auto"/>
        <w:left w:val="none" w:sz="0" w:space="0" w:color="auto"/>
        <w:bottom w:val="none" w:sz="0" w:space="0" w:color="auto"/>
        <w:right w:val="none" w:sz="0" w:space="0" w:color="auto"/>
      </w:divBdr>
    </w:div>
    <w:div w:id="20736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E3D4-33FA-4537-813E-42AAD02E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6E5E914.dotm</Template>
  <TotalTime>0</TotalTime>
  <Pages>6</Pages>
  <Words>912</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2018-07-02T22:44:00Z</dcterms:created>
  <dcterms:modified xsi:type="dcterms:W3CDTF">2018-07-02T22:45:00Z</dcterms:modified>
</cp:coreProperties>
</file>