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857194352"/>
        <w:docPartObj>
          <w:docPartGallery w:val="Cover Pages"/>
          <w:docPartUnique/>
        </w:docPartObj>
      </w:sdtPr>
      <w:sdtEndPr>
        <w:rPr>
          <w:rFonts w:ascii="Arial" w:hAnsi="Arial" w:cs="Arial"/>
          <w:b/>
          <w:color w:val="FFFFFF" w:themeColor="background1"/>
          <w:sz w:val="56"/>
          <w:szCs w:val="80"/>
        </w:rPr>
      </w:sdtEndPr>
      <w:sdtContent>
        <w:p w14:paraId="4ADA834E" w14:textId="56937CBC" w:rsidR="00F73343" w:rsidRPr="00406808" w:rsidRDefault="00406808" w:rsidP="00406808">
          <w:r w:rsidRPr="00C56FFA">
            <w:rPr>
              <w:noProof/>
              <w:color w:val="FFFFFF" w:themeColor="background1"/>
              <w:sz w:val="80"/>
              <w:szCs w:val="80"/>
            </w:rPr>
            <w:drawing>
              <wp:anchor distT="0" distB="0" distL="114300" distR="114300" simplePos="0" relativeHeight="251659264" behindDoc="1" locked="0" layoutInCell="1" allowOverlap="1" wp14:anchorId="37DDB00A" wp14:editId="6459674C">
                <wp:simplePos x="0" y="0"/>
                <wp:positionH relativeFrom="column">
                  <wp:posOffset>-639445</wp:posOffset>
                </wp:positionH>
                <wp:positionV relativeFrom="paragraph">
                  <wp:posOffset>-502920</wp:posOffset>
                </wp:positionV>
                <wp:extent cx="9448800" cy="2600325"/>
                <wp:effectExtent l="0" t="0" r="0" b="9525"/>
                <wp:wrapNone/>
                <wp:docPr id="1" name="Picture 1" descr="Red and black cover bann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6 Publications\SWA Updated Brand 161121\Jpegs for layout\Layered 45 Pages\Layered for cover.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448800" cy="2600325"/>
                        </a:xfrm>
                        <a:prstGeom prst="rect">
                          <a:avLst/>
                        </a:prstGeom>
                        <a:noFill/>
                        <a:ln>
                          <a:noFill/>
                        </a:ln>
                      </pic:spPr>
                    </pic:pic>
                  </a:graphicData>
                </a:graphic>
                <wp14:sizeRelH relativeFrom="page">
                  <wp14:pctWidth>0</wp14:pctWidth>
                </wp14:sizeRelH>
                <wp14:sizeRelV relativeFrom="page">
                  <wp14:pctHeight>0</wp14:pctHeight>
                </wp14:sizeRelV>
              </wp:anchor>
            </w:drawing>
          </w:r>
          <w:r w:rsidR="00F73343">
            <w:rPr>
              <w:rFonts w:ascii="Arial" w:hAnsi="Arial" w:cs="Arial"/>
              <w:b/>
              <w:color w:val="FFFFFF" w:themeColor="background1"/>
              <w:sz w:val="56"/>
              <w:szCs w:val="80"/>
            </w:rPr>
            <w:t>Priority i</w:t>
          </w:r>
          <w:r w:rsidR="00F73343" w:rsidRPr="002E6551">
            <w:rPr>
              <w:rFonts w:ascii="Arial" w:hAnsi="Arial" w:cs="Arial"/>
              <w:b/>
              <w:color w:val="FFFFFF" w:themeColor="background1"/>
              <w:sz w:val="56"/>
              <w:szCs w:val="80"/>
            </w:rPr>
            <w:t xml:space="preserve">ndustry </w:t>
          </w:r>
          <w:r w:rsidR="00F73343">
            <w:rPr>
              <w:rFonts w:ascii="Arial" w:hAnsi="Arial" w:cs="Arial"/>
              <w:b/>
              <w:color w:val="FFFFFF" w:themeColor="background1"/>
              <w:sz w:val="56"/>
              <w:szCs w:val="80"/>
            </w:rPr>
            <w:t>s</w:t>
          </w:r>
          <w:r w:rsidR="00F73343" w:rsidRPr="002E6551">
            <w:rPr>
              <w:rFonts w:ascii="Arial" w:hAnsi="Arial" w:cs="Arial"/>
              <w:b/>
              <w:color w:val="FFFFFF" w:themeColor="background1"/>
              <w:sz w:val="56"/>
              <w:szCs w:val="80"/>
            </w:rPr>
            <w:t>napshot</w:t>
          </w:r>
          <w:r w:rsidR="00F73343">
            <w:rPr>
              <w:rFonts w:ascii="Arial" w:hAnsi="Arial" w:cs="Arial"/>
              <w:b/>
              <w:color w:val="FFFFFF" w:themeColor="background1"/>
              <w:sz w:val="56"/>
              <w:szCs w:val="80"/>
            </w:rPr>
            <w:t>:</w:t>
          </w:r>
        </w:p>
        <w:p w14:paraId="3BEC261F" w14:textId="0925C36E" w:rsidR="00F73343" w:rsidRDefault="00F73343" w:rsidP="00F73343">
          <w:pPr>
            <w:pStyle w:val="Title"/>
            <w:spacing w:after="0"/>
            <w:rPr>
              <w:rFonts w:ascii="Arial" w:hAnsi="Arial" w:cs="Arial"/>
              <w:b/>
              <w:color w:val="FFFFFF" w:themeColor="background1"/>
              <w:sz w:val="72"/>
              <w:szCs w:val="80"/>
            </w:rPr>
          </w:pPr>
          <w:r w:rsidRPr="002E6551">
            <w:rPr>
              <w:rFonts w:ascii="Arial" w:hAnsi="Arial" w:cs="Arial"/>
              <w:b/>
              <w:color w:val="FFFFFF" w:themeColor="background1"/>
              <w:sz w:val="72"/>
              <w:szCs w:val="80"/>
            </w:rPr>
            <w:t xml:space="preserve">Health </w:t>
          </w:r>
          <w:r>
            <w:rPr>
              <w:rFonts w:ascii="Arial" w:hAnsi="Arial" w:cs="Arial"/>
              <w:b/>
              <w:color w:val="FFFFFF" w:themeColor="background1"/>
              <w:sz w:val="72"/>
              <w:szCs w:val="80"/>
            </w:rPr>
            <w:t>c</w:t>
          </w:r>
          <w:r w:rsidRPr="002E6551">
            <w:rPr>
              <w:rFonts w:ascii="Arial" w:hAnsi="Arial" w:cs="Arial"/>
              <w:b/>
              <w:color w:val="FFFFFF" w:themeColor="background1"/>
              <w:sz w:val="72"/>
              <w:szCs w:val="80"/>
            </w:rPr>
            <w:t xml:space="preserve">are </w:t>
          </w:r>
          <w:r>
            <w:rPr>
              <w:rFonts w:ascii="Arial" w:hAnsi="Arial" w:cs="Arial"/>
              <w:b/>
              <w:color w:val="FFFFFF" w:themeColor="background1"/>
              <w:sz w:val="72"/>
              <w:szCs w:val="80"/>
            </w:rPr>
            <w:t>and</w:t>
          </w:r>
          <w:r w:rsidRPr="002E6551">
            <w:rPr>
              <w:rFonts w:ascii="Arial" w:hAnsi="Arial" w:cs="Arial"/>
              <w:b/>
              <w:color w:val="FFFFFF" w:themeColor="background1"/>
              <w:sz w:val="72"/>
              <w:szCs w:val="80"/>
            </w:rPr>
            <w:t xml:space="preserve"> </w:t>
          </w:r>
          <w:r>
            <w:rPr>
              <w:rFonts w:ascii="Arial" w:hAnsi="Arial" w:cs="Arial"/>
              <w:b/>
              <w:color w:val="FFFFFF" w:themeColor="background1"/>
              <w:sz w:val="72"/>
              <w:szCs w:val="80"/>
            </w:rPr>
            <w:t>s</w:t>
          </w:r>
          <w:r w:rsidRPr="002E6551">
            <w:rPr>
              <w:rFonts w:ascii="Arial" w:hAnsi="Arial" w:cs="Arial"/>
              <w:b/>
              <w:color w:val="FFFFFF" w:themeColor="background1"/>
              <w:sz w:val="72"/>
              <w:szCs w:val="80"/>
            </w:rPr>
            <w:t xml:space="preserve">ocial </w:t>
          </w:r>
          <w:r>
            <w:rPr>
              <w:rFonts w:ascii="Arial" w:hAnsi="Arial" w:cs="Arial"/>
              <w:b/>
              <w:color w:val="FFFFFF" w:themeColor="background1"/>
              <w:sz w:val="72"/>
              <w:szCs w:val="80"/>
            </w:rPr>
            <w:t>a</w:t>
          </w:r>
          <w:r w:rsidRPr="002E6551">
            <w:rPr>
              <w:rFonts w:ascii="Arial" w:hAnsi="Arial" w:cs="Arial"/>
              <w:b/>
              <w:color w:val="FFFFFF" w:themeColor="background1"/>
              <w:sz w:val="72"/>
              <w:szCs w:val="80"/>
            </w:rPr>
            <w:t>ssistance</w:t>
          </w:r>
        </w:p>
        <w:p w14:paraId="6D7F447B" w14:textId="77777777" w:rsidR="00F73343" w:rsidRPr="0049715F" w:rsidRDefault="00F73343" w:rsidP="00F73343">
          <w:pPr>
            <w:pStyle w:val="Title"/>
            <w:spacing w:after="240"/>
            <w:jc w:val="right"/>
            <w:rPr>
              <w:rFonts w:ascii="Arial" w:hAnsi="Arial" w:cs="Arial"/>
              <w:b/>
              <w:color w:val="FFFFFF" w:themeColor="background1"/>
              <w:sz w:val="36"/>
              <w:szCs w:val="36"/>
            </w:rPr>
          </w:pPr>
          <w:r>
            <w:rPr>
              <w:rFonts w:ascii="Arial" w:hAnsi="Arial" w:cs="Arial"/>
              <w:b/>
              <w:color w:val="FFFFFF" w:themeColor="background1"/>
              <w:sz w:val="36"/>
              <w:szCs w:val="36"/>
            </w:rPr>
            <w:t>June</w:t>
          </w:r>
          <w:r w:rsidRPr="0049715F">
            <w:rPr>
              <w:rFonts w:ascii="Arial" w:hAnsi="Arial" w:cs="Arial"/>
              <w:b/>
              <w:color w:val="FFFFFF" w:themeColor="background1"/>
              <w:sz w:val="36"/>
              <w:szCs w:val="36"/>
            </w:rPr>
            <w:t xml:space="preserve"> 2018</w:t>
          </w:r>
        </w:p>
        <w:p w14:paraId="489CB2BE" w14:textId="77777777" w:rsidR="00406808" w:rsidRDefault="00406808" w:rsidP="00F73343">
          <w:pPr>
            <w:pStyle w:val="Bodytextjustified"/>
            <w:jc w:val="left"/>
          </w:pPr>
        </w:p>
        <w:p w14:paraId="46731EFD" w14:textId="4DC6399A" w:rsidR="00F73343" w:rsidRDefault="00F73343" w:rsidP="00F73343">
          <w:pPr>
            <w:pStyle w:val="Bodytextjustified"/>
            <w:jc w:val="left"/>
          </w:pPr>
          <w:r>
            <w:t xml:space="preserve">The health care and social assistance industry is </w:t>
          </w:r>
          <w:r w:rsidRPr="004076EF">
            <w:t xml:space="preserve">identified as a national priority </w:t>
          </w:r>
          <w:r>
            <w:t>to reduce the number and rate of work-related injuries and diseases in</w:t>
          </w:r>
          <w:r w:rsidRPr="004076EF">
            <w:t xml:space="preserve"> the </w:t>
          </w:r>
          <w:r w:rsidRPr="007F5A29">
            <w:rPr>
              <w:i/>
            </w:rPr>
            <w:t>Australian</w:t>
          </w:r>
          <w:r>
            <w:rPr>
              <w:i/>
            </w:rPr>
            <w:t> </w:t>
          </w:r>
          <w:r w:rsidRPr="007F5A29">
            <w:rPr>
              <w:i/>
            </w:rPr>
            <w:t>Work Health and Safety Strategy 2012</w:t>
          </w:r>
          <w:r>
            <w:rPr>
              <w:i/>
            </w:rPr>
            <w:noBreakHyphen/>
          </w:r>
          <w:r w:rsidRPr="007F5A29">
            <w:rPr>
              <w:i/>
            </w:rPr>
            <w:t>2022</w:t>
          </w:r>
          <w:r>
            <w:t>. The industry is the largest employing industry in Australia, accounting for 13 per cent of total employment, and includes four broad sub-industries: hospitals; medical and other health care services; residential care services; and social assistance services.</w:t>
          </w:r>
        </w:p>
        <w:p w14:paraId="4978B6F0" w14:textId="77777777" w:rsidR="00F73343" w:rsidRPr="004076EF" w:rsidRDefault="00F73343" w:rsidP="00F73343">
          <w:pPr>
            <w:pStyle w:val="Bodytextjustified"/>
            <w:jc w:val="left"/>
          </w:pPr>
          <w:r>
            <w:t>This is an overview of the industry and its work health and safety (WHS) performance, highlighting key WHS issues and segments of the industry where performance may be lagging.</w:t>
          </w:r>
        </w:p>
        <w:p w14:paraId="370EE5A9" w14:textId="77777777" w:rsidR="00F73343" w:rsidRDefault="00F73343" w:rsidP="00F73343">
          <w:pPr>
            <w:spacing w:after="0" w:line="288" w:lineRule="auto"/>
            <w:rPr>
              <w:rFonts w:ascii="Arial" w:hAnsi="Arial" w:cs="Arial"/>
              <w:b/>
              <w:color w:val="AF1E2D"/>
              <w:sz w:val="32"/>
              <w:szCs w:val="22"/>
            </w:rPr>
          </w:pPr>
          <w:r w:rsidRPr="00C035C5">
            <w:rPr>
              <w:rFonts w:ascii="Arial" w:hAnsi="Arial" w:cs="Arial"/>
              <w:b/>
              <w:noProof/>
              <w:color w:val="AF1E2D"/>
              <w:sz w:val="32"/>
              <w:szCs w:val="22"/>
            </w:rPr>
            <mc:AlternateContent>
              <mc:Choice Requires="wps">
                <w:drawing>
                  <wp:inline distT="0" distB="0" distL="0" distR="0" wp14:anchorId="65881B49" wp14:editId="318BB72E">
                    <wp:extent cx="6486525" cy="1403985"/>
                    <wp:effectExtent l="0" t="0" r="28575" b="2413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1403985"/>
                            </a:xfrm>
                            <a:prstGeom prst="rect">
                              <a:avLst/>
                            </a:prstGeom>
                            <a:solidFill>
                              <a:schemeClr val="bg1">
                                <a:lumMod val="85000"/>
                              </a:schemeClr>
                            </a:solidFill>
                            <a:ln w="9525">
                              <a:solidFill>
                                <a:srgbClr val="000000"/>
                              </a:solidFill>
                              <a:miter lim="800000"/>
                              <a:headEnd/>
                              <a:tailEnd/>
                            </a:ln>
                          </wps:spPr>
                          <wps:txbx>
                            <w:txbxContent>
                              <w:p w14:paraId="4E160441" w14:textId="77777777" w:rsidR="00F73343" w:rsidRDefault="00F73343" w:rsidP="00F73343">
                                <w:pPr>
                                  <w:pStyle w:val="Heading1"/>
                                  <w:spacing w:before="120"/>
                                </w:pPr>
                                <w:r>
                                  <w:t>Key points</w:t>
                                </w:r>
                              </w:p>
                              <w:p w14:paraId="3DAE1651" w14:textId="77777777" w:rsidR="00F73343" w:rsidRDefault="00F73343" w:rsidP="00F73343">
                                <w:pPr>
                                  <w:pStyle w:val="Bodytextjustified"/>
                                  <w:numPr>
                                    <w:ilvl w:val="0"/>
                                    <w:numId w:val="38"/>
                                  </w:numPr>
                                  <w:ind w:left="426"/>
                                </w:pPr>
                                <w:r>
                                  <w:t>Worker fatalities are relatively low with 3 fatalities per year.</w:t>
                                </w:r>
                              </w:p>
                              <w:p w14:paraId="5A9B000F" w14:textId="77777777" w:rsidR="00F73343" w:rsidRPr="001412E0" w:rsidRDefault="00F73343" w:rsidP="00F73343">
                                <w:pPr>
                                  <w:pStyle w:val="Bodytextjustified"/>
                                  <w:numPr>
                                    <w:ilvl w:val="0"/>
                                    <w:numId w:val="38"/>
                                  </w:numPr>
                                  <w:ind w:left="426"/>
                                </w:pPr>
                                <w:r>
                                  <w:t>The industry accounts for the highest proportion of workers’ compensation claims, with 17,795 claims per year.</w:t>
                                </w:r>
                              </w:p>
                              <w:p w14:paraId="075E291A" w14:textId="77777777" w:rsidR="00F73343" w:rsidRDefault="00F73343" w:rsidP="00F73343">
                                <w:pPr>
                                  <w:pStyle w:val="Bodytextjustified"/>
                                  <w:numPr>
                                    <w:ilvl w:val="0"/>
                                    <w:numId w:val="38"/>
                                  </w:numPr>
                                  <w:ind w:left="426"/>
                                </w:pPr>
                                <w:r>
                                  <w:t>The frequency rate for serious claims has decreased by 29 per cent over the last decade.</w:t>
                                </w:r>
                              </w:p>
                              <w:p w14:paraId="425B8244" w14:textId="77777777" w:rsidR="00F73343" w:rsidRDefault="00F73343" w:rsidP="00F73343">
                                <w:pPr>
                                  <w:pStyle w:val="Bodytextjustified"/>
                                  <w:numPr>
                                    <w:ilvl w:val="0"/>
                                    <w:numId w:val="38"/>
                                  </w:numPr>
                                  <w:ind w:left="426"/>
                                </w:pPr>
                                <w:r>
                                  <w:t>Older workers account for the majority of worker fatalities and recorded the highest serious claim frequency rates.</w:t>
                                </w:r>
                              </w:p>
                              <w:p w14:paraId="4BA150E8" w14:textId="77777777" w:rsidR="00F73343" w:rsidRDefault="00F73343" w:rsidP="00F73343">
                                <w:pPr>
                                  <w:pStyle w:val="Bodytextjustified"/>
                                  <w:numPr>
                                    <w:ilvl w:val="0"/>
                                    <w:numId w:val="38"/>
                                  </w:numPr>
                                  <w:ind w:left="426"/>
                                </w:pPr>
                                <w:r>
                                  <w:t>The hospitals, and residential care services sub-sectors account for the majority of serious claims and recorded the highest frequency rates.</w:t>
                                </w:r>
                              </w:p>
                              <w:p w14:paraId="06A9A4D5" w14:textId="77777777" w:rsidR="00F73343" w:rsidRDefault="00F73343" w:rsidP="00F73343">
                                <w:pPr>
                                  <w:pStyle w:val="Bodytextjustified"/>
                                  <w:numPr>
                                    <w:ilvl w:val="0"/>
                                    <w:numId w:val="38"/>
                                  </w:numPr>
                                  <w:ind w:left="426"/>
                                </w:pPr>
                                <w:r>
                                  <w:t>Carers and aides account for 31 per cent of serious claims, followed by health professionals who account for 19 per cent.</w:t>
                                </w:r>
                              </w:p>
                              <w:p w14:paraId="35253CF9" w14:textId="77777777" w:rsidR="00F73343" w:rsidRDefault="00F73343" w:rsidP="00F73343">
                                <w:pPr>
                                  <w:pStyle w:val="Bodytextjustified"/>
                                  <w:numPr>
                                    <w:ilvl w:val="0"/>
                                    <w:numId w:val="38"/>
                                  </w:numPr>
                                  <w:ind w:left="426"/>
                                </w:pPr>
                                <w:r>
                                  <w:t>The highest proportion of serious claims in the industry are due to:</w:t>
                                </w:r>
                              </w:p>
                              <w:p w14:paraId="70A0DBC5" w14:textId="77777777" w:rsidR="00F73343" w:rsidRDefault="00F73343" w:rsidP="00F73343">
                                <w:pPr>
                                  <w:pStyle w:val="Bodytextjustified"/>
                                  <w:numPr>
                                    <w:ilvl w:val="1"/>
                                    <w:numId w:val="38"/>
                                  </w:numPr>
                                </w:pPr>
                                <w:r>
                                  <w:t>muscular stress while handling objects (25 per cent)</w:t>
                                </w:r>
                              </w:p>
                              <w:p w14:paraId="661C0110" w14:textId="77777777" w:rsidR="00F73343" w:rsidRDefault="00F73343" w:rsidP="00F73343">
                                <w:pPr>
                                  <w:pStyle w:val="Bodytextjustified"/>
                                  <w:numPr>
                                    <w:ilvl w:val="1"/>
                                    <w:numId w:val="38"/>
                                  </w:numPr>
                                </w:pPr>
                                <w:r>
                                  <w:t xml:space="preserve">falls on the same level (15 per cent), and </w:t>
                                </w:r>
                              </w:p>
                              <w:p w14:paraId="5B619D40" w14:textId="77777777" w:rsidR="00F73343" w:rsidRDefault="00F73343" w:rsidP="00F73343">
                                <w:pPr>
                                  <w:pStyle w:val="Bodytextjustified"/>
                                  <w:numPr>
                                    <w:ilvl w:val="1"/>
                                    <w:numId w:val="38"/>
                                  </w:numPr>
                                </w:pPr>
                                <w:proofErr w:type="gramStart"/>
                                <w:r>
                                  <w:t>muscular</w:t>
                                </w:r>
                                <w:proofErr w:type="gramEnd"/>
                                <w:r>
                                  <w:t xml:space="preserve"> stress while lifting, carrying or putting down objects (15 per cent).  </w:t>
                                </w:r>
                              </w:p>
                            </w:txbxContent>
                          </wps:txbx>
                          <wps:bodyPr rot="0" vert="horz" wrap="square" lIns="91440" tIns="45720" rIns="91440" bIns="45720" anchor="t" anchorCtr="0">
                            <a:spAutoFit/>
                          </wps:bodyPr>
                        </wps:wsp>
                      </a:graphicData>
                    </a:graphic>
                  </wp:inline>
                </w:drawing>
              </mc:Choice>
              <mc:Fallback>
                <w:pict>
                  <v:shapetype w14:anchorId="65881B49" id="_x0000_t202" coordsize="21600,21600" o:spt="202" path="m,l,21600r21600,l21600,xe">
                    <v:stroke joinstyle="miter"/>
                    <v:path gradientshapeok="t" o:connecttype="rect"/>
                  </v:shapetype>
                  <v:shape id="Text Box 2" o:spid="_x0000_s1026" type="#_x0000_t202" style="width:510.7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" fillcolor="#d8d8d8 [2732]">
                    <v:textbox style="mso-fit-shape-to-text:t">
                      <w:txbxContent>
                        <w:p w14:paraId="4E160441" w14:textId="77777777" w:rsidR="00F73343" w:rsidRDefault="00F73343" w:rsidP="00F73343">
                          <w:pPr>
                            <w:pStyle w:val="Heading1"/>
                            <w:spacing w:before="120"/>
                          </w:pPr>
                          <w:r>
                            <w:t>Key points</w:t>
                          </w:r>
                        </w:p>
                        <w:p w14:paraId="3DAE1651" w14:textId="77777777" w:rsidR="00F73343" w:rsidRDefault="00F73343" w:rsidP="00F73343">
                          <w:pPr>
                            <w:pStyle w:val="Bodytextjustified"/>
                            <w:numPr>
                              <w:ilvl w:val="0"/>
                              <w:numId w:val="38"/>
                            </w:numPr>
                            <w:ind w:left="426"/>
                          </w:pPr>
                          <w:r>
                            <w:t xml:space="preserve">Worker fatalities are relatively low with </w:t>
                          </w:r>
                          <w:proofErr w:type="gramStart"/>
                          <w:r>
                            <w:t>3</w:t>
                          </w:r>
                          <w:proofErr w:type="gramEnd"/>
                          <w:r>
                            <w:t xml:space="preserve"> fatalities per year.</w:t>
                          </w:r>
                        </w:p>
                        <w:p w14:paraId="5A9B000F" w14:textId="77777777" w:rsidR="00F73343" w:rsidRPr="001412E0" w:rsidRDefault="00F73343" w:rsidP="00F73343">
                          <w:pPr>
                            <w:pStyle w:val="Bodytextjustified"/>
                            <w:numPr>
                              <w:ilvl w:val="0"/>
                              <w:numId w:val="38"/>
                            </w:numPr>
                            <w:ind w:left="426"/>
                          </w:pPr>
                          <w:r>
                            <w:t>The industry accounts for the highest proportion of workers’ compensation claims, with 17,795 claims per year.</w:t>
                          </w:r>
                        </w:p>
                        <w:p w14:paraId="075E291A" w14:textId="77777777" w:rsidR="00F73343" w:rsidRDefault="00F73343" w:rsidP="00F73343">
                          <w:pPr>
                            <w:pStyle w:val="Bodytextjustified"/>
                            <w:numPr>
                              <w:ilvl w:val="0"/>
                              <w:numId w:val="38"/>
                            </w:numPr>
                            <w:ind w:left="426"/>
                          </w:pPr>
                          <w:r>
                            <w:t>The frequency rate for serious claims has decreased by 29 per cent over the last decade.</w:t>
                          </w:r>
                        </w:p>
                        <w:p w14:paraId="425B8244" w14:textId="77777777" w:rsidR="00F73343" w:rsidRDefault="00F73343" w:rsidP="00F73343">
                          <w:pPr>
                            <w:pStyle w:val="Bodytextjustified"/>
                            <w:numPr>
                              <w:ilvl w:val="0"/>
                              <w:numId w:val="38"/>
                            </w:numPr>
                            <w:ind w:left="426"/>
                          </w:pPr>
                          <w:r>
                            <w:t>Older workers account for the majority of worker fatalities and recorded the highest serious claim frequency rates.</w:t>
                          </w:r>
                        </w:p>
                        <w:p w14:paraId="4BA150E8" w14:textId="77777777" w:rsidR="00F73343" w:rsidRDefault="00F73343" w:rsidP="00F73343">
                          <w:pPr>
                            <w:pStyle w:val="Bodytextjustified"/>
                            <w:numPr>
                              <w:ilvl w:val="0"/>
                              <w:numId w:val="38"/>
                            </w:numPr>
                            <w:ind w:left="426"/>
                          </w:pPr>
                          <w:r>
                            <w:t>The hospitals, and residential care services sub-sectors account for the majority of serious claims and recorded the highest frequency rates.</w:t>
                          </w:r>
                        </w:p>
                        <w:p w14:paraId="06A9A4D5" w14:textId="77777777" w:rsidR="00F73343" w:rsidRDefault="00F73343" w:rsidP="00F73343">
                          <w:pPr>
                            <w:pStyle w:val="Bodytextjustified"/>
                            <w:numPr>
                              <w:ilvl w:val="0"/>
                              <w:numId w:val="38"/>
                            </w:numPr>
                            <w:ind w:left="426"/>
                          </w:pPr>
                          <w:r>
                            <w:t>Carers and aides account for 31 per cent of serious claims, followed by health professionals who account for 19 per cent.</w:t>
                          </w:r>
                        </w:p>
                        <w:p w14:paraId="35253CF9" w14:textId="77777777" w:rsidR="00F73343" w:rsidRDefault="00F73343" w:rsidP="00F73343">
                          <w:pPr>
                            <w:pStyle w:val="Bodytextjustified"/>
                            <w:numPr>
                              <w:ilvl w:val="0"/>
                              <w:numId w:val="38"/>
                            </w:numPr>
                            <w:ind w:left="426"/>
                          </w:pPr>
                          <w:r>
                            <w:t>The highest proportion of serious claims in the industry are due to:</w:t>
                          </w:r>
                        </w:p>
                        <w:p w14:paraId="70A0DBC5" w14:textId="77777777" w:rsidR="00F73343" w:rsidRDefault="00F73343" w:rsidP="00F73343">
                          <w:pPr>
                            <w:pStyle w:val="Bodytextjustified"/>
                            <w:numPr>
                              <w:ilvl w:val="1"/>
                              <w:numId w:val="38"/>
                            </w:numPr>
                          </w:pPr>
                          <w:r>
                            <w:t>muscular stress while handling objects (25 per cent)</w:t>
                          </w:r>
                        </w:p>
                        <w:p w14:paraId="661C0110" w14:textId="77777777" w:rsidR="00F73343" w:rsidRDefault="00F73343" w:rsidP="00F73343">
                          <w:pPr>
                            <w:pStyle w:val="Bodytextjustified"/>
                            <w:numPr>
                              <w:ilvl w:val="1"/>
                              <w:numId w:val="38"/>
                            </w:numPr>
                          </w:pPr>
                          <w:r>
                            <w:t xml:space="preserve">falls on the same level (15 per cent), and </w:t>
                          </w:r>
                        </w:p>
                        <w:p w14:paraId="5B619D40" w14:textId="77777777" w:rsidR="00F73343" w:rsidRDefault="00F73343" w:rsidP="00F73343">
                          <w:pPr>
                            <w:pStyle w:val="Bodytextjustified"/>
                            <w:numPr>
                              <w:ilvl w:val="1"/>
                              <w:numId w:val="38"/>
                            </w:numPr>
                          </w:pPr>
                          <w:proofErr w:type="gramStart"/>
                          <w:r>
                            <w:t>muscular</w:t>
                          </w:r>
                          <w:proofErr w:type="gramEnd"/>
                          <w:r>
                            <w:t xml:space="preserve"> stress while lifting, carrying or putting down objects (15 per cent).  </w:t>
                          </w:r>
                        </w:p>
                      </w:txbxContent>
                    </v:textbox>
                    <w10:anchorlock/>
                  </v:shape>
                </w:pict>
              </mc:Fallback>
            </mc:AlternateContent>
          </w:r>
        </w:p>
        <w:p w14:paraId="107E9C72" w14:textId="62FF2115" w:rsidR="00F73343" w:rsidRPr="00F73343" w:rsidRDefault="00F73343">
          <w:pPr>
            <w:spacing w:before="0" w:after="0"/>
            <w:rPr>
              <w:rFonts w:ascii="Arial" w:hAnsi="Arial" w:cs="Arial"/>
              <w:b/>
              <w:color w:val="C10A27"/>
              <w:sz w:val="32"/>
              <w:szCs w:val="22"/>
            </w:rPr>
          </w:pPr>
          <w:r>
            <w:br w:type="page"/>
          </w:r>
        </w:p>
      </w:sdtContent>
    </w:sdt>
    <w:p w14:paraId="4138BE33" w14:textId="19B7EF2A" w:rsidR="009D1116" w:rsidRPr="009D1116" w:rsidRDefault="009D1116" w:rsidP="00F41C07">
      <w:pPr>
        <w:pStyle w:val="Heading1"/>
      </w:pPr>
      <w:r w:rsidRPr="009D1116">
        <w:lastRenderedPageBreak/>
        <w:t xml:space="preserve">The </w:t>
      </w:r>
      <w:r w:rsidR="00654BC2">
        <w:t>e</w:t>
      </w:r>
      <w:r w:rsidRPr="00F41C07">
        <w:t>vidence</w:t>
      </w:r>
      <w:r w:rsidR="00991F6C" w:rsidRPr="00991F6C">
        <w:rPr>
          <w:rStyle w:val="FootnoteReference"/>
          <w:sz w:val="24"/>
        </w:rPr>
        <w:footnoteReference w:id="1"/>
      </w:r>
    </w:p>
    <w:p w14:paraId="38E57947" w14:textId="6BA8D875" w:rsidR="003F5D2C" w:rsidRDefault="003F5D2C" w:rsidP="00F41C07">
      <w:pPr>
        <w:pStyle w:val="Heading2"/>
      </w:pPr>
      <w:r>
        <w:t xml:space="preserve">Industry </w:t>
      </w:r>
      <w:r w:rsidR="00FF02C8">
        <w:t>p</w:t>
      </w:r>
      <w:r w:rsidRPr="00F41C07">
        <w:t>rofile</w:t>
      </w:r>
      <w:r w:rsidR="00991F6C">
        <w:rPr>
          <w:rStyle w:val="FootnoteReference"/>
        </w:rPr>
        <w:footnoteReference w:id="2"/>
      </w:r>
    </w:p>
    <w:p w14:paraId="566A6EF6" w14:textId="0248A39F" w:rsidR="00D13293" w:rsidRDefault="00D13293" w:rsidP="00D13293">
      <w:pPr>
        <w:pStyle w:val="Bodytextjustified"/>
        <w:jc w:val="left"/>
        <w:rPr>
          <w:rFonts w:cs="Calibri"/>
        </w:rPr>
      </w:pPr>
      <w:r>
        <w:t xml:space="preserve">The </w:t>
      </w:r>
      <w:r w:rsidR="00FF02C8">
        <w:t>h</w:t>
      </w:r>
      <w:r>
        <w:t>ealth care and social assistance industry is the largest employing industry in Australia, accounting for 13 per cent of total employment in November 2017. The industry has also recorded the highest employment growth over the five years to November 2017, increasing by 22 per cent (compared with overall employment growth of 8 per cent) and is expected to grow by 16 per cent over the next five years. This strong future employment growth will be driven by the</w:t>
      </w:r>
      <w:r w:rsidRPr="00C6536F">
        <w:rPr>
          <w:rFonts w:cs="Calibri"/>
        </w:rPr>
        <w:t xml:space="preserve"> </w:t>
      </w:r>
      <w:r w:rsidRPr="00AA39BA">
        <w:rPr>
          <w:rFonts w:cs="Calibri"/>
        </w:rPr>
        <w:t>full implementation of the National Disability Insurance Scheme</w:t>
      </w:r>
      <w:r>
        <w:rPr>
          <w:rFonts w:cs="Calibri"/>
        </w:rPr>
        <w:t xml:space="preserve"> (NDIS)</w:t>
      </w:r>
      <w:r w:rsidRPr="00AA39BA">
        <w:rPr>
          <w:rFonts w:cs="Calibri"/>
        </w:rPr>
        <w:t xml:space="preserve">, </w:t>
      </w:r>
      <w:r>
        <w:rPr>
          <w:rFonts w:cs="Calibri"/>
        </w:rPr>
        <w:t xml:space="preserve">ongoing </w:t>
      </w:r>
      <w:r w:rsidRPr="00AA39BA">
        <w:rPr>
          <w:rFonts w:cs="Calibri"/>
        </w:rPr>
        <w:t xml:space="preserve">ageing </w:t>
      </w:r>
      <w:r>
        <w:rPr>
          <w:rFonts w:cs="Calibri"/>
        </w:rPr>
        <w:t xml:space="preserve">of the </w:t>
      </w:r>
      <w:r w:rsidRPr="00AA39BA">
        <w:rPr>
          <w:rFonts w:cs="Calibri"/>
        </w:rPr>
        <w:t>population and increasing demand for childcare and home based care services</w:t>
      </w:r>
      <w:r>
        <w:rPr>
          <w:rFonts w:cs="Calibri"/>
        </w:rPr>
        <w:t>.</w:t>
      </w:r>
    </w:p>
    <w:p w14:paraId="4C2FA8DC" w14:textId="72CF96E7" w:rsidR="00D13293" w:rsidRDefault="00D13293" w:rsidP="00D13293">
      <w:pPr>
        <w:pStyle w:val="Bodytextjustified"/>
        <w:jc w:val="left"/>
      </w:pPr>
      <w:r>
        <w:rPr>
          <w:rFonts w:cs="Calibri"/>
        </w:rPr>
        <w:t>The age distribution of workers is broadly in line with the all industry distribution, with just over two-thirds (68 per cent) aged 25</w:t>
      </w:r>
      <w:r w:rsidR="0064445A">
        <w:t>-</w:t>
      </w:r>
      <w:r>
        <w:rPr>
          <w:rFonts w:cs="Calibri"/>
        </w:rPr>
        <w:t xml:space="preserve">54. </w:t>
      </w:r>
      <w:r w:rsidR="00FF02C8">
        <w:rPr>
          <w:rFonts w:cs="Calibri"/>
        </w:rPr>
        <w:t>T</w:t>
      </w:r>
      <w:r>
        <w:rPr>
          <w:rFonts w:cs="Calibri"/>
        </w:rPr>
        <w:t>he industry has a higher proportion of part-time workers (43 per cent compared to the all industry average of 31 per cent), but a lower proportion of casual employees (19 per cent compared to the all industry average of 25 per cent).</w:t>
      </w:r>
    </w:p>
    <w:p w14:paraId="5B6DE36D" w14:textId="77777777" w:rsidR="00135A3F" w:rsidRDefault="008954D0" w:rsidP="00DC532F">
      <w:pPr>
        <w:pStyle w:val="Bodytextjustified"/>
        <w:jc w:val="center"/>
      </w:pPr>
      <w:r>
        <w:rPr>
          <w:noProof/>
        </w:rPr>
        <w:drawing>
          <wp:inline distT="0" distB="0" distL="0" distR="0" wp14:anchorId="45052106" wp14:editId="70D0B6F2">
            <wp:extent cx="5304898" cy="1569600"/>
            <wp:effectExtent l="0" t="0" r="0" b="0"/>
            <wp:docPr id="11" name="Picture 11" descr="This image provides a visual overview of the key characteristics of the Health Care &amp; Social Assistance industry, discussed in the above paragraphs. For more information about the content of this image, or any other visual content in this document, please email statsonline@sw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4898" cy="1569600"/>
                    </a:xfrm>
                    <a:prstGeom prst="rect">
                      <a:avLst/>
                    </a:prstGeom>
                    <a:noFill/>
                  </pic:spPr>
                </pic:pic>
              </a:graphicData>
            </a:graphic>
          </wp:inline>
        </w:drawing>
      </w:r>
    </w:p>
    <w:p w14:paraId="21BAAED5" w14:textId="20DD166E" w:rsidR="00C26809" w:rsidRDefault="00957371" w:rsidP="00F41C07">
      <w:pPr>
        <w:pStyle w:val="Heading2"/>
      </w:pPr>
      <w:r w:rsidRPr="00957371">
        <w:t xml:space="preserve">Why is the </w:t>
      </w:r>
      <w:r w:rsidR="00FF02C8">
        <w:t>h</w:t>
      </w:r>
      <w:r w:rsidR="007259EB">
        <w:t>ealth care and social assistance</w:t>
      </w:r>
      <w:r w:rsidR="007259EB" w:rsidRPr="00957371">
        <w:t xml:space="preserve"> </w:t>
      </w:r>
      <w:r w:rsidRPr="00957371">
        <w:t xml:space="preserve">industry a </w:t>
      </w:r>
      <w:r w:rsidR="00C26809" w:rsidRPr="00957371">
        <w:t>priority</w:t>
      </w:r>
      <w:r w:rsidRPr="00957371">
        <w:t>?</w:t>
      </w:r>
    </w:p>
    <w:p w14:paraId="11D1D9E1" w14:textId="2E5C7A1A" w:rsidR="00D13293" w:rsidRPr="00957F06" w:rsidRDefault="00191D21" w:rsidP="00D13293">
      <w:pPr>
        <w:pStyle w:val="Bodytextjustified"/>
        <w:jc w:val="left"/>
      </w:pPr>
      <w:r>
        <w:t>On average, t</w:t>
      </w:r>
      <w:r w:rsidR="00D13293">
        <w:t xml:space="preserve">he </w:t>
      </w:r>
      <w:r w:rsidR="00E32AA3">
        <w:t>h</w:t>
      </w:r>
      <w:r w:rsidR="00D13293">
        <w:t xml:space="preserve">ealth care and social assistance industry accounted for 16 per cent of serious workers’ compensation claims over the four years between 2012–13 and 2015–16. As a result, this industry was ranked the highest in terms of the number of serious claims and fourth highest in the frequency rate of serious claims. </w:t>
      </w:r>
      <w:r>
        <w:t>A</w:t>
      </w:r>
      <w:r w:rsidR="00D13293">
        <w:t xml:space="preserve">lthough being the largest industry, the </w:t>
      </w:r>
      <w:r w:rsidR="00E32AA3">
        <w:t>h</w:t>
      </w:r>
      <w:r w:rsidR="00D13293">
        <w:t xml:space="preserve">ealth care and social services industry ranked thirteenth and fifteenth in the number of fatalities and the fatality rate, respectively, during the four-year period. The key issue in this industry </w:t>
      </w:r>
      <w:r w:rsidR="006F01E5">
        <w:t xml:space="preserve">that </w:t>
      </w:r>
      <w:r w:rsidR="00D13293">
        <w:t>requir</w:t>
      </w:r>
      <w:r w:rsidR="006F01E5">
        <w:t>es</w:t>
      </w:r>
      <w:r w:rsidR="00D13293">
        <w:t xml:space="preserve"> attention</w:t>
      </w:r>
      <w:r w:rsidR="00E32AA3">
        <w:t xml:space="preserve"> </w:t>
      </w:r>
      <w:r w:rsidR="00D13293">
        <w:t>is the high rate of injuries.</w:t>
      </w:r>
    </w:p>
    <w:p w14:paraId="3AA03E91" w14:textId="39895E4D" w:rsidR="002961D4" w:rsidRDefault="005D4150" w:rsidP="00F73343">
      <w:pPr>
        <w:pStyle w:val="Bodytextjustified"/>
        <w:jc w:val="center"/>
      </w:pPr>
      <w:r>
        <w:rPr>
          <w:noProof/>
        </w:rPr>
        <w:drawing>
          <wp:inline distT="0" distB="0" distL="0" distR="0" wp14:anchorId="73A900E1" wp14:editId="24EBBA5A">
            <wp:extent cx="5806892" cy="2003223"/>
            <wp:effectExtent l="0" t="0" r="3810" b="0"/>
            <wp:docPr id="4" name="Picture 4" descr="This image provides a visual overview of work-related fatality and injury in the Health care and social assistance industry, discussed in the above paragraph. For more information about the content of this image, or any other visual content in this document, please email statsonline@sw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h3795\AppData\Local\Microsoft\Windows\INetCache\Content.Word\180702 Priority Industry Snapshot - Infographic - Health care and Social....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5808930" cy="2003926"/>
                    </a:xfrm>
                    <a:prstGeom prst="rect">
                      <a:avLst/>
                    </a:prstGeom>
                    <a:noFill/>
                    <a:ln>
                      <a:noFill/>
                    </a:ln>
                    <a:extLst>
                      <a:ext uri="{53640926-AAD7-44D8-BBD7-CCE9431645EC}">
                        <a14:shadowObscured xmlns:a14="http://schemas.microsoft.com/office/drawing/2010/main"/>
                      </a:ext>
                    </a:extLst>
                  </pic:spPr>
                </pic:pic>
              </a:graphicData>
            </a:graphic>
          </wp:inline>
        </w:drawing>
      </w:r>
    </w:p>
    <w:p w14:paraId="308D1280" w14:textId="77777777" w:rsidR="007A6525" w:rsidRPr="00957371" w:rsidRDefault="00957371" w:rsidP="00F41C07">
      <w:pPr>
        <w:pStyle w:val="Heading2"/>
      </w:pPr>
      <w:r w:rsidRPr="00957371">
        <w:lastRenderedPageBreak/>
        <w:t>WHS performance of the industry</w:t>
      </w:r>
    </w:p>
    <w:p w14:paraId="2F0B7977" w14:textId="00172550" w:rsidR="006C564F" w:rsidRDefault="00CF660E" w:rsidP="004E3534">
      <w:pPr>
        <w:pStyle w:val="Bodytextjustified"/>
        <w:jc w:val="left"/>
      </w:pPr>
      <w:r>
        <w:t xml:space="preserve">While the </w:t>
      </w:r>
      <w:r w:rsidR="00E32AA3">
        <w:t>h</w:t>
      </w:r>
      <w:r>
        <w:t>ealth care and social assistance industry has the highest number of serious claims, the number of claims has been falling steadily since the peak in 2011-12</w:t>
      </w:r>
      <w:r w:rsidR="00E32AA3">
        <w:t>,</w:t>
      </w:r>
      <w:r>
        <w:t xml:space="preserve"> </w:t>
      </w:r>
      <w:r w:rsidR="003A3E08">
        <w:t xml:space="preserve">despite a </w:t>
      </w:r>
      <w:r>
        <w:t xml:space="preserve">substantial </w:t>
      </w:r>
      <w:r w:rsidR="003A3E08">
        <w:t>increase in the w</w:t>
      </w:r>
      <w:r w:rsidR="004615CF">
        <w:t>orkforce</w:t>
      </w:r>
      <w:r>
        <w:t xml:space="preserve"> over the same period</w:t>
      </w:r>
      <w:r w:rsidR="004615CF">
        <w:t xml:space="preserve">. </w:t>
      </w:r>
      <w:r>
        <w:t>As a result</w:t>
      </w:r>
      <w:r w:rsidR="00D54055">
        <w:t>,</w:t>
      </w:r>
      <w:r>
        <w:t xml:space="preserve"> the frequency rate of serious claims </w:t>
      </w:r>
      <w:r w:rsidR="006C564F">
        <w:t>has fallen significantly over the last decade, down 29 per cent since 2006-07.</w:t>
      </w:r>
    </w:p>
    <w:p w14:paraId="663F9036" w14:textId="5CE581B6" w:rsidR="007A6525" w:rsidRDefault="001D668A" w:rsidP="004E3534">
      <w:pPr>
        <w:pStyle w:val="Bodytextjustified"/>
        <w:jc w:val="left"/>
      </w:pPr>
      <w:r>
        <w:t>Despite some year-on-year volatility</w:t>
      </w:r>
      <w:r w:rsidR="006C564F">
        <w:t xml:space="preserve"> due to the low number of fatalities in this industry</w:t>
      </w:r>
      <w:r>
        <w:t>, t</w:t>
      </w:r>
      <w:r w:rsidR="00533C5C">
        <w:t>he fatality rate</w:t>
      </w:r>
      <w:r w:rsidR="004615CF">
        <w:t xml:space="preserve"> </w:t>
      </w:r>
      <w:r>
        <w:t xml:space="preserve">remained relatively </w:t>
      </w:r>
      <w:r w:rsidR="004615CF">
        <w:t xml:space="preserve">stable over the last </w:t>
      </w:r>
      <w:r>
        <w:t>five</w:t>
      </w:r>
      <w:r w:rsidR="00F83814">
        <w:t xml:space="preserve"> years</w:t>
      </w:r>
      <w:r>
        <w:t xml:space="preserve"> at or around 0.2 fatalities per 100,000 workers.</w:t>
      </w:r>
      <w:r w:rsidR="00533C5C">
        <w:t xml:space="preserve"> </w:t>
      </w:r>
    </w:p>
    <w:p w14:paraId="2F8C5A7C" w14:textId="77777777" w:rsidR="002F6D4A" w:rsidRDefault="00E84900" w:rsidP="00564DD2">
      <w:pPr>
        <w:spacing w:line="288" w:lineRule="auto"/>
        <w:rPr>
          <w:noProof/>
        </w:rPr>
      </w:pPr>
      <w:r>
        <w:rPr>
          <w:noProof/>
        </w:rPr>
        <w:drawing>
          <wp:inline distT="0" distB="0" distL="0" distR="0" wp14:anchorId="19E95426" wp14:editId="274DE7C9">
            <wp:extent cx="3119102" cy="2170800"/>
            <wp:effectExtent l="0" t="0" r="5715" b="1270"/>
            <wp:docPr id="6" name="Picture 6" descr="This chart presents the number of worker fatalities and the worker fatality rate for the Health Care &amp; Social Assistance industry between 2007 and 2016. The above paragraphs present the chart key mess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9102" cy="2170800"/>
                    </a:xfrm>
                    <a:prstGeom prst="rect">
                      <a:avLst/>
                    </a:prstGeom>
                    <a:noFill/>
                  </pic:spPr>
                </pic:pic>
              </a:graphicData>
            </a:graphic>
          </wp:inline>
        </w:drawing>
      </w:r>
      <w:r w:rsidR="006014B9">
        <w:rPr>
          <w:noProof/>
        </w:rPr>
        <w:t xml:space="preserve"> </w:t>
      </w:r>
      <w:r>
        <w:rPr>
          <w:noProof/>
        </w:rPr>
        <w:drawing>
          <wp:inline distT="0" distB="0" distL="0" distR="0" wp14:anchorId="72C1C369" wp14:editId="0E729898">
            <wp:extent cx="3139279" cy="2170800"/>
            <wp:effectExtent l="0" t="0" r="4445" b="1270"/>
            <wp:docPr id="5" name="Picture 5" descr="This chart presents the number of serious workers’ compensation claims and the frequency of serious workers’ compensation claims for the Health Care &amp; Social Assistance industry between 2006-7 and 2015-16p. The above paragraphs present the chart key mess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39279" cy="2170800"/>
                    </a:xfrm>
                    <a:prstGeom prst="rect">
                      <a:avLst/>
                    </a:prstGeom>
                    <a:noFill/>
                  </pic:spPr>
                </pic:pic>
              </a:graphicData>
            </a:graphic>
          </wp:inline>
        </w:drawing>
      </w:r>
    </w:p>
    <w:p w14:paraId="36780BFB" w14:textId="77777777" w:rsidR="009950B2" w:rsidRDefault="009950B2" w:rsidP="00F41C07">
      <w:pPr>
        <w:pStyle w:val="Heading2"/>
      </w:pPr>
      <w:r>
        <w:t>Demographics</w:t>
      </w:r>
    </w:p>
    <w:p w14:paraId="36707A38" w14:textId="0013B223" w:rsidR="00D13293" w:rsidRDefault="006F01E5" w:rsidP="00D13293">
      <w:pPr>
        <w:pStyle w:val="Bodytextjustified"/>
        <w:jc w:val="left"/>
      </w:pPr>
      <w:r>
        <w:t>O</w:t>
      </w:r>
      <w:r w:rsidR="00D13293">
        <w:t xml:space="preserve">lder workers accounted for </w:t>
      </w:r>
      <w:r w:rsidR="00E93F5A">
        <w:t xml:space="preserve">the </w:t>
      </w:r>
      <w:r w:rsidR="00D13293">
        <w:t xml:space="preserve">majority of worker fatalities in the </w:t>
      </w:r>
      <w:r w:rsidR="00E32AA3">
        <w:t>h</w:t>
      </w:r>
      <w:r w:rsidR="00D13293">
        <w:t>ealth care and social assistance industry, with more than three quarters (77 per cent) of the 13 workers killed in the industry aged 45 and over</w:t>
      </w:r>
      <w:r w:rsidRPr="006F01E5">
        <w:t xml:space="preserve"> </w:t>
      </w:r>
      <w:r>
        <w:t>from 2013-2016</w:t>
      </w:r>
      <w:r w:rsidR="00D13293">
        <w:t>.</w:t>
      </w:r>
    </w:p>
    <w:p w14:paraId="140D8E9D" w14:textId="6BAE136F" w:rsidR="00D13293" w:rsidRDefault="00D13293" w:rsidP="00D13293">
      <w:pPr>
        <w:pStyle w:val="Bodytextjustified"/>
      </w:pPr>
      <w:r>
        <w:t>In relation to serious workers’ compensation claims, older workers in the industry were also more likely to have a serious injury or illness. Workers aged 55</w:t>
      </w:r>
      <w:r w:rsidR="00E32AA3">
        <w:t>-</w:t>
      </w:r>
      <w:r>
        <w:t>64 years had the highest frequency rate (11.6</w:t>
      </w:r>
      <w:r w:rsidR="0049715F">
        <w:t> </w:t>
      </w:r>
      <w:r>
        <w:t>serious claims per million hours worked) in the period from 2012-13 to 2015-16, followed closely by workers aged 45</w:t>
      </w:r>
      <w:r w:rsidR="00E32AA3">
        <w:t>-</w:t>
      </w:r>
      <w:r>
        <w:t>54 years (11.2 serious claims per million hours worked).</w:t>
      </w:r>
    </w:p>
    <w:p w14:paraId="6724CF76" w14:textId="77777777" w:rsidR="009950B2" w:rsidRPr="009950B2" w:rsidRDefault="00FE4005" w:rsidP="00D13293">
      <w:pPr>
        <w:pStyle w:val="Bodytextjustified"/>
      </w:pPr>
      <w:r>
        <w:rPr>
          <w:noProof/>
        </w:rPr>
        <w:drawing>
          <wp:inline distT="0" distB="0" distL="0" distR="0" wp14:anchorId="5D54C606" wp14:editId="183DC6F9">
            <wp:extent cx="3211135" cy="1922400"/>
            <wp:effectExtent l="0" t="0" r="8890" b="1905"/>
            <wp:docPr id="7" name="Picture 7" descr="This chart presents the proportion of fatalities of workers by age in the Health Care &amp; Social Assistance industry between 2013 and 2016. The above paragraphs present the chart key mess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11135" cy="1922400"/>
                    </a:xfrm>
                    <a:prstGeom prst="rect">
                      <a:avLst/>
                    </a:prstGeom>
                    <a:noFill/>
                  </pic:spPr>
                </pic:pic>
              </a:graphicData>
            </a:graphic>
          </wp:inline>
        </w:drawing>
      </w:r>
      <w:r w:rsidR="00B879EB">
        <w:t xml:space="preserve"> </w:t>
      </w:r>
      <w:r>
        <w:rPr>
          <w:noProof/>
        </w:rPr>
        <w:drawing>
          <wp:inline distT="0" distB="0" distL="0" distR="0" wp14:anchorId="1506FC6D" wp14:editId="480E9D64">
            <wp:extent cx="3218601" cy="1922400"/>
            <wp:effectExtent l="0" t="0" r="1270" b="1905"/>
            <wp:docPr id="10" name="Picture 10" descr="This chart presents the frequency rate of serious workers’ compensation claims by age in the Health Care &amp; Social Assistance industry between 2012-13 and 2015-16. The above paragraphs present the chart key mess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18601" cy="1922400"/>
                    </a:xfrm>
                    <a:prstGeom prst="rect">
                      <a:avLst/>
                    </a:prstGeom>
                    <a:noFill/>
                  </pic:spPr>
                </pic:pic>
              </a:graphicData>
            </a:graphic>
          </wp:inline>
        </w:drawing>
      </w:r>
    </w:p>
    <w:p w14:paraId="0A37C513" w14:textId="77777777" w:rsidR="007A3287" w:rsidRDefault="007A3287">
      <w:pPr>
        <w:spacing w:before="0" w:after="0"/>
        <w:rPr>
          <w:rFonts w:ascii="Arial" w:hAnsi="Arial" w:cs="Arial"/>
          <w:b/>
          <w:color w:val="C10A27"/>
          <w:sz w:val="24"/>
          <w:szCs w:val="22"/>
        </w:rPr>
      </w:pPr>
      <w:r>
        <w:br w:type="page"/>
      </w:r>
    </w:p>
    <w:p w14:paraId="18903043" w14:textId="77777777" w:rsidR="007A6525" w:rsidRPr="00EB0250" w:rsidRDefault="00EB0250" w:rsidP="00F41C07">
      <w:pPr>
        <w:pStyle w:val="Heading2"/>
      </w:pPr>
      <w:r w:rsidRPr="00EB0250">
        <w:lastRenderedPageBreak/>
        <w:t>Key areas of the industry</w:t>
      </w:r>
    </w:p>
    <w:p w14:paraId="6E984351" w14:textId="77777777" w:rsidR="007A6525" w:rsidRPr="00F41C07" w:rsidRDefault="00824A0B" w:rsidP="00F41C07">
      <w:pPr>
        <w:pStyle w:val="Heading3"/>
      </w:pPr>
      <w:r w:rsidRPr="00F41C07">
        <w:t>Sub-industries</w:t>
      </w:r>
    </w:p>
    <w:p w14:paraId="625B777B" w14:textId="536F333E" w:rsidR="00D13293" w:rsidRDefault="00D13293" w:rsidP="00D13293">
      <w:pPr>
        <w:pStyle w:val="Bodytextjustified"/>
        <w:jc w:val="left"/>
      </w:pPr>
      <w:r w:rsidRPr="006415B3">
        <w:t xml:space="preserve">The </w:t>
      </w:r>
      <w:r w:rsidR="004E44A9">
        <w:t>h</w:t>
      </w:r>
      <w:r>
        <w:t>ospital</w:t>
      </w:r>
      <w:r w:rsidRPr="006415B3">
        <w:t xml:space="preserve"> </w:t>
      </w:r>
      <w:r>
        <w:t xml:space="preserve">services sub-industry accounted for the highest proportion of serious claims (37 per cent), followed by the </w:t>
      </w:r>
      <w:r w:rsidR="004E44A9">
        <w:t>r</w:t>
      </w:r>
      <w:r>
        <w:t>esidential care services sub</w:t>
      </w:r>
      <w:r>
        <w:noBreakHyphen/>
        <w:t>industry (33 per cent)</w:t>
      </w:r>
      <w:r w:rsidR="006F01E5" w:rsidRPr="006F01E5">
        <w:t xml:space="preserve"> </w:t>
      </w:r>
      <w:r w:rsidR="006F01E5">
        <w:t>over the last four years.</w:t>
      </w:r>
    </w:p>
    <w:p w14:paraId="6A0389AA" w14:textId="5115B99A" w:rsidR="00D13293" w:rsidRPr="009A7E39" w:rsidRDefault="006F01E5" w:rsidP="00D13293">
      <w:pPr>
        <w:pStyle w:val="Bodytextjustified"/>
        <w:jc w:val="left"/>
      </w:pPr>
      <w:r>
        <w:t>The m</w:t>
      </w:r>
      <w:r w:rsidR="00D13293">
        <w:t>edical and other health care services sub-industry accounted for the highest proportion of fatalities (38</w:t>
      </w:r>
      <w:r>
        <w:t xml:space="preserve"> </w:t>
      </w:r>
      <w:r w:rsidR="00D13293">
        <w:t>per</w:t>
      </w:r>
      <w:r>
        <w:t xml:space="preserve"> </w:t>
      </w:r>
      <w:r w:rsidR="00D13293">
        <w:t xml:space="preserve">cent), noting however, the low numbers of fatalities overall in the broader industry. While </w:t>
      </w:r>
      <w:r w:rsidR="004E44A9">
        <w:t>r</w:t>
      </w:r>
      <w:r w:rsidR="00D13293">
        <w:t>esidential care services had the highest fatality rate, it was still relatively low</w:t>
      </w:r>
      <w:r w:rsidR="004E44A9">
        <w:t xml:space="preserve"> when compared to all industries</w:t>
      </w:r>
      <w:r w:rsidR="00D13293">
        <w:t>.</w:t>
      </w:r>
    </w:p>
    <w:p w14:paraId="24C532C0" w14:textId="77777777" w:rsidR="00D61D18" w:rsidRDefault="00D13293" w:rsidP="008954D0">
      <w:pPr>
        <w:pStyle w:val="Bodytextjustified"/>
        <w:jc w:val="center"/>
      </w:pPr>
      <w:r>
        <w:rPr>
          <w:noProof/>
        </w:rPr>
        <w:drawing>
          <wp:inline distT="0" distB="0" distL="0" distR="0" wp14:anchorId="73B8DD37" wp14:editId="160B89A9">
            <wp:extent cx="4439634" cy="2041003"/>
            <wp:effectExtent l="0" t="0" r="0" b="0"/>
            <wp:docPr id="13" name="Picture 13" descr="This image presents the proportion and fatality rate of workers by sub-industries in the Health Care &amp; Social Assistance industry. The above paragraphs present the image key mess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52898" cy="2047101"/>
                    </a:xfrm>
                    <a:prstGeom prst="rect">
                      <a:avLst/>
                    </a:prstGeom>
                    <a:noFill/>
                  </pic:spPr>
                </pic:pic>
              </a:graphicData>
            </a:graphic>
          </wp:inline>
        </w:drawing>
      </w:r>
      <w:r w:rsidR="008954D0">
        <w:rPr>
          <w:noProof/>
        </w:rPr>
        <w:drawing>
          <wp:inline distT="0" distB="0" distL="0" distR="0" wp14:anchorId="53ACC37A" wp14:editId="25D40A2C">
            <wp:extent cx="4509304" cy="2249536"/>
            <wp:effectExtent l="0" t="0" r="5715" b="0"/>
            <wp:docPr id="12" name="Picture 12" descr="This image presents the proportion and frequency rate of serious workers’ compensation claims by sub-industries in the Health Care &amp; Social Assistance industry. The above paragraphs present the image key mess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24575" cy="2257154"/>
                    </a:xfrm>
                    <a:prstGeom prst="rect">
                      <a:avLst/>
                    </a:prstGeom>
                    <a:noFill/>
                  </pic:spPr>
                </pic:pic>
              </a:graphicData>
            </a:graphic>
          </wp:inline>
        </w:drawing>
      </w:r>
    </w:p>
    <w:p w14:paraId="3C38AA1F" w14:textId="77777777" w:rsidR="00B879EB" w:rsidRDefault="00B879EB">
      <w:pPr>
        <w:spacing w:before="0" w:after="0"/>
        <w:rPr>
          <w:rFonts w:ascii="Arial" w:hAnsi="Arial" w:cs="Arial"/>
          <w:b/>
          <w:color w:val="AF1E2D"/>
          <w:sz w:val="22"/>
          <w:szCs w:val="22"/>
        </w:rPr>
      </w:pPr>
      <w:r>
        <w:rPr>
          <w:rFonts w:ascii="Arial" w:hAnsi="Arial" w:cs="Arial"/>
          <w:b/>
          <w:color w:val="AF1E2D"/>
          <w:sz w:val="22"/>
          <w:szCs w:val="22"/>
        </w:rPr>
        <w:br w:type="page"/>
      </w:r>
    </w:p>
    <w:p w14:paraId="64E32DD8" w14:textId="77777777" w:rsidR="00824A0B" w:rsidRDefault="00957F06" w:rsidP="00F41C07">
      <w:pPr>
        <w:pStyle w:val="Heading3"/>
      </w:pPr>
      <w:r>
        <w:lastRenderedPageBreak/>
        <w:t>O</w:t>
      </w:r>
      <w:r w:rsidR="00824A0B" w:rsidRPr="00E826F3">
        <w:t>ccupations</w:t>
      </w:r>
    </w:p>
    <w:p w14:paraId="7A62955A" w14:textId="4158ADDE" w:rsidR="00D109A6" w:rsidRDefault="00D109A6" w:rsidP="00D109A6">
      <w:pPr>
        <w:pStyle w:val="Bodytextjustified"/>
        <w:jc w:val="left"/>
      </w:pPr>
      <w:r>
        <w:t xml:space="preserve">Carers and aides accounted for the highest proportion of serious claims (33 per cent or an average of 5,895 claims per year), followed by </w:t>
      </w:r>
      <w:r w:rsidR="004E44A9">
        <w:t>h</w:t>
      </w:r>
      <w:r>
        <w:t xml:space="preserve">ealth professionals (19 per cent or an average of 3,410 claims per year), and </w:t>
      </w:r>
      <w:r w:rsidR="004E44A9">
        <w:t>h</w:t>
      </w:r>
      <w:r>
        <w:t>ealth and welfare support workers (17 per cent or an average of 2,985 claims per year).</w:t>
      </w:r>
    </w:p>
    <w:p w14:paraId="33088E63" w14:textId="720B2E0D" w:rsidR="00D109A6" w:rsidRDefault="00D109A6" w:rsidP="00D109A6">
      <w:pPr>
        <w:pStyle w:val="Bodytextjustified"/>
        <w:jc w:val="left"/>
      </w:pPr>
      <w:r>
        <w:t xml:space="preserve">In relation to worker fatalities, noting the relatively low number of fatalities in this industry, </w:t>
      </w:r>
      <w:r w:rsidR="004E44A9">
        <w:t>h</w:t>
      </w:r>
      <w:r>
        <w:t>ealth and welfare support workers account</w:t>
      </w:r>
      <w:r w:rsidR="004E44A9">
        <w:t>ed</w:t>
      </w:r>
      <w:r>
        <w:t xml:space="preserve"> for the highest proportion of fatalities (31 per cent or 4 fatalities over the four-year period), followed by </w:t>
      </w:r>
      <w:r w:rsidR="004E44A9">
        <w:t>h</w:t>
      </w:r>
      <w:r>
        <w:t xml:space="preserve">ealth professionals (23 per cent or 3 fatalities), </w:t>
      </w:r>
      <w:r w:rsidR="004E44A9">
        <w:t>r</w:t>
      </w:r>
      <w:r>
        <w:t xml:space="preserve">oad and rail drivers (15 per cent or 2 fatalities), and </w:t>
      </w:r>
      <w:r w:rsidR="004E44A9">
        <w:t>c</w:t>
      </w:r>
      <w:r>
        <w:t>arers and aides (15 per cent or 2 fatalities).</w:t>
      </w:r>
    </w:p>
    <w:p w14:paraId="6A4B4CFF" w14:textId="77777777" w:rsidR="00B53073" w:rsidRDefault="00875BD3" w:rsidP="00197CE5">
      <w:pPr>
        <w:pStyle w:val="Bodytextjustified"/>
      </w:pPr>
      <w:r>
        <w:rPr>
          <w:noProof/>
        </w:rPr>
        <w:drawing>
          <wp:inline distT="0" distB="0" distL="0" distR="0" wp14:anchorId="5296EE35" wp14:editId="033D5840">
            <wp:extent cx="3222900" cy="1944000"/>
            <wp:effectExtent l="0" t="0" r="0" b="0"/>
            <wp:docPr id="15" name="Picture 15" descr="This chart presents the proportion of fatalities in the Health Care &amp; Social Assistance industry by occupation. The above paragraphs present the chart key mess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22900" cy="1944000"/>
                    </a:xfrm>
                    <a:prstGeom prst="rect">
                      <a:avLst/>
                    </a:prstGeom>
                    <a:noFill/>
                  </pic:spPr>
                </pic:pic>
              </a:graphicData>
            </a:graphic>
          </wp:inline>
        </w:drawing>
      </w:r>
      <w:r w:rsidR="00B53073">
        <w:t xml:space="preserve"> </w:t>
      </w:r>
      <w:r>
        <w:rPr>
          <w:noProof/>
        </w:rPr>
        <w:drawing>
          <wp:inline distT="0" distB="0" distL="0" distR="0" wp14:anchorId="636F3F6D" wp14:editId="3DE130EF">
            <wp:extent cx="3205800" cy="1944000"/>
            <wp:effectExtent l="0" t="0" r="0" b="0"/>
            <wp:docPr id="2" name="Picture 2" descr="This chart presents the proportion of workers’ compensation claims in the Health Care &amp; Social Assistance industry by occupation. The above paragraphs present the chart key mess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05800" cy="1944000"/>
                    </a:xfrm>
                    <a:prstGeom prst="rect">
                      <a:avLst/>
                    </a:prstGeom>
                    <a:noFill/>
                  </pic:spPr>
                </pic:pic>
              </a:graphicData>
            </a:graphic>
          </wp:inline>
        </w:drawing>
      </w:r>
    </w:p>
    <w:p w14:paraId="65D5B517" w14:textId="77777777" w:rsidR="007A6525" w:rsidRDefault="00EB0250" w:rsidP="00F41C07">
      <w:pPr>
        <w:pStyle w:val="Heading2"/>
      </w:pPr>
      <w:r w:rsidRPr="00EB0250">
        <w:t>Key WHS issues in the industry</w:t>
      </w:r>
    </w:p>
    <w:p w14:paraId="5291271E" w14:textId="5E8600AC" w:rsidR="00466CA0" w:rsidRDefault="002410A3" w:rsidP="00466CA0">
      <w:pPr>
        <w:pStyle w:val="Bodytextjustified"/>
        <w:jc w:val="left"/>
      </w:pPr>
      <w:r>
        <w:t>V</w:t>
      </w:r>
      <w:r w:rsidR="00466CA0">
        <w:t>ehicle incidents accounted for the largest proportion of fatalities (69 per cent)</w:t>
      </w:r>
      <w:r w:rsidRPr="002410A3">
        <w:t xml:space="preserve"> </w:t>
      </w:r>
      <w:r>
        <w:t>within the health care and social assistance industry</w:t>
      </w:r>
      <w:r w:rsidR="00466CA0">
        <w:t xml:space="preserve">, while </w:t>
      </w:r>
      <w:r w:rsidR="004E44A9">
        <w:t>m</w:t>
      </w:r>
      <w:r w:rsidR="00466CA0">
        <w:t>uscular stress while handling objects accounted for the largest proportion of injuries (25 per cent).</w:t>
      </w:r>
    </w:p>
    <w:p w14:paraId="1DEEF14E" w14:textId="77777777" w:rsidR="003F6569" w:rsidRDefault="00875BD3" w:rsidP="00466CA0">
      <w:pPr>
        <w:pStyle w:val="Bodytextjustified"/>
      </w:pPr>
      <w:r>
        <w:rPr>
          <w:noProof/>
        </w:rPr>
        <w:drawing>
          <wp:inline distT="0" distB="0" distL="0" distR="0" wp14:anchorId="031F26BB" wp14:editId="5D1D889B">
            <wp:extent cx="3191621" cy="2556000"/>
            <wp:effectExtent l="0" t="0" r="8890" b="0"/>
            <wp:docPr id="16" name="Picture 16" descr="This chart presents a proportionate breakdown of the main causes of fatalities in the Health Care &amp; Social Assistance industry. The above paragraphs present the chart key mess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91621" cy="2556000"/>
                    </a:xfrm>
                    <a:prstGeom prst="rect">
                      <a:avLst/>
                    </a:prstGeom>
                    <a:noFill/>
                  </pic:spPr>
                </pic:pic>
              </a:graphicData>
            </a:graphic>
          </wp:inline>
        </w:drawing>
      </w:r>
      <w:r>
        <w:t xml:space="preserve"> </w:t>
      </w:r>
      <w:r>
        <w:rPr>
          <w:noProof/>
        </w:rPr>
        <w:drawing>
          <wp:inline distT="0" distB="0" distL="0" distR="0" wp14:anchorId="510E96C0" wp14:editId="37BA1892">
            <wp:extent cx="3197256" cy="2556000"/>
            <wp:effectExtent l="0" t="0" r="3175" b="0"/>
            <wp:docPr id="3" name="Picture 3" descr="This chart presents a proportionate breakdown of the main causes of injuries resulting in serious workers’ compensation claims in the Health Care &amp; Social Assistance industry. The above paragraphs present the chart key mess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97256" cy="2556000"/>
                    </a:xfrm>
                    <a:prstGeom prst="rect">
                      <a:avLst/>
                    </a:prstGeom>
                    <a:noFill/>
                  </pic:spPr>
                </pic:pic>
              </a:graphicData>
            </a:graphic>
          </wp:inline>
        </w:drawing>
      </w:r>
    </w:p>
    <w:p w14:paraId="0D45F5DF" w14:textId="77777777" w:rsidR="0049715F" w:rsidRDefault="0049715F" w:rsidP="0049715F">
      <w:pPr>
        <w:pStyle w:val="Bodytextjustified"/>
      </w:pPr>
    </w:p>
    <w:p w14:paraId="3B06A121" w14:textId="4592251A" w:rsidR="0049715F" w:rsidRDefault="0049715F" w:rsidP="0049715F">
      <w:pPr>
        <w:pStyle w:val="Bodytextjustified"/>
      </w:pPr>
      <w:r>
        <w:t>Vehicle incidents were also the main cause of fatalities in all four sub-industries, while being assaulted by a person or persons was the second most common cause of fatalities in three out of four sub-industries. However, there were some differences with respect to serious claims. Muscular stress while handling objects was the main cause of serious claims in both the hospitals and residential care services sub</w:t>
      </w:r>
      <w:r>
        <w:noBreakHyphen/>
        <w:t>industries, whereas, it was the second most common cause in both medical and other health care services and social assistance services sub-industries.</w:t>
      </w:r>
    </w:p>
    <w:p w14:paraId="72ABF3BB" w14:textId="77777777" w:rsidR="00E61F4B" w:rsidRDefault="00E61F4B" w:rsidP="004E3534">
      <w:pPr>
        <w:pStyle w:val="Bodytextjustified"/>
        <w:jc w:val="left"/>
      </w:pPr>
    </w:p>
    <w:tbl>
      <w:tblPr>
        <w:tblStyle w:val="TableGrid"/>
        <w:tblW w:w="0" w:type="auto"/>
        <w:tblLook w:val="04A0" w:firstRow="1" w:lastRow="0" w:firstColumn="1" w:lastColumn="0" w:noHBand="0" w:noVBand="1"/>
        <w:tblDescription w:val="This table presents the main causes of fatalities and injuries resulting in workers’ serious compensation claims in the Health Care &amp; Social Assistance industry by sub-industry. The above paragraph presents the table key messages."/>
      </w:tblPr>
      <w:tblGrid>
        <w:gridCol w:w="5098"/>
        <w:gridCol w:w="5097"/>
      </w:tblGrid>
      <w:tr w:rsidR="00F21980" w:rsidRPr="00F21980" w14:paraId="23BE8771" w14:textId="77777777" w:rsidTr="00875BD3">
        <w:trPr>
          <w:trHeight w:val="433"/>
          <w:tblHeader/>
        </w:trPr>
        <w:tc>
          <w:tcPr>
            <w:tcW w:w="5141" w:type="dxa"/>
            <w:tcBorders>
              <w:bottom w:val="single" w:sz="4" w:space="0" w:color="auto"/>
            </w:tcBorders>
            <w:shd w:val="clear" w:color="auto" w:fill="C10A27"/>
          </w:tcPr>
          <w:p w14:paraId="49B24831" w14:textId="77777777" w:rsidR="00E10B88" w:rsidRPr="00F21980" w:rsidRDefault="00E10B88" w:rsidP="00E826F3">
            <w:pPr>
              <w:spacing w:line="288" w:lineRule="auto"/>
              <w:jc w:val="center"/>
              <w:rPr>
                <w:rFonts w:ascii="Arial" w:hAnsi="Arial" w:cs="Arial"/>
                <w:b/>
                <w:color w:val="FFFFFF" w:themeColor="background1"/>
                <w:sz w:val="22"/>
                <w:szCs w:val="22"/>
                <w:u w:val="single"/>
              </w:rPr>
            </w:pPr>
            <w:r w:rsidRPr="00F21980">
              <w:rPr>
                <w:rFonts w:ascii="Arial" w:hAnsi="Arial" w:cs="Arial"/>
                <w:b/>
                <w:color w:val="FFFFFF" w:themeColor="background1"/>
                <w:sz w:val="22"/>
                <w:szCs w:val="22"/>
                <w:u w:val="single"/>
              </w:rPr>
              <w:lastRenderedPageBreak/>
              <w:t>Main causes of fatalities</w:t>
            </w:r>
          </w:p>
        </w:tc>
        <w:tc>
          <w:tcPr>
            <w:tcW w:w="5140" w:type="dxa"/>
            <w:tcBorders>
              <w:bottom w:val="single" w:sz="4" w:space="0" w:color="auto"/>
            </w:tcBorders>
            <w:shd w:val="clear" w:color="auto" w:fill="C10A27"/>
          </w:tcPr>
          <w:p w14:paraId="578851FF" w14:textId="77777777" w:rsidR="00E10B88" w:rsidRPr="00F21980" w:rsidRDefault="00E10B88" w:rsidP="00D30825">
            <w:pPr>
              <w:spacing w:line="288" w:lineRule="auto"/>
              <w:jc w:val="center"/>
              <w:rPr>
                <w:rFonts w:ascii="Arial" w:hAnsi="Arial" w:cs="Arial"/>
                <w:b/>
                <w:color w:val="FFFFFF" w:themeColor="background1"/>
                <w:sz w:val="22"/>
                <w:szCs w:val="22"/>
                <w:u w:val="single"/>
              </w:rPr>
            </w:pPr>
            <w:r w:rsidRPr="00F21980">
              <w:rPr>
                <w:rFonts w:ascii="Arial" w:hAnsi="Arial" w:cs="Arial"/>
                <w:b/>
                <w:color w:val="FFFFFF" w:themeColor="background1"/>
                <w:sz w:val="22"/>
                <w:szCs w:val="22"/>
                <w:u w:val="single"/>
              </w:rPr>
              <w:t xml:space="preserve">Main causes of </w:t>
            </w:r>
            <w:r w:rsidR="00D30825">
              <w:rPr>
                <w:rFonts w:ascii="Arial" w:hAnsi="Arial" w:cs="Arial"/>
                <w:b/>
                <w:color w:val="FFFFFF" w:themeColor="background1"/>
                <w:sz w:val="22"/>
                <w:szCs w:val="22"/>
                <w:u w:val="single"/>
              </w:rPr>
              <w:t>serious claims</w:t>
            </w:r>
          </w:p>
        </w:tc>
      </w:tr>
      <w:tr w:rsidR="00E826F3" w14:paraId="30640143" w14:textId="77777777" w:rsidTr="00F41C07">
        <w:trPr>
          <w:tblHeader/>
        </w:trPr>
        <w:tc>
          <w:tcPr>
            <w:tcW w:w="5141" w:type="dxa"/>
            <w:tcBorders>
              <w:bottom w:val="single" w:sz="4" w:space="0" w:color="auto"/>
            </w:tcBorders>
          </w:tcPr>
          <w:p w14:paraId="5F5ED1CA" w14:textId="77777777" w:rsidR="00E826F3" w:rsidRDefault="00991FE3" w:rsidP="00E826F3">
            <w:pPr>
              <w:spacing w:line="288" w:lineRule="auto"/>
              <w:rPr>
                <w:rFonts w:ascii="Arial" w:hAnsi="Arial" w:cs="Arial"/>
                <w:b/>
                <w:sz w:val="22"/>
                <w:szCs w:val="22"/>
              </w:rPr>
            </w:pPr>
            <w:r>
              <w:rPr>
                <w:rFonts w:ascii="Arial" w:hAnsi="Arial" w:cs="Arial"/>
                <w:b/>
                <w:sz w:val="22"/>
                <w:szCs w:val="22"/>
              </w:rPr>
              <w:t>Hospitals</w:t>
            </w:r>
          </w:p>
          <w:p w14:paraId="53A3271F" w14:textId="77777777" w:rsidR="00991FE3" w:rsidRDefault="00991FE3" w:rsidP="00A636C4">
            <w:pPr>
              <w:pStyle w:val="ListParagraph"/>
              <w:numPr>
                <w:ilvl w:val="0"/>
                <w:numId w:val="39"/>
              </w:numPr>
              <w:spacing w:line="288" w:lineRule="auto"/>
              <w:ind w:left="426"/>
              <w:rPr>
                <w:rFonts w:ascii="Arial" w:hAnsi="Arial" w:cs="Arial"/>
                <w:sz w:val="22"/>
                <w:szCs w:val="22"/>
              </w:rPr>
            </w:pPr>
            <w:r>
              <w:rPr>
                <w:rFonts w:ascii="Arial" w:hAnsi="Arial" w:cs="Arial"/>
                <w:sz w:val="22"/>
                <w:szCs w:val="22"/>
              </w:rPr>
              <w:t>Vehicle incident</w:t>
            </w:r>
            <w:r w:rsidR="00D30825">
              <w:rPr>
                <w:rFonts w:ascii="Arial" w:hAnsi="Arial" w:cs="Arial"/>
                <w:sz w:val="22"/>
                <w:szCs w:val="22"/>
              </w:rPr>
              <w:t xml:space="preserve"> </w:t>
            </w:r>
            <w:r w:rsidR="00E826F3">
              <w:rPr>
                <w:rFonts w:ascii="Arial" w:hAnsi="Arial" w:cs="Arial"/>
                <w:sz w:val="22"/>
                <w:szCs w:val="22"/>
              </w:rPr>
              <w:t xml:space="preserve">– </w:t>
            </w:r>
            <w:r>
              <w:rPr>
                <w:rFonts w:ascii="Arial" w:hAnsi="Arial" w:cs="Arial"/>
                <w:sz w:val="22"/>
                <w:szCs w:val="22"/>
              </w:rPr>
              <w:t>50</w:t>
            </w:r>
            <w:r w:rsidR="00DA705A">
              <w:rPr>
                <w:rFonts w:ascii="Arial" w:hAnsi="Arial" w:cs="Arial"/>
                <w:sz w:val="22"/>
                <w:szCs w:val="22"/>
              </w:rPr>
              <w:t>%</w:t>
            </w:r>
          </w:p>
          <w:p w14:paraId="3520A9F4" w14:textId="77777777" w:rsidR="00991FE3" w:rsidRPr="00F21980" w:rsidRDefault="00991FE3" w:rsidP="00DA705A">
            <w:pPr>
              <w:pStyle w:val="ListParagraph"/>
              <w:numPr>
                <w:ilvl w:val="0"/>
                <w:numId w:val="39"/>
              </w:numPr>
              <w:spacing w:line="288" w:lineRule="auto"/>
              <w:ind w:left="426"/>
              <w:rPr>
                <w:rFonts w:ascii="Arial" w:hAnsi="Arial" w:cs="Arial"/>
                <w:sz w:val="22"/>
                <w:szCs w:val="22"/>
              </w:rPr>
            </w:pPr>
            <w:r w:rsidRPr="00991FE3">
              <w:rPr>
                <w:rFonts w:ascii="Arial" w:hAnsi="Arial" w:cs="Arial"/>
                <w:sz w:val="22"/>
                <w:szCs w:val="22"/>
              </w:rPr>
              <w:t>Being assaulted by person or persons – 50</w:t>
            </w:r>
            <w:r w:rsidR="00DA705A">
              <w:rPr>
                <w:rFonts w:ascii="Arial" w:hAnsi="Arial" w:cs="Arial"/>
                <w:sz w:val="22"/>
                <w:szCs w:val="22"/>
              </w:rPr>
              <w:t>%</w:t>
            </w:r>
          </w:p>
        </w:tc>
        <w:tc>
          <w:tcPr>
            <w:tcW w:w="5140" w:type="dxa"/>
            <w:tcBorders>
              <w:bottom w:val="single" w:sz="4" w:space="0" w:color="auto"/>
            </w:tcBorders>
          </w:tcPr>
          <w:p w14:paraId="4124B960" w14:textId="77777777" w:rsidR="00BE1982" w:rsidRDefault="00BE1982" w:rsidP="00BE1982">
            <w:pPr>
              <w:spacing w:line="288" w:lineRule="auto"/>
              <w:rPr>
                <w:rFonts w:ascii="Arial" w:hAnsi="Arial" w:cs="Arial"/>
                <w:b/>
                <w:sz w:val="22"/>
                <w:szCs w:val="22"/>
              </w:rPr>
            </w:pPr>
            <w:r>
              <w:rPr>
                <w:rFonts w:ascii="Arial" w:hAnsi="Arial" w:cs="Arial"/>
                <w:b/>
                <w:sz w:val="22"/>
                <w:szCs w:val="22"/>
              </w:rPr>
              <w:t>Hospitals</w:t>
            </w:r>
          </w:p>
          <w:p w14:paraId="38E87982" w14:textId="77777777" w:rsidR="00BE1982" w:rsidRDefault="00BE1982" w:rsidP="00A636C4">
            <w:pPr>
              <w:pStyle w:val="ListParagraph"/>
              <w:numPr>
                <w:ilvl w:val="0"/>
                <w:numId w:val="39"/>
              </w:numPr>
              <w:spacing w:line="288" w:lineRule="auto"/>
              <w:ind w:left="426"/>
              <w:rPr>
                <w:rFonts w:ascii="Arial" w:hAnsi="Arial" w:cs="Arial"/>
                <w:sz w:val="22"/>
                <w:szCs w:val="22"/>
              </w:rPr>
            </w:pPr>
            <w:r>
              <w:rPr>
                <w:rFonts w:ascii="Arial" w:hAnsi="Arial" w:cs="Arial"/>
                <w:sz w:val="22"/>
                <w:szCs w:val="22"/>
              </w:rPr>
              <w:t>Muscular stress while handling objects – 28</w:t>
            </w:r>
            <w:r w:rsidR="00DA705A">
              <w:rPr>
                <w:rFonts w:ascii="Arial" w:hAnsi="Arial" w:cs="Arial"/>
                <w:sz w:val="22"/>
                <w:szCs w:val="22"/>
              </w:rPr>
              <w:t>%</w:t>
            </w:r>
          </w:p>
          <w:p w14:paraId="498A3DB4" w14:textId="77777777" w:rsidR="00E826F3" w:rsidRDefault="00BE1982" w:rsidP="00A636C4">
            <w:pPr>
              <w:pStyle w:val="ListParagraph"/>
              <w:numPr>
                <w:ilvl w:val="0"/>
                <w:numId w:val="39"/>
              </w:numPr>
              <w:spacing w:line="288" w:lineRule="auto"/>
              <w:ind w:left="426"/>
              <w:rPr>
                <w:rFonts w:ascii="Arial" w:hAnsi="Arial" w:cs="Arial"/>
                <w:sz w:val="22"/>
                <w:szCs w:val="22"/>
              </w:rPr>
            </w:pPr>
            <w:r w:rsidRPr="00BE1982">
              <w:rPr>
                <w:rFonts w:ascii="Arial" w:hAnsi="Arial" w:cs="Arial"/>
                <w:sz w:val="22"/>
                <w:szCs w:val="22"/>
              </w:rPr>
              <w:t>Muscular stress while lifting, carrying, or putting down objects</w:t>
            </w:r>
            <w:r>
              <w:rPr>
                <w:rFonts w:ascii="Arial" w:hAnsi="Arial" w:cs="Arial"/>
                <w:sz w:val="22"/>
                <w:szCs w:val="22"/>
              </w:rPr>
              <w:t xml:space="preserve"> – 15</w:t>
            </w:r>
            <w:r w:rsidR="00DA705A">
              <w:rPr>
                <w:rFonts w:ascii="Arial" w:hAnsi="Arial" w:cs="Arial"/>
                <w:sz w:val="22"/>
                <w:szCs w:val="22"/>
              </w:rPr>
              <w:t>%</w:t>
            </w:r>
          </w:p>
          <w:p w14:paraId="576DF52F" w14:textId="77777777" w:rsidR="00DA705A" w:rsidRPr="00BE1982" w:rsidRDefault="00DA705A" w:rsidP="00A636C4">
            <w:pPr>
              <w:pStyle w:val="ListParagraph"/>
              <w:numPr>
                <w:ilvl w:val="0"/>
                <w:numId w:val="39"/>
              </w:numPr>
              <w:spacing w:line="288" w:lineRule="auto"/>
              <w:ind w:left="426"/>
              <w:rPr>
                <w:rFonts w:ascii="Arial" w:hAnsi="Arial" w:cs="Arial"/>
                <w:sz w:val="22"/>
                <w:szCs w:val="22"/>
              </w:rPr>
            </w:pPr>
            <w:r>
              <w:rPr>
                <w:rFonts w:ascii="Arial" w:hAnsi="Arial" w:cs="Arial"/>
                <w:sz w:val="22"/>
                <w:szCs w:val="22"/>
              </w:rPr>
              <w:t>Falls on the same level – 14%</w:t>
            </w:r>
          </w:p>
        </w:tc>
      </w:tr>
      <w:tr w:rsidR="009279F6" w14:paraId="3196985E" w14:textId="77777777" w:rsidTr="00F41C07">
        <w:trPr>
          <w:tblHeader/>
        </w:trPr>
        <w:tc>
          <w:tcPr>
            <w:tcW w:w="5141" w:type="dxa"/>
            <w:tcBorders>
              <w:top w:val="single" w:sz="4" w:space="0" w:color="auto"/>
              <w:bottom w:val="single" w:sz="4" w:space="0" w:color="auto"/>
            </w:tcBorders>
          </w:tcPr>
          <w:p w14:paraId="0791447B" w14:textId="77777777" w:rsidR="009279F6" w:rsidRDefault="009279F6" w:rsidP="009279F6">
            <w:pPr>
              <w:spacing w:line="288" w:lineRule="auto"/>
              <w:rPr>
                <w:rFonts w:ascii="Arial" w:hAnsi="Arial" w:cs="Arial"/>
                <w:b/>
                <w:sz w:val="22"/>
                <w:szCs w:val="22"/>
              </w:rPr>
            </w:pPr>
            <w:r>
              <w:rPr>
                <w:rFonts w:ascii="Arial" w:hAnsi="Arial" w:cs="Arial"/>
                <w:b/>
                <w:sz w:val="22"/>
                <w:szCs w:val="22"/>
              </w:rPr>
              <w:t>Medical and other health care services</w:t>
            </w:r>
          </w:p>
          <w:p w14:paraId="6AFCCDB1" w14:textId="77777777" w:rsidR="009279F6" w:rsidRPr="00C03349" w:rsidRDefault="009279F6" w:rsidP="00A636C4">
            <w:pPr>
              <w:pStyle w:val="ListParagraph"/>
              <w:numPr>
                <w:ilvl w:val="0"/>
                <w:numId w:val="39"/>
              </w:numPr>
              <w:spacing w:line="288" w:lineRule="auto"/>
              <w:ind w:left="426"/>
              <w:rPr>
                <w:rFonts w:ascii="Arial" w:hAnsi="Arial" w:cs="Arial"/>
                <w:sz w:val="22"/>
                <w:szCs w:val="22"/>
              </w:rPr>
            </w:pPr>
            <w:r w:rsidRPr="00C03349">
              <w:rPr>
                <w:rFonts w:ascii="Arial" w:hAnsi="Arial" w:cs="Arial"/>
                <w:sz w:val="22"/>
                <w:szCs w:val="22"/>
              </w:rPr>
              <w:t>Vehicle incident</w:t>
            </w:r>
            <w:r w:rsidR="00D30825" w:rsidRPr="00C03349">
              <w:rPr>
                <w:rFonts w:ascii="Arial" w:hAnsi="Arial" w:cs="Arial"/>
                <w:sz w:val="22"/>
                <w:szCs w:val="22"/>
              </w:rPr>
              <w:t xml:space="preserve"> </w:t>
            </w:r>
            <w:r w:rsidRPr="00C03349">
              <w:rPr>
                <w:rFonts w:ascii="Arial" w:hAnsi="Arial" w:cs="Arial"/>
                <w:sz w:val="22"/>
                <w:szCs w:val="22"/>
              </w:rPr>
              <w:t>– 80</w:t>
            </w:r>
            <w:r w:rsidR="00DA705A">
              <w:rPr>
                <w:rFonts w:ascii="Arial" w:hAnsi="Arial" w:cs="Arial"/>
                <w:sz w:val="22"/>
                <w:szCs w:val="22"/>
              </w:rPr>
              <w:t>%</w:t>
            </w:r>
          </w:p>
          <w:p w14:paraId="7F6BE32D" w14:textId="77777777" w:rsidR="009279F6" w:rsidRDefault="009279F6" w:rsidP="00DA705A">
            <w:pPr>
              <w:pStyle w:val="ListParagraph"/>
              <w:numPr>
                <w:ilvl w:val="0"/>
                <w:numId w:val="39"/>
              </w:numPr>
              <w:spacing w:line="288" w:lineRule="auto"/>
              <w:ind w:left="426"/>
              <w:rPr>
                <w:rFonts w:ascii="Arial" w:hAnsi="Arial" w:cs="Arial"/>
                <w:b/>
                <w:sz w:val="22"/>
                <w:szCs w:val="22"/>
              </w:rPr>
            </w:pPr>
            <w:r w:rsidRPr="00C03349">
              <w:rPr>
                <w:rFonts w:ascii="Arial" w:hAnsi="Arial" w:cs="Arial"/>
                <w:sz w:val="22"/>
                <w:szCs w:val="22"/>
              </w:rPr>
              <w:t>Being assaulted by person or persons – 20</w:t>
            </w:r>
            <w:r w:rsidR="00DA705A">
              <w:rPr>
                <w:rFonts w:ascii="Arial" w:hAnsi="Arial" w:cs="Arial"/>
                <w:sz w:val="22"/>
                <w:szCs w:val="22"/>
              </w:rPr>
              <w:t>%</w:t>
            </w:r>
          </w:p>
        </w:tc>
        <w:tc>
          <w:tcPr>
            <w:tcW w:w="5140" w:type="dxa"/>
            <w:tcBorders>
              <w:top w:val="single" w:sz="4" w:space="0" w:color="auto"/>
              <w:bottom w:val="single" w:sz="4" w:space="0" w:color="auto"/>
            </w:tcBorders>
          </w:tcPr>
          <w:p w14:paraId="68F73A7E" w14:textId="77777777" w:rsidR="009279F6" w:rsidRDefault="009279F6" w:rsidP="009279F6">
            <w:pPr>
              <w:spacing w:line="288" w:lineRule="auto"/>
              <w:rPr>
                <w:rFonts w:ascii="Arial" w:hAnsi="Arial" w:cs="Arial"/>
                <w:b/>
                <w:sz w:val="22"/>
                <w:szCs w:val="22"/>
              </w:rPr>
            </w:pPr>
            <w:r>
              <w:rPr>
                <w:rFonts w:ascii="Arial" w:hAnsi="Arial" w:cs="Arial"/>
                <w:b/>
                <w:sz w:val="22"/>
                <w:szCs w:val="22"/>
              </w:rPr>
              <w:t>Medical and other health care services</w:t>
            </w:r>
          </w:p>
          <w:p w14:paraId="6F8BEB6E" w14:textId="77777777" w:rsidR="009279F6" w:rsidRDefault="009279F6" w:rsidP="00A636C4">
            <w:pPr>
              <w:pStyle w:val="ListParagraph"/>
              <w:numPr>
                <w:ilvl w:val="0"/>
                <w:numId w:val="39"/>
              </w:numPr>
              <w:spacing w:line="288" w:lineRule="auto"/>
              <w:ind w:left="426"/>
              <w:rPr>
                <w:rFonts w:ascii="Arial" w:hAnsi="Arial" w:cs="Arial"/>
                <w:sz w:val="22"/>
                <w:szCs w:val="22"/>
              </w:rPr>
            </w:pPr>
            <w:r w:rsidRPr="00BE1982">
              <w:rPr>
                <w:rFonts w:ascii="Arial" w:hAnsi="Arial" w:cs="Arial"/>
                <w:sz w:val="22"/>
                <w:szCs w:val="22"/>
              </w:rPr>
              <w:t>Muscular stress while lifting, carrying, or putting down objects</w:t>
            </w:r>
            <w:r>
              <w:rPr>
                <w:rFonts w:ascii="Arial" w:hAnsi="Arial" w:cs="Arial"/>
                <w:sz w:val="22"/>
                <w:szCs w:val="22"/>
              </w:rPr>
              <w:t xml:space="preserve"> –</w:t>
            </w:r>
            <w:r w:rsidR="00D30825">
              <w:rPr>
                <w:rFonts w:ascii="Arial" w:hAnsi="Arial" w:cs="Arial"/>
                <w:sz w:val="22"/>
                <w:szCs w:val="22"/>
              </w:rPr>
              <w:t xml:space="preserve"> </w:t>
            </w:r>
            <w:r>
              <w:rPr>
                <w:rFonts w:ascii="Arial" w:hAnsi="Arial" w:cs="Arial"/>
                <w:sz w:val="22"/>
                <w:szCs w:val="22"/>
              </w:rPr>
              <w:t>25</w:t>
            </w:r>
            <w:r w:rsidR="00DA705A">
              <w:rPr>
                <w:rFonts w:ascii="Arial" w:hAnsi="Arial" w:cs="Arial"/>
                <w:sz w:val="22"/>
                <w:szCs w:val="22"/>
              </w:rPr>
              <w:t>%</w:t>
            </w:r>
          </w:p>
          <w:p w14:paraId="65D3DE3C" w14:textId="77777777" w:rsidR="009279F6" w:rsidRPr="00DA705A" w:rsidRDefault="009279F6" w:rsidP="00DA705A">
            <w:pPr>
              <w:pStyle w:val="ListParagraph"/>
              <w:numPr>
                <w:ilvl w:val="0"/>
                <w:numId w:val="39"/>
              </w:numPr>
              <w:spacing w:line="288" w:lineRule="auto"/>
              <w:ind w:left="426"/>
              <w:rPr>
                <w:rFonts w:ascii="Arial" w:hAnsi="Arial" w:cs="Arial"/>
                <w:b/>
                <w:sz w:val="22"/>
                <w:szCs w:val="22"/>
              </w:rPr>
            </w:pPr>
            <w:r>
              <w:rPr>
                <w:rFonts w:ascii="Arial" w:hAnsi="Arial" w:cs="Arial"/>
                <w:sz w:val="22"/>
                <w:szCs w:val="22"/>
              </w:rPr>
              <w:t>Muscular stress while handling objects</w:t>
            </w:r>
            <w:r w:rsidR="00D30825">
              <w:rPr>
                <w:rFonts w:ascii="Arial" w:hAnsi="Arial" w:cs="Arial"/>
                <w:sz w:val="22"/>
                <w:szCs w:val="22"/>
              </w:rPr>
              <w:t xml:space="preserve"> </w:t>
            </w:r>
            <w:r w:rsidRPr="00991FE3">
              <w:rPr>
                <w:rFonts w:ascii="Arial" w:hAnsi="Arial" w:cs="Arial"/>
                <w:sz w:val="22"/>
                <w:szCs w:val="22"/>
              </w:rPr>
              <w:t xml:space="preserve">– </w:t>
            </w:r>
            <w:r>
              <w:rPr>
                <w:rFonts w:ascii="Arial" w:hAnsi="Arial" w:cs="Arial"/>
                <w:sz w:val="22"/>
                <w:szCs w:val="22"/>
              </w:rPr>
              <w:t>17</w:t>
            </w:r>
            <w:r w:rsidR="00DA705A">
              <w:rPr>
                <w:rFonts w:ascii="Arial" w:hAnsi="Arial" w:cs="Arial"/>
                <w:sz w:val="22"/>
                <w:szCs w:val="22"/>
              </w:rPr>
              <w:t>%</w:t>
            </w:r>
          </w:p>
          <w:p w14:paraId="0C0186A1" w14:textId="77777777" w:rsidR="00DA705A" w:rsidRDefault="00DA705A" w:rsidP="00DA705A">
            <w:pPr>
              <w:pStyle w:val="ListParagraph"/>
              <w:numPr>
                <w:ilvl w:val="0"/>
                <w:numId w:val="39"/>
              </w:numPr>
              <w:spacing w:line="288" w:lineRule="auto"/>
              <w:ind w:left="426"/>
              <w:rPr>
                <w:rFonts w:ascii="Arial" w:hAnsi="Arial" w:cs="Arial"/>
                <w:b/>
                <w:sz w:val="22"/>
                <w:szCs w:val="22"/>
              </w:rPr>
            </w:pPr>
            <w:r>
              <w:rPr>
                <w:rFonts w:ascii="Arial" w:hAnsi="Arial" w:cs="Arial"/>
                <w:sz w:val="22"/>
                <w:szCs w:val="22"/>
              </w:rPr>
              <w:t>Fall on the same level – 12%</w:t>
            </w:r>
          </w:p>
        </w:tc>
      </w:tr>
      <w:tr w:rsidR="009279F6" w14:paraId="31A775E3" w14:textId="77777777" w:rsidTr="00F41C07">
        <w:trPr>
          <w:tblHeader/>
        </w:trPr>
        <w:tc>
          <w:tcPr>
            <w:tcW w:w="5141" w:type="dxa"/>
            <w:tcBorders>
              <w:top w:val="single" w:sz="4" w:space="0" w:color="auto"/>
              <w:bottom w:val="single" w:sz="4" w:space="0" w:color="auto"/>
            </w:tcBorders>
          </w:tcPr>
          <w:p w14:paraId="79602BBB" w14:textId="77777777" w:rsidR="009279F6" w:rsidRPr="00991FE3" w:rsidRDefault="009279F6" w:rsidP="009279F6">
            <w:pPr>
              <w:spacing w:line="288" w:lineRule="auto"/>
              <w:rPr>
                <w:rFonts w:ascii="Arial" w:hAnsi="Arial" w:cs="Arial"/>
                <w:sz w:val="22"/>
                <w:szCs w:val="22"/>
              </w:rPr>
            </w:pPr>
            <w:r>
              <w:rPr>
                <w:rFonts w:ascii="Arial" w:hAnsi="Arial" w:cs="Arial"/>
                <w:b/>
                <w:sz w:val="22"/>
                <w:szCs w:val="22"/>
              </w:rPr>
              <w:t>Residential care services</w:t>
            </w:r>
          </w:p>
          <w:p w14:paraId="797AA01D" w14:textId="77777777" w:rsidR="009279F6" w:rsidRDefault="009279F6" w:rsidP="00A636C4">
            <w:pPr>
              <w:pStyle w:val="ListParagraph"/>
              <w:numPr>
                <w:ilvl w:val="0"/>
                <w:numId w:val="39"/>
              </w:numPr>
              <w:spacing w:line="288" w:lineRule="auto"/>
              <w:ind w:left="426"/>
              <w:rPr>
                <w:rFonts w:ascii="Arial" w:hAnsi="Arial" w:cs="Arial"/>
                <w:sz w:val="22"/>
                <w:szCs w:val="22"/>
              </w:rPr>
            </w:pPr>
            <w:r>
              <w:rPr>
                <w:rFonts w:ascii="Arial" w:hAnsi="Arial" w:cs="Arial"/>
                <w:sz w:val="22"/>
                <w:szCs w:val="22"/>
              </w:rPr>
              <w:t>Vehicle incident – 67</w:t>
            </w:r>
            <w:r w:rsidR="00DA705A">
              <w:rPr>
                <w:rFonts w:ascii="Arial" w:hAnsi="Arial" w:cs="Arial"/>
                <w:sz w:val="22"/>
                <w:szCs w:val="22"/>
              </w:rPr>
              <w:t>%</w:t>
            </w:r>
          </w:p>
          <w:p w14:paraId="705D6A0D" w14:textId="77777777" w:rsidR="009279F6" w:rsidRDefault="009279F6" w:rsidP="00DA705A">
            <w:pPr>
              <w:pStyle w:val="ListParagraph"/>
              <w:numPr>
                <w:ilvl w:val="0"/>
                <w:numId w:val="39"/>
              </w:numPr>
              <w:spacing w:line="288" w:lineRule="auto"/>
              <w:ind w:left="426"/>
              <w:rPr>
                <w:rFonts w:ascii="Arial" w:hAnsi="Arial" w:cs="Arial"/>
                <w:b/>
                <w:sz w:val="22"/>
                <w:szCs w:val="22"/>
              </w:rPr>
            </w:pPr>
            <w:r>
              <w:rPr>
                <w:rFonts w:ascii="Arial" w:hAnsi="Arial" w:cs="Arial"/>
                <w:sz w:val="22"/>
                <w:szCs w:val="22"/>
              </w:rPr>
              <w:t>Being hit by moving objects – 33</w:t>
            </w:r>
            <w:r w:rsidR="00DA705A">
              <w:rPr>
                <w:rFonts w:ascii="Arial" w:hAnsi="Arial" w:cs="Arial"/>
                <w:sz w:val="22"/>
                <w:szCs w:val="22"/>
              </w:rPr>
              <w:t>%</w:t>
            </w:r>
          </w:p>
        </w:tc>
        <w:tc>
          <w:tcPr>
            <w:tcW w:w="5140" w:type="dxa"/>
            <w:tcBorders>
              <w:top w:val="single" w:sz="4" w:space="0" w:color="auto"/>
              <w:bottom w:val="single" w:sz="4" w:space="0" w:color="auto"/>
            </w:tcBorders>
          </w:tcPr>
          <w:p w14:paraId="4ABA55C1" w14:textId="77777777" w:rsidR="009279F6" w:rsidRPr="00991FE3" w:rsidRDefault="009279F6" w:rsidP="009279F6">
            <w:pPr>
              <w:spacing w:line="288" w:lineRule="auto"/>
              <w:rPr>
                <w:rFonts w:ascii="Arial" w:hAnsi="Arial" w:cs="Arial"/>
                <w:sz w:val="22"/>
                <w:szCs w:val="22"/>
              </w:rPr>
            </w:pPr>
            <w:r>
              <w:rPr>
                <w:rFonts w:ascii="Arial" w:hAnsi="Arial" w:cs="Arial"/>
                <w:b/>
                <w:sz w:val="22"/>
                <w:szCs w:val="22"/>
              </w:rPr>
              <w:t>Residential care services</w:t>
            </w:r>
          </w:p>
          <w:p w14:paraId="6978AFA4" w14:textId="77777777" w:rsidR="009279F6" w:rsidRDefault="009279F6" w:rsidP="00A636C4">
            <w:pPr>
              <w:pStyle w:val="ListParagraph"/>
              <w:numPr>
                <w:ilvl w:val="0"/>
                <w:numId w:val="39"/>
              </w:numPr>
              <w:spacing w:line="288" w:lineRule="auto"/>
              <w:ind w:left="426"/>
              <w:rPr>
                <w:rFonts w:ascii="Arial" w:hAnsi="Arial" w:cs="Arial"/>
                <w:sz w:val="22"/>
                <w:szCs w:val="22"/>
              </w:rPr>
            </w:pPr>
            <w:r>
              <w:rPr>
                <w:rFonts w:ascii="Arial" w:hAnsi="Arial" w:cs="Arial"/>
                <w:sz w:val="22"/>
                <w:szCs w:val="22"/>
              </w:rPr>
              <w:t>Muscular stress while handling objects – 30</w:t>
            </w:r>
            <w:r w:rsidR="00DA705A">
              <w:rPr>
                <w:rFonts w:ascii="Arial" w:hAnsi="Arial" w:cs="Arial"/>
                <w:sz w:val="22"/>
                <w:szCs w:val="22"/>
              </w:rPr>
              <w:t>%</w:t>
            </w:r>
          </w:p>
          <w:p w14:paraId="55F7214F" w14:textId="77777777" w:rsidR="009279F6" w:rsidRPr="00DA705A" w:rsidRDefault="009279F6" w:rsidP="00DA705A">
            <w:pPr>
              <w:pStyle w:val="ListParagraph"/>
              <w:numPr>
                <w:ilvl w:val="0"/>
                <w:numId w:val="39"/>
              </w:numPr>
              <w:spacing w:line="288" w:lineRule="auto"/>
              <w:ind w:left="426"/>
              <w:rPr>
                <w:rFonts w:ascii="Arial" w:hAnsi="Arial" w:cs="Arial"/>
                <w:b/>
                <w:sz w:val="22"/>
                <w:szCs w:val="22"/>
              </w:rPr>
            </w:pPr>
            <w:r>
              <w:rPr>
                <w:rFonts w:ascii="Arial" w:hAnsi="Arial" w:cs="Arial"/>
                <w:sz w:val="22"/>
                <w:szCs w:val="22"/>
              </w:rPr>
              <w:t>Falls on the same level – 16</w:t>
            </w:r>
            <w:r w:rsidR="00DA705A">
              <w:rPr>
                <w:rFonts w:ascii="Arial" w:hAnsi="Arial" w:cs="Arial"/>
                <w:sz w:val="22"/>
                <w:szCs w:val="22"/>
              </w:rPr>
              <w:t>%</w:t>
            </w:r>
          </w:p>
          <w:p w14:paraId="04C5C1C6" w14:textId="77777777" w:rsidR="00DA705A" w:rsidRPr="00DA705A" w:rsidRDefault="00DA705A" w:rsidP="00DA705A">
            <w:pPr>
              <w:pStyle w:val="ListParagraph"/>
              <w:numPr>
                <w:ilvl w:val="0"/>
                <w:numId w:val="39"/>
              </w:numPr>
              <w:spacing w:line="288" w:lineRule="auto"/>
              <w:ind w:left="426"/>
              <w:rPr>
                <w:rFonts w:ascii="Arial" w:hAnsi="Arial" w:cs="Arial"/>
                <w:sz w:val="22"/>
                <w:szCs w:val="22"/>
              </w:rPr>
            </w:pPr>
            <w:r w:rsidRPr="00BE1982">
              <w:rPr>
                <w:rFonts w:ascii="Arial" w:hAnsi="Arial" w:cs="Arial"/>
                <w:sz w:val="22"/>
                <w:szCs w:val="22"/>
              </w:rPr>
              <w:t>Muscular stress while lifting, carrying, or putting down objects</w:t>
            </w:r>
            <w:r>
              <w:rPr>
                <w:rFonts w:ascii="Arial" w:hAnsi="Arial" w:cs="Arial"/>
                <w:sz w:val="22"/>
                <w:szCs w:val="22"/>
              </w:rPr>
              <w:t xml:space="preserve"> – 11%</w:t>
            </w:r>
          </w:p>
        </w:tc>
      </w:tr>
      <w:tr w:rsidR="009279F6" w14:paraId="028F3058" w14:textId="77777777" w:rsidTr="00F41C07">
        <w:trPr>
          <w:tblHeader/>
        </w:trPr>
        <w:tc>
          <w:tcPr>
            <w:tcW w:w="5141" w:type="dxa"/>
            <w:tcBorders>
              <w:top w:val="single" w:sz="4" w:space="0" w:color="auto"/>
            </w:tcBorders>
          </w:tcPr>
          <w:p w14:paraId="00625EB5" w14:textId="77777777" w:rsidR="009279F6" w:rsidRPr="004C10D2" w:rsidRDefault="009279F6" w:rsidP="009279F6">
            <w:pPr>
              <w:spacing w:line="288" w:lineRule="auto"/>
              <w:rPr>
                <w:rFonts w:ascii="Arial" w:hAnsi="Arial" w:cs="Arial"/>
                <w:sz w:val="22"/>
                <w:szCs w:val="22"/>
              </w:rPr>
            </w:pPr>
            <w:r>
              <w:rPr>
                <w:rFonts w:ascii="Arial" w:hAnsi="Arial" w:cs="Arial"/>
                <w:b/>
                <w:sz w:val="22"/>
                <w:szCs w:val="22"/>
              </w:rPr>
              <w:t>Social assistance services</w:t>
            </w:r>
          </w:p>
          <w:p w14:paraId="58D8060B" w14:textId="77777777" w:rsidR="009279F6" w:rsidRDefault="009279F6" w:rsidP="00A636C4">
            <w:pPr>
              <w:pStyle w:val="ListParagraph"/>
              <w:numPr>
                <w:ilvl w:val="0"/>
                <w:numId w:val="39"/>
              </w:numPr>
              <w:spacing w:line="288" w:lineRule="auto"/>
              <w:ind w:left="426"/>
              <w:rPr>
                <w:rFonts w:ascii="Arial" w:hAnsi="Arial" w:cs="Arial"/>
                <w:sz w:val="22"/>
                <w:szCs w:val="22"/>
              </w:rPr>
            </w:pPr>
            <w:r>
              <w:rPr>
                <w:rFonts w:ascii="Arial" w:hAnsi="Arial" w:cs="Arial"/>
                <w:sz w:val="22"/>
                <w:szCs w:val="22"/>
              </w:rPr>
              <w:t>Vehicle incident – 67</w:t>
            </w:r>
            <w:r w:rsidR="00DA705A">
              <w:rPr>
                <w:rFonts w:ascii="Arial" w:hAnsi="Arial" w:cs="Arial"/>
                <w:sz w:val="22"/>
                <w:szCs w:val="22"/>
              </w:rPr>
              <w:t>%</w:t>
            </w:r>
          </w:p>
          <w:p w14:paraId="726CA7FD" w14:textId="77777777" w:rsidR="009279F6" w:rsidRPr="009279F6" w:rsidRDefault="009279F6" w:rsidP="00DA705A">
            <w:pPr>
              <w:pStyle w:val="ListParagraph"/>
              <w:numPr>
                <w:ilvl w:val="0"/>
                <w:numId w:val="39"/>
              </w:numPr>
              <w:spacing w:line="288" w:lineRule="auto"/>
              <w:ind w:left="426"/>
              <w:rPr>
                <w:rFonts w:ascii="Arial" w:hAnsi="Arial" w:cs="Arial"/>
                <w:b/>
                <w:sz w:val="22"/>
                <w:szCs w:val="22"/>
              </w:rPr>
            </w:pPr>
            <w:r w:rsidRPr="009279F6">
              <w:rPr>
                <w:rFonts w:ascii="Arial" w:hAnsi="Arial" w:cs="Arial"/>
                <w:sz w:val="22"/>
                <w:szCs w:val="22"/>
              </w:rPr>
              <w:t>Being assaulted by person or persons – 33</w:t>
            </w:r>
            <w:r w:rsidR="00DA705A">
              <w:rPr>
                <w:rFonts w:ascii="Arial" w:hAnsi="Arial" w:cs="Arial"/>
                <w:sz w:val="22"/>
                <w:szCs w:val="22"/>
              </w:rPr>
              <w:t>%</w:t>
            </w:r>
          </w:p>
        </w:tc>
        <w:tc>
          <w:tcPr>
            <w:tcW w:w="5140" w:type="dxa"/>
            <w:tcBorders>
              <w:top w:val="single" w:sz="4" w:space="0" w:color="auto"/>
            </w:tcBorders>
          </w:tcPr>
          <w:p w14:paraId="4D7594E3" w14:textId="77777777" w:rsidR="009279F6" w:rsidRPr="004C10D2" w:rsidRDefault="009279F6" w:rsidP="009279F6">
            <w:pPr>
              <w:spacing w:line="288" w:lineRule="auto"/>
              <w:rPr>
                <w:rFonts w:ascii="Arial" w:hAnsi="Arial" w:cs="Arial"/>
                <w:sz w:val="22"/>
                <w:szCs w:val="22"/>
              </w:rPr>
            </w:pPr>
            <w:r>
              <w:rPr>
                <w:rFonts w:ascii="Arial" w:hAnsi="Arial" w:cs="Arial"/>
                <w:b/>
                <w:sz w:val="22"/>
                <w:szCs w:val="22"/>
              </w:rPr>
              <w:t>Social assistance services</w:t>
            </w:r>
          </w:p>
          <w:p w14:paraId="32DDAB99" w14:textId="77777777" w:rsidR="009279F6" w:rsidRDefault="009279F6" w:rsidP="00A636C4">
            <w:pPr>
              <w:pStyle w:val="ListParagraph"/>
              <w:numPr>
                <w:ilvl w:val="0"/>
                <w:numId w:val="39"/>
              </w:numPr>
              <w:spacing w:line="288" w:lineRule="auto"/>
              <w:ind w:left="426"/>
              <w:rPr>
                <w:rFonts w:ascii="Arial" w:hAnsi="Arial" w:cs="Arial"/>
                <w:sz w:val="22"/>
                <w:szCs w:val="22"/>
              </w:rPr>
            </w:pPr>
            <w:r>
              <w:rPr>
                <w:rFonts w:ascii="Arial" w:hAnsi="Arial" w:cs="Arial"/>
                <w:sz w:val="22"/>
                <w:szCs w:val="22"/>
              </w:rPr>
              <w:t>Falls on the same level – 20</w:t>
            </w:r>
            <w:r w:rsidR="00DA705A">
              <w:rPr>
                <w:rFonts w:ascii="Arial" w:hAnsi="Arial" w:cs="Arial"/>
                <w:sz w:val="22"/>
                <w:szCs w:val="22"/>
              </w:rPr>
              <w:t>%</w:t>
            </w:r>
          </w:p>
          <w:p w14:paraId="7D0CCBF8" w14:textId="77777777" w:rsidR="009279F6" w:rsidRPr="00DA705A" w:rsidRDefault="009279F6" w:rsidP="00DA705A">
            <w:pPr>
              <w:pStyle w:val="ListParagraph"/>
              <w:numPr>
                <w:ilvl w:val="0"/>
                <w:numId w:val="39"/>
              </w:numPr>
              <w:spacing w:line="288" w:lineRule="auto"/>
              <w:ind w:left="426"/>
              <w:rPr>
                <w:rFonts w:ascii="Arial" w:hAnsi="Arial" w:cs="Arial"/>
                <w:b/>
                <w:sz w:val="22"/>
                <w:szCs w:val="22"/>
              </w:rPr>
            </w:pPr>
            <w:r w:rsidRPr="009279F6">
              <w:rPr>
                <w:rFonts w:ascii="Arial" w:hAnsi="Arial" w:cs="Arial"/>
                <w:sz w:val="22"/>
                <w:szCs w:val="22"/>
              </w:rPr>
              <w:t>Muscular stress while handling objects – 16</w:t>
            </w:r>
            <w:r w:rsidR="00DA705A">
              <w:rPr>
                <w:rFonts w:ascii="Arial" w:hAnsi="Arial" w:cs="Arial"/>
                <w:sz w:val="22"/>
                <w:szCs w:val="22"/>
              </w:rPr>
              <w:t>%</w:t>
            </w:r>
          </w:p>
          <w:p w14:paraId="6EF9DC8E" w14:textId="77777777" w:rsidR="00DA705A" w:rsidRPr="00DA705A" w:rsidRDefault="00DA705A" w:rsidP="00DA705A">
            <w:pPr>
              <w:pStyle w:val="ListParagraph"/>
              <w:numPr>
                <w:ilvl w:val="0"/>
                <w:numId w:val="39"/>
              </w:numPr>
              <w:spacing w:line="288" w:lineRule="auto"/>
              <w:ind w:left="426"/>
              <w:rPr>
                <w:rFonts w:ascii="Arial" w:hAnsi="Arial" w:cs="Arial"/>
                <w:sz w:val="22"/>
                <w:szCs w:val="22"/>
              </w:rPr>
            </w:pPr>
            <w:r w:rsidRPr="00BE1982">
              <w:rPr>
                <w:rFonts w:ascii="Arial" w:hAnsi="Arial" w:cs="Arial"/>
                <w:sz w:val="22"/>
                <w:szCs w:val="22"/>
              </w:rPr>
              <w:t>Muscular stress while lifting, carrying, or putting down objects</w:t>
            </w:r>
            <w:r>
              <w:rPr>
                <w:rFonts w:ascii="Arial" w:hAnsi="Arial" w:cs="Arial"/>
                <w:sz w:val="22"/>
                <w:szCs w:val="22"/>
              </w:rPr>
              <w:t xml:space="preserve"> – 14%</w:t>
            </w:r>
          </w:p>
        </w:tc>
      </w:tr>
    </w:tbl>
    <w:p w14:paraId="4A3E6414" w14:textId="77777777" w:rsidR="00BA6578" w:rsidRDefault="00BA6578" w:rsidP="00564DD2">
      <w:pPr>
        <w:spacing w:line="288" w:lineRule="auto"/>
        <w:rPr>
          <w:rFonts w:ascii="Arial" w:hAnsi="Arial" w:cs="Arial"/>
          <w:sz w:val="22"/>
          <w:szCs w:val="22"/>
        </w:rPr>
      </w:pPr>
    </w:p>
    <w:sectPr w:rsidR="00BA6578" w:rsidSect="00F73343">
      <w:headerReference w:type="even" r:id="rId21"/>
      <w:headerReference w:type="default" r:id="rId22"/>
      <w:footerReference w:type="even" r:id="rId23"/>
      <w:footerReference w:type="default" r:id="rId24"/>
      <w:headerReference w:type="first" r:id="rId25"/>
      <w:footerReference w:type="first" r:id="rId26"/>
      <w:pgSz w:w="11906" w:h="16838" w:code="9"/>
      <w:pgMar w:top="567" w:right="709" w:bottom="992" w:left="992" w:header="567" w:footer="37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07E97" w14:textId="77777777" w:rsidR="00C26809" w:rsidRDefault="00C26809" w:rsidP="00046BC1">
      <w:pPr>
        <w:spacing w:before="0" w:after="0"/>
      </w:pPr>
      <w:r>
        <w:separator/>
      </w:r>
    </w:p>
  </w:endnote>
  <w:endnote w:type="continuationSeparator" w:id="0">
    <w:p w14:paraId="7E25C48A" w14:textId="77777777" w:rsidR="00C26809" w:rsidRDefault="00C26809" w:rsidP="00046B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13E20" w14:textId="77777777" w:rsidR="00F73343" w:rsidRDefault="00F733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9426C" w14:textId="77777777" w:rsidR="00C26809" w:rsidRDefault="00C26809">
    <w:pPr>
      <w:pStyle w:val="Footer"/>
      <w:jc w:val="right"/>
    </w:pPr>
  </w:p>
  <w:p w14:paraId="5525D537" w14:textId="0D3C2CB6" w:rsidR="00C26809" w:rsidRPr="00F73343" w:rsidRDefault="00E7520A" w:rsidP="00C56FFA">
    <w:pPr>
      <w:pStyle w:val="Footer"/>
      <w:pBdr>
        <w:top w:val="single" w:sz="6" w:space="1" w:color="C10A27"/>
      </w:pBdr>
      <w:jc w:val="right"/>
      <w:rPr>
        <w:rFonts w:ascii="Arial" w:hAnsi="Arial" w:cs="Arial"/>
      </w:rPr>
    </w:pPr>
    <w:sdt>
      <w:sdtPr>
        <w:rPr>
          <w:rFonts w:ascii="Arial" w:hAnsi="Arial" w:cs="Arial"/>
        </w:rPr>
        <w:id w:val="-647830215"/>
        <w:docPartObj>
          <w:docPartGallery w:val="Page Numbers (Bottom of Page)"/>
          <w:docPartUnique/>
        </w:docPartObj>
      </w:sdtPr>
      <w:sdtEndPr>
        <w:rPr>
          <w:noProof/>
        </w:rPr>
      </w:sdtEndPr>
      <w:sdtContent>
        <w:r w:rsidR="00C26809" w:rsidRPr="00F73343">
          <w:rPr>
            <w:rFonts w:ascii="Arial" w:hAnsi="Arial" w:cs="Arial"/>
          </w:rPr>
          <w:fldChar w:fldCharType="begin"/>
        </w:r>
        <w:r w:rsidR="00C26809" w:rsidRPr="00F73343">
          <w:rPr>
            <w:rFonts w:ascii="Arial" w:hAnsi="Arial" w:cs="Arial"/>
          </w:rPr>
          <w:instrText xml:space="preserve"> PAGE   \* MERGEFORMAT </w:instrText>
        </w:r>
        <w:r w:rsidR="00C26809" w:rsidRPr="00F73343">
          <w:rPr>
            <w:rFonts w:ascii="Arial" w:hAnsi="Arial" w:cs="Arial"/>
          </w:rPr>
          <w:fldChar w:fldCharType="separate"/>
        </w:r>
        <w:r>
          <w:rPr>
            <w:rFonts w:ascii="Arial" w:hAnsi="Arial" w:cs="Arial"/>
            <w:noProof/>
          </w:rPr>
          <w:t>5</w:t>
        </w:r>
        <w:r w:rsidR="00C26809" w:rsidRPr="00F73343">
          <w:rPr>
            <w:rFonts w:ascii="Arial" w:hAnsi="Arial" w:cs="Arial"/>
            <w:noProof/>
          </w:rPr>
          <w:fldChar w:fldCharType="end"/>
        </w:r>
      </w:sdtContent>
    </w:sdt>
  </w:p>
  <w:p w14:paraId="277190B9" w14:textId="77777777" w:rsidR="00C26809" w:rsidRPr="00FA03F8" w:rsidRDefault="00C26809" w:rsidP="00FA03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0CEDA" w14:textId="574CBAFA" w:rsidR="001D4B31" w:rsidRPr="00F73343" w:rsidRDefault="00F73343" w:rsidP="00F73343">
    <w:pPr>
      <w:pStyle w:val="Footer"/>
      <w:rPr>
        <w:rFonts w:ascii="Arial" w:hAnsi="Arial" w:cs="Arial"/>
      </w:rPr>
    </w:pPr>
    <w:r w:rsidRPr="00FB6794">
      <w:rPr>
        <w:rFonts w:ascii="Arial" w:hAnsi="Arial" w:cs="Arial"/>
        <w:noProof/>
      </w:rPr>
      <mc:AlternateContent>
        <mc:Choice Requires="wps">
          <w:drawing>
            <wp:anchor distT="45720" distB="45720" distL="114300" distR="114300" simplePos="0" relativeHeight="251660288" behindDoc="0" locked="0" layoutInCell="1" allowOverlap="1" wp14:anchorId="088D8353" wp14:editId="37F3CD49">
              <wp:simplePos x="0" y="0"/>
              <wp:positionH relativeFrom="column">
                <wp:posOffset>2322195</wp:posOffset>
              </wp:positionH>
              <wp:positionV relativeFrom="paragraph">
                <wp:posOffset>65405</wp:posOffset>
              </wp:positionV>
              <wp:extent cx="1543050" cy="4667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66725"/>
                      </a:xfrm>
                      <a:prstGeom prst="rect">
                        <a:avLst/>
                      </a:prstGeom>
                      <a:noFill/>
                      <a:ln w="9525">
                        <a:noFill/>
                        <a:miter lim="800000"/>
                        <a:headEnd/>
                        <a:tailEnd/>
                      </a:ln>
                    </wps:spPr>
                    <wps:txbx>
                      <w:txbxContent>
                        <w:p w14:paraId="0CA28FAF" w14:textId="77777777" w:rsidR="00F73343" w:rsidRPr="00FF67CE" w:rsidRDefault="00F73343" w:rsidP="00F73343">
                          <w:pPr>
                            <w:pStyle w:val="Footer"/>
                            <w:jc w:val="both"/>
                            <w:rPr>
                              <w:rFonts w:ascii="Arial" w:hAnsi="Arial" w:cs="Arial"/>
                            </w:rPr>
                          </w:pPr>
                          <w:r w:rsidRPr="00FF67CE">
                            <w:rPr>
                              <w:rFonts w:ascii="Arial" w:hAnsi="Arial" w:cs="Arial"/>
                            </w:rPr>
                            <w:t>Creative Commons 4.0</w:t>
                          </w:r>
                        </w:p>
                        <w:p w14:paraId="536EEAEA" w14:textId="77777777" w:rsidR="00F73343" w:rsidRPr="00FF67CE" w:rsidRDefault="00F73343" w:rsidP="00F73343">
                          <w:pPr>
                            <w:pStyle w:val="Footer"/>
                            <w:jc w:val="both"/>
                            <w:rPr>
                              <w:rFonts w:ascii="Arial" w:hAnsi="Arial" w:cs="Arial"/>
                              <w:sz w:val="22"/>
                            </w:rPr>
                          </w:pPr>
                          <w:r>
                            <w:rPr>
                              <w:rFonts w:ascii="Arial" w:hAnsi="Arial" w:cs="Arial"/>
                            </w:rPr>
                            <w:t>International Licenc</w:t>
                          </w:r>
                          <w:r w:rsidRPr="00FF67CE">
                            <w:rPr>
                              <w:rFonts w:ascii="Arial" w:hAnsi="Arial" w:cs="Arial"/>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8D8353" id="_x0000_t202" coordsize="21600,21600" o:spt="202" path="m,l,21600r21600,l21600,xe">
              <v:stroke joinstyle="miter"/>
              <v:path gradientshapeok="t" o:connecttype="rect"/>
            </v:shapetype>
            <v:shape id="_x0000_s1027" type="#_x0000_t202" style="position:absolute;margin-left:182.85pt;margin-top:5.15pt;width:121.5pt;height:36.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" filled="f" stroked="f">
              <v:textbox>
                <w:txbxContent>
                  <w:p w14:paraId="0CA28FAF" w14:textId="77777777" w:rsidR="00F73343" w:rsidRPr="00FF67CE" w:rsidRDefault="00F73343" w:rsidP="00F73343">
                    <w:pPr>
                      <w:pStyle w:val="Footer"/>
                      <w:jc w:val="both"/>
                      <w:rPr>
                        <w:rFonts w:ascii="Arial" w:hAnsi="Arial" w:cs="Arial"/>
                      </w:rPr>
                    </w:pPr>
                    <w:r w:rsidRPr="00FF67CE">
                      <w:rPr>
                        <w:rFonts w:ascii="Arial" w:hAnsi="Arial" w:cs="Arial"/>
                      </w:rPr>
                      <w:t>Creative Commons 4.0</w:t>
                    </w:r>
                  </w:p>
                  <w:p w14:paraId="536EEAEA" w14:textId="77777777" w:rsidR="00F73343" w:rsidRPr="00FF67CE" w:rsidRDefault="00F73343" w:rsidP="00F73343">
                    <w:pPr>
                      <w:pStyle w:val="Footer"/>
                      <w:jc w:val="both"/>
                      <w:rPr>
                        <w:rFonts w:ascii="Arial" w:hAnsi="Arial" w:cs="Arial"/>
                        <w:sz w:val="22"/>
                      </w:rPr>
                    </w:pPr>
                    <w:r>
                      <w:rPr>
                        <w:rFonts w:ascii="Arial" w:hAnsi="Arial" w:cs="Arial"/>
                      </w:rPr>
                      <w:t>International Licenc</w:t>
                    </w:r>
                    <w:r w:rsidRPr="00FF67CE">
                      <w:rPr>
                        <w:rFonts w:ascii="Arial" w:hAnsi="Arial" w:cs="Arial"/>
                      </w:rPr>
                      <w:t>e</w:t>
                    </w:r>
                  </w:p>
                </w:txbxContent>
              </v:textbox>
              <w10:wrap type="square"/>
            </v:shape>
          </w:pict>
        </mc:Fallback>
      </mc:AlternateContent>
    </w:r>
    <w:r w:rsidRPr="00902E00">
      <w:rPr>
        <w:rFonts w:ascii="Arial" w:hAnsi="Arial" w:cs="Arial"/>
        <w:noProof/>
      </w:rPr>
      <w:drawing>
        <wp:anchor distT="0" distB="0" distL="114300" distR="114300" simplePos="0" relativeHeight="251659264" behindDoc="0" locked="0" layoutInCell="1" allowOverlap="1" wp14:anchorId="1F1743F6" wp14:editId="532ADDDB">
          <wp:simplePos x="0" y="0"/>
          <wp:positionH relativeFrom="column">
            <wp:posOffset>3789680</wp:posOffset>
          </wp:positionH>
          <wp:positionV relativeFrom="paragraph">
            <wp:posOffset>83185</wp:posOffset>
          </wp:positionV>
          <wp:extent cx="981075" cy="343236"/>
          <wp:effectExtent l="0" t="0" r="0" b="0"/>
          <wp:wrapThrough wrapText="bothSides">
            <wp:wrapPolygon edited="0">
              <wp:start x="0" y="0"/>
              <wp:lineTo x="0" y="20400"/>
              <wp:lineTo x="20971" y="20400"/>
              <wp:lineTo x="20971" y="0"/>
              <wp:lineTo x="0" y="0"/>
            </wp:wrapPolygon>
          </wp:wrapThrough>
          <wp:docPr id="9" name="Picture 9" descr="Creative commons 4.0 International lic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reative Commons CC by.png"/>
                  <pic:cNvPicPr/>
                </pic:nvPicPr>
                <pic:blipFill>
                  <a:blip r:embed="rId1">
                    <a:extLst>
                      <a:ext uri="{28A0092B-C50C-407E-A947-70E740481C1C}">
                        <a14:useLocalDpi xmlns:a14="http://schemas.microsoft.com/office/drawing/2010/main" val="0"/>
                      </a:ext>
                    </a:extLst>
                  </a:blip>
                  <a:stretch>
                    <a:fillRect/>
                  </a:stretch>
                </pic:blipFill>
                <pic:spPr>
                  <a:xfrm>
                    <a:off x="0" y="0"/>
                    <a:ext cx="981075" cy="34323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6BAAAB3B" wp14:editId="0D77EE06">
          <wp:simplePos x="0" y="0"/>
          <wp:positionH relativeFrom="column">
            <wp:posOffset>-116205</wp:posOffset>
          </wp:positionH>
          <wp:positionV relativeFrom="paragraph">
            <wp:posOffset>8255</wp:posOffset>
          </wp:positionV>
          <wp:extent cx="2247900" cy="452755"/>
          <wp:effectExtent l="0" t="0" r="0" b="4445"/>
          <wp:wrapSquare wrapText="bothSides"/>
          <wp:docPr id="21" name="Picture 21"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47900" cy="452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6794">
      <w:rPr>
        <w:rFonts w:ascii="Arial" w:hAnsi="Arial" w:cs="Arial"/>
        <w:noProof/>
      </w:rPr>
      <mc:AlternateContent>
        <mc:Choice Requires="wps">
          <w:drawing>
            <wp:anchor distT="45720" distB="45720" distL="114300" distR="114300" simplePos="0" relativeHeight="251661312" behindDoc="0" locked="0" layoutInCell="1" allowOverlap="1" wp14:anchorId="4CF30BC2" wp14:editId="2316F86E">
              <wp:simplePos x="0" y="0"/>
              <wp:positionH relativeFrom="column">
                <wp:posOffset>4741545</wp:posOffset>
              </wp:positionH>
              <wp:positionV relativeFrom="paragraph">
                <wp:posOffset>55880</wp:posOffset>
              </wp:positionV>
              <wp:extent cx="1952625" cy="46672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466725"/>
                      </a:xfrm>
                      <a:prstGeom prst="rect">
                        <a:avLst/>
                      </a:prstGeom>
                      <a:noFill/>
                      <a:ln w="9525">
                        <a:noFill/>
                        <a:miter lim="800000"/>
                        <a:headEnd/>
                        <a:tailEnd/>
                      </a:ln>
                    </wps:spPr>
                    <wps:txbx>
                      <w:txbxContent>
                        <w:p w14:paraId="13E10A3B" w14:textId="4BD07858" w:rsidR="00F73343" w:rsidRDefault="003B03ED" w:rsidP="00F73343">
                          <w:pPr>
                            <w:pStyle w:val="Footer"/>
                            <w:rPr>
                              <w:rFonts w:ascii="Arial" w:hAnsi="Arial" w:cs="Arial"/>
                              <w:sz w:val="18"/>
                            </w:rPr>
                          </w:pPr>
                          <w:r>
                            <w:rPr>
                              <w:rFonts w:ascii="Arial" w:hAnsi="Arial" w:cs="Arial"/>
                            </w:rPr>
                            <w:t xml:space="preserve">978-1-76051-526-3   </w:t>
                          </w:r>
                          <w:r w:rsidR="00F73343">
                            <w:rPr>
                              <w:rFonts w:ascii="Arial" w:hAnsi="Arial" w:cs="Arial"/>
                            </w:rPr>
                            <w:t>[PDF]</w:t>
                          </w:r>
                          <w:r w:rsidR="00F73343" w:rsidRPr="00FF67CE">
                            <w:rPr>
                              <w:rFonts w:ascii="Arial" w:hAnsi="Arial" w:cs="Arial"/>
                              <w:sz w:val="18"/>
                            </w:rPr>
                            <w:t xml:space="preserve"> </w:t>
                          </w:r>
                        </w:p>
                        <w:p w14:paraId="3B523141" w14:textId="11572700" w:rsidR="00F73343" w:rsidRPr="00FF67CE" w:rsidRDefault="003B03ED" w:rsidP="00F73343">
                          <w:pPr>
                            <w:pStyle w:val="Footer"/>
                            <w:rPr>
                              <w:rFonts w:ascii="Arial" w:hAnsi="Arial" w:cs="Arial"/>
                            </w:rPr>
                          </w:pPr>
                          <w:r>
                            <w:rPr>
                              <w:rFonts w:ascii="Arial" w:hAnsi="Arial" w:cs="Arial"/>
                            </w:rPr>
                            <w:t xml:space="preserve">978-1-76051-527-0   </w:t>
                          </w:r>
                          <w:r w:rsidR="00F73343">
                            <w:rPr>
                              <w:rFonts w:ascii="Arial" w:hAnsi="Arial" w:cs="Arial"/>
                            </w:rPr>
                            <w:t>[DOCX]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F30BC2" id="_x0000_t202" coordsize="21600,21600" o:spt="202" path="m,l,21600r21600,l21600,xe">
              <v:stroke joinstyle="miter"/>
              <v:path gradientshapeok="t" o:connecttype="rect"/>
            </v:shapetype>
            <v:shape id="_x0000_s1028" type="#_x0000_t202" style="position:absolute;margin-left:373.35pt;margin-top:4.4pt;width:153.75pt;height:36.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" filled="f" stroked="f">
              <v:textbox>
                <w:txbxContent>
                  <w:p w14:paraId="13E10A3B" w14:textId="4BD07858" w:rsidR="00F73343" w:rsidRDefault="003B03ED" w:rsidP="00F73343">
                    <w:pPr>
                      <w:pStyle w:val="Footer"/>
                      <w:rPr>
                        <w:rFonts w:ascii="Arial" w:hAnsi="Arial" w:cs="Arial"/>
                        <w:sz w:val="18"/>
                      </w:rPr>
                    </w:pPr>
                    <w:r>
                      <w:rPr>
                        <w:rFonts w:ascii="Arial" w:hAnsi="Arial" w:cs="Arial"/>
                      </w:rPr>
                      <w:t>978-1-76051-526-3</w:t>
                    </w:r>
                    <w:r>
                      <w:rPr>
                        <w:rFonts w:ascii="Arial" w:hAnsi="Arial" w:cs="Arial"/>
                      </w:rPr>
                      <w:t xml:space="preserve">   </w:t>
                    </w:r>
                    <w:r w:rsidR="00F73343">
                      <w:rPr>
                        <w:rFonts w:ascii="Arial" w:hAnsi="Arial" w:cs="Arial"/>
                      </w:rPr>
                      <w:t>[PDF]</w:t>
                    </w:r>
                    <w:r w:rsidR="00F73343" w:rsidRPr="00FF67CE">
                      <w:rPr>
                        <w:rFonts w:ascii="Arial" w:hAnsi="Arial" w:cs="Arial"/>
                        <w:sz w:val="18"/>
                      </w:rPr>
                      <w:t xml:space="preserve"> </w:t>
                    </w:r>
                  </w:p>
                  <w:p w14:paraId="3B523141" w14:textId="11572700" w:rsidR="00F73343" w:rsidRPr="00FF67CE" w:rsidRDefault="003B03ED" w:rsidP="00F73343">
                    <w:pPr>
                      <w:pStyle w:val="Footer"/>
                      <w:rPr>
                        <w:rFonts w:ascii="Arial" w:hAnsi="Arial" w:cs="Arial"/>
                      </w:rPr>
                    </w:pPr>
                    <w:r>
                      <w:rPr>
                        <w:rFonts w:ascii="Arial" w:hAnsi="Arial" w:cs="Arial"/>
                      </w:rPr>
                      <w:t>978-1-76051-527-0</w:t>
                    </w:r>
                    <w:r>
                      <w:rPr>
                        <w:rFonts w:ascii="Arial" w:hAnsi="Arial" w:cs="Arial"/>
                      </w:rPr>
                      <w:t xml:space="preserve">   </w:t>
                    </w:r>
                    <w:r w:rsidR="00F73343">
                      <w:rPr>
                        <w:rFonts w:ascii="Arial" w:hAnsi="Arial" w:cs="Arial"/>
                      </w:rPr>
                      <w:t>[DOCX]</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DB1DD" w14:textId="77777777" w:rsidR="00C26809" w:rsidRDefault="00C26809" w:rsidP="00046BC1">
      <w:pPr>
        <w:spacing w:before="0" w:after="0"/>
      </w:pPr>
      <w:r>
        <w:separator/>
      </w:r>
    </w:p>
  </w:footnote>
  <w:footnote w:type="continuationSeparator" w:id="0">
    <w:p w14:paraId="3AEC13EA" w14:textId="77777777" w:rsidR="00C26809" w:rsidRDefault="00C26809" w:rsidP="00046BC1">
      <w:pPr>
        <w:spacing w:before="0" w:after="0"/>
      </w:pPr>
      <w:r>
        <w:continuationSeparator/>
      </w:r>
    </w:p>
  </w:footnote>
  <w:footnote w:id="1">
    <w:p w14:paraId="2E133EF9" w14:textId="77777777" w:rsidR="00991F6C" w:rsidRPr="00F73343" w:rsidRDefault="00991F6C" w:rsidP="00991F6C">
      <w:pPr>
        <w:pStyle w:val="FootnoteText"/>
        <w:rPr>
          <w:rFonts w:ascii="Arial" w:hAnsi="Arial" w:cs="Arial"/>
        </w:rPr>
      </w:pPr>
      <w:r w:rsidRPr="00F73343">
        <w:rPr>
          <w:rStyle w:val="FootnoteReference"/>
          <w:rFonts w:ascii="Arial" w:hAnsi="Arial" w:cs="Arial"/>
        </w:rPr>
        <w:footnoteRef/>
      </w:r>
      <w:r w:rsidRPr="00F73343">
        <w:rPr>
          <w:rFonts w:ascii="Arial" w:hAnsi="Arial" w:cs="Arial"/>
        </w:rPr>
        <w:t xml:space="preserve"> Unless otherwise specified, the data contained in this report is sourced from Safe Work Australia’s National Data Set for Compensation-based Statistics and Work-related Traumatic Injury Fatalities data set.</w:t>
      </w:r>
      <w:r w:rsidR="00511825" w:rsidRPr="00F73343">
        <w:rPr>
          <w:rFonts w:ascii="Arial" w:hAnsi="Arial" w:cs="Arial"/>
        </w:rPr>
        <w:t xml:space="preserve"> Fatalities data relate to the period 2013 to 2016, while serious claim data related to 2012-13 to 2015-16.</w:t>
      </w:r>
    </w:p>
  </w:footnote>
  <w:footnote w:id="2">
    <w:p w14:paraId="3363B3E5" w14:textId="77777777" w:rsidR="00991F6C" w:rsidRPr="00991F6C" w:rsidRDefault="00991F6C">
      <w:pPr>
        <w:pStyle w:val="FootnoteText"/>
        <w:rPr>
          <w:i/>
        </w:rPr>
      </w:pPr>
      <w:r w:rsidRPr="00F73343">
        <w:rPr>
          <w:rStyle w:val="FootnoteReference"/>
          <w:rFonts w:ascii="Arial" w:hAnsi="Arial" w:cs="Arial"/>
        </w:rPr>
        <w:footnoteRef/>
      </w:r>
      <w:r w:rsidRPr="00F73343">
        <w:rPr>
          <w:rFonts w:ascii="Arial" w:hAnsi="Arial" w:cs="Arial"/>
        </w:rPr>
        <w:t xml:space="preserve"> The data in this section is sourced from the Australian Bureau of Statistics and the Department of Employment’s </w:t>
      </w:r>
      <w:r w:rsidRPr="00F73343">
        <w:rPr>
          <w:rFonts w:ascii="Arial" w:hAnsi="Arial" w:cs="Arial"/>
          <w:i/>
        </w:rPr>
        <w:t>Employment Outlook to May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56A3E" w14:textId="77777777" w:rsidR="00F73343" w:rsidRDefault="00F733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9856C" w14:textId="77777777" w:rsidR="00B43638" w:rsidRPr="00B43638" w:rsidRDefault="00B43638">
    <w:pPr>
      <w:pStyle w:val="Header"/>
      <w:rPr>
        <w:b/>
      </w:rPr>
    </w:pPr>
  </w:p>
  <w:p w14:paraId="25603C2E" w14:textId="77777777" w:rsidR="00B43638" w:rsidRDefault="00B436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F1EAA" w14:textId="77777777" w:rsidR="00F73343" w:rsidRDefault="00F733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55F20"/>
    <w:multiLevelType w:val="hybridMultilevel"/>
    <w:tmpl w:val="365A8528"/>
    <w:lvl w:ilvl="0" w:tplc="EC7E4E28">
      <w:start w:val="1"/>
      <w:numFmt w:val="decimal"/>
      <w:lvlText w:val="%1."/>
      <w:lvlJc w:val="left"/>
      <w:pPr>
        <w:ind w:left="144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824784"/>
    <w:multiLevelType w:val="hybridMultilevel"/>
    <w:tmpl w:val="66B4A19C"/>
    <w:lvl w:ilvl="0" w:tplc="0C09000F">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8F724D6"/>
    <w:multiLevelType w:val="hybridMultilevel"/>
    <w:tmpl w:val="BD1A183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597761"/>
    <w:multiLevelType w:val="hybridMultilevel"/>
    <w:tmpl w:val="A5DC5D0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B6B2C1A"/>
    <w:multiLevelType w:val="hybridMultilevel"/>
    <w:tmpl w:val="B6BA8F74"/>
    <w:lvl w:ilvl="0" w:tplc="EC7E4E28">
      <w:start w:val="1"/>
      <w:numFmt w:val="decimal"/>
      <w:lvlText w:val="%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0DE65B6E"/>
    <w:multiLevelType w:val="hybridMultilevel"/>
    <w:tmpl w:val="A5DC5D0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0F5C6D51"/>
    <w:multiLevelType w:val="hybridMultilevel"/>
    <w:tmpl w:val="7556D88C"/>
    <w:lvl w:ilvl="0" w:tplc="EC7E4E28">
      <w:start w:val="1"/>
      <w:numFmt w:val="decimal"/>
      <w:lvlText w:val="%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14733676"/>
    <w:multiLevelType w:val="hybridMultilevel"/>
    <w:tmpl w:val="F85A5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9F55A7"/>
    <w:multiLevelType w:val="hybridMultilevel"/>
    <w:tmpl w:val="827EA306"/>
    <w:lvl w:ilvl="0" w:tplc="EC7E4E28">
      <w:start w:val="1"/>
      <w:numFmt w:val="decimal"/>
      <w:lvlText w:val="%1."/>
      <w:lvlJc w:val="left"/>
      <w:pPr>
        <w:ind w:left="144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0C11C7"/>
    <w:multiLevelType w:val="multilevel"/>
    <w:tmpl w:val="4ED6F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966302"/>
    <w:multiLevelType w:val="hybridMultilevel"/>
    <w:tmpl w:val="23B2C6E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6D03A9"/>
    <w:multiLevelType w:val="hybridMultilevel"/>
    <w:tmpl w:val="432EBAE2"/>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4516DC7"/>
    <w:multiLevelType w:val="hybridMultilevel"/>
    <w:tmpl w:val="A5DC5D0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B192A21"/>
    <w:multiLevelType w:val="hybridMultilevel"/>
    <w:tmpl w:val="A5DC5D0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30365153"/>
    <w:multiLevelType w:val="hybridMultilevel"/>
    <w:tmpl w:val="F8F09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C66CA7"/>
    <w:multiLevelType w:val="hybridMultilevel"/>
    <w:tmpl w:val="459490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E43D4B"/>
    <w:multiLevelType w:val="hybridMultilevel"/>
    <w:tmpl w:val="A5DC5D0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3F3756EE"/>
    <w:multiLevelType w:val="hybridMultilevel"/>
    <w:tmpl w:val="A5DC5D0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3F3C1893"/>
    <w:multiLevelType w:val="hybridMultilevel"/>
    <w:tmpl w:val="A5DC5D0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474205B8"/>
    <w:multiLevelType w:val="hybridMultilevel"/>
    <w:tmpl w:val="04EC4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887FB2"/>
    <w:multiLevelType w:val="hybridMultilevel"/>
    <w:tmpl w:val="385A2B72"/>
    <w:lvl w:ilvl="0" w:tplc="EC7E4E28">
      <w:start w:val="1"/>
      <w:numFmt w:val="decimal"/>
      <w:lvlText w:val="%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4CA0617C"/>
    <w:multiLevelType w:val="hybridMultilevel"/>
    <w:tmpl w:val="A5DC5D0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4CB73E0A"/>
    <w:multiLevelType w:val="hybridMultilevel"/>
    <w:tmpl w:val="A628DFDA"/>
    <w:lvl w:ilvl="0" w:tplc="EC7E4E28">
      <w:start w:val="1"/>
      <w:numFmt w:val="decimal"/>
      <w:lvlText w:val="%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52780B58"/>
    <w:multiLevelType w:val="hybridMultilevel"/>
    <w:tmpl w:val="A5DC5D0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527A54E3"/>
    <w:multiLevelType w:val="hybridMultilevel"/>
    <w:tmpl w:val="A5DC5D0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53D27634"/>
    <w:multiLevelType w:val="hybridMultilevel"/>
    <w:tmpl w:val="7B888E74"/>
    <w:lvl w:ilvl="0" w:tplc="EC7E4E28">
      <w:start w:val="1"/>
      <w:numFmt w:val="decimal"/>
      <w:lvlText w:val="%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55266B1D"/>
    <w:multiLevelType w:val="hybridMultilevel"/>
    <w:tmpl w:val="FA681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3E57C0"/>
    <w:multiLevelType w:val="hybridMultilevel"/>
    <w:tmpl w:val="C1AC988A"/>
    <w:lvl w:ilvl="0" w:tplc="5734C160">
      <w:start w:val="1"/>
      <w:numFmt w:val="decimal"/>
      <w:lvlText w:val="%1."/>
      <w:lvlJc w:val="left"/>
      <w:pPr>
        <w:ind w:left="144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60B70D0"/>
    <w:multiLevelType w:val="hybridMultilevel"/>
    <w:tmpl w:val="49FE2C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8513871"/>
    <w:multiLevelType w:val="hybridMultilevel"/>
    <w:tmpl w:val="A5DC5D0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6FE27C38"/>
    <w:multiLevelType w:val="hybridMultilevel"/>
    <w:tmpl w:val="A3766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0925059"/>
    <w:multiLevelType w:val="hybridMultilevel"/>
    <w:tmpl w:val="A5DC5D0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71372E1A"/>
    <w:multiLevelType w:val="hybridMultilevel"/>
    <w:tmpl w:val="BC5A5BF2"/>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75E824EB"/>
    <w:multiLevelType w:val="hybridMultilevel"/>
    <w:tmpl w:val="A5DC5D0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78812C92"/>
    <w:multiLevelType w:val="hybridMultilevel"/>
    <w:tmpl w:val="A5DC5D0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7ABF4CEC"/>
    <w:multiLevelType w:val="hybridMultilevel"/>
    <w:tmpl w:val="A5DC5D0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7C2A1FC6"/>
    <w:multiLevelType w:val="hybridMultilevel"/>
    <w:tmpl w:val="4FC84428"/>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7CE41001"/>
    <w:multiLevelType w:val="hybridMultilevel"/>
    <w:tmpl w:val="F30EF232"/>
    <w:lvl w:ilvl="0" w:tplc="2E78F6CE">
      <w:start w:val="1"/>
      <w:numFmt w:val="bullet"/>
      <w:pStyle w:val="Bullet-para"/>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7DA86880"/>
    <w:multiLevelType w:val="hybridMultilevel"/>
    <w:tmpl w:val="A5DC5D0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28"/>
  </w:num>
  <w:num w:numId="2">
    <w:abstractNumId w:val="7"/>
  </w:num>
  <w:num w:numId="3">
    <w:abstractNumId w:val="1"/>
  </w:num>
  <w:num w:numId="4">
    <w:abstractNumId w:val="12"/>
  </w:num>
  <w:num w:numId="5">
    <w:abstractNumId w:val="13"/>
  </w:num>
  <w:num w:numId="6">
    <w:abstractNumId w:val="18"/>
  </w:num>
  <w:num w:numId="7">
    <w:abstractNumId w:val="29"/>
  </w:num>
  <w:num w:numId="8">
    <w:abstractNumId w:val="17"/>
  </w:num>
  <w:num w:numId="9">
    <w:abstractNumId w:val="24"/>
  </w:num>
  <w:num w:numId="10">
    <w:abstractNumId w:val="16"/>
  </w:num>
  <w:num w:numId="11">
    <w:abstractNumId w:val="35"/>
  </w:num>
  <w:num w:numId="12">
    <w:abstractNumId w:val="14"/>
  </w:num>
  <w:num w:numId="13">
    <w:abstractNumId w:val="30"/>
  </w:num>
  <w:num w:numId="14">
    <w:abstractNumId w:val="19"/>
  </w:num>
  <w:num w:numId="15">
    <w:abstractNumId w:val="9"/>
  </w:num>
  <w:num w:numId="16">
    <w:abstractNumId w:val="34"/>
  </w:num>
  <w:num w:numId="17">
    <w:abstractNumId w:val="5"/>
  </w:num>
  <w:num w:numId="18">
    <w:abstractNumId w:val="26"/>
  </w:num>
  <w:num w:numId="19">
    <w:abstractNumId w:val="33"/>
  </w:num>
  <w:num w:numId="20">
    <w:abstractNumId w:val="38"/>
  </w:num>
  <w:num w:numId="21">
    <w:abstractNumId w:val="23"/>
  </w:num>
  <w:num w:numId="22">
    <w:abstractNumId w:val="3"/>
  </w:num>
  <w:num w:numId="23">
    <w:abstractNumId w:val="11"/>
  </w:num>
  <w:num w:numId="24">
    <w:abstractNumId w:val="32"/>
  </w:num>
  <w:num w:numId="25">
    <w:abstractNumId w:val="37"/>
  </w:num>
  <w:num w:numId="26">
    <w:abstractNumId w:val="31"/>
  </w:num>
  <w:num w:numId="27">
    <w:abstractNumId w:val="21"/>
  </w:num>
  <w:num w:numId="28">
    <w:abstractNumId w:val="4"/>
  </w:num>
  <w:num w:numId="29">
    <w:abstractNumId w:val="6"/>
  </w:num>
  <w:num w:numId="30">
    <w:abstractNumId w:val="25"/>
  </w:num>
  <w:num w:numId="31">
    <w:abstractNumId w:val="22"/>
  </w:num>
  <w:num w:numId="32">
    <w:abstractNumId w:val="20"/>
  </w:num>
  <w:num w:numId="33">
    <w:abstractNumId w:val="2"/>
  </w:num>
  <w:num w:numId="34">
    <w:abstractNumId w:val="10"/>
  </w:num>
  <w:num w:numId="35">
    <w:abstractNumId w:val="0"/>
  </w:num>
  <w:num w:numId="36">
    <w:abstractNumId w:val="8"/>
  </w:num>
  <w:num w:numId="37">
    <w:abstractNumId w:val="27"/>
  </w:num>
  <w:num w:numId="38">
    <w:abstractNumId w:val="15"/>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s>
  <w:rsids>
    <w:rsidRoot w:val="00D80106"/>
    <w:rsid w:val="000019FE"/>
    <w:rsid w:val="0001009B"/>
    <w:rsid w:val="00011CE9"/>
    <w:rsid w:val="00012DB4"/>
    <w:rsid w:val="00013F11"/>
    <w:rsid w:val="00022172"/>
    <w:rsid w:val="0002445B"/>
    <w:rsid w:val="000330A1"/>
    <w:rsid w:val="000441EB"/>
    <w:rsid w:val="000459FF"/>
    <w:rsid w:val="00046BC1"/>
    <w:rsid w:val="000555F7"/>
    <w:rsid w:val="000643EF"/>
    <w:rsid w:val="000661BA"/>
    <w:rsid w:val="0007294F"/>
    <w:rsid w:val="00074105"/>
    <w:rsid w:val="000776F8"/>
    <w:rsid w:val="00082186"/>
    <w:rsid w:val="00096F22"/>
    <w:rsid w:val="000A4481"/>
    <w:rsid w:val="000B7228"/>
    <w:rsid w:val="000C514D"/>
    <w:rsid w:val="000E2777"/>
    <w:rsid w:val="000F4B67"/>
    <w:rsid w:val="001058EC"/>
    <w:rsid w:val="00106458"/>
    <w:rsid w:val="0011022E"/>
    <w:rsid w:val="001109B5"/>
    <w:rsid w:val="00120B8C"/>
    <w:rsid w:val="00123D86"/>
    <w:rsid w:val="00134C15"/>
    <w:rsid w:val="00135A3F"/>
    <w:rsid w:val="001412E0"/>
    <w:rsid w:val="001437B6"/>
    <w:rsid w:val="00147210"/>
    <w:rsid w:val="001504AC"/>
    <w:rsid w:val="00157689"/>
    <w:rsid w:val="00157C40"/>
    <w:rsid w:val="00160A0C"/>
    <w:rsid w:val="001622EC"/>
    <w:rsid w:val="00162FCC"/>
    <w:rsid w:val="00164971"/>
    <w:rsid w:val="00170B90"/>
    <w:rsid w:val="00174DB3"/>
    <w:rsid w:val="001804E7"/>
    <w:rsid w:val="00191D21"/>
    <w:rsid w:val="00197CE5"/>
    <w:rsid w:val="00197DB3"/>
    <w:rsid w:val="001A5243"/>
    <w:rsid w:val="001B1F8E"/>
    <w:rsid w:val="001B5FA2"/>
    <w:rsid w:val="001B7916"/>
    <w:rsid w:val="001C3010"/>
    <w:rsid w:val="001C719B"/>
    <w:rsid w:val="001C7808"/>
    <w:rsid w:val="001C7A36"/>
    <w:rsid w:val="001C7D70"/>
    <w:rsid w:val="001D12F3"/>
    <w:rsid w:val="001D4B31"/>
    <w:rsid w:val="001D668A"/>
    <w:rsid w:val="001F2388"/>
    <w:rsid w:val="001F4840"/>
    <w:rsid w:val="001F4BEB"/>
    <w:rsid w:val="002034D6"/>
    <w:rsid w:val="002042D4"/>
    <w:rsid w:val="002228A8"/>
    <w:rsid w:val="00222D33"/>
    <w:rsid w:val="00224C3F"/>
    <w:rsid w:val="00236897"/>
    <w:rsid w:val="002410A3"/>
    <w:rsid w:val="0024348C"/>
    <w:rsid w:val="002444A9"/>
    <w:rsid w:val="00251155"/>
    <w:rsid w:val="00255942"/>
    <w:rsid w:val="00274113"/>
    <w:rsid w:val="00281576"/>
    <w:rsid w:val="00283000"/>
    <w:rsid w:val="002843B5"/>
    <w:rsid w:val="002874D3"/>
    <w:rsid w:val="00292D90"/>
    <w:rsid w:val="00295DD8"/>
    <w:rsid w:val="002961D4"/>
    <w:rsid w:val="002A24D1"/>
    <w:rsid w:val="002A4898"/>
    <w:rsid w:val="002A7725"/>
    <w:rsid w:val="002B41D4"/>
    <w:rsid w:val="002C1299"/>
    <w:rsid w:val="002C28B7"/>
    <w:rsid w:val="002C4623"/>
    <w:rsid w:val="002C4F99"/>
    <w:rsid w:val="002D483D"/>
    <w:rsid w:val="002D4E89"/>
    <w:rsid w:val="002D532A"/>
    <w:rsid w:val="002E6551"/>
    <w:rsid w:val="002F1E7A"/>
    <w:rsid w:val="002F57F1"/>
    <w:rsid w:val="002F6D4A"/>
    <w:rsid w:val="00302F43"/>
    <w:rsid w:val="003042F6"/>
    <w:rsid w:val="00305789"/>
    <w:rsid w:val="00306222"/>
    <w:rsid w:val="003074B2"/>
    <w:rsid w:val="00312EE0"/>
    <w:rsid w:val="0031380D"/>
    <w:rsid w:val="00316173"/>
    <w:rsid w:val="00322A6D"/>
    <w:rsid w:val="00332574"/>
    <w:rsid w:val="00333237"/>
    <w:rsid w:val="00333966"/>
    <w:rsid w:val="00334EFE"/>
    <w:rsid w:val="00340379"/>
    <w:rsid w:val="003479CF"/>
    <w:rsid w:val="00347A57"/>
    <w:rsid w:val="00360AF6"/>
    <w:rsid w:val="0036272B"/>
    <w:rsid w:val="0036672B"/>
    <w:rsid w:val="0036721A"/>
    <w:rsid w:val="0037001B"/>
    <w:rsid w:val="00373613"/>
    <w:rsid w:val="00375927"/>
    <w:rsid w:val="003803A9"/>
    <w:rsid w:val="003803CD"/>
    <w:rsid w:val="003850F0"/>
    <w:rsid w:val="00395FED"/>
    <w:rsid w:val="003A1912"/>
    <w:rsid w:val="003A3BD2"/>
    <w:rsid w:val="003A3E08"/>
    <w:rsid w:val="003A585E"/>
    <w:rsid w:val="003B03ED"/>
    <w:rsid w:val="003B2026"/>
    <w:rsid w:val="003B2F3C"/>
    <w:rsid w:val="003B3AAE"/>
    <w:rsid w:val="003D2DBC"/>
    <w:rsid w:val="003E0E67"/>
    <w:rsid w:val="003E1DBB"/>
    <w:rsid w:val="003E3AC6"/>
    <w:rsid w:val="003E5110"/>
    <w:rsid w:val="003F1D05"/>
    <w:rsid w:val="003F1EBA"/>
    <w:rsid w:val="003F23DE"/>
    <w:rsid w:val="003F5D2C"/>
    <w:rsid w:val="003F6569"/>
    <w:rsid w:val="00403B85"/>
    <w:rsid w:val="00404D2C"/>
    <w:rsid w:val="00404EA3"/>
    <w:rsid w:val="00406808"/>
    <w:rsid w:val="00407533"/>
    <w:rsid w:val="004076EF"/>
    <w:rsid w:val="0041580C"/>
    <w:rsid w:val="00427DC5"/>
    <w:rsid w:val="00431310"/>
    <w:rsid w:val="00441A7B"/>
    <w:rsid w:val="0044203F"/>
    <w:rsid w:val="00444F71"/>
    <w:rsid w:val="00446764"/>
    <w:rsid w:val="0045074E"/>
    <w:rsid w:val="004615CF"/>
    <w:rsid w:val="00465A3C"/>
    <w:rsid w:val="00466CA0"/>
    <w:rsid w:val="004711FF"/>
    <w:rsid w:val="0048145C"/>
    <w:rsid w:val="0048534D"/>
    <w:rsid w:val="0048755A"/>
    <w:rsid w:val="00487719"/>
    <w:rsid w:val="00490281"/>
    <w:rsid w:val="004926EC"/>
    <w:rsid w:val="00494850"/>
    <w:rsid w:val="00495DF4"/>
    <w:rsid w:val="0049715F"/>
    <w:rsid w:val="00497A39"/>
    <w:rsid w:val="004A136B"/>
    <w:rsid w:val="004B0935"/>
    <w:rsid w:val="004C2791"/>
    <w:rsid w:val="004C2F51"/>
    <w:rsid w:val="004C53D1"/>
    <w:rsid w:val="004E3534"/>
    <w:rsid w:val="004E3E69"/>
    <w:rsid w:val="004E44A9"/>
    <w:rsid w:val="004F0B05"/>
    <w:rsid w:val="004F0D3C"/>
    <w:rsid w:val="004F5621"/>
    <w:rsid w:val="004F708D"/>
    <w:rsid w:val="00502672"/>
    <w:rsid w:val="00511825"/>
    <w:rsid w:val="00516830"/>
    <w:rsid w:val="00520F32"/>
    <w:rsid w:val="00527D54"/>
    <w:rsid w:val="00533C5C"/>
    <w:rsid w:val="005360FE"/>
    <w:rsid w:val="005428A4"/>
    <w:rsid w:val="00543BE3"/>
    <w:rsid w:val="00550A41"/>
    <w:rsid w:val="00551DDD"/>
    <w:rsid w:val="00554F3C"/>
    <w:rsid w:val="00557E42"/>
    <w:rsid w:val="00564DD2"/>
    <w:rsid w:val="0056504C"/>
    <w:rsid w:val="00565228"/>
    <w:rsid w:val="005653C1"/>
    <w:rsid w:val="0056541C"/>
    <w:rsid w:val="00572E32"/>
    <w:rsid w:val="00574468"/>
    <w:rsid w:val="00586F60"/>
    <w:rsid w:val="005A46F1"/>
    <w:rsid w:val="005B207B"/>
    <w:rsid w:val="005B46A5"/>
    <w:rsid w:val="005B75C0"/>
    <w:rsid w:val="005B7F2B"/>
    <w:rsid w:val="005C2E83"/>
    <w:rsid w:val="005C5428"/>
    <w:rsid w:val="005C5E44"/>
    <w:rsid w:val="005D4150"/>
    <w:rsid w:val="005D4F7A"/>
    <w:rsid w:val="005F226C"/>
    <w:rsid w:val="005F6406"/>
    <w:rsid w:val="006014B9"/>
    <w:rsid w:val="00612FDF"/>
    <w:rsid w:val="00625174"/>
    <w:rsid w:val="00633EE8"/>
    <w:rsid w:val="00640B02"/>
    <w:rsid w:val="006415B3"/>
    <w:rsid w:val="0064445A"/>
    <w:rsid w:val="0065349E"/>
    <w:rsid w:val="00654BC2"/>
    <w:rsid w:val="00662D0B"/>
    <w:rsid w:val="00665F87"/>
    <w:rsid w:val="006667AA"/>
    <w:rsid w:val="00675BD8"/>
    <w:rsid w:val="00677F80"/>
    <w:rsid w:val="006820DA"/>
    <w:rsid w:val="0068505E"/>
    <w:rsid w:val="00687B4E"/>
    <w:rsid w:val="00692110"/>
    <w:rsid w:val="00697449"/>
    <w:rsid w:val="006A78A2"/>
    <w:rsid w:val="006B0BA3"/>
    <w:rsid w:val="006B310D"/>
    <w:rsid w:val="006B357C"/>
    <w:rsid w:val="006C0423"/>
    <w:rsid w:val="006C1B92"/>
    <w:rsid w:val="006C1C04"/>
    <w:rsid w:val="006C3D4E"/>
    <w:rsid w:val="006C564F"/>
    <w:rsid w:val="006C595E"/>
    <w:rsid w:val="006D28C2"/>
    <w:rsid w:val="006D4FA9"/>
    <w:rsid w:val="006D763E"/>
    <w:rsid w:val="006E1B60"/>
    <w:rsid w:val="006E2D22"/>
    <w:rsid w:val="006F01E5"/>
    <w:rsid w:val="007011AA"/>
    <w:rsid w:val="00705A86"/>
    <w:rsid w:val="007079F7"/>
    <w:rsid w:val="00711CA3"/>
    <w:rsid w:val="007259EB"/>
    <w:rsid w:val="00725B06"/>
    <w:rsid w:val="007307F5"/>
    <w:rsid w:val="00741CF6"/>
    <w:rsid w:val="007467AC"/>
    <w:rsid w:val="00747C75"/>
    <w:rsid w:val="00751F02"/>
    <w:rsid w:val="0078082D"/>
    <w:rsid w:val="00797407"/>
    <w:rsid w:val="007A3287"/>
    <w:rsid w:val="007A45E4"/>
    <w:rsid w:val="007A6525"/>
    <w:rsid w:val="007B2A85"/>
    <w:rsid w:val="007B6953"/>
    <w:rsid w:val="007D6070"/>
    <w:rsid w:val="007E0C2B"/>
    <w:rsid w:val="007F5A29"/>
    <w:rsid w:val="007F6E44"/>
    <w:rsid w:val="00802F3E"/>
    <w:rsid w:val="0080500C"/>
    <w:rsid w:val="0080646B"/>
    <w:rsid w:val="008070AB"/>
    <w:rsid w:val="0081015F"/>
    <w:rsid w:val="00820DA1"/>
    <w:rsid w:val="00821AC6"/>
    <w:rsid w:val="00824A0B"/>
    <w:rsid w:val="00831881"/>
    <w:rsid w:val="00833951"/>
    <w:rsid w:val="008444BC"/>
    <w:rsid w:val="008507EB"/>
    <w:rsid w:val="00855757"/>
    <w:rsid w:val="0086407B"/>
    <w:rsid w:val="00875BD3"/>
    <w:rsid w:val="008834BE"/>
    <w:rsid w:val="00883BE1"/>
    <w:rsid w:val="008872AF"/>
    <w:rsid w:val="00890045"/>
    <w:rsid w:val="00891793"/>
    <w:rsid w:val="00892F89"/>
    <w:rsid w:val="00894E05"/>
    <w:rsid w:val="008954D0"/>
    <w:rsid w:val="008A56E3"/>
    <w:rsid w:val="008A7E33"/>
    <w:rsid w:val="008B0959"/>
    <w:rsid w:val="008B0C49"/>
    <w:rsid w:val="008B18A1"/>
    <w:rsid w:val="008B41C7"/>
    <w:rsid w:val="008C0C0A"/>
    <w:rsid w:val="008D53D4"/>
    <w:rsid w:val="008E6D54"/>
    <w:rsid w:val="008F1FDE"/>
    <w:rsid w:val="008F616E"/>
    <w:rsid w:val="009021BC"/>
    <w:rsid w:val="00904815"/>
    <w:rsid w:val="009279F6"/>
    <w:rsid w:val="0093298C"/>
    <w:rsid w:val="00936679"/>
    <w:rsid w:val="009400C5"/>
    <w:rsid w:val="00940622"/>
    <w:rsid w:val="00947E12"/>
    <w:rsid w:val="009504F5"/>
    <w:rsid w:val="00951A3C"/>
    <w:rsid w:val="00956AC7"/>
    <w:rsid w:val="00957371"/>
    <w:rsid w:val="00957EAC"/>
    <w:rsid w:val="00957F06"/>
    <w:rsid w:val="00961BB0"/>
    <w:rsid w:val="00961E98"/>
    <w:rsid w:val="0096753F"/>
    <w:rsid w:val="009711BB"/>
    <w:rsid w:val="0097145B"/>
    <w:rsid w:val="009726E3"/>
    <w:rsid w:val="00972DF9"/>
    <w:rsid w:val="0097571C"/>
    <w:rsid w:val="0097785B"/>
    <w:rsid w:val="00991305"/>
    <w:rsid w:val="00991F6C"/>
    <w:rsid w:val="00991FE3"/>
    <w:rsid w:val="00992FDC"/>
    <w:rsid w:val="009950B2"/>
    <w:rsid w:val="009A7E39"/>
    <w:rsid w:val="009B22F7"/>
    <w:rsid w:val="009B231B"/>
    <w:rsid w:val="009B5DAE"/>
    <w:rsid w:val="009B77E3"/>
    <w:rsid w:val="009C07DC"/>
    <w:rsid w:val="009D1116"/>
    <w:rsid w:val="009D450B"/>
    <w:rsid w:val="009D6A51"/>
    <w:rsid w:val="009E3326"/>
    <w:rsid w:val="009E3A24"/>
    <w:rsid w:val="009F1DDD"/>
    <w:rsid w:val="009F2112"/>
    <w:rsid w:val="009F3CB7"/>
    <w:rsid w:val="009F4CB4"/>
    <w:rsid w:val="009F55BE"/>
    <w:rsid w:val="00A011DB"/>
    <w:rsid w:val="00A07EBC"/>
    <w:rsid w:val="00A12D49"/>
    <w:rsid w:val="00A20365"/>
    <w:rsid w:val="00A21B00"/>
    <w:rsid w:val="00A25BF0"/>
    <w:rsid w:val="00A2649D"/>
    <w:rsid w:val="00A26D75"/>
    <w:rsid w:val="00A26E53"/>
    <w:rsid w:val="00A27A86"/>
    <w:rsid w:val="00A3763E"/>
    <w:rsid w:val="00A40C80"/>
    <w:rsid w:val="00A418F9"/>
    <w:rsid w:val="00A43B24"/>
    <w:rsid w:val="00A51841"/>
    <w:rsid w:val="00A569EB"/>
    <w:rsid w:val="00A636C4"/>
    <w:rsid w:val="00A63DE9"/>
    <w:rsid w:val="00A650B4"/>
    <w:rsid w:val="00A707CC"/>
    <w:rsid w:val="00A71165"/>
    <w:rsid w:val="00A7441D"/>
    <w:rsid w:val="00AC20EC"/>
    <w:rsid w:val="00AC2BE3"/>
    <w:rsid w:val="00AC3029"/>
    <w:rsid w:val="00AC3894"/>
    <w:rsid w:val="00AD09D3"/>
    <w:rsid w:val="00AE0C6F"/>
    <w:rsid w:val="00AE205C"/>
    <w:rsid w:val="00AE2339"/>
    <w:rsid w:val="00AE5939"/>
    <w:rsid w:val="00AF0125"/>
    <w:rsid w:val="00AF015C"/>
    <w:rsid w:val="00AF04A8"/>
    <w:rsid w:val="00AF203A"/>
    <w:rsid w:val="00AF38A5"/>
    <w:rsid w:val="00B04EE9"/>
    <w:rsid w:val="00B10B51"/>
    <w:rsid w:val="00B25623"/>
    <w:rsid w:val="00B33D2D"/>
    <w:rsid w:val="00B34A74"/>
    <w:rsid w:val="00B40807"/>
    <w:rsid w:val="00B43638"/>
    <w:rsid w:val="00B45AEB"/>
    <w:rsid w:val="00B53073"/>
    <w:rsid w:val="00B71C54"/>
    <w:rsid w:val="00B722EB"/>
    <w:rsid w:val="00B82799"/>
    <w:rsid w:val="00B82E0E"/>
    <w:rsid w:val="00B82E5A"/>
    <w:rsid w:val="00B879EB"/>
    <w:rsid w:val="00B94429"/>
    <w:rsid w:val="00B95491"/>
    <w:rsid w:val="00B96FDB"/>
    <w:rsid w:val="00BA13DC"/>
    <w:rsid w:val="00BA2234"/>
    <w:rsid w:val="00BA418F"/>
    <w:rsid w:val="00BA6578"/>
    <w:rsid w:val="00BA6C83"/>
    <w:rsid w:val="00BA71F3"/>
    <w:rsid w:val="00BB12FA"/>
    <w:rsid w:val="00BB3505"/>
    <w:rsid w:val="00BD7A61"/>
    <w:rsid w:val="00BE1982"/>
    <w:rsid w:val="00BF4B3B"/>
    <w:rsid w:val="00BF79DC"/>
    <w:rsid w:val="00C03349"/>
    <w:rsid w:val="00C03529"/>
    <w:rsid w:val="00C035C5"/>
    <w:rsid w:val="00C03DC6"/>
    <w:rsid w:val="00C07AD3"/>
    <w:rsid w:val="00C22E13"/>
    <w:rsid w:val="00C26809"/>
    <w:rsid w:val="00C32FC6"/>
    <w:rsid w:val="00C40D10"/>
    <w:rsid w:val="00C47A36"/>
    <w:rsid w:val="00C5578C"/>
    <w:rsid w:val="00C56FFA"/>
    <w:rsid w:val="00C63E9C"/>
    <w:rsid w:val="00C64471"/>
    <w:rsid w:val="00C64489"/>
    <w:rsid w:val="00C6536F"/>
    <w:rsid w:val="00C7047B"/>
    <w:rsid w:val="00C72464"/>
    <w:rsid w:val="00C73C42"/>
    <w:rsid w:val="00C75C59"/>
    <w:rsid w:val="00C86F0B"/>
    <w:rsid w:val="00C917B3"/>
    <w:rsid w:val="00CA717B"/>
    <w:rsid w:val="00CC25BB"/>
    <w:rsid w:val="00CC281F"/>
    <w:rsid w:val="00CC4A17"/>
    <w:rsid w:val="00CD01C3"/>
    <w:rsid w:val="00CD03A3"/>
    <w:rsid w:val="00CD0729"/>
    <w:rsid w:val="00CD48D6"/>
    <w:rsid w:val="00CE3C77"/>
    <w:rsid w:val="00CE7C15"/>
    <w:rsid w:val="00CF5751"/>
    <w:rsid w:val="00CF6135"/>
    <w:rsid w:val="00CF660E"/>
    <w:rsid w:val="00D017DA"/>
    <w:rsid w:val="00D07710"/>
    <w:rsid w:val="00D109A6"/>
    <w:rsid w:val="00D13293"/>
    <w:rsid w:val="00D14F87"/>
    <w:rsid w:val="00D15D03"/>
    <w:rsid w:val="00D16369"/>
    <w:rsid w:val="00D16FCF"/>
    <w:rsid w:val="00D27EA9"/>
    <w:rsid w:val="00D30825"/>
    <w:rsid w:val="00D30B05"/>
    <w:rsid w:val="00D33756"/>
    <w:rsid w:val="00D37457"/>
    <w:rsid w:val="00D37B12"/>
    <w:rsid w:val="00D4231B"/>
    <w:rsid w:val="00D50EFB"/>
    <w:rsid w:val="00D54055"/>
    <w:rsid w:val="00D542EC"/>
    <w:rsid w:val="00D56995"/>
    <w:rsid w:val="00D57E3F"/>
    <w:rsid w:val="00D6138C"/>
    <w:rsid w:val="00D61D18"/>
    <w:rsid w:val="00D62F28"/>
    <w:rsid w:val="00D71B56"/>
    <w:rsid w:val="00D80106"/>
    <w:rsid w:val="00D801D1"/>
    <w:rsid w:val="00DA4DBC"/>
    <w:rsid w:val="00DA705A"/>
    <w:rsid w:val="00DB6BF3"/>
    <w:rsid w:val="00DC532F"/>
    <w:rsid w:val="00DC53C8"/>
    <w:rsid w:val="00DC69C0"/>
    <w:rsid w:val="00DD1AC3"/>
    <w:rsid w:val="00DD4532"/>
    <w:rsid w:val="00E0116D"/>
    <w:rsid w:val="00E01A0E"/>
    <w:rsid w:val="00E01B32"/>
    <w:rsid w:val="00E034C7"/>
    <w:rsid w:val="00E052AB"/>
    <w:rsid w:val="00E1015B"/>
    <w:rsid w:val="00E10B88"/>
    <w:rsid w:val="00E13851"/>
    <w:rsid w:val="00E32AA3"/>
    <w:rsid w:val="00E35579"/>
    <w:rsid w:val="00E37D47"/>
    <w:rsid w:val="00E461C7"/>
    <w:rsid w:val="00E46792"/>
    <w:rsid w:val="00E56340"/>
    <w:rsid w:val="00E57023"/>
    <w:rsid w:val="00E5748F"/>
    <w:rsid w:val="00E61F4B"/>
    <w:rsid w:val="00E66B7B"/>
    <w:rsid w:val="00E7520A"/>
    <w:rsid w:val="00E756A7"/>
    <w:rsid w:val="00E772BC"/>
    <w:rsid w:val="00E826F3"/>
    <w:rsid w:val="00E83D81"/>
    <w:rsid w:val="00E84278"/>
    <w:rsid w:val="00E84900"/>
    <w:rsid w:val="00E85A05"/>
    <w:rsid w:val="00E865CB"/>
    <w:rsid w:val="00E8741D"/>
    <w:rsid w:val="00E91EA5"/>
    <w:rsid w:val="00E930B3"/>
    <w:rsid w:val="00E93F5A"/>
    <w:rsid w:val="00E9640E"/>
    <w:rsid w:val="00EA1EF1"/>
    <w:rsid w:val="00EA7042"/>
    <w:rsid w:val="00EB0250"/>
    <w:rsid w:val="00EB4366"/>
    <w:rsid w:val="00EB71D6"/>
    <w:rsid w:val="00EC1C7E"/>
    <w:rsid w:val="00EC2412"/>
    <w:rsid w:val="00EE727D"/>
    <w:rsid w:val="00F036C2"/>
    <w:rsid w:val="00F05108"/>
    <w:rsid w:val="00F064DE"/>
    <w:rsid w:val="00F07A52"/>
    <w:rsid w:val="00F21980"/>
    <w:rsid w:val="00F2403F"/>
    <w:rsid w:val="00F26635"/>
    <w:rsid w:val="00F3114B"/>
    <w:rsid w:val="00F31514"/>
    <w:rsid w:val="00F33558"/>
    <w:rsid w:val="00F41C07"/>
    <w:rsid w:val="00F45183"/>
    <w:rsid w:val="00F51AC2"/>
    <w:rsid w:val="00F57868"/>
    <w:rsid w:val="00F5788D"/>
    <w:rsid w:val="00F62087"/>
    <w:rsid w:val="00F62AB9"/>
    <w:rsid w:val="00F62DC6"/>
    <w:rsid w:val="00F64ABA"/>
    <w:rsid w:val="00F667DC"/>
    <w:rsid w:val="00F6735C"/>
    <w:rsid w:val="00F70C35"/>
    <w:rsid w:val="00F723FB"/>
    <w:rsid w:val="00F72BE1"/>
    <w:rsid w:val="00F73343"/>
    <w:rsid w:val="00F75229"/>
    <w:rsid w:val="00F75445"/>
    <w:rsid w:val="00F816B0"/>
    <w:rsid w:val="00F83814"/>
    <w:rsid w:val="00F90CB1"/>
    <w:rsid w:val="00F9493B"/>
    <w:rsid w:val="00FA03F8"/>
    <w:rsid w:val="00FA4E29"/>
    <w:rsid w:val="00FB6541"/>
    <w:rsid w:val="00FC2466"/>
    <w:rsid w:val="00FC7699"/>
    <w:rsid w:val="00FD2F1F"/>
    <w:rsid w:val="00FD3A2D"/>
    <w:rsid w:val="00FE2192"/>
    <w:rsid w:val="00FE309A"/>
    <w:rsid w:val="00FE4005"/>
    <w:rsid w:val="00FF02C8"/>
    <w:rsid w:val="00FF2D7D"/>
    <w:rsid w:val="00FF3D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14:docId w14:val="68F14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C07"/>
    <w:pPr>
      <w:spacing w:before="120" w:after="120"/>
    </w:pPr>
    <w:rPr>
      <w:rFonts w:ascii="Myriad Pro" w:hAnsi="Myriad Pro"/>
    </w:rPr>
  </w:style>
  <w:style w:type="paragraph" w:styleId="Heading1">
    <w:name w:val="heading 1"/>
    <w:basedOn w:val="Normal"/>
    <w:next w:val="Normal"/>
    <w:link w:val="Heading1Char"/>
    <w:qFormat/>
    <w:rsid w:val="00D13293"/>
    <w:pPr>
      <w:spacing w:before="360" w:after="0" w:line="288" w:lineRule="auto"/>
      <w:outlineLvl w:val="0"/>
    </w:pPr>
    <w:rPr>
      <w:rFonts w:ascii="Arial" w:hAnsi="Arial" w:cs="Arial"/>
      <w:b/>
      <w:color w:val="C10A27"/>
      <w:sz w:val="32"/>
      <w:szCs w:val="22"/>
    </w:rPr>
  </w:style>
  <w:style w:type="paragraph" w:styleId="Heading2">
    <w:name w:val="heading 2"/>
    <w:basedOn w:val="Normal"/>
    <w:next w:val="Normal"/>
    <w:link w:val="Heading2Char"/>
    <w:unhideWhenUsed/>
    <w:qFormat/>
    <w:rsid w:val="00D13293"/>
    <w:pPr>
      <w:spacing w:before="240" w:line="288" w:lineRule="auto"/>
      <w:outlineLvl w:val="1"/>
    </w:pPr>
    <w:rPr>
      <w:rFonts w:ascii="Arial" w:hAnsi="Arial" w:cs="Arial"/>
      <w:b/>
      <w:color w:val="C10A27"/>
      <w:sz w:val="24"/>
      <w:szCs w:val="22"/>
    </w:rPr>
  </w:style>
  <w:style w:type="paragraph" w:styleId="Heading3">
    <w:name w:val="heading 3"/>
    <w:basedOn w:val="Normal"/>
    <w:next w:val="Normal"/>
    <w:link w:val="Heading3Char"/>
    <w:unhideWhenUsed/>
    <w:qFormat/>
    <w:rsid w:val="00D13293"/>
    <w:pPr>
      <w:spacing w:before="240" w:line="288" w:lineRule="auto"/>
      <w:outlineLvl w:val="2"/>
    </w:pPr>
    <w:rPr>
      <w:rFonts w:ascii="Arial" w:hAnsi="Arial" w:cs="Arial"/>
      <w:b/>
      <w:color w:val="C10A27"/>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D80106"/>
    <w:rPr>
      <w:sz w:val="52"/>
      <w:szCs w:val="52"/>
    </w:rPr>
  </w:style>
  <w:style w:type="character" w:customStyle="1" w:styleId="TitleChar">
    <w:name w:val="Title Char"/>
    <w:basedOn w:val="DefaultParagraphFont"/>
    <w:link w:val="Title"/>
    <w:rsid w:val="00D80106"/>
    <w:rPr>
      <w:rFonts w:ascii="Myriad Pro" w:hAnsi="Myriad Pro"/>
      <w:sz w:val="52"/>
      <w:szCs w:val="52"/>
    </w:rPr>
  </w:style>
  <w:style w:type="table" w:styleId="TableGrid">
    <w:name w:val="Table Grid"/>
    <w:basedOn w:val="TableNormal"/>
    <w:rsid w:val="009B7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B22F7"/>
    <w:pPr>
      <w:spacing w:before="0" w:after="0"/>
    </w:pPr>
    <w:rPr>
      <w:rFonts w:ascii="Tahoma" w:hAnsi="Tahoma" w:cs="Tahoma"/>
      <w:sz w:val="16"/>
      <w:szCs w:val="16"/>
    </w:rPr>
  </w:style>
  <w:style w:type="character" w:customStyle="1" w:styleId="BalloonTextChar">
    <w:name w:val="Balloon Text Char"/>
    <w:basedOn w:val="DefaultParagraphFont"/>
    <w:link w:val="BalloonText"/>
    <w:rsid w:val="009B22F7"/>
    <w:rPr>
      <w:rFonts w:ascii="Tahoma" w:hAnsi="Tahoma" w:cs="Tahoma"/>
      <w:sz w:val="16"/>
      <w:szCs w:val="16"/>
    </w:rPr>
  </w:style>
  <w:style w:type="paragraph" w:styleId="ListParagraph">
    <w:name w:val="List Paragraph"/>
    <w:basedOn w:val="Normal"/>
    <w:uiPriority w:val="34"/>
    <w:qFormat/>
    <w:rsid w:val="002D4E89"/>
    <w:pPr>
      <w:spacing w:before="0" w:after="0"/>
      <w:ind w:left="720"/>
      <w:contextualSpacing/>
    </w:pPr>
    <w:rPr>
      <w:rFonts w:ascii="Times New Roman" w:hAnsi="Times New Roman"/>
      <w:sz w:val="24"/>
      <w:szCs w:val="24"/>
    </w:rPr>
  </w:style>
  <w:style w:type="paragraph" w:customStyle="1" w:styleId="FactSheetNormal">
    <w:name w:val="Fact Sheet Normal"/>
    <w:basedOn w:val="BodyText"/>
    <w:link w:val="FactSheetNormalChar"/>
    <w:qFormat/>
    <w:rsid w:val="001B7916"/>
    <w:pPr>
      <w:suppressAutoHyphens/>
      <w:autoSpaceDE w:val="0"/>
      <w:autoSpaceDN w:val="0"/>
      <w:adjustRightInd w:val="0"/>
      <w:spacing w:before="0" w:line="280" w:lineRule="atLeast"/>
      <w:textAlignment w:val="center"/>
    </w:pPr>
    <w:rPr>
      <w:rFonts w:ascii="Arial" w:hAnsi="Arial" w:cs="Arial"/>
      <w:color w:val="000000"/>
      <w:sz w:val="22"/>
      <w:szCs w:val="22"/>
      <w:lang w:val="en-GB"/>
    </w:rPr>
  </w:style>
  <w:style w:type="character" w:customStyle="1" w:styleId="FactSheetNormalChar">
    <w:name w:val="Fact Sheet Normal Char"/>
    <w:basedOn w:val="BodyTextChar"/>
    <w:link w:val="FactSheetNormal"/>
    <w:rsid w:val="001B7916"/>
    <w:rPr>
      <w:rFonts w:ascii="Arial" w:hAnsi="Arial" w:cs="Arial"/>
      <w:color w:val="000000"/>
      <w:sz w:val="22"/>
      <w:szCs w:val="22"/>
      <w:lang w:val="en-GB"/>
    </w:rPr>
  </w:style>
  <w:style w:type="paragraph" w:styleId="BodyText">
    <w:name w:val="Body Text"/>
    <w:basedOn w:val="Normal"/>
    <w:link w:val="BodyTextChar"/>
    <w:rsid w:val="001B7916"/>
  </w:style>
  <w:style w:type="character" w:customStyle="1" w:styleId="BodyTextChar">
    <w:name w:val="Body Text Char"/>
    <w:basedOn w:val="DefaultParagraphFont"/>
    <w:link w:val="BodyText"/>
    <w:rsid w:val="001B7916"/>
    <w:rPr>
      <w:rFonts w:ascii="Myriad Pro" w:hAnsi="Myriad Pro"/>
    </w:rPr>
  </w:style>
  <w:style w:type="character" w:customStyle="1" w:styleId="Heading2Char">
    <w:name w:val="Heading 2 Char"/>
    <w:basedOn w:val="DefaultParagraphFont"/>
    <w:link w:val="Heading2"/>
    <w:rsid w:val="00D13293"/>
    <w:rPr>
      <w:rFonts w:ascii="Arial" w:hAnsi="Arial" w:cs="Arial"/>
      <w:b/>
      <w:color w:val="C10A27"/>
      <w:sz w:val="24"/>
      <w:szCs w:val="22"/>
    </w:rPr>
  </w:style>
  <w:style w:type="paragraph" w:customStyle="1" w:styleId="Figureheading">
    <w:name w:val="Figure heading"/>
    <w:basedOn w:val="Normal"/>
    <w:link w:val="FigureheadingChar"/>
    <w:qFormat/>
    <w:rsid w:val="00487719"/>
    <w:pPr>
      <w:suppressAutoHyphens/>
      <w:autoSpaceDE w:val="0"/>
      <w:autoSpaceDN w:val="0"/>
      <w:adjustRightInd w:val="0"/>
      <w:spacing w:before="0" w:after="57" w:line="220" w:lineRule="atLeast"/>
      <w:textAlignment w:val="center"/>
    </w:pPr>
    <w:rPr>
      <w:rFonts w:ascii="Arial" w:hAnsi="Arial" w:cs="Arial"/>
      <w:b/>
      <w:color w:val="000000"/>
      <w:lang w:val="en-GB"/>
    </w:rPr>
  </w:style>
  <w:style w:type="character" w:customStyle="1" w:styleId="FigureheadingChar">
    <w:name w:val="Figure heading Char"/>
    <w:basedOn w:val="DefaultParagraphFont"/>
    <w:link w:val="Figureheading"/>
    <w:rsid w:val="00487719"/>
    <w:rPr>
      <w:rFonts w:ascii="Arial" w:hAnsi="Arial" w:cs="Arial"/>
      <w:b/>
      <w:color w:val="000000"/>
      <w:lang w:val="en-GB"/>
    </w:rPr>
  </w:style>
  <w:style w:type="paragraph" w:customStyle="1" w:styleId="Headerrow">
    <w:name w:val="Header row"/>
    <w:basedOn w:val="Normal"/>
    <w:link w:val="HeaderrowChar"/>
    <w:qFormat/>
    <w:rsid w:val="00487719"/>
    <w:pPr>
      <w:spacing w:before="0" w:after="0"/>
    </w:pPr>
    <w:rPr>
      <w:rFonts w:ascii="Arial" w:hAnsi="Arial" w:cs="Arial"/>
      <w:b/>
      <w:bCs/>
      <w:color w:val="000000"/>
      <w:sz w:val="16"/>
      <w:szCs w:val="16"/>
    </w:rPr>
  </w:style>
  <w:style w:type="paragraph" w:customStyle="1" w:styleId="FactSheetTableRowHeadings">
    <w:name w:val="Fact Sheet Table Row Headings"/>
    <w:basedOn w:val="Normal"/>
    <w:link w:val="FactSheetTableRowHeadingsChar"/>
    <w:qFormat/>
    <w:rsid w:val="00487719"/>
    <w:pPr>
      <w:spacing w:before="0" w:after="0"/>
    </w:pPr>
    <w:rPr>
      <w:rFonts w:ascii="Arial" w:hAnsi="Arial" w:cs="Arial"/>
      <w:b/>
      <w:bCs/>
      <w:color w:val="000000"/>
      <w:sz w:val="16"/>
      <w:szCs w:val="16"/>
    </w:rPr>
  </w:style>
  <w:style w:type="character" w:customStyle="1" w:styleId="HeaderrowChar">
    <w:name w:val="Header row Char"/>
    <w:basedOn w:val="DefaultParagraphFont"/>
    <w:link w:val="Headerrow"/>
    <w:rsid w:val="00487719"/>
    <w:rPr>
      <w:rFonts w:ascii="Arial" w:hAnsi="Arial" w:cs="Arial"/>
      <w:b/>
      <w:bCs/>
      <w:color w:val="000000"/>
      <w:sz w:val="16"/>
      <w:szCs w:val="16"/>
    </w:rPr>
  </w:style>
  <w:style w:type="paragraph" w:customStyle="1" w:styleId="FactSheetNotes">
    <w:name w:val="Fact Sheet Notes"/>
    <w:basedOn w:val="Normal"/>
    <w:link w:val="FactSheetNotesChar"/>
    <w:qFormat/>
    <w:rsid w:val="00487719"/>
    <w:pPr>
      <w:spacing w:before="0" w:after="0"/>
    </w:pPr>
    <w:rPr>
      <w:rFonts w:ascii="Arial" w:hAnsi="Arial" w:cs="Arial"/>
      <w:sz w:val="16"/>
      <w:szCs w:val="16"/>
    </w:rPr>
  </w:style>
  <w:style w:type="character" w:customStyle="1" w:styleId="FactSheetTableRowHeadingsChar">
    <w:name w:val="Fact Sheet Table Row Headings Char"/>
    <w:basedOn w:val="DefaultParagraphFont"/>
    <w:link w:val="FactSheetTableRowHeadings"/>
    <w:rsid w:val="00487719"/>
    <w:rPr>
      <w:rFonts w:ascii="Arial" w:hAnsi="Arial" w:cs="Arial"/>
      <w:b/>
      <w:bCs/>
      <w:color w:val="000000"/>
      <w:sz w:val="16"/>
      <w:szCs w:val="16"/>
    </w:rPr>
  </w:style>
  <w:style w:type="paragraph" w:customStyle="1" w:styleId="Tableheading">
    <w:name w:val="Table heading"/>
    <w:basedOn w:val="Normal"/>
    <w:link w:val="TableheadingChar"/>
    <w:qFormat/>
    <w:rsid w:val="00487719"/>
    <w:pPr>
      <w:spacing w:after="60"/>
    </w:pPr>
    <w:rPr>
      <w:rFonts w:ascii="Arial" w:hAnsi="Arial" w:cs="Arial"/>
      <w:b/>
    </w:rPr>
  </w:style>
  <w:style w:type="character" w:customStyle="1" w:styleId="FactSheetNotesChar">
    <w:name w:val="Fact Sheet Notes Char"/>
    <w:basedOn w:val="DefaultParagraphFont"/>
    <w:link w:val="FactSheetNotes"/>
    <w:rsid w:val="00487719"/>
    <w:rPr>
      <w:rFonts w:ascii="Arial" w:hAnsi="Arial" w:cs="Arial"/>
      <w:sz w:val="16"/>
      <w:szCs w:val="16"/>
    </w:rPr>
  </w:style>
  <w:style w:type="character" w:customStyle="1" w:styleId="TableheadingChar">
    <w:name w:val="Table heading Char"/>
    <w:basedOn w:val="DefaultParagraphFont"/>
    <w:link w:val="Tableheading"/>
    <w:rsid w:val="00487719"/>
    <w:rPr>
      <w:rFonts w:ascii="Arial" w:hAnsi="Arial" w:cs="Arial"/>
      <w:b/>
    </w:rPr>
  </w:style>
  <w:style w:type="character" w:styleId="Hyperlink">
    <w:name w:val="Hyperlink"/>
    <w:basedOn w:val="DefaultParagraphFont"/>
    <w:rsid w:val="000330A1"/>
    <w:rPr>
      <w:color w:val="0000FF" w:themeColor="hyperlink"/>
      <w:u w:val="single"/>
    </w:rPr>
  </w:style>
  <w:style w:type="character" w:styleId="CommentReference">
    <w:name w:val="annotation reference"/>
    <w:basedOn w:val="DefaultParagraphFont"/>
    <w:rsid w:val="00B82799"/>
    <w:rPr>
      <w:sz w:val="16"/>
      <w:szCs w:val="16"/>
    </w:rPr>
  </w:style>
  <w:style w:type="paragraph" w:styleId="CommentText">
    <w:name w:val="annotation text"/>
    <w:basedOn w:val="Normal"/>
    <w:link w:val="CommentTextChar"/>
    <w:rsid w:val="00B82799"/>
  </w:style>
  <w:style w:type="character" w:customStyle="1" w:styleId="CommentTextChar">
    <w:name w:val="Comment Text Char"/>
    <w:basedOn w:val="DefaultParagraphFont"/>
    <w:link w:val="CommentText"/>
    <w:rsid w:val="00B82799"/>
    <w:rPr>
      <w:rFonts w:ascii="Myriad Pro" w:hAnsi="Myriad Pro"/>
    </w:rPr>
  </w:style>
  <w:style w:type="paragraph" w:styleId="CommentSubject">
    <w:name w:val="annotation subject"/>
    <w:basedOn w:val="CommentText"/>
    <w:next w:val="CommentText"/>
    <w:link w:val="CommentSubjectChar"/>
    <w:rsid w:val="00B82799"/>
    <w:rPr>
      <w:b/>
      <w:bCs/>
    </w:rPr>
  </w:style>
  <w:style w:type="character" w:customStyle="1" w:styleId="CommentSubjectChar">
    <w:name w:val="Comment Subject Char"/>
    <w:basedOn w:val="CommentTextChar"/>
    <w:link w:val="CommentSubject"/>
    <w:rsid w:val="00B82799"/>
    <w:rPr>
      <w:rFonts w:ascii="Myriad Pro" w:hAnsi="Myriad Pro"/>
      <w:b/>
      <w:bCs/>
    </w:rPr>
  </w:style>
  <w:style w:type="paragraph" w:styleId="Revision">
    <w:name w:val="Revision"/>
    <w:hidden/>
    <w:uiPriority w:val="99"/>
    <w:semiHidden/>
    <w:rsid w:val="00D6138C"/>
    <w:rPr>
      <w:rFonts w:ascii="Myriad Pro" w:hAnsi="Myriad Pro"/>
    </w:rPr>
  </w:style>
  <w:style w:type="paragraph" w:styleId="Header">
    <w:name w:val="header"/>
    <w:basedOn w:val="Normal"/>
    <w:link w:val="HeaderChar"/>
    <w:rsid w:val="00046BC1"/>
    <w:pPr>
      <w:tabs>
        <w:tab w:val="center" w:pos="4513"/>
        <w:tab w:val="right" w:pos="9026"/>
      </w:tabs>
      <w:spacing w:before="0" w:after="0"/>
    </w:pPr>
  </w:style>
  <w:style w:type="character" w:customStyle="1" w:styleId="HeaderChar">
    <w:name w:val="Header Char"/>
    <w:basedOn w:val="DefaultParagraphFont"/>
    <w:link w:val="Header"/>
    <w:rsid w:val="00046BC1"/>
    <w:rPr>
      <w:rFonts w:ascii="Myriad Pro" w:hAnsi="Myriad Pro"/>
    </w:rPr>
  </w:style>
  <w:style w:type="paragraph" w:styleId="Footer">
    <w:name w:val="footer"/>
    <w:basedOn w:val="Normal"/>
    <w:link w:val="FooterChar"/>
    <w:uiPriority w:val="99"/>
    <w:rsid w:val="00046BC1"/>
    <w:pPr>
      <w:tabs>
        <w:tab w:val="center" w:pos="4513"/>
        <w:tab w:val="right" w:pos="9026"/>
      </w:tabs>
      <w:spacing w:before="0" w:after="0"/>
    </w:pPr>
  </w:style>
  <w:style w:type="character" w:customStyle="1" w:styleId="FooterChar">
    <w:name w:val="Footer Char"/>
    <w:basedOn w:val="DefaultParagraphFont"/>
    <w:link w:val="Footer"/>
    <w:uiPriority w:val="99"/>
    <w:rsid w:val="00046BC1"/>
    <w:rPr>
      <w:rFonts w:ascii="Myriad Pro" w:hAnsi="Myriad Pro"/>
    </w:rPr>
  </w:style>
  <w:style w:type="paragraph" w:customStyle="1" w:styleId="SWACoverHeader">
    <w:name w:val="SWA Cover Header"/>
    <w:basedOn w:val="Title"/>
    <w:link w:val="SWACoverHeaderChar"/>
    <w:qFormat/>
    <w:rsid w:val="00FE2192"/>
    <w:pPr>
      <w:overflowPunct w:val="0"/>
      <w:autoSpaceDE w:val="0"/>
      <w:autoSpaceDN w:val="0"/>
      <w:adjustRightInd w:val="0"/>
      <w:spacing w:before="5000" w:after="60"/>
      <w:textAlignment w:val="baseline"/>
      <w:outlineLvl w:val="0"/>
    </w:pPr>
    <w:rPr>
      <w:rFonts w:ascii="Arial Bold" w:eastAsiaTheme="majorEastAsia" w:hAnsi="Arial Bold" w:cs="Arial"/>
      <w:b/>
      <w:bCs/>
      <w:color w:val="FFFFFF" w:themeColor="background1"/>
      <w:kern w:val="28"/>
      <w:sz w:val="96"/>
      <w:szCs w:val="96"/>
      <w:lang w:eastAsia="en-US"/>
    </w:rPr>
  </w:style>
  <w:style w:type="character" w:customStyle="1" w:styleId="SWACoverHeaderChar">
    <w:name w:val="SWA Cover Header Char"/>
    <w:basedOn w:val="DefaultParagraphFont"/>
    <w:link w:val="SWACoverHeader"/>
    <w:rsid w:val="00FE2192"/>
    <w:rPr>
      <w:rFonts w:ascii="Arial Bold" w:eastAsiaTheme="majorEastAsia" w:hAnsi="Arial Bold" w:cs="Arial"/>
      <w:b/>
      <w:bCs/>
      <w:color w:val="FFFFFF" w:themeColor="background1"/>
      <w:kern w:val="28"/>
      <w:sz w:val="96"/>
      <w:szCs w:val="96"/>
      <w:lang w:eastAsia="en-US"/>
    </w:rPr>
  </w:style>
  <w:style w:type="character" w:styleId="FollowedHyperlink">
    <w:name w:val="FollowedHyperlink"/>
    <w:basedOn w:val="DefaultParagraphFont"/>
    <w:rsid w:val="003F23DE"/>
    <w:rPr>
      <w:color w:val="800080" w:themeColor="followedHyperlink"/>
      <w:u w:val="single"/>
    </w:rPr>
  </w:style>
  <w:style w:type="paragraph" w:styleId="FootnoteText">
    <w:name w:val="footnote text"/>
    <w:basedOn w:val="Normal"/>
    <w:link w:val="FootnoteTextChar"/>
    <w:unhideWhenUsed/>
    <w:rsid w:val="00D62F28"/>
    <w:pPr>
      <w:spacing w:before="0" w:after="0"/>
    </w:pPr>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rsid w:val="00D62F28"/>
    <w:rPr>
      <w:rFonts w:asciiTheme="minorHAnsi" w:eastAsiaTheme="minorHAnsi" w:hAnsiTheme="minorHAnsi" w:cstheme="minorBidi"/>
      <w:lang w:eastAsia="en-US"/>
    </w:rPr>
  </w:style>
  <w:style w:type="character" w:styleId="FootnoteReference">
    <w:name w:val="footnote reference"/>
    <w:basedOn w:val="DefaultParagraphFont"/>
    <w:unhideWhenUsed/>
    <w:rsid w:val="00D62F28"/>
    <w:rPr>
      <w:vertAlign w:val="superscript"/>
    </w:rPr>
  </w:style>
  <w:style w:type="paragraph" w:styleId="NormalWeb">
    <w:name w:val="Normal (Web)"/>
    <w:basedOn w:val="Normal"/>
    <w:uiPriority w:val="99"/>
    <w:unhideWhenUsed/>
    <w:rsid w:val="003850F0"/>
    <w:pPr>
      <w:spacing w:before="100" w:beforeAutospacing="1" w:after="100" w:afterAutospacing="1"/>
    </w:pPr>
    <w:rPr>
      <w:rFonts w:ascii="Times New Roman" w:hAnsi="Times New Roman"/>
      <w:sz w:val="24"/>
      <w:szCs w:val="24"/>
    </w:rPr>
  </w:style>
  <w:style w:type="paragraph" w:customStyle="1" w:styleId="Bodytextjustified">
    <w:name w:val="Body text justified"/>
    <w:basedOn w:val="Normal"/>
    <w:qFormat/>
    <w:rsid w:val="009400C5"/>
    <w:pPr>
      <w:spacing w:line="288" w:lineRule="auto"/>
      <w:jc w:val="both"/>
    </w:pPr>
    <w:rPr>
      <w:rFonts w:ascii="Arial" w:hAnsi="Arial" w:cs="Arial"/>
      <w:sz w:val="22"/>
      <w:szCs w:val="22"/>
    </w:rPr>
  </w:style>
  <w:style w:type="paragraph" w:customStyle="1" w:styleId="Bullet-para">
    <w:name w:val="Bullet-para"/>
    <w:basedOn w:val="ListParagraph"/>
    <w:rsid w:val="00F70C35"/>
    <w:pPr>
      <w:numPr>
        <w:numId w:val="25"/>
      </w:numPr>
      <w:spacing w:before="120" w:after="120" w:line="288" w:lineRule="auto"/>
      <w:ind w:left="709" w:hanging="357"/>
      <w:jc w:val="both"/>
    </w:pPr>
    <w:rPr>
      <w:rFonts w:ascii="Arial" w:hAnsi="Arial"/>
      <w:sz w:val="22"/>
    </w:rPr>
  </w:style>
  <w:style w:type="paragraph" w:customStyle="1" w:styleId="Style1">
    <w:name w:val="Style1"/>
    <w:basedOn w:val="Normal"/>
    <w:qFormat/>
    <w:rsid w:val="00A3763E"/>
    <w:pPr>
      <w:spacing w:after="160" w:line="24" w:lineRule="atLeast"/>
      <w:ind w:left="357" w:firstLine="357"/>
    </w:pPr>
    <w:rPr>
      <w:rFonts w:ascii="Arial" w:hAnsi="Arial" w:cs="Arial"/>
    </w:rPr>
  </w:style>
  <w:style w:type="paragraph" w:customStyle="1" w:styleId="Nobulletpara">
    <w:name w:val="No bullet para"/>
    <w:basedOn w:val="Bullet-para"/>
    <w:qFormat/>
    <w:rsid w:val="00F70C35"/>
    <w:pPr>
      <w:numPr>
        <w:numId w:val="0"/>
      </w:numPr>
      <w:ind w:left="680"/>
      <w:contextualSpacing w:val="0"/>
    </w:pPr>
  </w:style>
  <w:style w:type="character" w:customStyle="1" w:styleId="Heading1Char">
    <w:name w:val="Heading 1 Char"/>
    <w:basedOn w:val="DefaultParagraphFont"/>
    <w:link w:val="Heading1"/>
    <w:rsid w:val="00D13293"/>
    <w:rPr>
      <w:rFonts w:ascii="Arial" w:hAnsi="Arial" w:cs="Arial"/>
      <w:b/>
      <w:color w:val="C10A27"/>
      <w:sz w:val="32"/>
      <w:szCs w:val="22"/>
    </w:rPr>
  </w:style>
  <w:style w:type="character" w:customStyle="1" w:styleId="Heading3Char">
    <w:name w:val="Heading 3 Char"/>
    <w:basedOn w:val="DefaultParagraphFont"/>
    <w:link w:val="Heading3"/>
    <w:rsid w:val="00D13293"/>
    <w:rPr>
      <w:rFonts w:ascii="Arial" w:hAnsi="Arial" w:cs="Arial"/>
      <w:b/>
      <w:color w:val="C10A27"/>
      <w:sz w:val="22"/>
      <w:szCs w:val="22"/>
    </w:rPr>
  </w:style>
  <w:style w:type="paragraph" w:styleId="NoSpacing">
    <w:name w:val="No Spacing"/>
    <w:link w:val="NoSpacingChar"/>
    <w:uiPriority w:val="1"/>
    <w:qFormat/>
    <w:rsid w:val="00F73343"/>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F73343"/>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313">
      <w:bodyDiv w:val="1"/>
      <w:marLeft w:val="0"/>
      <w:marRight w:val="0"/>
      <w:marTop w:val="0"/>
      <w:marBottom w:val="0"/>
      <w:divBdr>
        <w:top w:val="none" w:sz="0" w:space="0" w:color="auto"/>
        <w:left w:val="none" w:sz="0" w:space="0" w:color="auto"/>
        <w:bottom w:val="none" w:sz="0" w:space="0" w:color="auto"/>
        <w:right w:val="none" w:sz="0" w:space="0" w:color="auto"/>
      </w:divBdr>
    </w:div>
    <w:div w:id="29260914">
      <w:bodyDiv w:val="1"/>
      <w:marLeft w:val="0"/>
      <w:marRight w:val="0"/>
      <w:marTop w:val="0"/>
      <w:marBottom w:val="0"/>
      <w:divBdr>
        <w:top w:val="none" w:sz="0" w:space="0" w:color="auto"/>
        <w:left w:val="none" w:sz="0" w:space="0" w:color="auto"/>
        <w:bottom w:val="none" w:sz="0" w:space="0" w:color="auto"/>
        <w:right w:val="none" w:sz="0" w:space="0" w:color="auto"/>
      </w:divBdr>
    </w:div>
    <w:div w:id="60249301">
      <w:bodyDiv w:val="1"/>
      <w:marLeft w:val="0"/>
      <w:marRight w:val="0"/>
      <w:marTop w:val="0"/>
      <w:marBottom w:val="0"/>
      <w:divBdr>
        <w:top w:val="none" w:sz="0" w:space="0" w:color="auto"/>
        <w:left w:val="none" w:sz="0" w:space="0" w:color="auto"/>
        <w:bottom w:val="none" w:sz="0" w:space="0" w:color="auto"/>
        <w:right w:val="none" w:sz="0" w:space="0" w:color="auto"/>
      </w:divBdr>
    </w:div>
    <w:div w:id="131337309">
      <w:bodyDiv w:val="1"/>
      <w:marLeft w:val="0"/>
      <w:marRight w:val="0"/>
      <w:marTop w:val="0"/>
      <w:marBottom w:val="0"/>
      <w:divBdr>
        <w:top w:val="none" w:sz="0" w:space="0" w:color="auto"/>
        <w:left w:val="none" w:sz="0" w:space="0" w:color="auto"/>
        <w:bottom w:val="none" w:sz="0" w:space="0" w:color="auto"/>
        <w:right w:val="none" w:sz="0" w:space="0" w:color="auto"/>
      </w:divBdr>
    </w:div>
    <w:div w:id="295188398">
      <w:bodyDiv w:val="1"/>
      <w:marLeft w:val="0"/>
      <w:marRight w:val="0"/>
      <w:marTop w:val="0"/>
      <w:marBottom w:val="0"/>
      <w:divBdr>
        <w:top w:val="none" w:sz="0" w:space="0" w:color="auto"/>
        <w:left w:val="none" w:sz="0" w:space="0" w:color="auto"/>
        <w:bottom w:val="none" w:sz="0" w:space="0" w:color="auto"/>
        <w:right w:val="none" w:sz="0" w:space="0" w:color="auto"/>
      </w:divBdr>
    </w:div>
    <w:div w:id="376242516">
      <w:bodyDiv w:val="1"/>
      <w:marLeft w:val="0"/>
      <w:marRight w:val="0"/>
      <w:marTop w:val="0"/>
      <w:marBottom w:val="0"/>
      <w:divBdr>
        <w:top w:val="none" w:sz="0" w:space="0" w:color="auto"/>
        <w:left w:val="none" w:sz="0" w:space="0" w:color="auto"/>
        <w:bottom w:val="none" w:sz="0" w:space="0" w:color="auto"/>
        <w:right w:val="none" w:sz="0" w:space="0" w:color="auto"/>
      </w:divBdr>
    </w:div>
    <w:div w:id="450561679">
      <w:bodyDiv w:val="1"/>
      <w:marLeft w:val="0"/>
      <w:marRight w:val="0"/>
      <w:marTop w:val="0"/>
      <w:marBottom w:val="0"/>
      <w:divBdr>
        <w:top w:val="none" w:sz="0" w:space="0" w:color="auto"/>
        <w:left w:val="none" w:sz="0" w:space="0" w:color="auto"/>
        <w:bottom w:val="none" w:sz="0" w:space="0" w:color="auto"/>
        <w:right w:val="none" w:sz="0" w:space="0" w:color="auto"/>
      </w:divBdr>
    </w:div>
    <w:div w:id="467479492">
      <w:bodyDiv w:val="1"/>
      <w:marLeft w:val="0"/>
      <w:marRight w:val="0"/>
      <w:marTop w:val="0"/>
      <w:marBottom w:val="0"/>
      <w:divBdr>
        <w:top w:val="none" w:sz="0" w:space="0" w:color="auto"/>
        <w:left w:val="none" w:sz="0" w:space="0" w:color="auto"/>
        <w:bottom w:val="none" w:sz="0" w:space="0" w:color="auto"/>
        <w:right w:val="none" w:sz="0" w:space="0" w:color="auto"/>
      </w:divBdr>
    </w:div>
    <w:div w:id="556235832">
      <w:bodyDiv w:val="1"/>
      <w:marLeft w:val="0"/>
      <w:marRight w:val="0"/>
      <w:marTop w:val="0"/>
      <w:marBottom w:val="0"/>
      <w:divBdr>
        <w:top w:val="none" w:sz="0" w:space="0" w:color="auto"/>
        <w:left w:val="none" w:sz="0" w:space="0" w:color="auto"/>
        <w:bottom w:val="none" w:sz="0" w:space="0" w:color="auto"/>
        <w:right w:val="none" w:sz="0" w:space="0" w:color="auto"/>
      </w:divBdr>
    </w:div>
    <w:div w:id="571084924">
      <w:bodyDiv w:val="1"/>
      <w:marLeft w:val="0"/>
      <w:marRight w:val="0"/>
      <w:marTop w:val="0"/>
      <w:marBottom w:val="0"/>
      <w:divBdr>
        <w:top w:val="none" w:sz="0" w:space="0" w:color="auto"/>
        <w:left w:val="none" w:sz="0" w:space="0" w:color="auto"/>
        <w:bottom w:val="none" w:sz="0" w:space="0" w:color="auto"/>
        <w:right w:val="none" w:sz="0" w:space="0" w:color="auto"/>
      </w:divBdr>
      <w:divsChild>
        <w:div w:id="1291672049">
          <w:marLeft w:val="0"/>
          <w:marRight w:val="0"/>
          <w:marTop w:val="0"/>
          <w:marBottom w:val="0"/>
          <w:divBdr>
            <w:top w:val="none" w:sz="0" w:space="0" w:color="auto"/>
            <w:left w:val="none" w:sz="0" w:space="0" w:color="auto"/>
            <w:bottom w:val="none" w:sz="0" w:space="0" w:color="auto"/>
            <w:right w:val="none" w:sz="0" w:space="0" w:color="auto"/>
          </w:divBdr>
          <w:divsChild>
            <w:div w:id="1863476566">
              <w:marLeft w:val="0"/>
              <w:marRight w:val="0"/>
              <w:marTop w:val="0"/>
              <w:marBottom w:val="0"/>
              <w:divBdr>
                <w:top w:val="none" w:sz="0" w:space="0" w:color="auto"/>
                <w:left w:val="none" w:sz="0" w:space="0" w:color="auto"/>
                <w:bottom w:val="none" w:sz="0" w:space="0" w:color="auto"/>
                <w:right w:val="none" w:sz="0" w:space="0" w:color="auto"/>
              </w:divBdr>
              <w:divsChild>
                <w:div w:id="1700665128">
                  <w:marLeft w:val="0"/>
                  <w:marRight w:val="0"/>
                  <w:marTop w:val="0"/>
                  <w:marBottom w:val="0"/>
                  <w:divBdr>
                    <w:top w:val="none" w:sz="0" w:space="0" w:color="auto"/>
                    <w:left w:val="none" w:sz="0" w:space="0" w:color="auto"/>
                    <w:bottom w:val="none" w:sz="0" w:space="0" w:color="auto"/>
                    <w:right w:val="none" w:sz="0" w:space="0" w:color="auto"/>
                  </w:divBdr>
                  <w:divsChild>
                    <w:div w:id="941374097">
                      <w:marLeft w:val="0"/>
                      <w:marRight w:val="0"/>
                      <w:marTop w:val="0"/>
                      <w:marBottom w:val="0"/>
                      <w:divBdr>
                        <w:top w:val="none" w:sz="0" w:space="0" w:color="auto"/>
                        <w:left w:val="none" w:sz="0" w:space="0" w:color="auto"/>
                        <w:bottom w:val="none" w:sz="0" w:space="0" w:color="auto"/>
                        <w:right w:val="none" w:sz="0" w:space="0" w:color="auto"/>
                      </w:divBdr>
                      <w:divsChild>
                        <w:div w:id="1011645697">
                          <w:marLeft w:val="0"/>
                          <w:marRight w:val="0"/>
                          <w:marTop w:val="0"/>
                          <w:marBottom w:val="0"/>
                          <w:divBdr>
                            <w:top w:val="none" w:sz="0" w:space="0" w:color="auto"/>
                            <w:left w:val="none" w:sz="0" w:space="0" w:color="auto"/>
                            <w:bottom w:val="none" w:sz="0" w:space="0" w:color="auto"/>
                            <w:right w:val="none" w:sz="0" w:space="0" w:color="auto"/>
                          </w:divBdr>
                          <w:divsChild>
                            <w:div w:id="157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211309">
      <w:bodyDiv w:val="1"/>
      <w:marLeft w:val="0"/>
      <w:marRight w:val="0"/>
      <w:marTop w:val="0"/>
      <w:marBottom w:val="0"/>
      <w:divBdr>
        <w:top w:val="none" w:sz="0" w:space="0" w:color="auto"/>
        <w:left w:val="none" w:sz="0" w:space="0" w:color="auto"/>
        <w:bottom w:val="none" w:sz="0" w:space="0" w:color="auto"/>
        <w:right w:val="none" w:sz="0" w:space="0" w:color="auto"/>
      </w:divBdr>
      <w:divsChild>
        <w:div w:id="1448813551">
          <w:marLeft w:val="0"/>
          <w:marRight w:val="0"/>
          <w:marTop w:val="0"/>
          <w:marBottom w:val="0"/>
          <w:divBdr>
            <w:top w:val="none" w:sz="0" w:space="0" w:color="auto"/>
            <w:left w:val="none" w:sz="0" w:space="0" w:color="auto"/>
            <w:bottom w:val="none" w:sz="0" w:space="0" w:color="auto"/>
            <w:right w:val="none" w:sz="0" w:space="0" w:color="auto"/>
          </w:divBdr>
          <w:divsChild>
            <w:div w:id="1412121096">
              <w:marLeft w:val="0"/>
              <w:marRight w:val="0"/>
              <w:marTop w:val="0"/>
              <w:marBottom w:val="0"/>
              <w:divBdr>
                <w:top w:val="none" w:sz="0" w:space="0" w:color="auto"/>
                <w:left w:val="none" w:sz="0" w:space="0" w:color="auto"/>
                <w:bottom w:val="none" w:sz="0" w:space="0" w:color="auto"/>
                <w:right w:val="none" w:sz="0" w:space="0" w:color="auto"/>
              </w:divBdr>
              <w:divsChild>
                <w:div w:id="1754929659">
                  <w:marLeft w:val="0"/>
                  <w:marRight w:val="0"/>
                  <w:marTop w:val="195"/>
                  <w:marBottom w:val="0"/>
                  <w:divBdr>
                    <w:top w:val="none" w:sz="0" w:space="0" w:color="auto"/>
                    <w:left w:val="none" w:sz="0" w:space="0" w:color="auto"/>
                    <w:bottom w:val="none" w:sz="0" w:space="0" w:color="auto"/>
                    <w:right w:val="none" w:sz="0" w:space="0" w:color="auto"/>
                  </w:divBdr>
                  <w:divsChild>
                    <w:div w:id="1169831515">
                      <w:marLeft w:val="0"/>
                      <w:marRight w:val="0"/>
                      <w:marTop w:val="0"/>
                      <w:marBottom w:val="0"/>
                      <w:divBdr>
                        <w:top w:val="none" w:sz="0" w:space="0" w:color="auto"/>
                        <w:left w:val="none" w:sz="0" w:space="0" w:color="auto"/>
                        <w:bottom w:val="none" w:sz="0" w:space="0" w:color="auto"/>
                        <w:right w:val="none" w:sz="0" w:space="0" w:color="auto"/>
                      </w:divBdr>
                      <w:divsChild>
                        <w:div w:id="212163102">
                          <w:marLeft w:val="0"/>
                          <w:marRight w:val="0"/>
                          <w:marTop w:val="0"/>
                          <w:marBottom w:val="0"/>
                          <w:divBdr>
                            <w:top w:val="none" w:sz="0" w:space="0" w:color="auto"/>
                            <w:left w:val="none" w:sz="0" w:space="0" w:color="auto"/>
                            <w:bottom w:val="none" w:sz="0" w:space="0" w:color="auto"/>
                            <w:right w:val="none" w:sz="0" w:space="0" w:color="auto"/>
                          </w:divBdr>
                          <w:divsChild>
                            <w:div w:id="1581022357">
                              <w:marLeft w:val="0"/>
                              <w:marRight w:val="0"/>
                              <w:marTop w:val="0"/>
                              <w:marBottom w:val="0"/>
                              <w:divBdr>
                                <w:top w:val="none" w:sz="0" w:space="0" w:color="auto"/>
                                <w:left w:val="none" w:sz="0" w:space="0" w:color="auto"/>
                                <w:bottom w:val="none" w:sz="0" w:space="0" w:color="auto"/>
                                <w:right w:val="none" w:sz="0" w:space="0" w:color="auto"/>
                              </w:divBdr>
                              <w:divsChild>
                                <w:div w:id="249781420">
                                  <w:marLeft w:val="0"/>
                                  <w:marRight w:val="0"/>
                                  <w:marTop w:val="0"/>
                                  <w:marBottom w:val="0"/>
                                  <w:divBdr>
                                    <w:top w:val="none" w:sz="0" w:space="0" w:color="auto"/>
                                    <w:left w:val="none" w:sz="0" w:space="0" w:color="auto"/>
                                    <w:bottom w:val="none" w:sz="0" w:space="0" w:color="auto"/>
                                    <w:right w:val="none" w:sz="0" w:space="0" w:color="auto"/>
                                  </w:divBdr>
                                  <w:divsChild>
                                    <w:div w:id="237639755">
                                      <w:marLeft w:val="0"/>
                                      <w:marRight w:val="0"/>
                                      <w:marTop w:val="0"/>
                                      <w:marBottom w:val="0"/>
                                      <w:divBdr>
                                        <w:top w:val="none" w:sz="0" w:space="0" w:color="auto"/>
                                        <w:left w:val="none" w:sz="0" w:space="0" w:color="auto"/>
                                        <w:bottom w:val="none" w:sz="0" w:space="0" w:color="auto"/>
                                        <w:right w:val="none" w:sz="0" w:space="0" w:color="auto"/>
                                      </w:divBdr>
                                      <w:divsChild>
                                        <w:div w:id="637537655">
                                          <w:marLeft w:val="0"/>
                                          <w:marRight w:val="0"/>
                                          <w:marTop w:val="90"/>
                                          <w:marBottom w:val="0"/>
                                          <w:divBdr>
                                            <w:top w:val="none" w:sz="0" w:space="0" w:color="auto"/>
                                            <w:left w:val="none" w:sz="0" w:space="0" w:color="auto"/>
                                            <w:bottom w:val="none" w:sz="0" w:space="0" w:color="auto"/>
                                            <w:right w:val="none" w:sz="0" w:space="0" w:color="auto"/>
                                          </w:divBdr>
                                          <w:divsChild>
                                            <w:div w:id="154153935">
                                              <w:marLeft w:val="0"/>
                                              <w:marRight w:val="0"/>
                                              <w:marTop w:val="0"/>
                                              <w:marBottom w:val="0"/>
                                              <w:divBdr>
                                                <w:top w:val="none" w:sz="0" w:space="0" w:color="auto"/>
                                                <w:left w:val="none" w:sz="0" w:space="0" w:color="auto"/>
                                                <w:bottom w:val="none" w:sz="0" w:space="0" w:color="auto"/>
                                                <w:right w:val="none" w:sz="0" w:space="0" w:color="auto"/>
                                              </w:divBdr>
                                              <w:divsChild>
                                                <w:div w:id="614943206">
                                                  <w:marLeft w:val="0"/>
                                                  <w:marRight w:val="0"/>
                                                  <w:marTop w:val="0"/>
                                                  <w:marBottom w:val="0"/>
                                                  <w:divBdr>
                                                    <w:top w:val="none" w:sz="0" w:space="0" w:color="auto"/>
                                                    <w:left w:val="none" w:sz="0" w:space="0" w:color="auto"/>
                                                    <w:bottom w:val="none" w:sz="0" w:space="0" w:color="auto"/>
                                                    <w:right w:val="none" w:sz="0" w:space="0" w:color="auto"/>
                                                  </w:divBdr>
                                                  <w:divsChild>
                                                    <w:div w:id="1914781371">
                                                      <w:marLeft w:val="0"/>
                                                      <w:marRight w:val="0"/>
                                                      <w:marTop w:val="0"/>
                                                      <w:marBottom w:val="180"/>
                                                      <w:divBdr>
                                                        <w:top w:val="none" w:sz="0" w:space="0" w:color="auto"/>
                                                        <w:left w:val="none" w:sz="0" w:space="0" w:color="auto"/>
                                                        <w:bottom w:val="none" w:sz="0" w:space="0" w:color="auto"/>
                                                        <w:right w:val="none" w:sz="0" w:space="0" w:color="auto"/>
                                                      </w:divBdr>
                                                      <w:divsChild>
                                                        <w:div w:id="392312845">
                                                          <w:marLeft w:val="0"/>
                                                          <w:marRight w:val="0"/>
                                                          <w:marTop w:val="0"/>
                                                          <w:marBottom w:val="0"/>
                                                          <w:divBdr>
                                                            <w:top w:val="none" w:sz="0" w:space="0" w:color="auto"/>
                                                            <w:left w:val="none" w:sz="0" w:space="0" w:color="auto"/>
                                                            <w:bottom w:val="none" w:sz="0" w:space="0" w:color="auto"/>
                                                            <w:right w:val="none" w:sz="0" w:space="0" w:color="auto"/>
                                                          </w:divBdr>
                                                          <w:divsChild>
                                                            <w:div w:id="402870311">
                                                              <w:marLeft w:val="0"/>
                                                              <w:marRight w:val="0"/>
                                                              <w:marTop w:val="0"/>
                                                              <w:marBottom w:val="0"/>
                                                              <w:divBdr>
                                                                <w:top w:val="none" w:sz="0" w:space="0" w:color="auto"/>
                                                                <w:left w:val="none" w:sz="0" w:space="0" w:color="auto"/>
                                                                <w:bottom w:val="none" w:sz="0" w:space="0" w:color="auto"/>
                                                                <w:right w:val="none" w:sz="0" w:space="0" w:color="auto"/>
                                                              </w:divBdr>
                                                              <w:divsChild>
                                                                <w:div w:id="1805152138">
                                                                  <w:marLeft w:val="0"/>
                                                                  <w:marRight w:val="0"/>
                                                                  <w:marTop w:val="0"/>
                                                                  <w:marBottom w:val="0"/>
                                                                  <w:divBdr>
                                                                    <w:top w:val="none" w:sz="0" w:space="0" w:color="auto"/>
                                                                    <w:left w:val="none" w:sz="0" w:space="0" w:color="auto"/>
                                                                    <w:bottom w:val="none" w:sz="0" w:space="0" w:color="auto"/>
                                                                    <w:right w:val="none" w:sz="0" w:space="0" w:color="auto"/>
                                                                  </w:divBdr>
                                                                  <w:divsChild>
                                                                    <w:div w:id="1392458145">
                                                                      <w:marLeft w:val="0"/>
                                                                      <w:marRight w:val="0"/>
                                                                      <w:marTop w:val="0"/>
                                                                      <w:marBottom w:val="0"/>
                                                                      <w:divBdr>
                                                                        <w:top w:val="none" w:sz="0" w:space="0" w:color="auto"/>
                                                                        <w:left w:val="none" w:sz="0" w:space="0" w:color="auto"/>
                                                                        <w:bottom w:val="none" w:sz="0" w:space="0" w:color="auto"/>
                                                                        <w:right w:val="none" w:sz="0" w:space="0" w:color="auto"/>
                                                                      </w:divBdr>
                                                                      <w:divsChild>
                                                                        <w:div w:id="806046657">
                                                                          <w:marLeft w:val="0"/>
                                                                          <w:marRight w:val="0"/>
                                                                          <w:marTop w:val="0"/>
                                                                          <w:marBottom w:val="0"/>
                                                                          <w:divBdr>
                                                                            <w:top w:val="none" w:sz="0" w:space="0" w:color="auto"/>
                                                                            <w:left w:val="none" w:sz="0" w:space="0" w:color="auto"/>
                                                                            <w:bottom w:val="none" w:sz="0" w:space="0" w:color="auto"/>
                                                                            <w:right w:val="none" w:sz="0" w:space="0" w:color="auto"/>
                                                                          </w:divBdr>
                                                                          <w:divsChild>
                                                                            <w:div w:id="56795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1684168">
      <w:bodyDiv w:val="1"/>
      <w:marLeft w:val="0"/>
      <w:marRight w:val="0"/>
      <w:marTop w:val="0"/>
      <w:marBottom w:val="0"/>
      <w:divBdr>
        <w:top w:val="none" w:sz="0" w:space="0" w:color="auto"/>
        <w:left w:val="none" w:sz="0" w:space="0" w:color="auto"/>
        <w:bottom w:val="none" w:sz="0" w:space="0" w:color="auto"/>
        <w:right w:val="none" w:sz="0" w:space="0" w:color="auto"/>
      </w:divBdr>
    </w:div>
    <w:div w:id="845098202">
      <w:bodyDiv w:val="1"/>
      <w:marLeft w:val="0"/>
      <w:marRight w:val="0"/>
      <w:marTop w:val="0"/>
      <w:marBottom w:val="0"/>
      <w:divBdr>
        <w:top w:val="none" w:sz="0" w:space="0" w:color="auto"/>
        <w:left w:val="none" w:sz="0" w:space="0" w:color="auto"/>
        <w:bottom w:val="none" w:sz="0" w:space="0" w:color="auto"/>
        <w:right w:val="none" w:sz="0" w:space="0" w:color="auto"/>
      </w:divBdr>
    </w:div>
    <w:div w:id="860900787">
      <w:bodyDiv w:val="1"/>
      <w:marLeft w:val="0"/>
      <w:marRight w:val="0"/>
      <w:marTop w:val="0"/>
      <w:marBottom w:val="0"/>
      <w:divBdr>
        <w:top w:val="none" w:sz="0" w:space="0" w:color="auto"/>
        <w:left w:val="none" w:sz="0" w:space="0" w:color="auto"/>
        <w:bottom w:val="none" w:sz="0" w:space="0" w:color="auto"/>
        <w:right w:val="none" w:sz="0" w:space="0" w:color="auto"/>
      </w:divBdr>
    </w:div>
    <w:div w:id="965239029">
      <w:bodyDiv w:val="1"/>
      <w:marLeft w:val="0"/>
      <w:marRight w:val="0"/>
      <w:marTop w:val="0"/>
      <w:marBottom w:val="0"/>
      <w:divBdr>
        <w:top w:val="none" w:sz="0" w:space="0" w:color="auto"/>
        <w:left w:val="none" w:sz="0" w:space="0" w:color="auto"/>
        <w:bottom w:val="none" w:sz="0" w:space="0" w:color="auto"/>
        <w:right w:val="none" w:sz="0" w:space="0" w:color="auto"/>
      </w:divBdr>
    </w:div>
    <w:div w:id="1108961329">
      <w:bodyDiv w:val="1"/>
      <w:marLeft w:val="0"/>
      <w:marRight w:val="0"/>
      <w:marTop w:val="0"/>
      <w:marBottom w:val="0"/>
      <w:divBdr>
        <w:top w:val="none" w:sz="0" w:space="0" w:color="auto"/>
        <w:left w:val="none" w:sz="0" w:space="0" w:color="auto"/>
        <w:bottom w:val="none" w:sz="0" w:space="0" w:color="auto"/>
        <w:right w:val="none" w:sz="0" w:space="0" w:color="auto"/>
      </w:divBdr>
      <w:divsChild>
        <w:div w:id="1259870545">
          <w:marLeft w:val="0"/>
          <w:marRight w:val="0"/>
          <w:marTop w:val="0"/>
          <w:marBottom w:val="0"/>
          <w:divBdr>
            <w:top w:val="none" w:sz="0" w:space="0" w:color="auto"/>
            <w:left w:val="none" w:sz="0" w:space="0" w:color="auto"/>
            <w:bottom w:val="none" w:sz="0" w:space="0" w:color="auto"/>
            <w:right w:val="none" w:sz="0" w:space="0" w:color="auto"/>
          </w:divBdr>
          <w:divsChild>
            <w:div w:id="1195655845">
              <w:marLeft w:val="0"/>
              <w:marRight w:val="0"/>
              <w:marTop w:val="0"/>
              <w:marBottom w:val="0"/>
              <w:divBdr>
                <w:top w:val="none" w:sz="0" w:space="0" w:color="auto"/>
                <w:left w:val="none" w:sz="0" w:space="0" w:color="auto"/>
                <w:bottom w:val="none" w:sz="0" w:space="0" w:color="auto"/>
                <w:right w:val="none" w:sz="0" w:space="0" w:color="auto"/>
              </w:divBdr>
              <w:divsChild>
                <w:div w:id="1411855922">
                  <w:marLeft w:val="0"/>
                  <w:marRight w:val="0"/>
                  <w:marTop w:val="0"/>
                  <w:marBottom w:val="0"/>
                  <w:divBdr>
                    <w:top w:val="none" w:sz="0" w:space="0" w:color="auto"/>
                    <w:left w:val="none" w:sz="0" w:space="0" w:color="auto"/>
                    <w:bottom w:val="none" w:sz="0" w:space="0" w:color="auto"/>
                    <w:right w:val="none" w:sz="0" w:space="0" w:color="auto"/>
                  </w:divBdr>
                  <w:divsChild>
                    <w:div w:id="1090004126">
                      <w:marLeft w:val="0"/>
                      <w:marRight w:val="0"/>
                      <w:marTop w:val="0"/>
                      <w:marBottom w:val="0"/>
                      <w:divBdr>
                        <w:top w:val="none" w:sz="0" w:space="0" w:color="auto"/>
                        <w:left w:val="none" w:sz="0" w:space="0" w:color="auto"/>
                        <w:bottom w:val="none" w:sz="0" w:space="0" w:color="auto"/>
                        <w:right w:val="none" w:sz="0" w:space="0" w:color="auto"/>
                      </w:divBdr>
                      <w:divsChild>
                        <w:div w:id="1983147321">
                          <w:marLeft w:val="0"/>
                          <w:marRight w:val="0"/>
                          <w:marTop w:val="0"/>
                          <w:marBottom w:val="0"/>
                          <w:divBdr>
                            <w:top w:val="none" w:sz="0" w:space="0" w:color="auto"/>
                            <w:left w:val="none" w:sz="0" w:space="0" w:color="auto"/>
                            <w:bottom w:val="none" w:sz="0" w:space="0" w:color="auto"/>
                            <w:right w:val="none" w:sz="0" w:space="0" w:color="auto"/>
                          </w:divBdr>
                          <w:divsChild>
                            <w:div w:id="190626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267993">
      <w:bodyDiv w:val="1"/>
      <w:marLeft w:val="0"/>
      <w:marRight w:val="0"/>
      <w:marTop w:val="0"/>
      <w:marBottom w:val="0"/>
      <w:divBdr>
        <w:top w:val="none" w:sz="0" w:space="0" w:color="auto"/>
        <w:left w:val="none" w:sz="0" w:space="0" w:color="auto"/>
        <w:bottom w:val="none" w:sz="0" w:space="0" w:color="auto"/>
        <w:right w:val="none" w:sz="0" w:space="0" w:color="auto"/>
      </w:divBdr>
    </w:div>
    <w:div w:id="1358312846">
      <w:bodyDiv w:val="1"/>
      <w:marLeft w:val="0"/>
      <w:marRight w:val="0"/>
      <w:marTop w:val="0"/>
      <w:marBottom w:val="0"/>
      <w:divBdr>
        <w:top w:val="none" w:sz="0" w:space="0" w:color="auto"/>
        <w:left w:val="none" w:sz="0" w:space="0" w:color="auto"/>
        <w:bottom w:val="none" w:sz="0" w:space="0" w:color="auto"/>
        <w:right w:val="none" w:sz="0" w:space="0" w:color="auto"/>
      </w:divBdr>
    </w:div>
    <w:div w:id="1605111660">
      <w:bodyDiv w:val="1"/>
      <w:marLeft w:val="0"/>
      <w:marRight w:val="0"/>
      <w:marTop w:val="0"/>
      <w:marBottom w:val="0"/>
      <w:divBdr>
        <w:top w:val="none" w:sz="0" w:space="0" w:color="auto"/>
        <w:left w:val="none" w:sz="0" w:space="0" w:color="auto"/>
        <w:bottom w:val="none" w:sz="0" w:space="0" w:color="auto"/>
        <w:right w:val="none" w:sz="0" w:space="0" w:color="auto"/>
      </w:divBdr>
    </w:div>
    <w:div w:id="1630748662">
      <w:bodyDiv w:val="1"/>
      <w:marLeft w:val="0"/>
      <w:marRight w:val="0"/>
      <w:marTop w:val="0"/>
      <w:marBottom w:val="0"/>
      <w:divBdr>
        <w:top w:val="none" w:sz="0" w:space="0" w:color="auto"/>
        <w:left w:val="none" w:sz="0" w:space="0" w:color="auto"/>
        <w:bottom w:val="none" w:sz="0" w:space="0" w:color="auto"/>
        <w:right w:val="none" w:sz="0" w:space="0" w:color="auto"/>
      </w:divBdr>
    </w:div>
    <w:div w:id="1669745597">
      <w:bodyDiv w:val="1"/>
      <w:marLeft w:val="0"/>
      <w:marRight w:val="0"/>
      <w:marTop w:val="0"/>
      <w:marBottom w:val="0"/>
      <w:divBdr>
        <w:top w:val="none" w:sz="0" w:space="0" w:color="auto"/>
        <w:left w:val="none" w:sz="0" w:space="0" w:color="auto"/>
        <w:bottom w:val="none" w:sz="0" w:space="0" w:color="auto"/>
        <w:right w:val="none" w:sz="0" w:space="0" w:color="auto"/>
      </w:divBdr>
    </w:div>
    <w:div w:id="1673726968">
      <w:bodyDiv w:val="1"/>
      <w:marLeft w:val="0"/>
      <w:marRight w:val="0"/>
      <w:marTop w:val="0"/>
      <w:marBottom w:val="0"/>
      <w:divBdr>
        <w:top w:val="none" w:sz="0" w:space="0" w:color="auto"/>
        <w:left w:val="none" w:sz="0" w:space="0" w:color="auto"/>
        <w:bottom w:val="none" w:sz="0" w:space="0" w:color="auto"/>
        <w:right w:val="none" w:sz="0" w:space="0" w:color="auto"/>
      </w:divBdr>
      <w:divsChild>
        <w:div w:id="1341853196">
          <w:marLeft w:val="0"/>
          <w:marRight w:val="0"/>
          <w:marTop w:val="0"/>
          <w:marBottom w:val="0"/>
          <w:divBdr>
            <w:top w:val="none" w:sz="0" w:space="0" w:color="auto"/>
            <w:left w:val="none" w:sz="0" w:space="0" w:color="auto"/>
            <w:bottom w:val="none" w:sz="0" w:space="0" w:color="auto"/>
            <w:right w:val="none" w:sz="0" w:space="0" w:color="auto"/>
          </w:divBdr>
          <w:divsChild>
            <w:div w:id="1243685579">
              <w:marLeft w:val="0"/>
              <w:marRight w:val="0"/>
              <w:marTop w:val="0"/>
              <w:marBottom w:val="0"/>
              <w:divBdr>
                <w:top w:val="none" w:sz="0" w:space="0" w:color="auto"/>
                <w:left w:val="none" w:sz="0" w:space="0" w:color="auto"/>
                <w:bottom w:val="none" w:sz="0" w:space="0" w:color="auto"/>
                <w:right w:val="none" w:sz="0" w:space="0" w:color="auto"/>
              </w:divBdr>
              <w:divsChild>
                <w:div w:id="1343049735">
                  <w:marLeft w:val="0"/>
                  <w:marRight w:val="0"/>
                  <w:marTop w:val="0"/>
                  <w:marBottom w:val="0"/>
                  <w:divBdr>
                    <w:top w:val="none" w:sz="0" w:space="0" w:color="auto"/>
                    <w:left w:val="none" w:sz="0" w:space="0" w:color="auto"/>
                    <w:bottom w:val="none" w:sz="0" w:space="0" w:color="auto"/>
                    <w:right w:val="none" w:sz="0" w:space="0" w:color="auto"/>
                  </w:divBdr>
                  <w:divsChild>
                    <w:div w:id="266734725">
                      <w:marLeft w:val="0"/>
                      <w:marRight w:val="0"/>
                      <w:marTop w:val="0"/>
                      <w:marBottom w:val="0"/>
                      <w:divBdr>
                        <w:top w:val="none" w:sz="0" w:space="0" w:color="auto"/>
                        <w:left w:val="none" w:sz="0" w:space="0" w:color="auto"/>
                        <w:bottom w:val="none" w:sz="0" w:space="0" w:color="auto"/>
                        <w:right w:val="none" w:sz="0" w:space="0" w:color="auto"/>
                      </w:divBdr>
                      <w:divsChild>
                        <w:div w:id="1665234285">
                          <w:marLeft w:val="0"/>
                          <w:marRight w:val="0"/>
                          <w:marTop w:val="0"/>
                          <w:marBottom w:val="0"/>
                          <w:divBdr>
                            <w:top w:val="none" w:sz="0" w:space="0" w:color="auto"/>
                            <w:left w:val="none" w:sz="0" w:space="0" w:color="auto"/>
                            <w:bottom w:val="none" w:sz="0" w:space="0" w:color="auto"/>
                            <w:right w:val="none" w:sz="0" w:space="0" w:color="auto"/>
                          </w:divBdr>
                          <w:divsChild>
                            <w:div w:id="1473716979">
                              <w:marLeft w:val="0"/>
                              <w:marRight w:val="0"/>
                              <w:marTop w:val="0"/>
                              <w:marBottom w:val="0"/>
                              <w:divBdr>
                                <w:top w:val="none" w:sz="0" w:space="0" w:color="auto"/>
                                <w:left w:val="none" w:sz="0" w:space="0" w:color="auto"/>
                                <w:bottom w:val="none" w:sz="0" w:space="0" w:color="auto"/>
                                <w:right w:val="none" w:sz="0" w:space="0" w:color="auto"/>
                              </w:divBdr>
                              <w:divsChild>
                                <w:div w:id="188016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763852">
      <w:bodyDiv w:val="1"/>
      <w:marLeft w:val="0"/>
      <w:marRight w:val="0"/>
      <w:marTop w:val="0"/>
      <w:marBottom w:val="0"/>
      <w:divBdr>
        <w:top w:val="none" w:sz="0" w:space="0" w:color="auto"/>
        <w:left w:val="none" w:sz="0" w:space="0" w:color="auto"/>
        <w:bottom w:val="none" w:sz="0" w:space="0" w:color="auto"/>
        <w:right w:val="none" w:sz="0" w:space="0" w:color="auto"/>
      </w:divBdr>
    </w:div>
    <w:div w:id="1871529454">
      <w:bodyDiv w:val="1"/>
      <w:marLeft w:val="0"/>
      <w:marRight w:val="0"/>
      <w:marTop w:val="0"/>
      <w:marBottom w:val="0"/>
      <w:divBdr>
        <w:top w:val="none" w:sz="0" w:space="0" w:color="auto"/>
        <w:left w:val="none" w:sz="0" w:space="0" w:color="auto"/>
        <w:bottom w:val="none" w:sz="0" w:space="0" w:color="auto"/>
        <w:right w:val="none" w:sz="0" w:space="0" w:color="auto"/>
      </w:divBdr>
    </w:div>
    <w:div w:id="1905984657">
      <w:bodyDiv w:val="1"/>
      <w:marLeft w:val="0"/>
      <w:marRight w:val="0"/>
      <w:marTop w:val="0"/>
      <w:marBottom w:val="0"/>
      <w:divBdr>
        <w:top w:val="none" w:sz="0" w:space="0" w:color="auto"/>
        <w:left w:val="none" w:sz="0" w:space="0" w:color="auto"/>
        <w:bottom w:val="none" w:sz="0" w:space="0" w:color="auto"/>
        <w:right w:val="none" w:sz="0" w:space="0" w:color="auto"/>
      </w:divBdr>
    </w:div>
    <w:div w:id="1907720110">
      <w:bodyDiv w:val="1"/>
      <w:marLeft w:val="0"/>
      <w:marRight w:val="0"/>
      <w:marTop w:val="0"/>
      <w:marBottom w:val="0"/>
      <w:divBdr>
        <w:top w:val="none" w:sz="0" w:space="0" w:color="auto"/>
        <w:left w:val="none" w:sz="0" w:space="0" w:color="auto"/>
        <w:bottom w:val="none" w:sz="0" w:space="0" w:color="auto"/>
        <w:right w:val="none" w:sz="0" w:space="0" w:color="auto"/>
      </w:divBdr>
    </w:div>
    <w:div w:id="1921985897">
      <w:bodyDiv w:val="1"/>
      <w:marLeft w:val="0"/>
      <w:marRight w:val="0"/>
      <w:marTop w:val="0"/>
      <w:marBottom w:val="0"/>
      <w:divBdr>
        <w:top w:val="none" w:sz="0" w:space="0" w:color="auto"/>
        <w:left w:val="none" w:sz="0" w:space="0" w:color="auto"/>
        <w:bottom w:val="none" w:sz="0" w:space="0" w:color="auto"/>
        <w:right w:val="none" w:sz="0" w:space="0" w:color="auto"/>
      </w:divBdr>
    </w:div>
    <w:div w:id="1922982742">
      <w:bodyDiv w:val="1"/>
      <w:marLeft w:val="0"/>
      <w:marRight w:val="0"/>
      <w:marTop w:val="0"/>
      <w:marBottom w:val="0"/>
      <w:divBdr>
        <w:top w:val="none" w:sz="0" w:space="0" w:color="auto"/>
        <w:left w:val="none" w:sz="0" w:space="0" w:color="auto"/>
        <w:bottom w:val="none" w:sz="0" w:space="0" w:color="auto"/>
        <w:right w:val="none" w:sz="0" w:space="0" w:color="auto"/>
      </w:divBdr>
    </w:div>
    <w:div w:id="2025083674">
      <w:bodyDiv w:val="1"/>
      <w:marLeft w:val="0"/>
      <w:marRight w:val="0"/>
      <w:marTop w:val="0"/>
      <w:marBottom w:val="0"/>
      <w:divBdr>
        <w:top w:val="none" w:sz="0" w:space="0" w:color="auto"/>
        <w:left w:val="none" w:sz="0" w:space="0" w:color="auto"/>
        <w:bottom w:val="none" w:sz="0" w:space="0" w:color="auto"/>
        <w:right w:val="none" w:sz="0" w:space="0" w:color="auto"/>
      </w:divBdr>
    </w:div>
    <w:div w:id="207369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2.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B829C-34A6-4FA4-A4A9-41A26A521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6E5E914.dotm</Template>
  <TotalTime>0</TotalTime>
  <Pages>6</Pages>
  <Words>1089</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2018-07-02T22:48:00Z</dcterms:created>
  <dcterms:modified xsi:type="dcterms:W3CDTF">2018-07-02T22:48:00Z</dcterms:modified>
</cp:coreProperties>
</file>