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z w:val="20"/>
          <w:szCs w:val="20"/>
        </w:rPr>
        <w:id w:val="-811396082"/>
        <w:docPartObj>
          <w:docPartGallery w:val="Cover Pages"/>
          <w:docPartUnique/>
        </w:docPartObj>
      </w:sdtPr>
      <w:sdtEndPr>
        <w:rPr>
          <w:rFonts w:ascii="Arial" w:hAnsi="Arial" w:cs="Arial"/>
          <w:sz w:val="22"/>
          <w:szCs w:val="22"/>
        </w:rPr>
      </w:sdtEndPr>
      <w:sdtContent>
        <w:p w14:paraId="377865DF" w14:textId="77777777" w:rsidR="00DF30CB" w:rsidRDefault="00DF30CB" w:rsidP="00DF30CB">
          <w:pPr>
            <w:pStyle w:val="Title"/>
            <w:spacing w:before="480" w:after="0"/>
            <w:rPr>
              <w:rFonts w:ascii="Arial" w:hAnsi="Arial" w:cs="Arial"/>
              <w:b/>
              <w:color w:val="FFFFFF" w:themeColor="background1"/>
              <w:sz w:val="80"/>
              <w:szCs w:val="80"/>
            </w:rPr>
          </w:pPr>
          <w:r w:rsidRPr="00C56FFA">
            <w:rPr>
              <w:noProof/>
              <w:color w:val="FFFFFF" w:themeColor="background1"/>
              <w:sz w:val="80"/>
              <w:szCs w:val="80"/>
            </w:rPr>
            <w:drawing>
              <wp:anchor distT="0" distB="0" distL="114300" distR="114300" simplePos="0" relativeHeight="251644928" behindDoc="1" locked="0" layoutInCell="1" allowOverlap="1" wp14:anchorId="2188FC43" wp14:editId="1559FC1F">
                <wp:simplePos x="0" y="0"/>
                <wp:positionH relativeFrom="column">
                  <wp:posOffset>-906780</wp:posOffset>
                </wp:positionH>
                <wp:positionV relativeFrom="paragraph">
                  <wp:posOffset>-507365</wp:posOffset>
                </wp:positionV>
                <wp:extent cx="9448800" cy="2228850"/>
                <wp:effectExtent l="0" t="0" r="0" b="0"/>
                <wp:wrapNone/>
                <wp:docPr id="1" name="Picture 1" descr="Red and black cover bann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448800" cy="2228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FFFFFF" w:themeColor="background1"/>
              <w:sz w:val="56"/>
              <w:szCs w:val="80"/>
            </w:rPr>
            <w:t>Priority i</w:t>
          </w:r>
          <w:r w:rsidRPr="002E6551">
            <w:rPr>
              <w:rFonts w:ascii="Arial" w:hAnsi="Arial" w:cs="Arial"/>
              <w:b/>
              <w:color w:val="FFFFFF" w:themeColor="background1"/>
              <w:sz w:val="56"/>
              <w:szCs w:val="80"/>
            </w:rPr>
            <w:t xml:space="preserve">ndustry </w:t>
          </w:r>
          <w:r>
            <w:rPr>
              <w:rFonts w:ascii="Arial" w:hAnsi="Arial" w:cs="Arial"/>
              <w:b/>
              <w:color w:val="FFFFFF" w:themeColor="background1"/>
              <w:sz w:val="56"/>
              <w:szCs w:val="80"/>
            </w:rPr>
            <w:t>s</w:t>
          </w:r>
          <w:r w:rsidRPr="002E6551">
            <w:rPr>
              <w:rFonts w:ascii="Arial" w:hAnsi="Arial" w:cs="Arial"/>
              <w:b/>
              <w:color w:val="FFFFFF" w:themeColor="background1"/>
              <w:sz w:val="56"/>
              <w:szCs w:val="80"/>
            </w:rPr>
            <w:t>napshot</w:t>
          </w:r>
          <w:r>
            <w:rPr>
              <w:rFonts w:ascii="Arial" w:hAnsi="Arial" w:cs="Arial"/>
              <w:b/>
              <w:color w:val="FFFFFF" w:themeColor="background1"/>
              <w:sz w:val="56"/>
              <w:szCs w:val="80"/>
            </w:rPr>
            <w:t>:</w:t>
          </w:r>
        </w:p>
        <w:p w14:paraId="72103126" w14:textId="77777777" w:rsidR="00416DA5" w:rsidRDefault="00DF30CB" w:rsidP="00DF30CB">
          <w:pPr>
            <w:pStyle w:val="Title"/>
            <w:spacing w:after="0"/>
            <w:rPr>
              <w:rFonts w:ascii="Arial" w:hAnsi="Arial" w:cs="Arial"/>
              <w:b/>
              <w:color w:val="FFFFFF" w:themeColor="background1"/>
              <w:sz w:val="72"/>
              <w:szCs w:val="80"/>
            </w:rPr>
          </w:pPr>
          <w:r w:rsidRPr="00C37C6C">
            <w:rPr>
              <w:rFonts w:ascii="Arial" w:hAnsi="Arial" w:cs="Arial"/>
              <w:b/>
              <w:color w:val="FFFFFF" w:themeColor="background1"/>
              <w:sz w:val="72"/>
              <w:szCs w:val="80"/>
            </w:rPr>
            <w:t>Construction</w:t>
          </w:r>
        </w:p>
        <w:p w14:paraId="2750E841" w14:textId="38015626" w:rsidR="00DF30CB" w:rsidRPr="00416DA5" w:rsidRDefault="00416DA5" w:rsidP="00416DA5">
          <w:pPr>
            <w:pStyle w:val="Title"/>
            <w:spacing w:after="240"/>
            <w:jc w:val="right"/>
            <w:rPr>
              <w:rFonts w:ascii="Arial" w:hAnsi="Arial" w:cs="Arial"/>
              <w:b/>
              <w:color w:val="FFFFFF" w:themeColor="background1"/>
              <w:sz w:val="36"/>
              <w:szCs w:val="36"/>
            </w:rPr>
          </w:pPr>
          <w:r>
            <w:rPr>
              <w:rFonts w:ascii="Arial" w:hAnsi="Arial" w:cs="Arial"/>
              <w:b/>
              <w:color w:val="FFFFFF" w:themeColor="background1"/>
              <w:sz w:val="36"/>
              <w:szCs w:val="36"/>
            </w:rPr>
            <w:t>June</w:t>
          </w:r>
          <w:r w:rsidRPr="0049715F">
            <w:rPr>
              <w:rFonts w:ascii="Arial" w:hAnsi="Arial" w:cs="Arial"/>
              <w:b/>
              <w:color w:val="FFFFFF" w:themeColor="background1"/>
              <w:sz w:val="36"/>
              <w:szCs w:val="36"/>
            </w:rPr>
            <w:t xml:space="preserve"> 2018</w:t>
          </w:r>
          <w:r w:rsidR="00DF30CB" w:rsidRPr="00C37C6C">
            <w:rPr>
              <w:rFonts w:ascii="Arial" w:hAnsi="Arial" w:cs="Arial"/>
              <w:b/>
              <w:color w:val="FFFFFF" w:themeColor="background1"/>
              <w:sz w:val="72"/>
              <w:szCs w:val="80"/>
            </w:rPr>
            <w:t xml:space="preserve"> </w:t>
          </w:r>
        </w:p>
        <w:p w14:paraId="438CF596" w14:textId="77777777" w:rsidR="00DF30CB" w:rsidRDefault="00DF30CB">
          <w:pPr>
            <w:spacing w:before="0" w:after="0"/>
            <w:rPr>
              <w:rFonts w:ascii="Arial" w:hAnsi="Arial" w:cs="Arial"/>
              <w:sz w:val="22"/>
              <w:szCs w:val="22"/>
            </w:rPr>
          </w:pPr>
        </w:p>
        <w:p w14:paraId="32CC8789" w14:textId="77777777" w:rsidR="00DF30CB" w:rsidRPr="004076EF" w:rsidRDefault="00DF30CB" w:rsidP="00DF30CB">
          <w:pPr>
            <w:spacing w:line="288" w:lineRule="auto"/>
            <w:rPr>
              <w:rFonts w:ascii="Arial" w:hAnsi="Arial" w:cs="Arial"/>
              <w:sz w:val="22"/>
              <w:szCs w:val="22"/>
            </w:rPr>
          </w:pPr>
          <w:r>
            <w:rPr>
              <w:rFonts w:ascii="Arial" w:hAnsi="Arial" w:cs="Arial"/>
              <w:sz w:val="22"/>
              <w:szCs w:val="22"/>
            </w:rPr>
            <w:t xml:space="preserve">The construction industry </w:t>
          </w:r>
          <w:proofErr w:type="gramStart"/>
          <w:r w:rsidRPr="004076EF">
            <w:rPr>
              <w:rFonts w:ascii="Arial" w:hAnsi="Arial" w:cs="Arial"/>
              <w:sz w:val="22"/>
              <w:szCs w:val="22"/>
            </w:rPr>
            <w:t>is identified</w:t>
          </w:r>
          <w:proofErr w:type="gramEnd"/>
          <w:r w:rsidRPr="004076EF">
            <w:rPr>
              <w:rFonts w:ascii="Arial" w:hAnsi="Arial" w:cs="Arial"/>
              <w:sz w:val="22"/>
              <w:szCs w:val="22"/>
            </w:rPr>
            <w:t xml:space="preserve"> as a national priority </w:t>
          </w:r>
          <w:r>
            <w:rPr>
              <w:rFonts w:ascii="Arial" w:hAnsi="Arial" w:cs="Arial"/>
              <w:sz w:val="22"/>
              <w:szCs w:val="22"/>
            </w:rPr>
            <w:t>to reduce the number and rate of fatalities and serious claims in</w:t>
          </w:r>
          <w:r w:rsidRPr="004076EF">
            <w:rPr>
              <w:rFonts w:ascii="Arial" w:hAnsi="Arial" w:cs="Arial"/>
              <w:sz w:val="22"/>
              <w:szCs w:val="22"/>
            </w:rPr>
            <w:t xml:space="preserve"> the </w:t>
          </w:r>
          <w:r w:rsidRPr="007F5A29">
            <w:rPr>
              <w:rFonts w:ascii="Arial" w:hAnsi="Arial" w:cs="Arial"/>
              <w:i/>
              <w:sz w:val="22"/>
              <w:szCs w:val="22"/>
            </w:rPr>
            <w:t>Australian Work Health and Safety Strategy 2012-2022</w:t>
          </w:r>
          <w:r>
            <w:rPr>
              <w:rFonts w:ascii="Arial" w:hAnsi="Arial" w:cs="Arial"/>
              <w:sz w:val="22"/>
              <w:szCs w:val="22"/>
            </w:rPr>
            <w:t>. The industry accounts for 9 per cent of total employment and includes three sub</w:t>
          </w:r>
          <w:r>
            <w:rPr>
              <w:rFonts w:ascii="Arial" w:hAnsi="Arial" w:cs="Arial"/>
              <w:sz w:val="22"/>
              <w:szCs w:val="22"/>
            </w:rPr>
            <w:noBreakHyphen/>
            <w:t>industries: building construction (including both residential and non-residential); construction services (including site preparation, installation services, completions services)</w:t>
          </w:r>
          <w:proofErr w:type="gramStart"/>
          <w:r>
            <w:rPr>
              <w:rFonts w:ascii="Arial" w:hAnsi="Arial" w:cs="Arial"/>
              <w:sz w:val="22"/>
              <w:szCs w:val="22"/>
            </w:rPr>
            <w:t>;</w:t>
          </w:r>
          <w:proofErr w:type="gramEnd"/>
          <w:r>
            <w:rPr>
              <w:rFonts w:ascii="Arial" w:hAnsi="Arial" w:cs="Arial"/>
              <w:sz w:val="22"/>
              <w:szCs w:val="22"/>
            </w:rPr>
            <w:t xml:space="preserve"> and heavy and civil engineering construction.</w:t>
          </w:r>
        </w:p>
        <w:p w14:paraId="6B785275" w14:textId="77777777" w:rsidR="00DF30CB" w:rsidRPr="004076EF" w:rsidRDefault="00DF30CB" w:rsidP="00DF30CB">
          <w:pPr>
            <w:pStyle w:val="Bodytextjustified"/>
            <w:jc w:val="left"/>
          </w:pPr>
          <w:r>
            <w:t>This is an overview of the industry and its work health and safety (WHS) performance, identifying key WHS issues and segments of the industry where performance may be lagging.</w:t>
          </w:r>
        </w:p>
        <w:p w14:paraId="17382E13" w14:textId="59E1D8BC" w:rsidR="00DF30CB" w:rsidRDefault="00DF30CB">
          <w:pPr>
            <w:spacing w:before="0" w:after="0"/>
            <w:rPr>
              <w:rFonts w:ascii="Arial" w:hAnsi="Arial" w:cs="Arial"/>
              <w:sz w:val="22"/>
              <w:szCs w:val="22"/>
            </w:rPr>
          </w:pPr>
          <w:r w:rsidRPr="00C035C5">
            <w:rPr>
              <w:noProof/>
            </w:rPr>
            <mc:AlternateContent>
              <mc:Choice Requires="wps">
                <w:drawing>
                  <wp:inline distT="0" distB="0" distL="0" distR="0" wp14:anchorId="48449C1B" wp14:editId="0B25A2A9">
                    <wp:extent cx="6391275" cy="3524250"/>
                    <wp:effectExtent l="0" t="0" r="2857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3524250"/>
                            </a:xfrm>
                            <a:prstGeom prst="rect">
                              <a:avLst/>
                            </a:prstGeom>
                            <a:solidFill>
                              <a:schemeClr val="bg1">
                                <a:lumMod val="85000"/>
                              </a:schemeClr>
                            </a:solidFill>
                            <a:ln w="9525">
                              <a:solidFill>
                                <a:srgbClr val="000000"/>
                              </a:solidFill>
                              <a:miter lim="800000"/>
                              <a:headEnd/>
                              <a:tailEnd/>
                            </a:ln>
                          </wps:spPr>
                          <wps:txbx>
                            <w:txbxContent>
                              <w:p w14:paraId="40295333" w14:textId="77777777" w:rsidR="00DF30CB" w:rsidRDefault="00DF30CB" w:rsidP="00DF30CB">
                                <w:pPr>
                                  <w:pStyle w:val="Heading1"/>
                                  <w:spacing w:before="120"/>
                                </w:pPr>
                                <w:r>
                                  <w:t>Key points</w:t>
                                </w:r>
                              </w:p>
                              <w:p w14:paraId="0C69B45B" w14:textId="77777777" w:rsidR="00DF30CB" w:rsidRDefault="00DF30CB" w:rsidP="00DF30CB">
                                <w:pPr>
                                  <w:pStyle w:val="Bodytextjustified"/>
                                  <w:numPr>
                                    <w:ilvl w:val="0"/>
                                    <w:numId w:val="16"/>
                                  </w:numPr>
                                  <w:ind w:left="426"/>
                                </w:pPr>
                                <w:r>
                                  <w:t>Worker fatalities are relatively high with 3.0 fatalities per 100,000 workers.</w:t>
                                </w:r>
                              </w:p>
                              <w:p w14:paraId="4E38BEF4" w14:textId="77777777" w:rsidR="00DF30CB" w:rsidRPr="001412E0" w:rsidRDefault="00DF30CB" w:rsidP="00DF30CB">
                                <w:pPr>
                                  <w:pStyle w:val="Bodytextjustified"/>
                                  <w:numPr>
                                    <w:ilvl w:val="0"/>
                                    <w:numId w:val="16"/>
                                  </w:numPr>
                                  <w:ind w:left="426"/>
                                </w:pPr>
                                <w:r>
                                  <w:t>Serious claims are high with 8.1 serious claims per million hours worked.</w:t>
                                </w:r>
                              </w:p>
                              <w:p w14:paraId="720283CF" w14:textId="77777777" w:rsidR="00DF30CB" w:rsidRDefault="00DF30CB" w:rsidP="00DF30CB">
                                <w:pPr>
                                  <w:pStyle w:val="Bodytextjustified"/>
                                  <w:numPr>
                                    <w:ilvl w:val="0"/>
                                    <w:numId w:val="16"/>
                                  </w:numPr>
                                  <w:ind w:left="426"/>
                                </w:pPr>
                                <w:r>
                                  <w:t>The frequency rate of serious claims has decreased by 20 per cent over the last decade.</w:t>
                                </w:r>
                              </w:p>
                              <w:p w14:paraId="65878EFD" w14:textId="6D293251" w:rsidR="00DF30CB" w:rsidRDefault="00DF30CB" w:rsidP="00DF30CB">
                                <w:pPr>
                                  <w:pStyle w:val="Bodytextjustified"/>
                                  <w:numPr>
                                    <w:ilvl w:val="0"/>
                                    <w:numId w:val="16"/>
                                  </w:numPr>
                                  <w:ind w:left="426"/>
                                </w:pPr>
                                <w:r>
                                  <w:t>Workers aged 45-54 account for the highest proportion of worker fatalities and serious claims, followed by workers aged under 25 years.</w:t>
                                </w:r>
                              </w:p>
                              <w:p w14:paraId="1C85643E" w14:textId="77777777" w:rsidR="00DF30CB" w:rsidRDefault="00DF30CB" w:rsidP="00DF30CB">
                                <w:pPr>
                                  <w:pStyle w:val="Bodytextjustified"/>
                                  <w:numPr>
                                    <w:ilvl w:val="0"/>
                                    <w:numId w:val="16"/>
                                  </w:numPr>
                                  <w:ind w:left="426"/>
                                </w:pPr>
                                <w:r>
                                  <w:t>The construction services sub-sector accounted for 63.7 per cent of serious claims and 62 per cent of worker fatalities.</w:t>
                                </w:r>
                              </w:p>
                              <w:p w14:paraId="44635A51" w14:textId="77777777" w:rsidR="00DF30CB" w:rsidRDefault="00DF30CB" w:rsidP="00DF30CB">
                                <w:pPr>
                                  <w:pStyle w:val="Bodytextjustified"/>
                                  <w:numPr>
                                    <w:ilvl w:val="0"/>
                                    <w:numId w:val="16"/>
                                  </w:numPr>
                                  <w:ind w:left="426"/>
                                </w:pPr>
                                <w:r>
                                  <w:t>For occupations, construction and mining labourers accounted for the highest proportion of worker fatalities and serious claims.</w:t>
                                </w:r>
                              </w:p>
                              <w:p w14:paraId="328CAD51" w14:textId="77777777" w:rsidR="00DF30CB" w:rsidRDefault="00DF30CB" w:rsidP="00DF30CB">
                                <w:pPr>
                                  <w:pStyle w:val="Bodytextjustified"/>
                                  <w:numPr>
                                    <w:ilvl w:val="0"/>
                                    <w:numId w:val="16"/>
                                  </w:numPr>
                                  <w:ind w:left="426"/>
                                </w:pPr>
                                <w:r w:rsidRPr="00AE205C">
                                  <w:t xml:space="preserve">Falls from a </w:t>
                                </w:r>
                                <w:r>
                                  <w:t>height accounted for the largest proportion of fatalities (30 per cent), while muscular stress from lifting, carrying or putting down objects accounted for the highest proportion of serious claims (16 per cent).</w:t>
                                </w:r>
                              </w:p>
                            </w:txbxContent>
                          </wps:txbx>
                          <wps:bodyPr rot="0" vert="horz" wrap="square" lIns="91440" tIns="45720" rIns="91440" bIns="45720" anchor="t" anchorCtr="0">
                            <a:noAutofit/>
                          </wps:bodyPr>
                        </wps:wsp>
                      </a:graphicData>
                    </a:graphic>
                  </wp:inline>
                </w:drawing>
              </mc:Choice>
              <mc:Fallback>
                <w:pict>
                  <v:shapetype w14:anchorId="48449C1B" id="_x0000_t202" coordsize="21600,21600" o:spt="202" path="m,l,21600r21600,l21600,xe">
                    <v:stroke joinstyle="miter"/>
                    <v:path gradientshapeok="t" o:connecttype="rect"/>
                  </v:shapetype>
                  <v:shape id="Text Box 5" o:spid="_x0000_s1026" type="#_x0000_t202" style="width:503.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" fillcolor="#d8d8d8 [2732]">
                    <v:textbox>
                      <w:txbxContent>
                        <w:p w14:paraId="40295333" w14:textId="77777777" w:rsidR="00DF30CB" w:rsidRDefault="00DF30CB" w:rsidP="00DF30CB">
                          <w:pPr>
                            <w:pStyle w:val="Heading1"/>
                            <w:spacing w:before="120"/>
                          </w:pPr>
                          <w:r>
                            <w:t>Key points</w:t>
                          </w:r>
                        </w:p>
                        <w:p w14:paraId="0C69B45B" w14:textId="77777777" w:rsidR="00DF30CB" w:rsidRDefault="00DF30CB" w:rsidP="00DF30CB">
                          <w:pPr>
                            <w:pStyle w:val="Bodytextjustified"/>
                            <w:numPr>
                              <w:ilvl w:val="0"/>
                              <w:numId w:val="16"/>
                            </w:numPr>
                            <w:ind w:left="426"/>
                          </w:pPr>
                          <w:r>
                            <w:t>Worker fatalities are relatively high with 3.0 fatalities per 100,000 workers.</w:t>
                          </w:r>
                        </w:p>
                        <w:p w14:paraId="4E38BEF4" w14:textId="77777777" w:rsidR="00DF30CB" w:rsidRPr="001412E0" w:rsidRDefault="00DF30CB" w:rsidP="00DF30CB">
                          <w:pPr>
                            <w:pStyle w:val="Bodytextjustified"/>
                            <w:numPr>
                              <w:ilvl w:val="0"/>
                              <w:numId w:val="16"/>
                            </w:numPr>
                            <w:ind w:left="426"/>
                          </w:pPr>
                          <w:r>
                            <w:t>Serious claims are high with 8.1 serious claims per million hours worked.</w:t>
                          </w:r>
                        </w:p>
                        <w:p w14:paraId="720283CF" w14:textId="77777777" w:rsidR="00DF30CB" w:rsidRDefault="00DF30CB" w:rsidP="00DF30CB">
                          <w:pPr>
                            <w:pStyle w:val="Bodytextjustified"/>
                            <w:numPr>
                              <w:ilvl w:val="0"/>
                              <w:numId w:val="16"/>
                            </w:numPr>
                            <w:ind w:left="426"/>
                          </w:pPr>
                          <w:r>
                            <w:t>The frequency rate of serious claims has decreased by 20 per cent over the last decade.</w:t>
                          </w:r>
                        </w:p>
                        <w:p w14:paraId="65878EFD" w14:textId="6D293251" w:rsidR="00DF30CB" w:rsidRDefault="00DF30CB" w:rsidP="00DF30CB">
                          <w:pPr>
                            <w:pStyle w:val="Bodytextjustified"/>
                            <w:numPr>
                              <w:ilvl w:val="0"/>
                              <w:numId w:val="16"/>
                            </w:numPr>
                            <w:ind w:left="426"/>
                          </w:pPr>
                          <w:r>
                            <w:t>Workers aged 45-54 account for the highest proportion of worker fatalities and serious claims, followed by workers aged under 25 years.</w:t>
                          </w:r>
                        </w:p>
                        <w:p w14:paraId="1C85643E" w14:textId="77777777" w:rsidR="00DF30CB" w:rsidRDefault="00DF30CB" w:rsidP="00DF30CB">
                          <w:pPr>
                            <w:pStyle w:val="Bodytextjustified"/>
                            <w:numPr>
                              <w:ilvl w:val="0"/>
                              <w:numId w:val="16"/>
                            </w:numPr>
                            <w:ind w:left="426"/>
                          </w:pPr>
                          <w:r>
                            <w:t>The construction services sub-sector accounted for 63.7 per cent of serious claims and 62 per cent of worker fatalities.</w:t>
                          </w:r>
                        </w:p>
                        <w:p w14:paraId="44635A51" w14:textId="77777777" w:rsidR="00DF30CB" w:rsidRDefault="00DF30CB" w:rsidP="00DF30CB">
                          <w:pPr>
                            <w:pStyle w:val="Bodytextjustified"/>
                            <w:numPr>
                              <w:ilvl w:val="0"/>
                              <w:numId w:val="16"/>
                            </w:numPr>
                            <w:ind w:left="426"/>
                          </w:pPr>
                          <w:r>
                            <w:t>For occupations, construction and mining labourers accounted for the highest proportion of worker fatalities and serious claims.</w:t>
                          </w:r>
                        </w:p>
                        <w:p w14:paraId="328CAD51" w14:textId="77777777" w:rsidR="00DF30CB" w:rsidRDefault="00DF30CB" w:rsidP="00DF30CB">
                          <w:pPr>
                            <w:pStyle w:val="Bodytextjustified"/>
                            <w:numPr>
                              <w:ilvl w:val="0"/>
                              <w:numId w:val="16"/>
                            </w:numPr>
                            <w:ind w:left="426"/>
                          </w:pPr>
                          <w:r w:rsidRPr="00AE205C">
                            <w:t xml:space="preserve">Falls from a </w:t>
                          </w:r>
                          <w:r>
                            <w:t>height accounted for the largest proportion of fatalities (30 per cent), while muscular stress from lifting, carrying or putting down objects accounted for the highest proportion of serious claims (16 per cent).</w:t>
                          </w:r>
                        </w:p>
                      </w:txbxContent>
                    </v:textbox>
                    <w10:anchorlock/>
                  </v:shape>
                </w:pict>
              </mc:Fallback>
            </mc:AlternateContent>
          </w:r>
        </w:p>
      </w:sdtContent>
    </w:sdt>
    <w:p w14:paraId="5B56FE5E" w14:textId="2EC26C4D" w:rsidR="00C37C6C" w:rsidRPr="00AD5A16" w:rsidRDefault="00C37C6C" w:rsidP="007679ED">
      <w:pPr>
        <w:pStyle w:val="Bodytextjustified"/>
        <w:jc w:val="left"/>
      </w:pPr>
      <w:r w:rsidRPr="00AD5A16">
        <w:br w:type="page"/>
      </w:r>
    </w:p>
    <w:p w14:paraId="33694B45" w14:textId="3ED831CD" w:rsidR="009D1116" w:rsidRPr="003F628C" w:rsidRDefault="009D1116" w:rsidP="003F628C">
      <w:pPr>
        <w:pStyle w:val="Heading1"/>
      </w:pPr>
      <w:r w:rsidRPr="003F628C">
        <w:lastRenderedPageBreak/>
        <w:t xml:space="preserve">The </w:t>
      </w:r>
      <w:r w:rsidR="007753C5">
        <w:t>e</w:t>
      </w:r>
      <w:r w:rsidRPr="003F628C">
        <w:t>vidence</w:t>
      </w:r>
      <w:r w:rsidR="00C44CD6" w:rsidRPr="003F628C">
        <w:rPr>
          <w:rStyle w:val="FootnoteReference"/>
        </w:rPr>
        <w:footnoteReference w:id="1"/>
      </w:r>
    </w:p>
    <w:p w14:paraId="697957DA" w14:textId="77777777" w:rsidR="00B13C18" w:rsidRPr="003F628C" w:rsidRDefault="00B13C18" w:rsidP="003F628C">
      <w:pPr>
        <w:pStyle w:val="Heading2"/>
      </w:pPr>
      <w:r w:rsidRPr="003F628C">
        <w:t>Industry profile</w:t>
      </w:r>
      <w:r w:rsidR="00C44CD6" w:rsidRPr="003F628C">
        <w:rPr>
          <w:rStyle w:val="FootnoteReference"/>
        </w:rPr>
        <w:footnoteReference w:id="2"/>
      </w:r>
    </w:p>
    <w:p w14:paraId="6F2C3277" w14:textId="127AE685" w:rsidR="00B26E46" w:rsidRDefault="00B26E46" w:rsidP="00B26E46">
      <w:pPr>
        <w:pStyle w:val="Bodytextjustified"/>
        <w:jc w:val="left"/>
      </w:pPr>
      <w:r>
        <w:t xml:space="preserve">The </w:t>
      </w:r>
      <w:r w:rsidR="003B3CB0">
        <w:t>c</w:t>
      </w:r>
      <w:r>
        <w:t>onstruction industry accounted for 9 per cent of total employment in November 2017, with employment growing strongly by 18 per cent over the five years to November 2017 (more than do</w:t>
      </w:r>
      <w:bookmarkStart w:id="0" w:name="_GoBack"/>
      <w:bookmarkEnd w:id="0"/>
      <w:r>
        <w:t xml:space="preserve">uble the rate of overall employment growth at 8 per cent). Employment in the industry </w:t>
      </w:r>
      <w:proofErr w:type="gramStart"/>
      <w:r>
        <w:t>is projected</w:t>
      </w:r>
      <w:proofErr w:type="gramEnd"/>
      <w:r>
        <w:t xml:space="preserve"> to continue to grow at a higher rate than the average over the next five years, increasing by 11 per cent.</w:t>
      </w:r>
      <w:r w:rsidRPr="007908CD">
        <w:t xml:space="preserve"> </w:t>
      </w:r>
      <w:r>
        <w:t xml:space="preserve">This growth </w:t>
      </w:r>
      <w:proofErr w:type="gramStart"/>
      <w:r>
        <w:t>will be driven</w:t>
      </w:r>
      <w:proofErr w:type="gramEnd"/>
      <w:r>
        <w:t xml:space="preserve"> by expected s</w:t>
      </w:r>
      <w:r w:rsidRPr="007908CD">
        <w:t xml:space="preserve">trong infrastructure investment and non-residential building activity, along with continuing high levels of residential construction (albeit more </w:t>
      </w:r>
      <w:r>
        <w:t>in line with population growth).</w:t>
      </w:r>
    </w:p>
    <w:p w14:paraId="0D98EB21" w14:textId="5DD4D5D3" w:rsidR="00B26E46" w:rsidRPr="00A12469" w:rsidRDefault="003B3CB0" w:rsidP="00B26E46">
      <w:pPr>
        <w:pStyle w:val="Bodytextjustified"/>
        <w:jc w:val="left"/>
        <w:rPr>
          <w:rFonts w:cs="Calibri"/>
        </w:rPr>
      </w:pPr>
      <w:r>
        <w:rPr>
          <w:rFonts w:cs="Calibri"/>
        </w:rPr>
        <w:t>T</w:t>
      </w:r>
      <w:r w:rsidR="00B26E46">
        <w:rPr>
          <w:rFonts w:cs="Calibri"/>
        </w:rPr>
        <w:t xml:space="preserve">he industry is comprised of a slightly younger demographic, with 44 per cent of workers aged under </w:t>
      </w:r>
      <w:r w:rsidR="00B26E46" w:rsidRPr="00A12469">
        <w:rPr>
          <w:rFonts w:cs="Calibri"/>
        </w:rPr>
        <w:t>35</w:t>
      </w:r>
      <w:r w:rsidR="007679ED">
        <w:rPr>
          <w:rFonts w:cs="Calibri"/>
        </w:rPr>
        <w:t> </w:t>
      </w:r>
      <w:r w:rsidR="00B26E46" w:rsidRPr="00A12469">
        <w:rPr>
          <w:rFonts w:cs="Calibri"/>
        </w:rPr>
        <w:t xml:space="preserve">years old, compared with </w:t>
      </w:r>
      <w:r w:rsidR="00B26E46">
        <w:rPr>
          <w:rFonts w:cs="Calibri"/>
        </w:rPr>
        <w:t xml:space="preserve">39 </w:t>
      </w:r>
      <w:r w:rsidR="00B26E46" w:rsidRPr="00A12469">
        <w:rPr>
          <w:rFonts w:cs="Calibri"/>
        </w:rPr>
        <w:t>per cent across all industries.</w:t>
      </w:r>
      <w:r>
        <w:rPr>
          <w:rFonts w:cs="Calibri"/>
        </w:rPr>
        <w:t xml:space="preserve"> W</w:t>
      </w:r>
      <w:r w:rsidR="00B26E46">
        <w:rPr>
          <w:rFonts w:cs="Calibri"/>
        </w:rPr>
        <w:t xml:space="preserve">hile </w:t>
      </w:r>
      <w:r w:rsidR="00B26E46" w:rsidRPr="00A12469">
        <w:rPr>
          <w:rFonts w:cs="Calibri"/>
        </w:rPr>
        <w:t xml:space="preserve">the industry has a </w:t>
      </w:r>
      <w:r w:rsidR="00B26E46">
        <w:rPr>
          <w:rFonts w:cs="Calibri"/>
        </w:rPr>
        <w:t xml:space="preserve">much </w:t>
      </w:r>
      <w:r w:rsidR="00B26E46" w:rsidRPr="00A12469">
        <w:rPr>
          <w:rFonts w:cs="Calibri"/>
        </w:rPr>
        <w:t>higher proportion of full-time workers (8</w:t>
      </w:r>
      <w:r w:rsidR="00B26E46">
        <w:rPr>
          <w:rFonts w:cs="Calibri"/>
        </w:rPr>
        <w:t>5 </w:t>
      </w:r>
      <w:r w:rsidR="00B26E46" w:rsidRPr="00A12469">
        <w:rPr>
          <w:rFonts w:cs="Calibri"/>
        </w:rPr>
        <w:t>per</w:t>
      </w:r>
      <w:r w:rsidR="00B26E46">
        <w:rPr>
          <w:rFonts w:cs="Calibri"/>
        </w:rPr>
        <w:t> </w:t>
      </w:r>
      <w:r w:rsidR="00B26E46" w:rsidRPr="00A12469">
        <w:rPr>
          <w:rFonts w:cs="Calibri"/>
        </w:rPr>
        <w:t xml:space="preserve">cent compared to the all industry average of 69 per cent), </w:t>
      </w:r>
      <w:r w:rsidR="00B26E46">
        <w:rPr>
          <w:rFonts w:cs="Calibri"/>
        </w:rPr>
        <w:t xml:space="preserve">the proportion </w:t>
      </w:r>
      <w:r w:rsidR="00B26E46" w:rsidRPr="00A12469">
        <w:rPr>
          <w:rFonts w:cs="Calibri"/>
        </w:rPr>
        <w:t xml:space="preserve">of casual employees </w:t>
      </w:r>
      <w:r w:rsidR="00B26E46">
        <w:rPr>
          <w:rFonts w:cs="Calibri"/>
        </w:rPr>
        <w:t xml:space="preserve">is broadly in line with the overall average </w:t>
      </w:r>
      <w:r w:rsidR="00B26E46" w:rsidRPr="00A12469">
        <w:rPr>
          <w:rFonts w:cs="Calibri"/>
        </w:rPr>
        <w:t>(</w:t>
      </w:r>
      <w:r w:rsidR="00B26E46">
        <w:rPr>
          <w:rFonts w:cs="Calibri"/>
        </w:rPr>
        <w:t>26</w:t>
      </w:r>
      <w:r w:rsidR="00B26E46" w:rsidRPr="00A12469">
        <w:rPr>
          <w:rFonts w:cs="Calibri"/>
        </w:rPr>
        <w:t xml:space="preserve"> per cent compared to the all industry average of 25 per cent).</w:t>
      </w:r>
    </w:p>
    <w:p w14:paraId="3E811A0B" w14:textId="77777777" w:rsidR="00B13C18" w:rsidRDefault="003D6A53" w:rsidP="00846AE6">
      <w:pPr>
        <w:spacing w:before="240" w:line="288" w:lineRule="auto"/>
        <w:jc w:val="center"/>
        <w:rPr>
          <w:rFonts w:ascii="Arial" w:hAnsi="Arial" w:cs="Arial"/>
          <w:b/>
          <w:color w:val="AF1E2D"/>
          <w:sz w:val="24"/>
          <w:szCs w:val="22"/>
        </w:rPr>
      </w:pPr>
      <w:r>
        <w:rPr>
          <w:rFonts w:ascii="Arial" w:hAnsi="Arial" w:cs="Arial"/>
          <w:b/>
          <w:noProof/>
          <w:color w:val="AF1E2D"/>
          <w:sz w:val="24"/>
          <w:szCs w:val="22"/>
        </w:rPr>
        <w:drawing>
          <wp:inline distT="0" distB="0" distL="0" distR="0" wp14:anchorId="7C18C789" wp14:editId="5DABC183">
            <wp:extent cx="5322899" cy="1569600"/>
            <wp:effectExtent l="0" t="0" r="0" b="0"/>
            <wp:docPr id="7" name="Picture 7" descr="This image provides a visual overview of the key characteristics of the Construction industry, discussed in the above paragraphs. For more information about the content of this image, or any other visual content in this document, please email statsonline@sw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2899" cy="1569600"/>
                    </a:xfrm>
                    <a:prstGeom prst="rect">
                      <a:avLst/>
                    </a:prstGeom>
                    <a:noFill/>
                  </pic:spPr>
                </pic:pic>
              </a:graphicData>
            </a:graphic>
          </wp:inline>
        </w:drawing>
      </w:r>
    </w:p>
    <w:p w14:paraId="79D0F5A7" w14:textId="0AA09AE2" w:rsidR="00C26809" w:rsidRDefault="00957371" w:rsidP="003F628C">
      <w:pPr>
        <w:pStyle w:val="Heading2"/>
      </w:pPr>
      <w:r w:rsidRPr="00957371">
        <w:t xml:space="preserve">Why is the </w:t>
      </w:r>
      <w:r w:rsidR="003B3CB0">
        <w:t>c</w:t>
      </w:r>
      <w:r w:rsidRPr="00957371">
        <w:t xml:space="preserve">onstruction industry a </w:t>
      </w:r>
      <w:r w:rsidR="00C26809" w:rsidRPr="00957371">
        <w:t>priority</w:t>
      </w:r>
      <w:r w:rsidRPr="00957371">
        <w:t>?</w:t>
      </w:r>
    </w:p>
    <w:p w14:paraId="606D09D1" w14:textId="1CDA2552" w:rsidR="00B26E46" w:rsidRPr="00957F06" w:rsidRDefault="00B26E46" w:rsidP="00B26E46">
      <w:pPr>
        <w:spacing w:line="288" w:lineRule="auto"/>
        <w:rPr>
          <w:rFonts w:ascii="Arial" w:hAnsi="Arial" w:cs="Arial"/>
          <w:sz w:val="22"/>
          <w:szCs w:val="22"/>
        </w:rPr>
      </w:pPr>
      <w:r>
        <w:rPr>
          <w:rFonts w:ascii="Arial" w:hAnsi="Arial" w:cs="Arial"/>
          <w:sz w:val="22"/>
          <w:szCs w:val="22"/>
        </w:rPr>
        <w:t xml:space="preserve">The nature of work in the </w:t>
      </w:r>
      <w:r w:rsidR="00C02FAD">
        <w:rPr>
          <w:rFonts w:ascii="Arial" w:hAnsi="Arial" w:cs="Arial"/>
          <w:sz w:val="22"/>
          <w:szCs w:val="22"/>
        </w:rPr>
        <w:t>c</w:t>
      </w:r>
      <w:r>
        <w:rPr>
          <w:rFonts w:ascii="Arial" w:hAnsi="Arial" w:cs="Arial"/>
          <w:sz w:val="22"/>
          <w:szCs w:val="22"/>
        </w:rPr>
        <w:t xml:space="preserve">onstruction industry means it is a relatively </w:t>
      </w:r>
      <w:proofErr w:type="gramStart"/>
      <w:r>
        <w:rPr>
          <w:rFonts w:ascii="Arial" w:hAnsi="Arial" w:cs="Arial"/>
          <w:sz w:val="22"/>
          <w:szCs w:val="22"/>
        </w:rPr>
        <w:t>high risk</w:t>
      </w:r>
      <w:proofErr w:type="gramEnd"/>
      <w:r>
        <w:rPr>
          <w:rFonts w:ascii="Arial" w:hAnsi="Arial" w:cs="Arial"/>
          <w:sz w:val="22"/>
          <w:szCs w:val="22"/>
        </w:rPr>
        <w:t xml:space="preserve"> industry and is reflected in both the comparatively high level of fatalities and serious workers’ compensation claims (accounting for 16 per cent of fatalities and 11 per cent of serious claims). Over the last five years, on average, the fatality rate was the sixth highest and the serious claim frequency rate was the fifth highest. In terms of numbers, due to the larger size of the industry, the </w:t>
      </w:r>
      <w:r w:rsidR="00C02FAD">
        <w:rPr>
          <w:rFonts w:ascii="Arial" w:hAnsi="Arial" w:cs="Arial"/>
          <w:sz w:val="22"/>
          <w:szCs w:val="22"/>
        </w:rPr>
        <w:t>c</w:t>
      </w:r>
      <w:r>
        <w:rPr>
          <w:rFonts w:ascii="Arial" w:hAnsi="Arial" w:cs="Arial"/>
          <w:sz w:val="22"/>
          <w:szCs w:val="22"/>
        </w:rPr>
        <w:t>onstruction industry ranks third for both the number of fatalities and serious claims over the last five years.</w:t>
      </w:r>
    </w:p>
    <w:p w14:paraId="521E8465" w14:textId="2B35DF76" w:rsidR="00F93B83" w:rsidRDefault="008C069A" w:rsidP="00B5671D">
      <w:pPr>
        <w:spacing w:line="288" w:lineRule="auto"/>
        <w:jc w:val="center"/>
        <w:rPr>
          <w:rFonts w:ascii="Arial" w:hAnsi="Arial" w:cs="Arial"/>
          <w:sz w:val="22"/>
          <w:szCs w:val="22"/>
        </w:rPr>
      </w:pPr>
      <w:r>
        <w:rPr>
          <w:noProof/>
        </w:rPr>
        <w:drawing>
          <wp:inline distT="0" distB="0" distL="0" distR="0" wp14:anchorId="39BD7B8D" wp14:editId="4202E951">
            <wp:extent cx="5807539" cy="2114220"/>
            <wp:effectExtent l="0" t="0" r="3175" b="635"/>
            <wp:docPr id="2" name="Picture 2" descr="This image provides a visual overview of work-related fatality and injury in the Construction industry, discussed in the above paragraph. For more information about the content of this image, or any other visual content in this document, please email statsonline@swa.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3795\AppData\Local\Microsoft\Windows\INetCache\Content.Word\180702 Priority Industry Snapshot - Infographic - Construction.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808928" cy="2114726"/>
                    </a:xfrm>
                    <a:prstGeom prst="rect">
                      <a:avLst/>
                    </a:prstGeom>
                    <a:noFill/>
                    <a:ln>
                      <a:noFill/>
                    </a:ln>
                    <a:extLst>
                      <a:ext uri="{53640926-AAD7-44D8-BBD7-CCE9431645EC}">
                        <a14:shadowObscured xmlns:a14="http://schemas.microsoft.com/office/drawing/2010/main"/>
                      </a:ext>
                    </a:extLst>
                  </pic:spPr>
                </pic:pic>
              </a:graphicData>
            </a:graphic>
          </wp:inline>
        </w:drawing>
      </w:r>
    </w:p>
    <w:p w14:paraId="77C9FEFD" w14:textId="77777777" w:rsidR="007A6525" w:rsidRPr="00957371" w:rsidRDefault="00957371" w:rsidP="003F628C">
      <w:pPr>
        <w:pStyle w:val="Heading2"/>
      </w:pPr>
      <w:r w:rsidRPr="00957371">
        <w:lastRenderedPageBreak/>
        <w:t>WHS performance of the industry</w:t>
      </w:r>
    </w:p>
    <w:p w14:paraId="1B482A1F" w14:textId="6D86D0D8" w:rsidR="007A6525" w:rsidRDefault="00305789" w:rsidP="00564DD2">
      <w:pPr>
        <w:spacing w:line="288" w:lineRule="auto"/>
        <w:rPr>
          <w:rFonts w:ascii="Arial" w:hAnsi="Arial" w:cs="Arial"/>
          <w:sz w:val="22"/>
          <w:szCs w:val="22"/>
        </w:rPr>
      </w:pPr>
      <w:r>
        <w:rPr>
          <w:rFonts w:ascii="Arial" w:hAnsi="Arial" w:cs="Arial"/>
          <w:sz w:val="22"/>
          <w:szCs w:val="22"/>
        </w:rPr>
        <w:t xml:space="preserve">While the number of fatalities and serious claims in the </w:t>
      </w:r>
      <w:r w:rsidR="00C02FAD">
        <w:rPr>
          <w:rFonts w:ascii="Arial" w:hAnsi="Arial" w:cs="Arial"/>
          <w:sz w:val="22"/>
          <w:szCs w:val="22"/>
        </w:rPr>
        <w:t>c</w:t>
      </w:r>
      <w:r>
        <w:rPr>
          <w:rFonts w:ascii="Arial" w:hAnsi="Arial" w:cs="Arial"/>
          <w:sz w:val="22"/>
          <w:szCs w:val="22"/>
        </w:rPr>
        <w:t>onstruction industry remain comparatively high, there have been substantial improvements over the last 10 years. While the fatality rate has remained relatively stable for much of the last five years, it has fall</w:t>
      </w:r>
      <w:r w:rsidR="002F77F4">
        <w:rPr>
          <w:rFonts w:ascii="Arial" w:hAnsi="Arial" w:cs="Arial"/>
          <w:sz w:val="22"/>
          <w:szCs w:val="22"/>
        </w:rPr>
        <w:t>en</w:t>
      </w:r>
      <w:r>
        <w:rPr>
          <w:rFonts w:ascii="Arial" w:hAnsi="Arial" w:cs="Arial"/>
          <w:sz w:val="22"/>
          <w:szCs w:val="22"/>
        </w:rPr>
        <w:t xml:space="preserve"> substantially from 4.8 fatalities per 100,000 workers in 2007 to 3.3 in 2016. </w:t>
      </w:r>
    </w:p>
    <w:p w14:paraId="3A84A4A1" w14:textId="491BD824" w:rsidR="00305789" w:rsidRPr="00305789" w:rsidRDefault="00305789" w:rsidP="00564DD2">
      <w:pPr>
        <w:spacing w:line="288" w:lineRule="auto"/>
        <w:rPr>
          <w:rFonts w:ascii="Arial" w:hAnsi="Arial" w:cs="Arial"/>
          <w:sz w:val="22"/>
          <w:szCs w:val="22"/>
        </w:rPr>
      </w:pPr>
      <w:r>
        <w:rPr>
          <w:rFonts w:ascii="Arial" w:hAnsi="Arial" w:cs="Arial"/>
          <w:sz w:val="22"/>
          <w:szCs w:val="22"/>
        </w:rPr>
        <w:t xml:space="preserve">In relation to serious claims, </w:t>
      </w:r>
      <w:r w:rsidR="00665F87">
        <w:rPr>
          <w:rFonts w:ascii="Arial" w:hAnsi="Arial" w:cs="Arial"/>
          <w:sz w:val="22"/>
          <w:szCs w:val="22"/>
        </w:rPr>
        <w:t>while the number of claims has been relatively stable for most of the last 10</w:t>
      </w:r>
      <w:r w:rsidR="007679ED">
        <w:rPr>
          <w:rFonts w:ascii="Arial" w:hAnsi="Arial" w:cs="Arial"/>
          <w:sz w:val="22"/>
          <w:szCs w:val="22"/>
        </w:rPr>
        <w:t> </w:t>
      </w:r>
      <w:r w:rsidR="00665F87">
        <w:rPr>
          <w:rFonts w:ascii="Arial" w:hAnsi="Arial" w:cs="Arial"/>
          <w:sz w:val="22"/>
          <w:szCs w:val="22"/>
        </w:rPr>
        <w:t>years, due to the growing workforce, the frequency rate has been trending down, falling from 10.1 serious claims per million hours worked in 2006-07 to 8.0 in 2015-16.</w:t>
      </w:r>
    </w:p>
    <w:p w14:paraId="0DAC8544" w14:textId="77777777" w:rsidR="002F6D4A" w:rsidRDefault="00F430C2" w:rsidP="00564DD2">
      <w:pPr>
        <w:spacing w:line="288" w:lineRule="auto"/>
        <w:rPr>
          <w:noProof/>
        </w:rPr>
      </w:pPr>
      <w:r>
        <w:rPr>
          <w:noProof/>
        </w:rPr>
        <w:drawing>
          <wp:inline distT="0" distB="0" distL="0" distR="0" wp14:anchorId="52ADB700" wp14:editId="6D525669">
            <wp:extent cx="2976776" cy="2052000"/>
            <wp:effectExtent l="0" t="0" r="0" b="5715"/>
            <wp:docPr id="11" name="Picture 11" descr="This chart presents the number of worker fatalities and the worker fatality rate for the Construction industry between 2007 and 2016.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6776" cy="2052000"/>
                    </a:xfrm>
                    <a:prstGeom prst="rect">
                      <a:avLst/>
                    </a:prstGeom>
                    <a:noFill/>
                  </pic:spPr>
                </pic:pic>
              </a:graphicData>
            </a:graphic>
          </wp:inline>
        </w:drawing>
      </w:r>
      <w:r w:rsidR="00641774">
        <w:rPr>
          <w:noProof/>
        </w:rPr>
        <w:t xml:space="preserve"> </w:t>
      </w:r>
      <w:r>
        <w:rPr>
          <w:noProof/>
        </w:rPr>
        <w:drawing>
          <wp:inline distT="0" distB="0" distL="0" distR="0" wp14:anchorId="0AC9EB11" wp14:editId="7F4B9475">
            <wp:extent cx="2958186" cy="2052000"/>
            <wp:effectExtent l="0" t="0" r="0" b="5715"/>
            <wp:docPr id="12" name="Picture 12" descr="This chart presents the number of serious workers’ compensation claims and the frequency of serious workers’ compensation claims for the Construction industry between 2006-7 and 2015-16p.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8186" cy="2052000"/>
                    </a:xfrm>
                    <a:prstGeom prst="rect">
                      <a:avLst/>
                    </a:prstGeom>
                    <a:noFill/>
                  </pic:spPr>
                </pic:pic>
              </a:graphicData>
            </a:graphic>
          </wp:inline>
        </w:drawing>
      </w:r>
    </w:p>
    <w:p w14:paraId="2E812DD6" w14:textId="77777777" w:rsidR="009E431C" w:rsidRDefault="009E431C" w:rsidP="003F628C">
      <w:pPr>
        <w:pStyle w:val="Heading2"/>
      </w:pPr>
      <w:r>
        <w:t>Demographics</w:t>
      </w:r>
    </w:p>
    <w:p w14:paraId="2CC8440F" w14:textId="3B5FE8AE" w:rsidR="00B26E46" w:rsidRDefault="00C02FAD" w:rsidP="00B26E46">
      <w:pPr>
        <w:pStyle w:val="Bodytextjustified"/>
        <w:jc w:val="left"/>
      </w:pPr>
      <w:r>
        <w:t>F</w:t>
      </w:r>
      <w:r w:rsidR="00B26E46">
        <w:t>rom 2013-2016, worker fatalities in the construction industry were relatively spread out across the age groups, with workers aged 55</w:t>
      </w:r>
      <w:r>
        <w:t>-</w:t>
      </w:r>
      <w:r w:rsidR="00B26E46">
        <w:t>64 years accounting for 22 per cent of the 123 workers killed in the industry, followed by those aged 25</w:t>
      </w:r>
      <w:r>
        <w:t>-</w:t>
      </w:r>
      <w:r w:rsidR="00B26E46">
        <w:t>34 years (21 per cent) and 45</w:t>
      </w:r>
      <w:r>
        <w:t>-</w:t>
      </w:r>
      <w:r w:rsidR="00B26E46">
        <w:t>54 years (20 per cent).</w:t>
      </w:r>
    </w:p>
    <w:p w14:paraId="19E7BAB5" w14:textId="71B73F6F" w:rsidR="00B26E46" w:rsidRDefault="00C02FAD" w:rsidP="00B26E46">
      <w:pPr>
        <w:pStyle w:val="Bodytextjustified"/>
        <w:jc w:val="left"/>
      </w:pPr>
      <w:r>
        <w:t>T</w:t>
      </w:r>
      <w:r w:rsidR="00B26E46">
        <w:t>he serious claim frequency rate was also relatively similar across age groups, with workers aged 55-64 recording the highest rate (9.9 serious claims per million hours worked) in the period from 2012-13 to 2015-16, followed by workers aged 15</w:t>
      </w:r>
      <w:r>
        <w:t>-</w:t>
      </w:r>
      <w:r w:rsidR="00B26E46">
        <w:t>24 years (8.5 serious claims per million hours worked).</w:t>
      </w:r>
    </w:p>
    <w:p w14:paraId="69F281A0" w14:textId="77777777" w:rsidR="009E431C" w:rsidRPr="009950B2" w:rsidRDefault="00B9187D" w:rsidP="009E431C">
      <w:pPr>
        <w:pStyle w:val="Bodytextjustified"/>
      </w:pPr>
      <w:r>
        <w:rPr>
          <w:noProof/>
        </w:rPr>
        <w:drawing>
          <wp:inline distT="0" distB="0" distL="0" distR="0" wp14:anchorId="118B4FEE" wp14:editId="28862804">
            <wp:extent cx="3199995" cy="1922400"/>
            <wp:effectExtent l="0" t="0" r="635" b="1905"/>
            <wp:docPr id="3" name="Picture 3" descr="This chart presents the proportion of fatalities of workers by age in the Construction industry between 2013 and 2016.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99995" cy="1922400"/>
                    </a:xfrm>
                    <a:prstGeom prst="rect">
                      <a:avLst/>
                    </a:prstGeom>
                    <a:noFill/>
                  </pic:spPr>
                </pic:pic>
              </a:graphicData>
            </a:graphic>
          </wp:inline>
        </w:drawing>
      </w:r>
      <w:r w:rsidR="009E431C">
        <w:t xml:space="preserve"> </w:t>
      </w:r>
      <w:r>
        <w:rPr>
          <w:noProof/>
        </w:rPr>
        <w:drawing>
          <wp:inline distT="0" distB="0" distL="0" distR="0" wp14:anchorId="3DB9F107" wp14:editId="21606FA3">
            <wp:extent cx="3211135" cy="1922400"/>
            <wp:effectExtent l="0" t="0" r="8890" b="1905"/>
            <wp:docPr id="10" name="Picture 10" descr="This chart presents the frequency rate of serious workers’ compensation claims by age in the Construction industry between 2012-13 and 2015-16.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1135" cy="1922400"/>
                    </a:xfrm>
                    <a:prstGeom prst="rect">
                      <a:avLst/>
                    </a:prstGeom>
                    <a:noFill/>
                  </pic:spPr>
                </pic:pic>
              </a:graphicData>
            </a:graphic>
          </wp:inline>
        </w:drawing>
      </w:r>
    </w:p>
    <w:p w14:paraId="1763C918" w14:textId="77777777" w:rsidR="009E431C" w:rsidRDefault="009E431C">
      <w:pPr>
        <w:spacing w:before="0" w:after="0"/>
        <w:rPr>
          <w:rFonts w:ascii="Arial" w:hAnsi="Arial" w:cs="Arial"/>
          <w:b/>
          <w:color w:val="AF1E2D"/>
          <w:sz w:val="24"/>
          <w:szCs w:val="22"/>
        </w:rPr>
      </w:pPr>
      <w:r>
        <w:rPr>
          <w:rFonts w:ascii="Arial" w:hAnsi="Arial" w:cs="Arial"/>
          <w:b/>
          <w:color w:val="AF1E2D"/>
          <w:sz w:val="24"/>
          <w:szCs w:val="22"/>
        </w:rPr>
        <w:br w:type="page"/>
      </w:r>
    </w:p>
    <w:p w14:paraId="6A265BC2" w14:textId="77777777" w:rsidR="007A6525" w:rsidRPr="00EB0250" w:rsidRDefault="00EB0250" w:rsidP="003F628C">
      <w:pPr>
        <w:pStyle w:val="Heading2"/>
      </w:pPr>
      <w:r w:rsidRPr="00EB0250">
        <w:lastRenderedPageBreak/>
        <w:t>Key areas of the industry</w:t>
      </w:r>
    </w:p>
    <w:p w14:paraId="5C9B0A99" w14:textId="77777777" w:rsidR="007A6525" w:rsidRPr="003F628C" w:rsidRDefault="00824A0B" w:rsidP="003F628C">
      <w:pPr>
        <w:pStyle w:val="Heading3"/>
      </w:pPr>
      <w:r w:rsidRPr="003F628C">
        <w:t>Sub-industries</w:t>
      </w:r>
    </w:p>
    <w:p w14:paraId="42F289B7" w14:textId="3D4016C8" w:rsidR="00B26E46" w:rsidRDefault="00B26E46" w:rsidP="00B26E46">
      <w:pPr>
        <w:spacing w:line="288" w:lineRule="auto"/>
        <w:rPr>
          <w:rFonts w:ascii="Arial" w:hAnsi="Arial" w:cs="Arial"/>
          <w:sz w:val="22"/>
          <w:szCs w:val="22"/>
        </w:rPr>
      </w:pPr>
      <w:r w:rsidRPr="006415B3">
        <w:rPr>
          <w:rFonts w:ascii="Arial" w:hAnsi="Arial" w:cs="Arial"/>
          <w:sz w:val="22"/>
          <w:szCs w:val="22"/>
        </w:rPr>
        <w:t xml:space="preserve">The </w:t>
      </w:r>
      <w:r w:rsidR="00C02FAD">
        <w:rPr>
          <w:rFonts w:ascii="Arial" w:hAnsi="Arial" w:cs="Arial"/>
          <w:sz w:val="22"/>
          <w:szCs w:val="22"/>
        </w:rPr>
        <w:t>c</w:t>
      </w:r>
      <w:r w:rsidRPr="006415B3">
        <w:rPr>
          <w:rFonts w:ascii="Arial" w:hAnsi="Arial" w:cs="Arial"/>
          <w:sz w:val="22"/>
          <w:szCs w:val="22"/>
        </w:rPr>
        <w:t xml:space="preserve">onstruction </w:t>
      </w:r>
      <w:r>
        <w:rPr>
          <w:rFonts w:ascii="Arial" w:hAnsi="Arial" w:cs="Arial"/>
          <w:sz w:val="22"/>
          <w:szCs w:val="22"/>
        </w:rPr>
        <w:t xml:space="preserve">services sub-industry accounts for the majority of workers in the </w:t>
      </w:r>
      <w:r w:rsidR="007679ED">
        <w:rPr>
          <w:rFonts w:ascii="Arial" w:hAnsi="Arial" w:cs="Arial"/>
          <w:sz w:val="22"/>
          <w:szCs w:val="22"/>
        </w:rPr>
        <w:t>c</w:t>
      </w:r>
      <w:r>
        <w:rPr>
          <w:rFonts w:ascii="Arial" w:hAnsi="Arial" w:cs="Arial"/>
          <w:sz w:val="22"/>
          <w:szCs w:val="22"/>
        </w:rPr>
        <w:t xml:space="preserve">onstruction industry, which </w:t>
      </w:r>
      <w:proofErr w:type="gramStart"/>
      <w:r>
        <w:rPr>
          <w:rFonts w:ascii="Arial" w:hAnsi="Arial" w:cs="Arial"/>
          <w:sz w:val="22"/>
          <w:szCs w:val="22"/>
        </w:rPr>
        <w:t>is reflected</w:t>
      </w:r>
      <w:proofErr w:type="gramEnd"/>
      <w:r>
        <w:rPr>
          <w:rFonts w:ascii="Arial" w:hAnsi="Arial" w:cs="Arial"/>
          <w:sz w:val="22"/>
          <w:szCs w:val="22"/>
        </w:rPr>
        <w:t xml:space="preserve"> in both the number of fatalities and serious claims. Over the four years from 2013 to </w:t>
      </w:r>
      <w:proofErr w:type="gramStart"/>
      <w:r>
        <w:rPr>
          <w:rFonts w:ascii="Arial" w:hAnsi="Arial" w:cs="Arial"/>
          <w:sz w:val="22"/>
          <w:szCs w:val="22"/>
        </w:rPr>
        <w:t>2016</w:t>
      </w:r>
      <w:proofErr w:type="gramEnd"/>
      <w:r>
        <w:rPr>
          <w:rFonts w:ascii="Arial" w:hAnsi="Arial" w:cs="Arial"/>
          <w:sz w:val="22"/>
          <w:szCs w:val="22"/>
        </w:rPr>
        <w:t xml:space="preserve"> this sub-industry accounted for just under two-thirds of fatalities (62 per cent) and serious claims (63.7 per cent). Within the </w:t>
      </w:r>
      <w:r w:rsidR="00C02FAD">
        <w:rPr>
          <w:rFonts w:ascii="Arial" w:hAnsi="Arial" w:cs="Arial"/>
          <w:sz w:val="22"/>
          <w:szCs w:val="22"/>
        </w:rPr>
        <w:t>c</w:t>
      </w:r>
      <w:r>
        <w:rPr>
          <w:rFonts w:ascii="Arial" w:hAnsi="Arial" w:cs="Arial"/>
          <w:sz w:val="22"/>
          <w:szCs w:val="22"/>
        </w:rPr>
        <w:t>onstruction services sub-industry, site preparation services, electrical services and concreting service</w:t>
      </w:r>
      <w:r w:rsidR="006B40DE">
        <w:rPr>
          <w:rFonts w:ascii="Arial" w:hAnsi="Arial" w:cs="Arial"/>
          <w:sz w:val="22"/>
          <w:szCs w:val="22"/>
        </w:rPr>
        <w:t>s</w:t>
      </w:r>
      <w:r>
        <w:rPr>
          <w:rFonts w:ascii="Arial" w:hAnsi="Arial" w:cs="Arial"/>
          <w:sz w:val="22"/>
          <w:szCs w:val="22"/>
        </w:rPr>
        <w:t xml:space="preserve"> were particular areas that saw fatalities and injuries.</w:t>
      </w:r>
    </w:p>
    <w:p w14:paraId="6D9A0E2A" w14:textId="5E68A596" w:rsidR="00B26E46" w:rsidRPr="00DB54FA" w:rsidRDefault="00B26E46" w:rsidP="00B26E46">
      <w:pPr>
        <w:spacing w:line="288" w:lineRule="auto"/>
        <w:rPr>
          <w:rFonts w:ascii="Arial" w:hAnsi="Arial" w:cs="Arial"/>
          <w:sz w:val="22"/>
          <w:szCs w:val="22"/>
        </w:rPr>
      </w:pPr>
      <w:r>
        <w:rPr>
          <w:rFonts w:ascii="Arial" w:hAnsi="Arial" w:cs="Arial"/>
          <w:sz w:val="22"/>
          <w:szCs w:val="22"/>
        </w:rPr>
        <w:t xml:space="preserve">Accounting for the size of the workforce, the </w:t>
      </w:r>
      <w:r w:rsidR="00C02FAD">
        <w:rPr>
          <w:rFonts w:ascii="Arial" w:hAnsi="Arial" w:cs="Arial"/>
          <w:sz w:val="22"/>
          <w:szCs w:val="22"/>
        </w:rPr>
        <w:t>h</w:t>
      </w:r>
      <w:r>
        <w:rPr>
          <w:rFonts w:ascii="Arial" w:hAnsi="Arial" w:cs="Arial"/>
          <w:sz w:val="22"/>
          <w:szCs w:val="22"/>
        </w:rPr>
        <w:t>eavy and civil engineering construction sub-industry recorded both the highest fatality rate (5.7 fatalities per 100,000 workers) and serious claim frequency rate (13.4 claims per million hours worked).</w:t>
      </w:r>
    </w:p>
    <w:p w14:paraId="4A1E558C" w14:textId="77777777" w:rsidR="00C40B03" w:rsidRDefault="00C40B03" w:rsidP="003D6A53">
      <w:pPr>
        <w:spacing w:line="288" w:lineRule="auto"/>
        <w:jc w:val="center"/>
        <w:rPr>
          <w:rFonts w:ascii="Arial" w:hAnsi="Arial" w:cs="Arial"/>
          <w:sz w:val="22"/>
          <w:szCs w:val="22"/>
        </w:rPr>
      </w:pPr>
    </w:p>
    <w:p w14:paraId="08C4B21B" w14:textId="77777777" w:rsidR="00C40B03" w:rsidRDefault="003D6A53" w:rsidP="003D6A53">
      <w:pPr>
        <w:spacing w:line="288" w:lineRule="auto"/>
        <w:jc w:val="center"/>
        <w:rPr>
          <w:rFonts w:ascii="Arial" w:hAnsi="Arial" w:cs="Arial"/>
          <w:sz w:val="22"/>
          <w:szCs w:val="22"/>
        </w:rPr>
      </w:pPr>
      <w:r>
        <w:rPr>
          <w:rFonts w:ascii="Arial" w:hAnsi="Arial" w:cs="Arial"/>
          <w:noProof/>
          <w:sz w:val="22"/>
          <w:szCs w:val="22"/>
        </w:rPr>
        <w:drawing>
          <wp:inline distT="0" distB="0" distL="0" distR="0" wp14:anchorId="0BA78EBE" wp14:editId="361BD049">
            <wp:extent cx="4758237" cy="2160000"/>
            <wp:effectExtent l="0" t="0" r="4445" b="0"/>
            <wp:docPr id="20" name="Picture 20" descr="This image presents the proportion and fatality rate of workers by sub-industries in the Construction industry. The above paragraphs present the image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8237" cy="2160000"/>
                    </a:xfrm>
                    <a:prstGeom prst="rect">
                      <a:avLst/>
                    </a:prstGeom>
                    <a:noFill/>
                  </pic:spPr>
                </pic:pic>
              </a:graphicData>
            </a:graphic>
          </wp:inline>
        </w:drawing>
      </w:r>
      <w:r w:rsidR="00B26E46">
        <w:rPr>
          <w:rFonts w:ascii="Arial" w:hAnsi="Arial" w:cs="Arial"/>
          <w:noProof/>
          <w:sz w:val="22"/>
          <w:szCs w:val="22"/>
        </w:rPr>
        <w:drawing>
          <wp:inline distT="0" distB="0" distL="0" distR="0" wp14:anchorId="64126260" wp14:editId="3054DF42">
            <wp:extent cx="4604817" cy="2160000"/>
            <wp:effectExtent l="0" t="0" r="5715" b="0"/>
            <wp:docPr id="19" name="Picture 19" descr="This image presents the proportion and frequency rate of serious workers’ compensation claims by sub-industries in the Construction industry. The above paragraphs present the image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4817" cy="2160000"/>
                    </a:xfrm>
                    <a:prstGeom prst="rect">
                      <a:avLst/>
                    </a:prstGeom>
                    <a:noFill/>
                  </pic:spPr>
                </pic:pic>
              </a:graphicData>
            </a:graphic>
          </wp:inline>
        </w:drawing>
      </w:r>
    </w:p>
    <w:p w14:paraId="7CF16BE7" w14:textId="77777777" w:rsidR="00D30B05" w:rsidRDefault="00D30B05" w:rsidP="00D30B05">
      <w:r>
        <w:br w:type="page"/>
      </w:r>
    </w:p>
    <w:p w14:paraId="54C582AA" w14:textId="77777777" w:rsidR="00824A0B" w:rsidRDefault="00957F06" w:rsidP="003F628C">
      <w:pPr>
        <w:pStyle w:val="Heading3"/>
      </w:pPr>
      <w:r>
        <w:lastRenderedPageBreak/>
        <w:t>O</w:t>
      </w:r>
      <w:r w:rsidR="00824A0B" w:rsidRPr="00E826F3">
        <w:t>ccupations</w:t>
      </w:r>
    </w:p>
    <w:p w14:paraId="38329670" w14:textId="514A1E30" w:rsidR="00B26E46" w:rsidRDefault="00B26E46" w:rsidP="00B26E46">
      <w:pPr>
        <w:pStyle w:val="Bodytextjustified"/>
        <w:jc w:val="left"/>
      </w:pPr>
      <w:r>
        <w:t>Construction and mining labourers accounted for the highest proportion</w:t>
      </w:r>
      <w:r w:rsidRPr="00C44CD6">
        <w:t xml:space="preserve"> </w:t>
      </w:r>
      <w:r>
        <w:t xml:space="preserve">of worker fatalities (22 per cent or 27 fatalities over the four-year period), followed by </w:t>
      </w:r>
      <w:r w:rsidR="00C02FAD">
        <w:t>e</w:t>
      </w:r>
      <w:r>
        <w:t xml:space="preserve">lectricians (11 per cent or 14 fatalities), </w:t>
      </w:r>
      <w:r w:rsidR="00C02FAD">
        <w:t>b</w:t>
      </w:r>
      <w:r>
        <w:t xml:space="preserve">ricklayers, carpenters and joiners (8 per cent or 10 fatalities) and </w:t>
      </w:r>
      <w:r w:rsidR="00C02FAD">
        <w:t>m</w:t>
      </w:r>
      <w:r>
        <w:t>obile plant operators (8 per cent or 10 fatalities).</w:t>
      </w:r>
    </w:p>
    <w:p w14:paraId="07C228FF" w14:textId="71D86D4D" w:rsidR="00B26E46" w:rsidRDefault="00B26E46" w:rsidP="00B26E46">
      <w:pPr>
        <w:pStyle w:val="Bodytextjustified"/>
        <w:jc w:val="left"/>
      </w:pPr>
      <w:r>
        <w:t xml:space="preserve">In relation to serious claims, </w:t>
      </w:r>
      <w:r w:rsidR="00C02FAD">
        <w:t>c</w:t>
      </w:r>
      <w:r>
        <w:t xml:space="preserve">onstruction and mining labourers also accounted for the highest proportion of serious claims (17 per cent or an average of 2,195 claims per year), followed by </w:t>
      </w:r>
      <w:r w:rsidR="00C61872">
        <w:t>b</w:t>
      </w:r>
      <w:r>
        <w:t xml:space="preserve">ricklayers, carpenters and joiners (14 per cent or an average of 1,790 claims per year), and </w:t>
      </w:r>
      <w:r w:rsidR="00C61872">
        <w:t>m</w:t>
      </w:r>
      <w:r>
        <w:t>iscellaneous labourers (14 per cent or an average of 1,765 claims per year).</w:t>
      </w:r>
    </w:p>
    <w:p w14:paraId="3EAB7E1A" w14:textId="77777777" w:rsidR="00B16268" w:rsidRDefault="00DB54FA" w:rsidP="009A7E39">
      <w:pPr>
        <w:spacing w:line="288" w:lineRule="auto"/>
        <w:rPr>
          <w:rFonts w:ascii="Arial" w:hAnsi="Arial" w:cs="Arial"/>
          <w:sz w:val="22"/>
          <w:szCs w:val="22"/>
        </w:rPr>
      </w:pPr>
      <w:r>
        <w:rPr>
          <w:rFonts w:ascii="Arial" w:hAnsi="Arial" w:cs="Arial"/>
          <w:noProof/>
          <w:sz w:val="22"/>
          <w:szCs w:val="22"/>
        </w:rPr>
        <w:drawing>
          <wp:inline distT="0" distB="0" distL="0" distR="0" wp14:anchorId="4305AD69" wp14:editId="4BDA6518">
            <wp:extent cx="3201300" cy="1944000"/>
            <wp:effectExtent l="0" t="0" r="0" b="0"/>
            <wp:docPr id="15" name="Picture 15" descr="This chart presents the proportion of fatalities in the Construction industry by occupation.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1300" cy="1944000"/>
                    </a:xfrm>
                    <a:prstGeom prst="rect">
                      <a:avLst/>
                    </a:prstGeom>
                    <a:noFill/>
                  </pic:spPr>
                </pic:pic>
              </a:graphicData>
            </a:graphic>
          </wp:inline>
        </w:drawing>
      </w:r>
      <w:r w:rsidR="00F20CFB">
        <w:rPr>
          <w:rFonts w:ascii="Arial" w:hAnsi="Arial" w:cs="Arial"/>
          <w:sz w:val="22"/>
          <w:szCs w:val="22"/>
        </w:rPr>
        <w:t xml:space="preserve"> </w:t>
      </w:r>
      <w:r>
        <w:rPr>
          <w:rFonts w:ascii="Arial" w:hAnsi="Arial" w:cs="Arial"/>
          <w:noProof/>
          <w:sz w:val="22"/>
          <w:szCs w:val="22"/>
        </w:rPr>
        <w:drawing>
          <wp:inline distT="0" distB="0" distL="0" distR="0" wp14:anchorId="14651C4B" wp14:editId="05FB232B">
            <wp:extent cx="3197250" cy="1944000"/>
            <wp:effectExtent l="0" t="0" r="3175" b="0"/>
            <wp:docPr id="17" name="Picture 17" descr="This chart presents the proportion of workers’ compensation claims in the Construction industry by occupation.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97250" cy="1944000"/>
                    </a:xfrm>
                    <a:prstGeom prst="rect">
                      <a:avLst/>
                    </a:prstGeom>
                    <a:noFill/>
                  </pic:spPr>
                </pic:pic>
              </a:graphicData>
            </a:graphic>
          </wp:inline>
        </w:drawing>
      </w:r>
    </w:p>
    <w:p w14:paraId="54117F84" w14:textId="77777777" w:rsidR="007A6525" w:rsidRDefault="00EB0250" w:rsidP="003F628C">
      <w:pPr>
        <w:pStyle w:val="Heading2"/>
      </w:pPr>
      <w:r w:rsidRPr="00EB0250">
        <w:t>Key WHS issues in the industry</w:t>
      </w:r>
    </w:p>
    <w:p w14:paraId="3E55BD26" w14:textId="6F557087" w:rsidR="00B26E46" w:rsidRDefault="00B26E46" w:rsidP="00B26E46">
      <w:pPr>
        <w:spacing w:line="288" w:lineRule="auto"/>
        <w:rPr>
          <w:rFonts w:ascii="Arial" w:hAnsi="Arial" w:cs="Arial"/>
          <w:sz w:val="22"/>
          <w:szCs w:val="22"/>
        </w:rPr>
      </w:pPr>
      <w:r w:rsidRPr="00AE205C">
        <w:rPr>
          <w:rFonts w:ascii="Arial" w:hAnsi="Arial" w:cs="Arial"/>
          <w:sz w:val="22"/>
          <w:szCs w:val="22"/>
        </w:rPr>
        <w:t xml:space="preserve">Falls from a </w:t>
      </w:r>
      <w:r>
        <w:rPr>
          <w:rFonts w:ascii="Arial" w:hAnsi="Arial" w:cs="Arial"/>
          <w:sz w:val="22"/>
          <w:szCs w:val="22"/>
        </w:rPr>
        <w:t xml:space="preserve">height accounted for the largest proportion of fatalities (30 per cent) </w:t>
      </w:r>
      <w:r w:rsidR="00797DAF">
        <w:rPr>
          <w:rFonts w:ascii="Arial" w:hAnsi="Arial" w:cs="Arial"/>
          <w:sz w:val="22"/>
          <w:szCs w:val="22"/>
        </w:rPr>
        <w:t xml:space="preserve">within the construction industry, </w:t>
      </w:r>
      <w:r>
        <w:rPr>
          <w:rFonts w:ascii="Arial" w:hAnsi="Arial" w:cs="Arial"/>
          <w:sz w:val="22"/>
          <w:szCs w:val="22"/>
        </w:rPr>
        <w:t xml:space="preserve">followed by </w:t>
      </w:r>
      <w:proofErr w:type="gramStart"/>
      <w:r w:rsidR="00C61872">
        <w:rPr>
          <w:rFonts w:ascii="Arial" w:hAnsi="Arial" w:cs="Arial"/>
          <w:sz w:val="22"/>
          <w:szCs w:val="22"/>
        </w:rPr>
        <w:t>b</w:t>
      </w:r>
      <w:r>
        <w:rPr>
          <w:rFonts w:ascii="Arial" w:hAnsi="Arial" w:cs="Arial"/>
          <w:sz w:val="22"/>
          <w:szCs w:val="22"/>
        </w:rPr>
        <w:t>eing hit</w:t>
      </w:r>
      <w:proofErr w:type="gramEnd"/>
      <w:r>
        <w:rPr>
          <w:rFonts w:ascii="Arial" w:hAnsi="Arial" w:cs="Arial"/>
          <w:sz w:val="22"/>
          <w:szCs w:val="22"/>
        </w:rPr>
        <w:t xml:space="preserve"> by falling objects (15 per cent), and </w:t>
      </w:r>
      <w:r w:rsidR="00C61872">
        <w:rPr>
          <w:rFonts w:ascii="Arial" w:hAnsi="Arial" w:cs="Arial"/>
          <w:sz w:val="22"/>
          <w:szCs w:val="22"/>
        </w:rPr>
        <w:t>v</w:t>
      </w:r>
      <w:r>
        <w:rPr>
          <w:rFonts w:ascii="Arial" w:hAnsi="Arial" w:cs="Arial"/>
          <w:sz w:val="22"/>
          <w:szCs w:val="22"/>
        </w:rPr>
        <w:t xml:space="preserve">ehicle incidents (15 per cent). With regard to serious claims, the main cause of injuries was </w:t>
      </w:r>
      <w:r w:rsidR="00C61872">
        <w:rPr>
          <w:rFonts w:ascii="Arial" w:hAnsi="Arial" w:cs="Arial"/>
          <w:sz w:val="22"/>
          <w:szCs w:val="22"/>
        </w:rPr>
        <w:t>m</w:t>
      </w:r>
      <w:r>
        <w:rPr>
          <w:rFonts w:ascii="Arial" w:hAnsi="Arial" w:cs="Arial"/>
          <w:sz w:val="22"/>
          <w:szCs w:val="22"/>
        </w:rPr>
        <w:t xml:space="preserve">uscular stress from lifting, carrying or putting down objects (16 per cent of claims), followed by </w:t>
      </w:r>
      <w:r w:rsidR="00C61872">
        <w:rPr>
          <w:rFonts w:ascii="Arial" w:hAnsi="Arial" w:cs="Arial"/>
          <w:sz w:val="22"/>
          <w:szCs w:val="22"/>
        </w:rPr>
        <w:t>m</w:t>
      </w:r>
      <w:r>
        <w:rPr>
          <w:rFonts w:ascii="Arial" w:hAnsi="Arial" w:cs="Arial"/>
          <w:sz w:val="22"/>
          <w:szCs w:val="22"/>
        </w:rPr>
        <w:t xml:space="preserve">uscular stress while handling objects (14 per cent), and </w:t>
      </w:r>
      <w:r w:rsidR="00C61872">
        <w:rPr>
          <w:rFonts w:ascii="Arial" w:hAnsi="Arial" w:cs="Arial"/>
          <w:sz w:val="22"/>
          <w:szCs w:val="22"/>
        </w:rPr>
        <w:t>f</w:t>
      </w:r>
      <w:r>
        <w:rPr>
          <w:rFonts w:ascii="Arial" w:hAnsi="Arial" w:cs="Arial"/>
          <w:sz w:val="22"/>
          <w:szCs w:val="22"/>
        </w:rPr>
        <w:t>alls on the same level (13 per cent).</w:t>
      </w:r>
    </w:p>
    <w:p w14:paraId="73DCBE69" w14:textId="77777777" w:rsidR="00F1442F" w:rsidRDefault="00DB54FA" w:rsidP="00DB54FA">
      <w:pPr>
        <w:spacing w:line="288" w:lineRule="auto"/>
        <w:jc w:val="center"/>
        <w:rPr>
          <w:rFonts w:ascii="Arial" w:hAnsi="Arial" w:cs="Arial"/>
          <w:sz w:val="22"/>
          <w:szCs w:val="22"/>
        </w:rPr>
      </w:pPr>
      <w:r>
        <w:rPr>
          <w:rFonts w:ascii="Arial" w:hAnsi="Arial" w:cs="Arial"/>
          <w:noProof/>
          <w:sz w:val="22"/>
          <w:szCs w:val="22"/>
        </w:rPr>
        <w:drawing>
          <wp:inline distT="0" distB="0" distL="0" distR="0" wp14:anchorId="0E80EBC3" wp14:editId="02E141BB">
            <wp:extent cx="3197256" cy="2556000"/>
            <wp:effectExtent l="0" t="0" r="3175" b="0"/>
            <wp:docPr id="14" name="Picture 14" descr="This chart presents a proportionate breakdown of the main causes of fatalities in the Construction industry.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97256" cy="2556000"/>
                    </a:xfrm>
                    <a:prstGeom prst="rect">
                      <a:avLst/>
                    </a:prstGeom>
                    <a:noFill/>
                  </pic:spPr>
                </pic:pic>
              </a:graphicData>
            </a:graphic>
          </wp:inline>
        </w:drawing>
      </w:r>
      <w:r>
        <w:rPr>
          <w:rFonts w:ascii="Arial" w:hAnsi="Arial" w:cs="Arial"/>
          <w:noProof/>
          <w:sz w:val="22"/>
          <w:szCs w:val="22"/>
        </w:rPr>
        <w:t xml:space="preserve"> </w:t>
      </w:r>
      <w:r>
        <w:rPr>
          <w:rFonts w:ascii="Arial" w:hAnsi="Arial" w:cs="Arial"/>
          <w:noProof/>
          <w:sz w:val="22"/>
          <w:szCs w:val="22"/>
        </w:rPr>
        <w:drawing>
          <wp:inline distT="0" distB="0" distL="0" distR="0" wp14:anchorId="16A344A7" wp14:editId="108D8A79">
            <wp:extent cx="3201769" cy="2556000"/>
            <wp:effectExtent l="0" t="0" r="0" b="0"/>
            <wp:docPr id="16" name="Picture 16" descr="This chart presents a proportionate breakdown of the main causes of injuries resulting in serious workers’ compensation claims in the Construction industry. The above paragraphs present the chart key mess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1769" cy="2556000"/>
                    </a:xfrm>
                    <a:prstGeom prst="rect">
                      <a:avLst/>
                    </a:prstGeom>
                    <a:noFill/>
                  </pic:spPr>
                </pic:pic>
              </a:graphicData>
            </a:graphic>
          </wp:inline>
        </w:drawing>
      </w:r>
    </w:p>
    <w:p w14:paraId="1144CC2E" w14:textId="77777777" w:rsidR="00AC1848" w:rsidRDefault="00AC1848" w:rsidP="007679ED">
      <w:pPr>
        <w:spacing w:line="288" w:lineRule="auto"/>
        <w:rPr>
          <w:rFonts w:ascii="Arial" w:hAnsi="Arial" w:cs="Arial"/>
          <w:sz w:val="22"/>
          <w:szCs w:val="22"/>
        </w:rPr>
      </w:pPr>
    </w:p>
    <w:p w14:paraId="53E63326" w14:textId="4430D10D" w:rsidR="007679ED" w:rsidRDefault="007679ED" w:rsidP="007679ED">
      <w:pPr>
        <w:spacing w:line="288" w:lineRule="auto"/>
        <w:rPr>
          <w:rFonts w:ascii="Arial" w:hAnsi="Arial" w:cs="Arial"/>
          <w:sz w:val="22"/>
          <w:szCs w:val="22"/>
        </w:rPr>
      </w:pPr>
      <w:r>
        <w:rPr>
          <w:rFonts w:ascii="Arial" w:hAnsi="Arial" w:cs="Arial"/>
          <w:sz w:val="22"/>
          <w:szCs w:val="22"/>
        </w:rPr>
        <w:t>At the sub-industry level, falls from a height and muscular stress while lifting, carrying or putting down objects was the main cause of fatalities and injuries respectively in both building construction and construction services. By contrast, in the heavy and civil engineering construction sub-industry</w:t>
      </w:r>
      <w:r w:rsidR="00AC1848">
        <w:rPr>
          <w:rFonts w:ascii="Arial" w:hAnsi="Arial" w:cs="Arial"/>
          <w:sz w:val="22"/>
          <w:szCs w:val="22"/>
        </w:rPr>
        <w:t>,</w:t>
      </w:r>
      <w:r>
        <w:rPr>
          <w:rFonts w:ascii="Arial" w:hAnsi="Arial" w:cs="Arial"/>
          <w:sz w:val="22"/>
          <w:szCs w:val="22"/>
        </w:rPr>
        <w:t xml:space="preserve"> being hit by moving objects was the main cause of fatalities and muscular stress while handling objects was the main cause of injuries.</w:t>
      </w:r>
    </w:p>
    <w:p w14:paraId="7681B6F4" w14:textId="77777777" w:rsidR="002C4623" w:rsidRPr="00AE205C" w:rsidRDefault="002C4623" w:rsidP="00CD339A">
      <w:pPr>
        <w:spacing w:line="288" w:lineRule="auto"/>
        <w:rPr>
          <w:rFonts w:ascii="Arial" w:hAnsi="Arial" w:cs="Arial"/>
          <w:sz w:val="22"/>
          <w:szCs w:val="22"/>
        </w:rPr>
      </w:pPr>
    </w:p>
    <w:tbl>
      <w:tblPr>
        <w:tblStyle w:val="TableGrid"/>
        <w:tblW w:w="0" w:type="auto"/>
        <w:tblLook w:val="04A0" w:firstRow="1" w:lastRow="0" w:firstColumn="1" w:lastColumn="0" w:noHBand="0" w:noVBand="1"/>
        <w:tblDescription w:val="This table presents the main causes of fatalities and injuries resulting in workers’ serious compensation claims in the Construction industry by sub-industry. The above paragraph presents the table key messages."/>
      </w:tblPr>
      <w:tblGrid>
        <w:gridCol w:w="5099"/>
        <w:gridCol w:w="5097"/>
      </w:tblGrid>
      <w:tr w:rsidR="00F21980" w:rsidRPr="00F21980" w14:paraId="5AE03A47" w14:textId="77777777" w:rsidTr="00DB54FA">
        <w:trPr>
          <w:tblHeader/>
        </w:trPr>
        <w:tc>
          <w:tcPr>
            <w:tcW w:w="5141" w:type="dxa"/>
            <w:shd w:val="clear" w:color="auto" w:fill="C10A27"/>
          </w:tcPr>
          <w:p w14:paraId="6954B5BC" w14:textId="77777777" w:rsidR="00E10B88" w:rsidRPr="00F21980" w:rsidRDefault="00E10B88" w:rsidP="00E826F3">
            <w:pPr>
              <w:spacing w:line="288" w:lineRule="auto"/>
              <w:jc w:val="center"/>
              <w:rPr>
                <w:rFonts w:ascii="Arial" w:hAnsi="Arial" w:cs="Arial"/>
                <w:b/>
                <w:color w:val="FFFFFF" w:themeColor="background1"/>
                <w:sz w:val="22"/>
                <w:szCs w:val="22"/>
                <w:u w:val="single"/>
              </w:rPr>
            </w:pPr>
            <w:r w:rsidRPr="00F21980">
              <w:rPr>
                <w:rFonts w:ascii="Arial" w:hAnsi="Arial" w:cs="Arial"/>
                <w:b/>
                <w:color w:val="FFFFFF" w:themeColor="background1"/>
                <w:sz w:val="22"/>
                <w:szCs w:val="22"/>
                <w:u w:val="single"/>
              </w:rPr>
              <w:lastRenderedPageBreak/>
              <w:t>Main causes of fatalities</w:t>
            </w:r>
          </w:p>
        </w:tc>
        <w:tc>
          <w:tcPr>
            <w:tcW w:w="5140" w:type="dxa"/>
            <w:shd w:val="clear" w:color="auto" w:fill="C10A27"/>
          </w:tcPr>
          <w:p w14:paraId="71CCDA51" w14:textId="77777777" w:rsidR="00E10B88" w:rsidRPr="00F21980" w:rsidRDefault="00E10B88" w:rsidP="00E826F3">
            <w:pPr>
              <w:spacing w:line="288" w:lineRule="auto"/>
              <w:jc w:val="center"/>
              <w:rPr>
                <w:rFonts w:ascii="Arial" w:hAnsi="Arial" w:cs="Arial"/>
                <w:b/>
                <w:color w:val="FFFFFF" w:themeColor="background1"/>
                <w:sz w:val="22"/>
                <w:szCs w:val="22"/>
                <w:u w:val="single"/>
              </w:rPr>
            </w:pPr>
            <w:r w:rsidRPr="00F21980">
              <w:rPr>
                <w:rFonts w:ascii="Arial" w:hAnsi="Arial" w:cs="Arial"/>
                <w:b/>
                <w:color w:val="FFFFFF" w:themeColor="background1"/>
                <w:sz w:val="22"/>
                <w:szCs w:val="22"/>
                <w:u w:val="single"/>
              </w:rPr>
              <w:t>Main causes of injuries</w:t>
            </w:r>
          </w:p>
        </w:tc>
      </w:tr>
      <w:tr w:rsidR="00E826F3" w14:paraId="6607EEA7" w14:textId="77777777" w:rsidTr="003F628C">
        <w:trPr>
          <w:tblHeader/>
        </w:trPr>
        <w:tc>
          <w:tcPr>
            <w:tcW w:w="5141" w:type="dxa"/>
          </w:tcPr>
          <w:p w14:paraId="6728A283" w14:textId="77777777" w:rsidR="00E826F3" w:rsidRDefault="00E826F3" w:rsidP="00E826F3">
            <w:pPr>
              <w:spacing w:line="288" w:lineRule="auto"/>
              <w:rPr>
                <w:rFonts w:ascii="Arial" w:hAnsi="Arial" w:cs="Arial"/>
                <w:b/>
                <w:sz w:val="22"/>
                <w:szCs w:val="22"/>
              </w:rPr>
            </w:pPr>
            <w:r w:rsidRPr="00EB0250">
              <w:rPr>
                <w:rFonts w:ascii="Arial" w:hAnsi="Arial" w:cs="Arial"/>
                <w:b/>
                <w:sz w:val="22"/>
                <w:szCs w:val="22"/>
              </w:rPr>
              <w:t>Building construction</w:t>
            </w:r>
          </w:p>
          <w:p w14:paraId="1CEF6AF0" w14:textId="77777777" w:rsidR="00E826F3" w:rsidRDefault="001504AC" w:rsidP="0021585A">
            <w:pPr>
              <w:pStyle w:val="ListParagraph"/>
              <w:numPr>
                <w:ilvl w:val="0"/>
                <w:numId w:val="17"/>
              </w:numPr>
              <w:spacing w:line="288" w:lineRule="auto"/>
              <w:ind w:left="426"/>
              <w:rPr>
                <w:rFonts w:ascii="Arial" w:hAnsi="Arial" w:cs="Arial"/>
                <w:sz w:val="22"/>
                <w:szCs w:val="22"/>
              </w:rPr>
            </w:pPr>
            <w:r>
              <w:rPr>
                <w:rFonts w:ascii="Arial" w:hAnsi="Arial" w:cs="Arial"/>
                <w:sz w:val="22"/>
                <w:szCs w:val="22"/>
              </w:rPr>
              <w:t xml:space="preserve">Falls from a height </w:t>
            </w:r>
            <w:r w:rsidR="00E826F3">
              <w:rPr>
                <w:rFonts w:ascii="Arial" w:hAnsi="Arial" w:cs="Arial"/>
                <w:sz w:val="22"/>
                <w:szCs w:val="22"/>
              </w:rPr>
              <w:t xml:space="preserve">– </w:t>
            </w:r>
            <w:r w:rsidR="00F1442F">
              <w:rPr>
                <w:rFonts w:ascii="Arial" w:hAnsi="Arial" w:cs="Arial"/>
                <w:sz w:val="22"/>
                <w:szCs w:val="22"/>
              </w:rPr>
              <w:t>37</w:t>
            </w:r>
            <w:r w:rsidR="00E826F3">
              <w:rPr>
                <w:rFonts w:ascii="Arial" w:hAnsi="Arial" w:cs="Arial"/>
                <w:sz w:val="22"/>
                <w:szCs w:val="22"/>
              </w:rPr>
              <w:t>%</w:t>
            </w:r>
          </w:p>
          <w:p w14:paraId="27E62985" w14:textId="77777777" w:rsidR="00E826F3" w:rsidRDefault="001504AC" w:rsidP="0021585A">
            <w:pPr>
              <w:pStyle w:val="ListParagraph"/>
              <w:numPr>
                <w:ilvl w:val="0"/>
                <w:numId w:val="17"/>
              </w:numPr>
              <w:spacing w:line="288" w:lineRule="auto"/>
              <w:ind w:left="426"/>
              <w:rPr>
                <w:rFonts w:ascii="Arial" w:hAnsi="Arial" w:cs="Arial"/>
                <w:sz w:val="22"/>
                <w:szCs w:val="22"/>
              </w:rPr>
            </w:pPr>
            <w:r>
              <w:rPr>
                <w:rFonts w:ascii="Arial" w:hAnsi="Arial" w:cs="Arial"/>
                <w:sz w:val="22"/>
                <w:szCs w:val="22"/>
              </w:rPr>
              <w:t xml:space="preserve">Being hit by falling objects </w:t>
            </w:r>
            <w:r w:rsidR="00E826F3">
              <w:rPr>
                <w:rFonts w:ascii="Arial" w:hAnsi="Arial" w:cs="Arial"/>
                <w:sz w:val="22"/>
                <w:szCs w:val="22"/>
              </w:rPr>
              <w:t xml:space="preserve">– </w:t>
            </w:r>
            <w:r w:rsidR="00F1442F">
              <w:rPr>
                <w:rFonts w:ascii="Arial" w:hAnsi="Arial" w:cs="Arial"/>
                <w:sz w:val="22"/>
                <w:szCs w:val="22"/>
              </w:rPr>
              <w:t>27</w:t>
            </w:r>
            <w:r w:rsidR="00E826F3">
              <w:rPr>
                <w:rFonts w:ascii="Arial" w:hAnsi="Arial" w:cs="Arial"/>
                <w:sz w:val="22"/>
                <w:szCs w:val="22"/>
              </w:rPr>
              <w:t>%</w:t>
            </w:r>
          </w:p>
          <w:p w14:paraId="43D38CDD" w14:textId="77777777" w:rsidR="00E826F3" w:rsidRDefault="001504AC" w:rsidP="0021585A">
            <w:pPr>
              <w:pStyle w:val="ListParagraph"/>
              <w:numPr>
                <w:ilvl w:val="0"/>
                <w:numId w:val="17"/>
              </w:numPr>
              <w:spacing w:line="288" w:lineRule="auto"/>
              <w:ind w:left="426"/>
              <w:rPr>
                <w:rFonts w:ascii="Arial" w:hAnsi="Arial" w:cs="Arial"/>
                <w:sz w:val="22"/>
                <w:szCs w:val="22"/>
              </w:rPr>
            </w:pPr>
            <w:r>
              <w:rPr>
                <w:rFonts w:ascii="Arial" w:hAnsi="Arial" w:cs="Arial"/>
                <w:sz w:val="22"/>
                <w:szCs w:val="22"/>
              </w:rPr>
              <w:t xml:space="preserve">Vehicle incident </w:t>
            </w:r>
            <w:r w:rsidR="00E826F3">
              <w:rPr>
                <w:rFonts w:ascii="Arial" w:hAnsi="Arial" w:cs="Arial"/>
                <w:sz w:val="22"/>
                <w:szCs w:val="22"/>
              </w:rPr>
              <w:t>–</w:t>
            </w:r>
            <w:r w:rsidR="00F1442F">
              <w:rPr>
                <w:rFonts w:ascii="Arial" w:hAnsi="Arial" w:cs="Arial"/>
                <w:sz w:val="22"/>
                <w:szCs w:val="22"/>
              </w:rPr>
              <w:t xml:space="preserve"> 10</w:t>
            </w:r>
            <w:r w:rsidR="00E826F3">
              <w:rPr>
                <w:rFonts w:ascii="Arial" w:hAnsi="Arial" w:cs="Arial"/>
                <w:sz w:val="22"/>
                <w:szCs w:val="22"/>
              </w:rPr>
              <w:t>%</w:t>
            </w:r>
          </w:p>
          <w:p w14:paraId="25CFC0F2" w14:textId="77777777" w:rsidR="00E826F3" w:rsidRPr="0021585A" w:rsidRDefault="00F1442F" w:rsidP="0021585A">
            <w:pPr>
              <w:pStyle w:val="ListParagraph"/>
              <w:numPr>
                <w:ilvl w:val="0"/>
                <w:numId w:val="17"/>
              </w:numPr>
              <w:spacing w:line="288" w:lineRule="auto"/>
              <w:ind w:left="426"/>
              <w:rPr>
                <w:rFonts w:ascii="Arial" w:hAnsi="Arial" w:cs="Arial"/>
                <w:sz w:val="22"/>
                <w:szCs w:val="22"/>
              </w:rPr>
            </w:pPr>
            <w:r>
              <w:rPr>
                <w:rFonts w:ascii="Arial" w:hAnsi="Arial" w:cs="Arial"/>
                <w:sz w:val="22"/>
                <w:szCs w:val="22"/>
              </w:rPr>
              <w:t>Being hit by moving objects – 10%</w:t>
            </w:r>
          </w:p>
        </w:tc>
        <w:tc>
          <w:tcPr>
            <w:tcW w:w="5140" w:type="dxa"/>
          </w:tcPr>
          <w:p w14:paraId="2E29C268" w14:textId="77777777" w:rsidR="00E826F3" w:rsidRDefault="00E826F3" w:rsidP="00E826F3">
            <w:pPr>
              <w:spacing w:line="288" w:lineRule="auto"/>
              <w:rPr>
                <w:rFonts w:ascii="Arial" w:hAnsi="Arial" w:cs="Arial"/>
                <w:b/>
                <w:sz w:val="22"/>
                <w:szCs w:val="22"/>
              </w:rPr>
            </w:pPr>
            <w:r w:rsidRPr="00EB0250">
              <w:rPr>
                <w:rFonts w:ascii="Arial" w:hAnsi="Arial" w:cs="Arial"/>
                <w:b/>
                <w:sz w:val="22"/>
                <w:szCs w:val="22"/>
              </w:rPr>
              <w:t>Building construction</w:t>
            </w:r>
          </w:p>
          <w:p w14:paraId="1313D5FE" w14:textId="77777777" w:rsidR="00E826F3" w:rsidRDefault="001504AC" w:rsidP="0021585A">
            <w:pPr>
              <w:pStyle w:val="ListParagraph"/>
              <w:numPr>
                <w:ilvl w:val="0"/>
                <w:numId w:val="17"/>
              </w:numPr>
              <w:spacing w:line="288" w:lineRule="auto"/>
              <w:ind w:left="426"/>
              <w:rPr>
                <w:rFonts w:ascii="Arial" w:hAnsi="Arial" w:cs="Arial"/>
                <w:sz w:val="22"/>
                <w:szCs w:val="22"/>
              </w:rPr>
            </w:pPr>
            <w:r>
              <w:rPr>
                <w:rFonts w:ascii="Arial" w:hAnsi="Arial" w:cs="Arial"/>
                <w:sz w:val="22"/>
                <w:szCs w:val="22"/>
              </w:rPr>
              <w:t>Muscular stress while lifting, carrying or putting down objects</w:t>
            </w:r>
            <w:r w:rsidR="00E826F3">
              <w:rPr>
                <w:rFonts w:ascii="Arial" w:hAnsi="Arial" w:cs="Arial"/>
                <w:sz w:val="22"/>
                <w:szCs w:val="22"/>
              </w:rPr>
              <w:t xml:space="preserve"> – </w:t>
            </w:r>
            <w:r w:rsidR="0021585A">
              <w:rPr>
                <w:rFonts w:ascii="Arial" w:hAnsi="Arial" w:cs="Arial"/>
                <w:sz w:val="22"/>
                <w:szCs w:val="22"/>
              </w:rPr>
              <w:t>16</w:t>
            </w:r>
            <w:r w:rsidR="00E826F3">
              <w:rPr>
                <w:rFonts w:ascii="Arial" w:hAnsi="Arial" w:cs="Arial"/>
                <w:sz w:val="22"/>
                <w:szCs w:val="22"/>
              </w:rPr>
              <w:t>%</w:t>
            </w:r>
          </w:p>
          <w:p w14:paraId="7B052C50" w14:textId="77777777" w:rsidR="00E826F3" w:rsidRDefault="001504AC" w:rsidP="0021585A">
            <w:pPr>
              <w:pStyle w:val="ListParagraph"/>
              <w:numPr>
                <w:ilvl w:val="0"/>
                <w:numId w:val="17"/>
              </w:numPr>
              <w:spacing w:line="288" w:lineRule="auto"/>
              <w:ind w:left="426"/>
              <w:rPr>
                <w:rFonts w:ascii="Arial" w:hAnsi="Arial" w:cs="Arial"/>
                <w:sz w:val="22"/>
                <w:szCs w:val="22"/>
              </w:rPr>
            </w:pPr>
            <w:r>
              <w:rPr>
                <w:rFonts w:ascii="Arial" w:hAnsi="Arial" w:cs="Arial"/>
                <w:sz w:val="22"/>
                <w:szCs w:val="22"/>
              </w:rPr>
              <w:t>Falls on the same level</w:t>
            </w:r>
            <w:r w:rsidR="00E826F3">
              <w:rPr>
                <w:rFonts w:ascii="Arial" w:hAnsi="Arial" w:cs="Arial"/>
                <w:sz w:val="22"/>
                <w:szCs w:val="22"/>
              </w:rPr>
              <w:t xml:space="preserve"> – </w:t>
            </w:r>
            <w:r>
              <w:rPr>
                <w:rFonts w:ascii="Arial" w:hAnsi="Arial" w:cs="Arial"/>
                <w:sz w:val="22"/>
                <w:szCs w:val="22"/>
              </w:rPr>
              <w:t>13</w:t>
            </w:r>
            <w:r w:rsidR="00E826F3">
              <w:rPr>
                <w:rFonts w:ascii="Arial" w:hAnsi="Arial" w:cs="Arial"/>
                <w:sz w:val="22"/>
                <w:szCs w:val="22"/>
              </w:rPr>
              <w:t>%</w:t>
            </w:r>
          </w:p>
          <w:p w14:paraId="1081FE5D" w14:textId="77777777" w:rsidR="0021585A" w:rsidRPr="0021585A" w:rsidRDefault="001504AC" w:rsidP="0021585A">
            <w:pPr>
              <w:pStyle w:val="ListParagraph"/>
              <w:numPr>
                <w:ilvl w:val="0"/>
                <w:numId w:val="17"/>
              </w:numPr>
              <w:spacing w:line="288" w:lineRule="auto"/>
              <w:ind w:left="426"/>
              <w:rPr>
                <w:rFonts w:ascii="Arial" w:hAnsi="Arial" w:cs="Arial"/>
                <w:sz w:val="22"/>
                <w:szCs w:val="22"/>
              </w:rPr>
            </w:pPr>
            <w:r>
              <w:rPr>
                <w:rFonts w:ascii="Arial" w:hAnsi="Arial" w:cs="Arial"/>
                <w:sz w:val="22"/>
                <w:szCs w:val="22"/>
              </w:rPr>
              <w:t xml:space="preserve">Fall from a height </w:t>
            </w:r>
            <w:r w:rsidR="00E826F3">
              <w:rPr>
                <w:rFonts w:ascii="Arial" w:hAnsi="Arial" w:cs="Arial"/>
                <w:sz w:val="22"/>
                <w:szCs w:val="22"/>
              </w:rPr>
              <w:t xml:space="preserve">– </w:t>
            </w:r>
            <w:r>
              <w:rPr>
                <w:rFonts w:ascii="Arial" w:hAnsi="Arial" w:cs="Arial"/>
                <w:sz w:val="22"/>
                <w:szCs w:val="22"/>
              </w:rPr>
              <w:t>12</w:t>
            </w:r>
            <w:r w:rsidR="00E826F3">
              <w:rPr>
                <w:rFonts w:ascii="Arial" w:hAnsi="Arial" w:cs="Arial"/>
                <w:sz w:val="22"/>
                <w:szCs w:val="22"/>
              </w:rPr>
              <w:t>%</w:t>
            </w:r>
          </w:p>
        </w:tc>
      </w:tr>
      <w:tr w:rsidR="0021585A" w14:paraId="238598C3" w14:textId="77777777" w:rsidTr="003F628C">
        <w:trPr>
          <w:tblHeader/>
        </w:trPr>
        <w:tc>
          <w:tcPr>
            <w:tcW w:w="5141" w:type="dxa"/>
          </w:tcPr>
          <w:p w14:paraId="595B77B3" w14:textId="77777777" w:rsidR="0021585A" w:rsidRDefault="0021585A" w:rsidP="0021585A">
            <w:pPr>
              <w:spacing w:line="288" w:lineRule="auto"/>
              <w:rPr>
                <w:rFonts w:ascii="Arial" w:hAnsi="Arial" w:cs="Arial"/>
                <w:b/>
                <w:sz w:val="22"/>
                <w:szCs w:val="22"/>
              </w:rPr>
            </w:pPr>
            <w:r>
              <w:rPr>
                <w:rFonts w:ascii="Arial" w:hAnsi="Arial" w:cs="Arial"/>
                <w:b/>
                <w:sz w:val="22"/>
                <w:szCs w:val="22"/>
              </w:rPr>
              <w:t>Construction services</w:t>
            </w:r>
          </w:p>
          <w:p w14:paraId="250BF19C" w14:textId="77777777" w:rsidR="0021585A" w:rsidRDefault="0021585A" w:rsidP="0021585A">
            <w:pPr>
              <w:pStyle w:val="ListParagraph"/>
              <w:numPr>
                <w:ilvl w:val="0"/>
                <w:numId w:val="17"/>
              </w:numPr>
              <w:spacing w:line="288" w:lineRule="auto"/>
              <w:ind w:left="426"/>
              <w:rPr>
                <w:rFonts w:ascii="Arial" w:hAnsi="Arial" w:cs="Arial"/>
                <w:sz w:val="22"/>
                <w:szCs w:val="22"/>
              </w:rPr>
            </w:pPr>
            <w:r>
              <w:rPr>
                <w:rFonts w:ascii="Arial" w:hAnsi="Arial" w:cs="Arial"/>
                <w:sz w:val="22"/>
                <w:szCs w:val="22"/>
              </w:rPr>
              <w:t>Falls from a height – 33%</w:t>
            </w:r>
          </w:p>
          <w:p w14:paraId="5640B082" w14:textId="77777777" w:rsidR="0021585A" w:rsidRDefault="0021585A" w:rsidP="0021585A">
            <w:pPr>
              <w:pStyle w:val="ListParagraph"/>
              <w:numPr>
                <w:ilvl w:val="0"/>
                <w:numId w:val="17"/>
              </w:numPr>
              <w:spacing w:line="288" w:lineRule="auto"/>
              <w:ind w:left="426"/>
              <w:rPr>
                <w:rFonts w:ascii="Arial" w:hAnsi="Arial" w:cs="Arial"/>
                <w:sz w:val="22"/>
                <w:szCs w:val="22"/>
              </w:rPr>
            </w:pPr>
            <w:r>
              <w:rPr>
                <w:rFonts w:ascii="Arial" w:hAnsi="Arial" w:cs="Arial"/>
                <w:sz w:val="22"/>
                <w:szCs w:val="22"/>
              </w:rPr>
              <w:t>Vehicle incident – 14%</w:t>
            </w:r>
          </w:p>
          <w:p w14:paraId="0AC045F8" w14:textId="77777777" w:rsidR="0021585A" w:rsidRDefault="0021585A" w:rsidP="0021585A">
            <w:pPr>
              <w:pStyle w:val="ListParagraph"/>
              <w:numPr>
                <w:ilvl w:val="0"/>
                <w:numId w:val="17"/>
              </w:numPr>
              <w:spacing w:line="288" w:lineRule="auto"/>
              <w:ind w:left="426"/>
              <w:rPr>
                <w:rFonts w:ascii="Arial" w:hAnsi="Arial" w:cs="Arial"/>
                <w:sz w:val="22"/>
                <w:szCs w:val="22"/>
              </w:rPr>
            </w:pPr>
            <w:r>
              <w:rPr>
                <w:rFonts w:ascii="Arial" w:hAnsi="Arial" w:cs="Arial"/>
                <w:sz w:val="22"/>
                <w:szCs w:val="22"/>
              </w:rPr>
              <w:t>Being hit by falling objects – 12%</w:t>
            </w:r>
          </w:p>
          <w:p w14:paraId="0D48ED4D" w14:textId="77777777" w:rsidR="0021585A" w:rsidRPr="0021585A" w:rsidRDefault="0021585A" w:rsidP="0021585A">
            <w:pPr>
              <w:pStyle w:val="ListParagraph"/>
              <w:numPr>
                <w:ilvl w:val="0"/>
                <w:numId w:val="17"/>
              </w:numPr>
              <w:spacing w:line="288" w:lineRule="auto"/>
              <w:ind w:left="426"/>
              <w:rPr>
                <w:rFonts w:ascii="Arial" w:hAnsi="Arial" w:cs="Arial"/>
                <w:sz w:val="22"/>
                <w:szCs w:val="22"/>
              </w:rPr>
            </w:pPr>
            <w:r>
              <w:rPr>
                <w:rFonts w:ascii="Arial" w:hAnsi="Arial" w:cs="Arial"/>
                <w:sz w:val="22"/>
                <w:szCs w:val="22"/>
              </w:rPr>
              <w:t>Contact with electricity – 12%</w:t>
            </w:r>
          </w:p>
        </w:tc>
        <w:tc>
          <w:tcPr>
            <w:tcW w:w="5140" w:type="dxa"/>
          </w:tcPr>
          <w:p w14:paraId="41C44AE9" w14:textId="77777777" w:rsidR="0021585A" w:rsidRDefault="0021585A" w:rsidP="0021585A">
            <w:pPr>
              <w:spacing w:line="288" w:lineRule="auto"/>
              <w:rPr>
                <w:rFonts w:ascii="Arial" w:hAnsi="Arial" w:cs="Arial"/>
                <w:b/>
                <w:sz w:val="22"/>
                <w:szCs w:val="22"/>
              </w:rPr>
            </w:pPr>
            <w:r>
              <w:rPr>
                <w:rFonts w:ascii="Arial" w:hAnsi="Arial" w:cs="Arial"/>
                <w:b/>
                <w:sz w:val="22"/>
                <w:szCs w:val="22"/>
              </w:rPr>
              <w:t>Construction services</w:t>
            </w:r>
          </w:p>
          <w:p w14:paraId="227A9F5E" w14:textId="77777777" w:rsidR="0021585A" w:rsidRDefault="0021585A" w:rsidP="0021585A">
            <w:pPr>
              <w:pStyle w:val="ListParagraph"/>
              <w:numPr>
                <w:ilvl w:val="0"/>
                <w:numId w:val="17"/>
              </w:numPr>
              <w:spacing w:line="288" w:lineRule="auto"/>
              <w:ind w:left="426"/>
              <w:rPr>
                <w:rFonts w:ascii="Arial" w:hAnsi="Arial" w:cs="Arial"/>
                <w:sz w:val="22"/>
                <w:szCs w:val="22"/>
              </w:rPr>
            </w:pPr>
            <w:r>
              <w:rPr>
                <w:rFonts w:ascii="Arial" w:hAnsi="Arial" w:cs="Arial"/>
                <w:sz w:val="22"/>
                <w:szCs w:val="22"/>
              </w:rPr>
              <w:t>Muscular stress while lifting, carrying or putting down objects – 16%</w:t>
            </w:r>
          </w:p>
          <w:p w14:paraId="5540A101" w14:textId="77777777" w:rsidR="0021585A" w:rsidRDefault="0021585A" w:rsidP="0021585A">
            <w:pPr>
              <w:pStyle w:val="ListParagraph"/>
              <w:numPr>
                <w:ilvl w:val="0"/>
                <w:numId w:val="17"/>
              </w:numPr>
              <w:spacing w:line="288" w:lineRule="auto"/>
              <w:ind w:left="426"/>
              <w:rPr>
                <w:rFonts w:ascii="Arial" w:hAnsi="Arial" w:cs="Arial"/>
                <w:sz w:val="22"/>
                <w:szCs w:val="22"/>
              </w:rPr>
            </w:pPr>
            <w:r>
              <w:rPr>
                <w:rFonts w:ascii="Arial" w:hAnsi="Arial" w:cs="Arial"/>
                <w:sz w:val="22"/>
                <w:szCs w:val="22"/>
              </w:rPr>
              <w:t>Muscular stress while handling objects – 14%</w:t>
            </w:r>
          </w:p>
          <w:p w14:paraId="2B6D849F" w14:textId="77777777" w:rsidR="0021585A" w:rsidRPr="0021585A" w:rsidRDefault="0021585A" w:rsidP="0021585A">
            <w:pPr>
              <w:pStyle w:val="ListParagraph"/>
              <w:numPr>
                <w:ilvl w:val="0"/>
                <w:numId w:val="17"/>
              </w:numPr>
              <w:spacing w:line="288" w:lineRule="auto"/>
              <w:ind w:left="426"/>
              <w:rPr>
                <w:rFonts w:ascii="Arial" w:hAnsi="Arial" w:cs="Arial"/>
                <w:sz w:val="22"/>
                <w:szCs w:val="22"/>
              </w:rPr>
            </w:pPr>
            <w:r>
              <w:rPr>
                <w:rFonts w:ascii="Arial" w:hAnsi="Arial" w:cs="Arial"/>
                <w:sz w:val="22"/>
                <w:szCs w:val="22"/>
              </w:rPr>
              <w:t>Falls on the same level – 13%</w:t>
            </w:r>
          </w:p>
        </w:tc>
      </w:tr>
      <w:tr w:rsidR="0021585A" w14:paraId="3465D6AA" w14:textId="77777777" w:rsidTr="003F628C">
        <w:trPr>
          <w:tblHeader/>
        </w:trPr>
        <w:tc>
          <w:tcPr>
            <w:tcW w:w="5141" w:type="dxa"/>
          </w:tcPr>
          <w:p w14:paraId="574231E0" w14:textId="77777777" w:rsidR="0021585A" w:rsidRPr="00EB0250" w:rsidRDefault="0021585A" w:rsidP="0021585A">
            <w:pPr>
              <w:spacing w:line="288" w:lineRule="auto"/>
              <w:rPr>
                <w:rFonts w:ascii="Arial" w:hAnsi="Arial" w:cs="Arial"/>
                <w:b/>
                <w:sz w:val="22"/>
                <w:szCs w:val="22"/>
              </w:rPr>
            </w:pPr>
            <w:r>
              <w:rPr>
                <w:rFonts w:ascii="Arial" w:hAnsi="Arial" w:cs="Arial"/>
                <w:b/>
                <w:sz w:val="22"/>
                <w:szCs w:val="22"/>
              </w:rPr>
              <w:t>Heavy and civil engineering construction</w:t>
            </w:r>
          </w:p>
          <w:p w14:paraId="218051B1" w14:textId="77777777" w:rsidR="0021585A" w:rsidRDefault="0021585A" w:rsidP="0021585A">
            <w:pPr>
              <w:pStyle w:val="ListParagraph"/>
              <w:numPr>
                <w:ilvl w:val="0"/>
                <w:numId w:val="17"/>
              </w:numPr>
              <w:spacing w:line="288" w:lineRule="auto"/>
              <w:ind w:left="426"/>
              <w:rPr>
                <w:rFonts w:ascii="Arial" w:hAnsi="Arial" w:cs="Arial"/>
                <w:sz w:val="22"/>
                <w:szCs w:val="22"/>
              </w:rPr>
            </w:pPr>
            <w:r>
              <w:rPr>
                <w:rFonts w:ascii="Arial" w:hAnsi="Arial" w:cs="Arial"/>
                <w:sz w:val="22"/>
                <w:szCs w:val="22"/>
              </w:rPr>
              <w:t>Being hit by moving objects – 35%</w:t>
            </w:r>
          </w:p>
          <w:p w14:paraId="52CABBAE" w14:textId="77777777" w:rsidR="0021585A" w:rsidRDefault="0021585A" w:rsidP="0021585A">
            <w:pPr>
              <w:pStyle w:val="ListParagraph"/>
              <w:numPr>
                <w:ilvl w:val="0"/>
                <w:numId w:val="17"/>
              </w:numPr>
              <w:spacing w:line="288" w:lineRule="auto"/>
              <w:ind w:left="426"/>
              <w:rPr>
                <w:rFonts w:ascii="Arial" w:hAnsi="Arial" w:cs="Arial"/>
                <w:sz w:val="22"/>
                <w:szCs w:val="22"/>
              </w:rPr>
            </w:pPr>
            <w:r>
              <w:rPr>
                <w:rFonts w:ascii="Arial" w:hAnsi="Arial" w:cs="Arial"/>
                <w:sz w:val="22"/>
                <w:szCs w:val="22"/>
              </w:rPr>
              <w:t>Vehicle incident – 24%</w:t>
            </w:r>
          </w:p>
          <w:p w14:paraId="468EEDE2" w14:textId="77777777" w:rsidR="0021585A" w:rsidRDefault="0021585A" w:rsidP="0021585A">
            <w:pPr>
              <w:pStyle w:val="ListParagraph"/>
              <w:numPr>
                <w:ilvl w:val="0"/>
                <w:numId w:val="17"/>
              </w:numPr>
              <w:spacing w:line="288" w:lineRule="auto"/>
              <w:ind w:left="426"/>
              <w:rPr>
                <w:rFonts w:ascii="Arial" w:hAnsi="Arial" w:cs="Arial"/>
                <w:b/>
                <w:sz w:val="22"/>
                <w:szCs w:val="22"/>
              </w:rPr>
            </w:pPr>
            <w:r>
              <w:rPr>
                <w:rFonts w:ascii="Arial" w:hAnsi="Arial" w:cs="Arial"/>
                <w:sz w:val="22"/>
                <w:szCs w:val="22"/>
              </w:rPr>
              <w:t>Being trapped between stationary and moving objects – 12%</w:t>
            </w:r>
          </w:p>
        </w:tc>
        <w:tc>
          <w:tcPr>
            <w:tcW w:w="5140" w:type="dxa"/>
          </w:tcPr>
          <w:p w14:paraId="7448D19D" w14:textId="77777777" w:rsidR="0021585A" w:rsidRPr="00EB0250" w:rsidRDefault="0021585A" w:rsidP="0021585A">
            <w:pPr>
              <w:spacing w:line="288" w:lineRule="auto"/>
              <w:rPr>
                <w:rFonts w:ascii="Arial" w:hAnsi="Arial" w:cs="Arial"/>
                <w:b/>
                <w:sz w:val="22"/>
                <w:szCs w:val="22"/>
              </w:rPr>
            </w:pPr>
            <w:r>
              <w:rPr>
                <w:rFonts w:ascii="Arial" w:hAnsi="Arial" w:cs="Arial"/>
                <w:b/>
                <w:sz w:val="22"/>
                <w:szCs w:val="22"/>
              </w:rPr>
              <w:t>Heavy and civil engineering construction</w:t>
            </w:r>
          </w:p>
          <w:p w14:paraId="289E5E0F" w14:textId="77777777" w:rsidR="0021585A" w:rsidRDefault="0021585A" w:rsidP="0021585A">
            <w:pPr>
              <w:pStyle w:val="ListParagraph"/>
              <w:numPr>
                <w:ilvl w:val="0"/>
                <w:numId w:val="17"/>
              </w:numPr>
              <w:spacing w:line="288" w:lineRule="auto"/>
              <w:ind w:left="426"/>
              <w:rPr>
                <w:rFonts w:ascii="Arial" w:hAnsi="Arial" w:cs="Arial"/>
                <w:sz w:val="22"/>
                <w:szCs w:val="22"/>
              </w:rPr>
            </w:pPr>
            <w:r>
              <w:rPr>
                <w:rFonts w:ascii="Arial" w:hAnsi="Arial" w:cs="Arial"/>
                <w:sz w:val="22"/>
                <w:szCs w:val="22"/>
              </w:rPr>
              <w:t xml:space="preserve">Muscular stress while handling objects – </w:t>
            </w:r>
            <w:r w:rsidR="00010FCA">
              <w:rPr>
                <w:rFonts w:ascii="Arial" w:hAnsi="Arial" w:cs="Arial"/>
                <w:sz w:val="22"/>
                <w:szCs w:val="22"/>
              </w:rPr>
              <w:t>18</w:t>
            </w:r>
            <w:r>
              <w:rPr>
                <w:rFonts w:ascii="Arial" w:hAnsi="Arial" w:cs="Arial"/>
                <w:sz w:val="22"/>
                <w:szCs w:val="22"/>
              </w:rPr>
              <w:t>%</w:t>
            </w:r>
          </w:p>
          <w:p w14:paraId="5E8B4030" w14:textId="77777777" w:rsidR="0021585A" w:rsidRDefault="0021585A" w:rsidP="0021585A">
            <w:pPr>
              <w:pStyle w:val="ListParagraph"/>
              <w:numPr>
                <w:ilvl w:val="0"/>
                <w:numId w:val="17"/>
              </w:numPr>
              <w:spacing w:line="288" w:lineRule="auto"/>
              <w:ind w:left="426"/>
              <w:rPr>
                <w:rFonts w:ascii="Arial" w:hAnsi="Arial" w:cs="Arial"/>
                <w:sz w:val="22"/>
                <w:szCs w:val="22"/>
              </w:rPr>
            </w:pPr>
            <w:r>
              <w:rPr>
                <w:rFonts w:ascii="Arial" w:hAnsi="Arial" w:cs="Arial"/>
                <w:sz w:val="22"/>
                <w:szCs w:val="22"/>
              </w:rPr>
              <w:t>Falls on the same level – 15%</w:t>
            </w:r>
          </w:p>
          <w:p w14:paraId="1F2A4A01" w14:textId="77777777" w:rsidR="0021585A" w:rsidRPr="00010FCA" w:rsidRDefault="00010FCA" w:rsidP="00010FCA">
            <w:pPr>
              <w:pStyle w:val="ListParagraph"/>
              <w:numPr>
                <w:ilvl w:val="0"/>
                <w:numId w:val="17"/>
              </w:numPr>
              <w:spacing w:line="288" w:lineRule="auto"/>
              <w:ind w:left="426"/>
              <w:rPr>
                <w:rFonts w:ascii="Arial" w:hAnsi="Arial" w:cs="Arial"/>
                <w:sz w:val="22"/>
                <w:szCs w:val="22"/>
              </w:rPr>
            </w:pPr>
            <w:r>
              <w:rPr>
                <w:rFonts w:ascii="Arial" w:hAnsi="Arial" w:cs="Arial"/>
                <w:sz w:val="22"/>
                <w:szCs w:val="22"/>
              </w:rPr>
              <w:t>Muscular stress while lifting, carrying or putting down objects – 14%</w:t>
            </w:r>
          </w:p>
        </w:tc>
      </w:tr>
    </w:tbl>
    <w:p w14:paraId="41E90A7B" w14:textId="77777777" w:rsidR="00B329A2" w:rsidRPr="00B329A2" w:rsidRDefault="00B329A2" w:rsidP="00E03405">
      <w:pPr>
        <w:spacing w:before="360" w:line="288" w:lineRule="auto"/>
        <w:rPr>
          <w:rFonts w:ascii="Arial" w:hAnsi="Arial" w:cs="Arial"/>
          <w:b/>
          <w:color w:val="AF1E2D"/>
          <w:sz w:val="32"/>
          <w:szCs w:val="22"/>
        </w:rPr>
      </w:pPr>
    </w:p>
    <w:sectPr w:rsidR="00B329A2" w:rsidRPr="00B329A2" w:rsidSect="00DF30CB">
      <w:footerReference w:type="default" r:id="rId21"/>
      <w:footerReference w:type="first" r:id="rId22"/>
      <w:pgSz w:w="11906" w:h="16838" w:code="9"/>
      <w:pgMar w:top="568" w:right="707" w:bottom="1135" w:left="993"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3E619" w14:textId="77777777" w:rsidR="00C26809" w:rsidRDefault="00C26809" w:rsidP="00046BC1">
      <w:pPr>
        <w:spacing w:before="0" w:after="0"/>
      </w:pPr>
      <w:r>
        <w:separator/>
      </w:r>
    </w:p>
  </w:endnote>
  <w:endnote w:type="continuationSeparator" w:id="0">
    <w:p w14:paraId="32D1696C" w14:textId="77777777" w:rsidR="00C26809" w:rsidRDefault="00C26809" w:rsidP="00046B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F6BE7" w14:textId="77777777" w:rsidR="00C26809" w:rsidRDefault="00C26809">
    <w:pPr>
      <w:pStyle w:val="Footer"/>
      <w:jc w:val="right"/>
    </w:pPr>
  </w:p>
  <w:p w14:paraId="78D7060B" w14:textId="5C5E97AA" w:rsidR="00C26809" w:rsidRPr="00902E00" w:rsidRDefault="001E0584" w:rsidP="00902E00">
    <w:pPr>
      <w:pStyle w:val="Footer"/>
      <w:pBdr>
        <w:top w:val="single" w:sz="6" w:space="1" w:color="C10A27"/>
      </w:pBdr>
      <w:jc w:val="right"/>
      <w:rPr>
        <w:rFonts w:ascii="Arial" w:hAnsi="Arial" w:cs="Arial"/>
      </w:rPr>
    </w:pPr>
    <w:sdt>
      <w:sdtPr>
        <w:id w:val="-1687290285"/>
        <w:docPartObj>
          <w:docPartGallery w:val="Page Numbers (Bottom of Page)"/>
          <w:docPartUnique/>
        </w:docPartObj>
      </w:sdtPr>
      <w:sdtEndPr>
        <w:rPr>
          <w:rFonts w:ascii="Arial" w:hAnsi="Arial" w:cs="Arial"/>
          <w:noProof/>
        </w:rPr>
      </w:sdtEndPr>
      <w:sdtContent>
        <w:r w:rsidR="00C26809" w:rsidRPr="00902E00">
          <w:rPr>
            <w:rFonts w:ascii="Arial" w:hAnsi="Arial" w:cs="Arial"/>
          </w:rPr>
          <w:fldChar w:fldCharType="begin"/>
        </w:r>
        <w:r w:rsidR="00C26809" w:rsidRPr="00902E00">
          <w:rPr>
            <w:rFonts w:ascii="Arial" w:hAnsi="Arial" w:cs="Arial"/>
          </w:rPr>
          <w:instrText xml:space="preserve"> PAGE   \* MERGEFORMAT </w:instrText>
        </w:r>
        <w:r w:rsidR="00C26809" w:rsidRPr="00902E00">
          <w:rPr>
            <w:rFonts w:ascii="Arial" w:hAnsi="Arial" w:cs="Arial"/>
          </w:rPr>
          <w:fldChar w:fldCharType="separate"/>
        </w:r>
        <w:r>
          <w:rPr>
            <w:rFonts w:ascii="Arial" w:hAnsi="Arial" w:cs="Arial"/>
            <w:noProof/>
          </w:rPr>
          <w:t>2</w:t>
        </w:r>
        <w:r w:rsidR="00C26809" w:rsidRPr="00902E00">
          <w:rPr>
            <w:rFonts w:ascii="Arial" w:hAnsi="Arial" w:cs="Arial"/>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463D" w14:textId="3FE2D124" w:rsidR="00902E00" w:rsidRDefault="00781CC7" w:rsidP="00902E00">
    <w:pPr>
      <w:pStyle w:val="Footer"/>
      <w:ind w:left="7200"/>
      <w:rPr>
        <w:rFonts w:ascii="Arial" w:hAnsi="Arial" w:cs="Arial"/>
      </w:rPr>
    </w:pPr>
    <w:r w:rsidRPr="00FB6794">
      <w:rPr>
        <w:rFonts w:ascii="Arial" w:hAnsi="Arial" w:cs="Arial"/>
        <w:noProof/>
      </w:rPr>
      <mc:AlternateContent>
        <mc:Choice Requires="wps">
          <w:drawing>
            <wp:anchor distT="45720" distB="45720" distL="114300" distR="114300" simplePos="0" relativeHeight="251678720" behindDoc="0" locked="0" layoutInCell="1" allowOverlap="1" wp14:anchorId="20EE5F59" wp14:editId="644EB085">
              <wp:simplePos x="0" y="0"/>
              <wp:positionH relativeFrom="column">
                <wp:posOffset>2322195</wp:posOffset>
              </wp:positionH>
              <wp:positionV relativeFrom="paragraph">
                <wp:posOffset>65405</wp:posOffset>
              </wp:positionV>
              <wp:extent cx="1543050" cy="466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66725"/>
                      </a:xfrm>
                      <a:prstGeom prst="rect">
                        <a:avLst/>
                      </a:prstGeom>
                      <a:noFill/>
                      <a:ln w="9525">
                        <a:noFill/>
                        <a:miter lim="800000"/>
                        <a:headEnd/>
                        <a:tailEnd/>
                      </a:ln>
                    </wps:spPr>
                    <wps:txbx>
                      <w:txbxContent>
                        <w:p w14:paraId="1FB61F9A" w14:textId="45AD83A0" w:rsidR="00FF67CE" w:rsidRPr="00FF67CE" w:rsidRDefault="00FF67CE" w:rsidP="00FF67CE">
                          <w:pPr>
                            <w:pStyle w:val="Footer"/>
                            <w:jc w:val="both"/>
                            <w:rPr>
                              <w:rFonts w:ascii="Arial" w:hAnsi="Arial" w:cs="Arial"/>
                            </w:rPr>
                          </w:pPr>
                          <w:r w:rsidRPr="00FF67CE">
                            <w:rPr>
                              <w:rFonts w:ascii="Arial" w:hAnsi="Arial" w:cs="Arial"/>
                            </w:rPr>
                            <w:t>Creative Commons 4.0</w:t>
                          </w:r>
                        </w:p>
                        <w:p w14:paraId="7AC0F1B8" w14:textId="7894BB9F" w:rsidR="00FB6794" w:rsidRPr="00FF67CE" w:rsidRDefault="009C1C87" w:rsidP="00FF67CE">
                          <w:pPr>
                            <w:pStyle w:val="Footer"/>
                            <w:jc w:val="both"/>
                            <w:rPr>
                              <w:rFonts w:ascii="Arial" w:hAnsi="Arial" w:cs="Arial"/>
                              <w:sz w:val="22"/>
                            </w:rPr>
                          </w:pPr>
                          <w:r>
                            <w:rPr>
                              <w:rFonts w:ascii="Arial" w:hAnsi="Arial" w:cs="Arial"/>
                            </w:rPr>
                            <w:t>International Licenc</w:t>
                          </w:r>
                          <w:r w:rsidR="00FF67CE" w:rsidRPr="00FF67CE">
                            <w:rPr>
                              <w:rFonts w:ascii="Arial" w:hAnsi="Arial" w:cs="Arial"/>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EE5F59" id="_x0000_t202" coordsize="21600,21600" o:spt="202" path="m,l,21600r21600,l21600,xe">
              <v:stroke joinstyle="miter"/>
              <v:path gradientshapeok="t" o:connecttype="rect"/>
            </v:shapetype>
            <v:shape id="Text Box 2" o:spid="_x0000_s1027" type="#_x0000_t202" style="position:absolute;left:0;text-align:left;margin-left:182.85pt;margin-top:5.15pt;width:121.5pt;height:36.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" filled="f" stroked="f">
              <v:textbox>
                <w:txbxContent>
                  <w:p w14:paraId="1FB61F9A" w14:textId="45AD83A0" w:rsidR="00FF67CE" w:rsidRPr="00FF67CE" w:rsidRDefault="00FF67CE" w:rsidP="00FF67CE">
                    <w:pPr>
                      <w:pStyle w:val="Footer"/>
                      <w:jc w:val="both"/>
                      <w:rPr>
                        <w:rFonts w:ascii="Arial" w:hAnsi="Arial" w:cs="Arial"/>
                      </w:rPr>
                    </w:pPr>
                    <w:r w:rsidRPr="00FF67CE">
                      <w:rPr>
                        <w:rFonts w:ascii="Arial" w:hAnsi="Arial" w:cs="Arial"/>
                      </w:rPr>
                      <w:t>Creative Commons 4.0</w:t>
                    </w:r>
                  </w:p>
                  <w:p w14:paraId="7AC0F1B8" w14:textId="7894BB9F" w:rsidR="00FB6794" w:rsidRPr="00FF67CE" w:rsidRDefault="009C1C87" w:rsidP="00FF67CE">
                    <w:pPr>
                      <w:pStyle w:val="Footer"/>
                      <w:jc w:val="both"/>
                      <w:rPr>
                        <w:rFonts w:ascii="Arial" w:hAnsi="Arial" w:cs="Arial"/>
                        <w:sz w:val="22"/>
                      </w:rPr>
                    </w:pPr>
                    <w:r>
                      <w:rPr>
                        <w:rFonts w:ascii="Arial" w:hAnsi="Arial" w:cs="Arial"/>
                      </w:rPr>
                      <w:t>International Licenc</w:t>
                    </w:r>
                    <w:r w:rsidR="00FF67CE" w:rsidRPr="00FF67CE">
                      <w:rPr>
                        <w:rFonts w:ascii="Arial" w:hAnsi="Arial" w:cs="Arial"/>
                      </w:rPr>
                      <w:t>e</w:t>
                    </w:r>
                  </w:p>
                </w:txbxContent>
              </v:textbox>
              <w10:wrap type="square"/>
            </v:shape>
          </w:pict>
        </mc:Fallback>
      </mc:AlternateContent>
    </w:r>
    <w:r w:rsidRPr="00902E00">
      <w:rPr>
        <w:rFonts w:ascii="Arial" w:hAnsi="Arial" w:cs="Arial"/>
        <w:noProof/>
      </w:rPr>
      <w:drawing>
        <wp:anchor distT="0" distB="0" distL="114300" distR="114300" simplePos="0" relativeHeight="251641856" behindDoc="0" locked="0" layoutInCell="1" allowOverlap="1" wp14:anchorId="7929E83F" wp14:editId="76916B2F">
          <wp:simplePos x="0" y="0"/>
          <wp:positionH relativeFrom="column">
            <wp:posOffset>3789680</wp:posOffset>
          </wp:positionH>
          <wp:positionV relativeFrom="paragraph">
            <wp:posOffset>83185</wp:posOffset>
          </wp:positionV>
          <wp:extent cx="981075" cy="343236"/>
          <wp:effectExtent l="0" t="0" r="0" b="0"/>
          <wp:wrapThrough wrapText="bothSides">
            <wp:wrapPolygon edited="0">
              <wp:start x="0" y="0"/>
              <wp:lineTo x="0" y="20400"/>
              <wp:lineTo x="20971" y="20400"/>
              <wp:lineTo x="20971" y="0"/>
              <wp:lineTo x="0" y="0"/>
            </wp:wrapPolygon>
          </wp:wrapThrough>
          <wp:docPr id="9" name="Picture 9" descr="Creative commons 4.0 International lic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eative Commons CC by.png"/>
                  <pic:cNvPicPr/>
                </pic:nvPicPr>
                <pic:blipFill>
                  <a:blip r:embed="rId1">
                    <a:extLst>
                      <a:ext uri="{28A0092B-C50C-407E-A947-70E740481C1C}">
                        <a14:useLocalDpi xmlns:a14="http://schemas.microsoft.com/office/drawing/2010/main" val="0"/>
                      </a:ext>
                    </a:extLst>
                  </a:blip>
                  <a:stretch>
                    <a:fillRect/>
                  </a:stretch>
                </pic:blipFill>
                <pic:spPr>
                  <a:xfrm>
                    <a:off x="0" y="0"/>
                    <a:ext cx="981075" cy="34323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1488" behindDoc="0" locked="0" layoutInCell="1" allowOverlap="1" wp14:anchorId="09FBC340" wp14:editId="7B7E1F53">
          <wp:simplePos x="0" y="0"/>
          <wp:positionH relativeFrom="column">
            <wp:posOffset>-116205</wp:posOffset>
          </wp:positionH>
          <wp:positionV relativeFrom="paragraph">
            <wp:posOffset>8255</wp:posOffset>
          </wp:positionV>
          <wp:extent cx="2247900" cy="452755"/>
          <wp:effectExtent l="0" t="0" r="0" b="4445"/>
          <wp:wrapSquare wrapText="bothSides"/>
          <wp:docPr id="21" name="Picture 2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790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7CE" w:rsidRPr="00FB6794">
      <w:rPr>
        <w:rFonts w:ascii="Arial" w:hAnsi="Arial" w:cs="Arial"/>
        <w:noProof/>
      </w:rPr>
      <mc:AlternateContent>
        <mc:Choice Requires="wps">
          <w:drawing>
            <wp:anchor distT="45720" distB="45720" distL="114300" distR="114300" simplePos="0" relativeHeight="251697152" behindDoc="0" locked="0" layoutInCell="1" allowOverlap="1" wp14:anchorId="1305EF7E" wp14:editId="229C0B30">
              <wp:simplePos x="0" y="0"/>
              <wp:positionH relativeFrom="column">
                <wp:posOffset>4741545</wp:posOffset>
              </wp:positionH>
              <wp:positionV relativeFrom="paragraph">
                <wp:posOffset>55880</wp:posOffset>
              </wp:positionV>
              <wp:extent cx="1952625" cy="46672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66725"/>
                      </a:xfrm>
                      <a:prstGeom prst="rect">
                        <a:avLst/>
                      </a:prstGeom>
                      <a:noFill/>
                      <a:ln w="9525">
                        <a:noFill/>
                        <a:miter lim="800000"/>
                        <a:headEnd/>
                        <a:tailEnd/>
                      </a:ln>
                    </wps:spPr>
                    <wps:txbx>
                      <w:txbxContent>
                        <w:p w14:paraId="617EF07E" w14:textId="2F767C2D" w:rsidR="00FF67CE" w:rsidRDefault="00FF67CE" w:rsidP="00FF67CE">
                          <w:pPr>
                            <w:pStyle w:val="Footer"/>
                            <w:rPr>
                              <w:rFonts w:ascii="Arial" w:hAnsi="Arial" w:cs="Arial"/>
                              <w:sz w:val="18"/>
                            </w:rPr>
                          </w:pPr>
                          <w:r>
                            <w:rPr>
                              <w:rFonts w:ascii="Arial" w:hAnsi="Arial" w:cs="Arial"/>
                            </w:rPr>
                            <w:t>978-1-76051-524-9</w:t>
                          </w:r>
                          <w:r w:rsidR="001E0584">
                            <w:rPr>
                              <w:rFonts w:ascii="Arial" w:hAnsi="Arial" w:cs="Arial"/>
                            </w:rPr>
                            <w:t xml:space="preserve"> </w:t>
                          </w:r>
                          <w:r>
                            <w:rPr>
                              <w:rFonts w:ascii="Arial" w:hAnsi="Arial" w:cs="Arial"/>
                            </w:rPr>
                            <w:t>[PDF]</w:t>
                          </w:r>
                          <w:r w:rsidRPr="00FF67CE">
                            <w:rPr>
                              <w:rFonts w:ascii="Arial" w:hAnsi="Arial" w:cs="Arial"/>
                              <w:sz w:val="18"/>
                            </w:rPr>
                            <w:t xml:space="preserve"> </w:t>
                          </w:r>
                        </w:p>
                        <w:p w14:paraId="5DDCEC0F" w14:textId="047D4AB0" w:rsidR="00FF67CE" w:rsidRPr="00FF67CE" w:rsidRDefault="00FF67CE" w:rsidP="00FF67CE">
                          <w:pPr>
                            <w:pStyle w:val="Footer"/>
                            <w:rPr>
                              <w:rFonts w:ascii="Arial" w:hAnsi="Arial" w:cs="Arial"/>
                            </w:rPr>
                          </w:pPr>
                          <w:r>
                            <w:rPr>
                              <w:rFonts w:ascii="Arial" w:hAnsi="Arial" w:cs="Arial"/>
                            </w:rPr>
                            <w:t>978-1-76051-525-6</w:t>
                          </w:r>
                          <w:r w:rsidR="001E0584">
                            <w:rPr>
                              <w:rFonts w:ascii="Arial" w:hAnsi="Arial" w:cs="Arial"/>
                            </w:rPr>
                            <w:t xml:space="preserve"> </w:t>
                          </w:r>
                          <w:r>
                            <w:rPr>
                              <w:rFonts w:ascii="Arial" w:hAnsi="Arial" w:cs="Arial"/>
                            </w:rPr>
                            <w:t>[DOCX]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5EF7E" id="_x0000_s1028" type="#_x0000_t202" style="position:absolute;left:0;text-align:left;margin-left:373.35pt;margin-top:4.4pt;width:153.75pt;height:36.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" filled="f" stroked="f">
              <v:textbox>
                <w:txbxContent>
                  <w:p w14:paraId="617EF07E" w14:textId="2F767C2D" w:rsidR="00FF67CE" w:rsidRDefault="00FF67CE" w:rsidP="00FF67CE">
                    <w:pPr>
                      <w:pStyle w:val="Footer"/>
                      <w:rPr>
                        <w:rFonts w:ascii="Arial" w:hAnsi="Arial" w:cs="Arial"/>
                        <w:sz w:val="18"/>
                      </w:rPr>
                    </w:pPr>
                    <w:r>
                      <w:rPr>
                        <w:rFonts w:ascii="Arial" w:hAnsi="Arial" w:cs="Arial"/>
                      </w:rPr>
                      <w:t>978-1-76051-524-9</w:t>
                    </w:r>
                    <w:r w:rsidR="001E0584">
                      <w:rPr>
                        <w:rFonts w:ascii="Arial" w:hAnsi="Arial" w:cs="Arial"/>
                      </w:rPr>
                      <w:t xml:space="preserve"> </w:t>
                    </w:r>
                    <w:r>
                      <w:rPr>
                        <w:rFonts w:ascii="Arial" w:hAnsi="Arial" w:cs="Arial"/>
                      </w:rPr>
                      <w:t>[PDF]</w:t>
                    </w:r>
                    <w:r w:rsidRPr="00FF67CE">
                      <w:rPr>
                        <w:rFonts w:ascii="Arial" w:hAnsi="Arial" w:cs="Arial"/>
                        <w:sz w:val="18"/>
                      </w:rPr>
                      <w:t xml:space="preserve"> </w:t>
                    </w:r>
                  </w:p>
                  <w:p w14:paraId="5DDCEC0F" w14:textId="047D4AB0" w:rsidR="00FF67CE" w:rsidRPr="00FF67CE" w:rsidRDefault="00FF67CE" w:rsidP="00FF67CE">
                    <w:pPr>
                      <w:pStyle w:val="Footer"/>
                      <w:rPr>
                        <w:rFonts w:ascii="Arial" w:hAnsi="Arial" w:cs="Arial"/>
                      </w:rPr>
                    </w:pPr>
                    <w:r>
                      <w:rPr>
                        <w:rFonts w:ascii="Arial" w:hAnsi="Arial" w:cs="Arial"/>
                      </w:rPr>
                      <w:t>978-1-76051-525-6</w:t>
                    </w:r>
                    <w:r w:rsidR="001E0584">
                      <w:rPr>
                        <w:rFonts w:ascii="Arial" w:hAnsi="Arial" w:cs="Arial"/>
                      </w:rPr>
                      <w:t xml:space="preserve"> </w:t>
                    </w:r>
                    <w:r>
                      <w:rPr>
                        <w:rFonts w:ascii="Arial" w:hAnsi="Arial" w:cs="Arial"/>
                      </w:rPr>
                      <w:t>[DOCX]</w:t>
                    </w:r>
                  </w:p>
                </w:txbxContent>
              </v:textbox>
              <w10:wrap type="square"/>
            </v:shape>
          </w:pict>
        </mc:Fallback>
      </mc:AlternateContent>
    </w:r>
  </w:p>
  <w:p w14:paraId="32E99EE7" w14:textId="53CC4637" w:rsidR="00902E00" w:rsidRDefault="00902E00" w:rsidP="00902E00">
    <w:pPr>
      <w:pStyle w:val="Footer"/>
      <w:ind w:left="7200"/>
    </w:pPr>
  </w:p>
  <w:p w14:paraId="5EAE8452" w14:textId="77777777" w:rsidR="00416DA5" w:rsidRDefault="00416DA5" w:rsidP="00902E00">
    <w:pPr>
      <w:pStyle w:val="Footer"/>
      <w:ind w:left="7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C296F" w14:textId="77777777" w:rsidR="00C26809" w:rsidRDefault="00C26809" w:rsidP="00046BC1">
      <w:pPr>
        <w:spacing w:before="0" w:after="0"/>
      </w:pPr>
      <w:r>
        <w:separator/>
      </w:r>
    </w:p>
  </w:footnote>
  <w:footnote w:type="continuationSeparator" w:id="0">
    <w:p w14:paraId="17578CBE" w14:textId="77777777" w:rsidR="00C26809" w:rsidRDefault="00C26809" w:rsidP="00046BC1">
      <w:pPr>
        <w:spacing w:before="0" w:after="0"/>
      </w:pPr>
      <w:r>
        <w:continuationSeparator/>
      </w:r>
    </w:p>
  </w:footnote>
  <w:footnote w:id="1">
    <w:p w14:paraId="7E54846E" w14:textId="77777777" w:rsidR="00C44CD6" w:rsidRDefault="00C44CD6" w:rsidP="00C44CD6">
      <w:pPr>
        <w:pStyle w:val="FootnoteText"/>
      </w:pPr>
      <w:r>
        <w:rPr>
          <w:rStyle w:val="FootnoteReference"/>
        </w:rPr>
        <w:footnoteRef/>
      </w:r>
      <w:r>
        <w:t xml:space="preserve"> Unless otherwise specified, the data contained in this report </w:t>
      </w:r>
      <w:proofErr w:type="gramStart"/>
      <w:r>
        <w:t>is sourced</w:t>
      </w:r>
      <w:proofErr w:type="gramEnd"/>
      <w:r>
        <w:t xml:space="preserve"> from Safe Work Australia’s National Data Set for Compensation-based Statistics and Work-related Traumatic Injury Fatalities data set.</w:t>
      </w:r>
      <w:r w:rsidR="00051494">
        <w:t xml:space="preserve"> Fatalities data relate to the period 2013 to 2016, while serious claim data related to 2012-13 to 2015-16.</w:t>
      </w:r>
    </w:p>
  </w:footnote>
  <w:footnote w:id="2">
    <w:p w14:paraId="0B696899" w14:textId="77777777" w:rsidR="00C44CD6" w:rsidRPr="00991F6C" w:rsidRDefault="00C44CD6" w:rsidP="00C44CD6">
      <w:pPr>
        <w:pStyle w:val="FootnoteText"/>
        <w:rPr>
          <w:i/>
        </w:rPr>
      </w:pPr>
      <w:r>
        <w:rPr>
          <w:rStyle w:val="FootnoteReference"/>
        </w:rPr>
        <w:footnoteRef/>
      </w:r>
      <w:r>
        <w:t xml:space="preserve"> The data in this section </w:t>
      </w:r>
      <w:proofErr w:type="gramStart"/>
      <w:r>
        <w:t>is sourced</w:t>
      </w:r>
      <w:proofErr w:type="gramEnd"/>
      <w:r>
        <w:t xml:space="preserve"> from the Australian Bureau of Statistics and the Department of Employment’s </w:t>
      </w:r>
      <w:r>
        <w:rPr>
          <w:i/>
        </w:rPr>
        <w:t>Employment Outlook to May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4784"/>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4733676"/>
    <w:multiLevelType w:val="hybridMultilevel"/>
    <w:tmpl w:val="F85A5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0C11C7"/>
    <w:multiLevelType w:val="multilevel"/>
    <w:tmpl w:val="4ED6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16DC7"/>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B192A21"/>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30365153"/>
    <w:multiLevelType w:val="hybridMultilevel"/>
    <w:tmpl w:val="F8F09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C66CA7"/>
    <w:multiLevelType w:val="hybridMultilevel"/>
    <w:tmpl w:val="45949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E43D4B"/>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F3756EE"/>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F3C1893"/>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74205B8"/>
    <w:multiLevelType w:val="hybridMultilevel"/>
    <w:tmpl w:val="04EC4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7A54E3"/>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60B70D0"/>
    <w:multiLevelType w:val="hybridMultilevel"/>
    <w:tmpl w:val="49FE2C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8513871"/>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6CC171DF"/>
    <w:multiLevelType w:val="hybridMultilevel"/>
    <w:tmpl w:val="950A24C8"/>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6FE27C38"/>
    <w:multiLevelType w:val="hybridMultilevel"/>
    <w:tmpl w:val="A376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4F416D"/>
    <w:multiLevelType w:val="hybridMultilevel"/>
    <w:tmpl w:val="67B2774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7ABF4CEC"/>
    <w:multiLevelType w:val="hybridMultilevel"/>
    <w:tmpl w:val="A5DC5D0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2"/>
  </w:num>
  <w:num w:numId="2">
    <w:abstractNumId w:val="1"/>
  </w:num>
  <w:num w:numId="3">
    <w:abstractNumId w:val="0"/>
  </w:num>
  <w:num w:numId="4">
    <w:abstractNumId w:val="3"/>
  </w:num>
  <w:num w:numId="5">
    <w:abstractNumId w:val="4"/>
  </w:num>
  <w:num w:numId="6">
    <w:abstractNumId w:val="9"/>
  </w:num>
  <w:num w:numId="7">
    <w:abstractNumId w:val="13"/>
  </w:num>
  <w:num w:numId="8">
    <w:abstractNumId w:val="8"/>
  </w:num>
  <w:num w:numId="9">
    <w:abstractNumId w:val="11"/>
  </w:num>
  <w:num w:numId="10">
    <w:abstractNumId w:val="7"/>
  </w:num>
  <w:num w:numId="11">
    <w:abstractNumId w:val="17"/>
  </w:num>
  <w:num w:numId="12">
    <w:abstractNumId w:val="5"/>
  </w:num>
  <w:num w:numId="13">
    <w:abstractNumId w:val="15"/>
  </w:num>
  <w:num w:numId="14">
    <w:abstractNumId w:val="10"/>
  </w:num>
  <w:num w:numId="15">
    <w:abstractNumId w:val="2"/>
  </w:num>
  <w:num w:numId="16">
    <w:abstractNumId w:val="6"/>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s>
  <w:rsids>
    <w:rsidRoot w:val="00D80106"/>
    <w:rsid w:val="000019FE"/>
    <w:rsid w:val="0001009B"/>
    <w:rsid w:val="00010FCA"/>
    <w:rsid w:val="00011CE9"/>
    <w:rsid w:val="00012DB4"/>
    <w:rsid w:val="00022172"/>
    <w:rsid w:val="0002445B"/>
    <w:rsid w:val="000258FE"/>
    <w:rsid w:val="000330A1"/>
    <w:rsid w:val="000441EB"/>
    <w:rsid w:val="00046BC1"/>
    <w:rsid w:val="00047EF4"/>
    <w:rsid w:val="00051494"/>
    <w:rsid w:val="000643EF"/>
    <w:rsid w:val="000661BA"/>
    <w:rsid w:val="0007294F"/>
    <w:rsid w:val="00072CFE"/>
    <w:rsid w:val="00074105"/>
    <w:rsid w:val="00082186"/>
    <w:rsid w:val="000A4481"/>
    <w:rsid w:val="000B7228"/>
    <w:rsid w:val="000C514D"/>
    <w:rsid w:val="000C5455"/>
    <w:rsid w:val="000E2777"/>
    <w:rsid w:val="000E73E4"/>
    <w:rsid w:val="000F4B67"/>
    <w:rsid w:val="001058EC"/>
    <w:rsid w:val="0011022E"/>
    <w:rsid w:val="001109B5"/>
    <w:rsid w:val="00125791"/>
    <w:rsid w:val="00134C15"/>
    <w:rsid w:val="00147210"/>
    <w:rsid w:val="001504AC"/>
    <w:rsid w:val="00157689"/>
    <w:rsid w:val="001661FB"/>
    <w:rsid w:val="00170B90"/>
    <w:rsid w:val="001804E7"/>
    <w:rsid w:val="00193D26"/>
    <w:rsid w:val="00197DB3"/>
    <w:rsid w:val="001A5243"/>
    <w:rsid w:val="001B1F8E"/>
    <w:rsid w:val="001B7916"/>
    <w:rsid w:val="001C719B"/>
    <w:rsid w:val="001C7808"/>
    <w:rsid w:val="001C7D70"/>
    <w:rsid w:val="001E0584"/>
    <w:rsid w:val="001F2388"/>
    <w:rsid w:val="001F6AFD"/>
    <w:rsid w:val="0021585A"/>
    <w:rsid w:val="00222D33"/>
    <w:rsid w:val="002230C9"/>
    <w:rsid w:val="00224C3F"/>
    <w:rsid w:val="0024348C"/>
    <w:rsid w:val="002444A9"/>
    <w:rsid w:val="00251155"/>
    <w:rsid w:val="0025795A"/>
    <w:rsid w:val="002706B9"/>
    <w:rsid w:val="00274113"/>
    <w:rsid w:val="00281576"/>
    <w:rsid w:val="00283000"/>
    <w:rsid w:val="002874D3"/>
    <w:rsid w:val="00292D90"/>
    <w:rsid w:val="002A24D1"/>
    <w:rsid w:val="002A4898"/>
    <w:rsid w:val="002B41D4"/>
    <w:rsid w:val="002C1299"/>
    <w:rsid w:val="002C4623"/>
    <w:rsid w:val="002D1667"/>
    <w:rsid w:val="002D483D"/>
    <w:rsid w:val="002D4E89"/>
    <w:rsid w:val="002F1E7A"/>
    <w:rsid w:val="002F57F1"/>
    <w:rsid w:val="002F6D4A"/>
    <w:rsid w:val="002F77F4"/>
    <w:rsid w:val="00302F43"/>
    <w:rsid w:val="003042F6"/>
    <w:rsid w:val="00305789"/>
    <w:rsid w:val="00306222"/>
    <w:rsid w:val="003074B2"/>
    <w:rsid w:val="00312EE0"/>
    <w:rsid w:val="0031380D"/>
    <w:rsid w:val="00316173"/>
    <w:rsid w:val="00322A6D"/>
    <w:rsid w:val="00332574"/>
    <w:rsid w:val="00334EFE"/>
    <w:rsid w:val="00340379"/>
    <w:rsid w:val="00347A57"/>
    <w:rsid w:val="00360AF6"/>
    <w:rsid w:val="0037001B"/>
    <w:rsid w:val="00373613"/>
    <w:rsid w:val="00375927"/>
    <w:rsid w:val="003803A9"/>
    <w:rsid w:val="003803CD"/>
    <w:rsid w:val="003850F0"/>
    <w:rsid w:val="003879D5"/>
    <w:rsid w:val="00395FED"/>
    <w:rsid w:val="003A1912"/>
    <w:rsid w:val="003A3BD2"/>
    <w:rsid w:val="003A585E"/>
    <w:rsid w:val="003B2F3C"/>
    <w:rsid w:val="003B3AAE"/>
    <w:rsid w:val="003B3CB0"/>
    <w:rsid w:val="003C40C2"/>
    <w:rsid w:val="003D2DBC"/>
    <w:rsid w:val="003D6A53"/>
    <w:rsid w:val="003E3AC6"/>
    <w:rsid w:val="003E5110"/>
    <w:rsid w:val="003F1D05"/>
    <w:rsid w:val="003F1EBA"/>
    <w:rsid w:val="003F23DE"/>
    <w:rsid w:val="003F628C"/>
    <w:rsid w:val="00404D2C"/>
    <w:rsid w:val="00404EA3"/>
    <w:rsid w:val="00407533"/>
    <w:rsid w:val="004076EF"/>
    <w:rsid w:val="0041580C"/>
    <w:rsid w:val="00416DA5"/>
    <w:rsid w:val="00427DC5"/>
    <w:rsid w:val="00431310"/>
    <w:rsid w:val="00435A6D"/>
    <w:rsid w:val="0044203F"/>
    <w:rsid w:val="00444F71"/>
    <w:rsid w:val="00446764"/>
    <w:rsid w:val="00465A3C"/>
    <w:rsid w:val="004711FF"/>
    <w:rsid w:val="0048145C"/>
    <w:rsid w:val="0048534D"/>
    <w:rsid w:val="004866CF"/>
    <w:rsid w:val="0048755A"/>
    <w:rsid w:val="00487719"/>
    <w:rsid w:val="00490281"/>
    <w:rsid w:val="00494850"/>
    <w:rsid w:val="00495DF4"/>
    <w:rsid w:val="00497A39"/>
    <w:rsid w:val="004A136B"/>
    <w:rsid w:val="004B0935"/>
    <w:rsid w:val="004B3421"/>
    <w:rsid w:val="004B6EE2"/>
    <w:rsid w:val="004C2F51"/>
    <w:rsid w:val="004C53D1"/>
    <w:rsid w:val="004D4D4D"/>
    <w:rsid w:val="004E1577"/>
    <w:rsid w:val="004E3E69"/>
    <w:rsid w:val="004F0B05"/>
    <w:rsid w:val="004F5621"/>
    <w:rsid w:val="005023DE"/>
    <w:rsid w:val="00502672"/>
    <w:rsid w:val="00513001"/>
    <w:rsid w:val="00516830"/>
    <w:rsid w:val="00520F32"/>
    <w:rsid w:val="005360FE"/>
    <w:rsid w:val="005428A4"/>
    <w:rsid w:val="00543BE3"/>
    <w:rsid w:val="00550A41"/>
    <w:rsid w:val="00554F3C"/>
    <w:rsid w:val="00564DD2"/>
    <w:rsid w:val="0056504C"/>
    <w:rsid w:val="00565228"/>
    <w:rsid w:val="005653C1"/>
    <w:rsid w:val="0056541C"/>
    <w:rsid w:val="00573673"/>
    <w:rsid w:val="00585801"/>
    <w:rsid w:val="00586F60"/>
    <w:rsid w:val="005A46F1"/>
    <w:rsid w:val="005B207B"/>
    <w:rsid w:val="005B46A5"/>
    <w:rsid w:val="005B75C0"/>
    <w:rsid w:val="005B7F2B"/>
    <w:rsid w:val="005C2E83"/>
    <w:rsid w:val="005C5428"/>
    <w:rsid w:val="005C5E44"/>
    <w:rsid w:val="005F226C"/>
    <w:rsid w:val="005F6406"/>
    <w:rsid w:val="00612FDF"/>
    <w:rsid w:val="00633EE8"/>
    <w:rsid w:val="00633F34"/>
    <w:rsid w:val="00640B02"/>
    <w:rsid w:val="006415B3"/>
    <w:rsid w:val="00641774"/>
    <w:rsid w:val="0065349E"/>
    <w:rsid w:val="00657F59"/>
    <w:rsid w:val="00661509"/>
    <w:rsid w:val="00662D0B"/>
    <w:rsid w:val="00665F87"/>
    <w:rsid w:val="006667AA"/>
    <w:rsid w:val="00675BD8"/>
    <w:rsid w:val="00677F80"/>
    <w:rsid w:val="006820DA"/>
    <w:rsid w:val="0068505E"/>
    <w:rsid w:val="00692110"/>
    <w:rsid w:val="00696953"/>
    <w:rsid w:val="006A78A2"/>
    <w:rsid w:val="006B0BA3"/>
    <w:rsid w:val="006B310D"/>
    <w:rsid w:val="006B357C"/>
    <w:rsid w:val="006B40DE"/>
    <w:rsid w:val="006C0423"/>
    <w:rsid w:val="006C1B92"/>
    <w:rsid w:val="006C3D4E"/>
    <w:rsid w:val="006C595E"/>
    <w:rsid w:val="006D4FA9"/>
    <w:rsid w:val="006D763E"/>
    <w:rsid w:val="006E1B60"/>
    <w:rsid w:val="007011AA"/>
    <w:rsid w:val="00705A86"/>
    <w:rsid w:val="007079F7"/>
    <w:rsid w:val="00711CA3"/>
    <w:rsid w:val="00725B06"/>
    <w:rsid w:val="007307F5"/>
    <w:rsid w:val="00731CF7"/>
    <w:rsid w:val="007467AC"/>
    <w:rsid w:val="00747C75"/>
    <w:rsid w:val="00751F02"/>
    <w:rsid w:val="007679ED"/>
    <w:rsid w:val="007753C5"/>
    <w:rsid w:val="0078082D"/>
    <w:rsid w:val="00781CC7"/>
    <w:rsid w:val="007908CD"/>
    <w:rsid w:val="00797407"/>
    <w:rsid w:val="00797DAF"/>
    <w:rsid w:val="007A45E4"/>
    <w:rsid w:val="007A6525"/>
    <w:rsid w:val="007B2A85"/>
    <w:rsid w:val="007B6953"/>
    <w:rsid w:val="007D6070"/>
    <w:rsid w:val="007D6231"/>
    <w:rsid w:val="007E0C2B"/>
    <w:rsid w:val="007E4F02"/>
    <w:rsid w:val="007F5A29"/>
    <w:rsid w:val="00802F3E"/>
    <w:rsid w:val="0080500C"/>
    <w:rsid w:val="008070AB"/>
    <w:rsid w:val="0081015F"/>
    <w:rsid w:val="00820DA1"/>
    <w:rsid w:val="00821AC6"/>
    <w:rsid w:val="00824A0B"/>
    <w:rsid w:val="00831881"/>
    <w:rsid w:val="00833951"/>
    <w:rsid w:val="008377D1"/>
    <w:rsid w:val="008444BC"/>
    <w:rsid w:val="00846AE6"/>
    <w:rsid w:val="008507EB"/>
    <w:rsid w:val="00855757"/>
    <w:rsid w:val="0086407B"/>
    <w:rsid w:val="008834BE"/>
    <w:rsid w:val="00883BE1"/>
    <w:rsid w:val="008872AF"/>
    <w:rsid w:val="00890045"/>
    <w:rsid w:val="00891793"/>
    <w:rsid w:val="00892F89"/>
    <w:rsid w:val="00894E05"/>
    <w:rsid w:val="008A7E33"/>
    <w:rsid w:val="008B0C49"/>
    <w:rsid w:val="008B18A1"/>
    <w:rsid w:val="008B7D3F"/>
    <w:rsid w:val="008C069A"/>
    <w:rsid w:val="008C0C0A"/>
    <w:rsid w:val="008D53D4"/>
    <w:rsid w:val="008E6D54"/>
    <w:rsid w:val="008E7B1C"/>
    <w:rsid w:val="008F1FDE"/>
    <w:rsid w:val="008F616E"/>
    <w:rsid w:val="00900DEF"/>
    <w:rsid w:val="009021BC"/>
    <w:rsid w:val="00902E00"/>
    <w:rsid w:val="00904815"/>
    <w:rsid w:val="0093298C"/>
    <w:rsid w:val="00940622"/>
    <w:rsid w:val="00947E12"/>
    <w:rsid w:val="009504F5"/>
    <w:rsid w:val="00951A3C"/>
    <w:rsid w:val="00956AC7"/>
    <w:rsid w:val="00957371"/>
    <w:rsid w:val="00957F06"/>
    <w:rsid w:val="00961BB0"/>
    <w:rsid w:val="00961E98"/>
    <w:rsid w:val="0096753F"/>
    <w:rsid w:val="00967705"/>
    <w:rsid w:val="00970972"/>
    <w:rsid w:val="009711BB"/>
    <w:rsid w:val="0097145B"/>
    <w:rsid w:val="009726E3"/>
    <w:rsid w:val="0097571C"/>
    <w:rsid w:val="0097785B"/>
    <w:rsid w:val="00991305"/>
    <w:rsid w:val="00992FDC"/>
    <w:rsid w:val="009A7E39"/>
    <w:rsid w:val="009B22F7"/>
    <w:rsid w:val="009B231B"/>
    <w:rsid w:val="009B5DAE"/>
    <w:rsid w:val="009B77E3"/>
    <w:rsid w:val="009C07DC"/>
    <w:rsid w:val="009C1C87"/>
    <w:rsid w:val="009D1116"/>
    <w:rsid w:val="009D3ED4"/>
    <w:rsid w:val="009D450B"/>
    <w:rsid w:val="009D6A51"/>
    <w:rsid w:val="009E3326"/>
    <w:rsid w:val="009E431C"/>
    <w:rsid w:val="009F2112"/>
    <w:rsid w:val="009F55BE"/>
    <w:rsid w:val="00A12D49"/>
    <w:rsid w:val="00A25BF0"/>
    <w:rsid w:val="00A2649D"/>
    <w:rsid w:val="00A26D75"/>
    <w:rsid w:val="00A26E53"/>
    <w:rsid w:val="00A27A86"/>
    <w:rsid w:val="00A309B7"/>
    <w:rsid w:val="00A418F9"/>
    <w:rsid w:val="00A43B24"/>
    <w:rsid w:val="00A569EB"/>
    <w:rsid w:val="00A650B4"/>
    <w:rsid w:val="00A71165"/>
    <w:rsid w:val="00A7441D"/>
    <w:rsid w:val="00AC1848"/>
    <w:rsid w:val="00AC2BE3"/>
    <w:rsid w:val="00AC3029"/>
    <w:rsid w:val="00AC3894"/>
    <w:rsid w:val="00AD09D3"/>
    <w:rsid w:val="00AD5A16"/>
    <w:rsid w:val="00AE0C6F"/>
    <w:rsid w:val="00AE205C"/>
    <w:rsid w:val="00AE2339"/>
    <w:rsid w:val="00AF0125"/>
    <w:rsid w:val="00AF015C"/>
    <w:rsid w:val="00AF04A8"/>
    <w:rsid w:val="00AF203A"/>
    <w:rsid w:val="00AF38A5"/>
    <w:rsid w:val="00B07A7B"/>
    <w:rsid w:val="00B13C18"/>
    <w:rsid w:val="00B16268"/>
    <w:rsid w:val="00B25700"/>
    <w:rsid w:val="00B26E46"/>
    <w:rsid w:val="00B329A2"/>
    <w:rsid w:val="00B33D2D"/>
    <w:rsid w:val="00B40807"/>
    <w:rsid w:val="00B5671D"/>
    <w:rsid w:val="00B60D5C"/>
    <w:rsid w:val="00B71C54"/>
    <w:rsid w:val="00B722EB"/>
    <w:rsid w:val="00B82799"/>
    <w:rsid w:val="00B82E0E"/>
    <w:rsid w:val="00B82E5A"/>
    <w:rsid w:val="00B9187D"/>
    <w:rsid w:val="00B94429"/>
    <w:rsid w:val="00B96FDB"/>
    <w:rsid w:val="00BA13DC"/>
    <w:rsid w:val="00BA6578"/>
    <w:rsid w:val="00BB12FA"/>
    <w:rsid w:val="00BB3505"/>
    <w:rsid w:val="00BD7A61"/>
    <w:rsid w:val="00BF367D"/>
    <w:rsid w:val="00BF4B3B"/>
    <w:rsid w:val="00C02FAD"/>
    <w:rsid w:val="00C03529"/>
    <w:rsid w:val="00C03DC6"/>
    <w:rsid w:val="00C05696"/>
    <w:rsid w:val="00C06F55"/>
    <w:rsid w:val="00C07AD3"/>
    <w:rsid w:val="00C26809"/>
    <w:rsid w:val="00C32FC6"/>
    <w:rsid w:val="00C37C6C"/>
    <w:rsid w:val="00C40B03"/>
    <w:rsid w:val="00C40D10"/>
    <w:rsid w:val="00C44CD6"/>
    <w:rsid w:val="00C47A36"/>
    <w:rsid w:val="00C540FA"/>
    <w:rsid w:val="00C56FFA"/>
    <w:rsid w:val="00C61872"/>
    <w:rsid w:val="00C64471"/>
    <w:rsid w:val="00C7047B"/>
    <w:rsid w:val="00C72464"/>
    <w:rsid w:val="00C73C42"/>
    <w:rsid w:val="00C75C59"/>
    <w:rsid w:val="00CC25BB"/>
    <w:rsid w:val="00CC281F"/>
    <w:rsid w:val="00CC4A17"/>
    <w:rsid w:val="00CD03A3"/>
    <w:rsid w:val="00CD0729"/>
    <w:rsid w:val="00CD339A"/>
    <w:rsid w:val="00CE3C77"/>
    <w:rsid w:val="00CE7C15"/>
    <w:rsid w:val="00CF5751"/>
    <w:rsid w:val="00D017DA"/>
    <w:rsid w:val="00D07710"/>
    <w:rsid w:val="00D11991"/>
    <w:rsid w:val="00D12015"/>
    <w:rsid w:val="00D16369"/>
    <w:rsid w:val="00D16FCF"/>
    <w:rsid w:val="00D27EA9"/>
    <w:rsid w:val="00D30B05"/>
    <w:rsid w:val="00D33756"/>
    <w:rsid w:val="00D36BDE"/>
    <w:rsid w:val="00D37457"/>
    <w:rsid w:val="00D37B12"/>
    <w:rsid w:val="00D4231B"/>
    <w:rsid w:val="00D50EFB"/>
    <w:rsid w:val="00D57E3F"/>
    <w:rsid w:val="00D6138C"/>
    <w:rsid w:val="00D62F28"/>
    <w:rsid w:val="00D71B56"/>
    <w:rsid w:val="00D72DAF"/>
    <w:rsid w:val="00D80106"/>
    <w:rsid w:val="00DA4DBC"/>
    <w:rsid w:val="00DB54FA"/>
    <w:rsid w:val="00DB6BF3"/>
    <w:rsid w:val="00DC53C8"/>
    <w:rsid w:val="00DC69C0"/>
    <w:rsid w:val="00DD1AC3"/>
    <w:rsid w:val="00DF30CB"/>
    <w:rsid w:val="00E0116D"/>
    <w:rsid w:val="00E01A0E"/>
    <w:rsid w:val="00E01B32"/>
    <w:rsid w:val="00E03405"/>
    <w:rsid w:val="00E034C7"/>
    <w:rsid w:val="00E1015B"/>
    <w:rsid w:val="00E10B88"/>
    <w:rsid w:val="00E10F82"/>
    <w:rsid w:val="00E35579"/>
    <w:rsid w:val="00E37D47"/>
    <w:rsid w:val="00E41E9B"/>
    <w:rsid w:val="00E46792"/>
    <w:rsid w:val="00E57023"/>
    <w:rsid w:val="00E5748F"/>
    <w:rsid w:val="00E61F4B"/>
    <w:rsid w:val="00E66B7B"/>
    <w:rsid w:val="00E756A7"/>
    <w:rsid w:val="00E772BC"/>
    <w:rsid w:val="00E826F3"/>
    <w:rsid w:val="00E83D81"/>
    <w:rsid w:val="00E8741D"/>
    <w:rsid w:val="00E930B3"/>
    <w:rsid w:val="00E93C88"/>
    <w:rsid w:val="00E9640E"/>
    <w:rsid w:val="00EA1EF1"/>
    <w:rsid w:val="00EA7042"/>
    <w:rsid w:val="00EB0250"/>
    <w:rsid w:val="00EB29B9"/>
    <w:rsid w:val="00EB4366"/>
    <w:rsid w:val="00EB71D6"/>
    <w:rsid w:val="00EC1C7E"/>
    <w:rsid w:val="00EC2412"/>
    <w:rsid w:val="00EC709C"/>
    <w:rsid w:val="00EE5F4F"/>
    <w:rsid w:val="00EE727D"/>
    <w:rsid w:val="00F05108"/>
    <w:rsid w:val="00F07A52"/>
    <w:rsid w:val="00F1442F"/>
    <w:rsid w:val="00F20CFB"/>
    <w:rsid w:val="00F21980"/>
    <w:rsid w:val="00F3114B"/>
    <w:rsid w:val="00F31514"/>
    <w:rsid w:val="00F33558"/>
    <w:rsid w:val="00F430C2"/>
    <w:rsid w:val="00F45183"/>
    <w:rsid w:val="00F51AC2"/>
    <w:rsid w:val="00F5788D"/>
    <w:rsid w:val="00F62087"/>
    <w:rsid w:val="00F62AB9"/>
    <w:rsid w:val="00F62DC6"/>
    <w:rsid w:val="00F64ABA"/>
    <w:rsid w:val="00F6735C"/>
    <w:rsid w:val="00F709C3"/>
    <w:rsid w:val="00F723FB"/>
    <w:rsid w:val="00F72BE1"/>
    <w:rsid w:val="00F75229"/>
    <w:rsid w:val="00F93B83"/>
    <w:rsid w:val="00F9493B"/>
    <w:rsid w:val="00FA03F8"/>
    <w:rsid w:val="00FA4E29"/>
    <w:rsid w:val="00FB3AB1"/>
    <w:rsid w:val="00FB6541"/>
    <w:rsid w:val="00FB6794"/>
    <w:rsid w:val="00FC2466"/>
    <w:rsid w:val="00FC514E"/>
    <w:rsid w:val="00FC7699"/>
    <w:rsid w:val="00FD2F1F"/>
    <w:rsid w:val="00FE2192"/>
    <w:rsid w:val="00FE309A"/>
    <w:rsid w:val="00FF2D7D"/>
    <w:rsid w:val="00FF3DD2"/>
    <w:rsid w:val="00FF59C3"/>
    <w:rsid w:val="00FF6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1A55F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28C"/>
    <w:pPr>
      <w:spacing w:before="120" w:after="120"/>
    </w:pPr>
    <w:rPr>
      <w:rFonts w:ascii="Myriad Pro" w:hAnsi="Myriad Pro"/>
    </w:rPr>
  </w:style>
  <w:style w:type="paragraph" w:styleId="Heading1">
    <w:name w:val="heading 1"/>
    <w:basedOn w:val="Normal"/>
    <w:next w:val="Normal"/>
    <w:link w:val="Heading1Char"/>
    <w:qFormat/>
    <w:rsid w:val="00B26E46"/>
    <w:pPr>
      <w:spacing w:before="360" w:after="0" w:line="288" w:lineRule="auto"/>
      <w:outlineLvl w:val="0"/>
    </w:pPr>
    <w:rPr>
      <w:rFonts w:ascii="Arial" w:hAnsi="Arial" w:cs="Arial"/>
      <w:b/>
      <w:color w:val="C10A27"/>
      <w:sz w:val="32"/>
      <w:szCs w:val="22"/>
    </w:rPr>
  </w:style>
  <w:style w:type="paragraph" w:styleId="Heading2">
    <w:name w:val="heading 2"/>
    <w:basedOn w:val="Normal"/>
    <w:next w:val="Normal"/>
    <w:link w:val="Heading2Char"/>
    <w:unhideWhenUsed/>
    <w:qFormat/>
    <w:rsid w:val="00B26E46"/>
    <w:pPr>
      <w:spacing w:before="240" w:line="288" w:lineRule="auto"/>
      <w:outlineLvl w:val="1"/>
    </w:pPr>
    <w:rPr>
      <w:rFonts w:ascii="Arial" w:hAnsi="Arial" w:cs="Arial"/>
      <w:b/>
      <w:color w:val="C10A27"/>
      <w:sz w:val="24"/>
      <w:szCs w:val="22"/>
    </w:rPr>
  </w:style>
  <w:style w:type="paragraph" w:styleId="Heading3">
    <w:name w:val="heading 3"/>
    <w:basedOn w:val="Normal"/>
    <w:next w:val="Normal"/>
    <w:link w:val="Heading3Char"/>
    <w:unhideWhenUsed/>
    <w:qFormat/>
    <w:rsid w:val="00B26E46"/>
    <w:pPr>
      <w:spacing w:before="240" w:line="288" w:lineRule="auto"/>
      <w:outlineLvl w:val="2"/>
    </w:pPr>
    <w:rPr>
      <w:rFonts w:ascii="Arial" w:hAnsi="Arial" w:cs="Arial"/>
      <w:b/>
      <w:color w:val="C10A27"/>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D80106"/>
    <w:rPr>
      <w:sz w:val="52"/>
      <w:szCs w:val="52"/>
    </w:rPr>
  </w:style>
  <w:style w:type="character" w:customStyle="1" w:styleId="TitleChar">
    <w:name w:val="Title Char"/>
    <w:basedOn w:val="DefaultParagraphFont"/>
    <w:link w:val="Title"/>
    <w:rsid w:val="00D80106"/>
    <w:rPr>
      <w:rFonts w:ascii="Myriad Pro" w:hAnsi="Myriad Pro"/>
      <w:sz w:val="52"/>
      <w:szCs w:val="52"/>
    </w:rPr>
  </w:style>
  <w:style w:type="table" w:styleId="TableGrid">
    <w:name w:val="Table Grid"/>
    <w:basedOn w:val="TableNormal"/>
    <w:rsid w:val="009B7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B22F7"/>
    <w:pPr>
      <w:spacing w:before="0" w:after="0"/>
    </w:pPr>
    <w:rPr>
      <w:rFonts w:ascii="Tahoma" w:hAnsi="Tahoma" w:cs="Tahoma"/>
      <w:sz w:val="16"/>
      <w:szCs w:val="16"/>
    </w:rPr>
  </w:style>
  <w:style w:type="character" w:customStyle="1" w:styleId="BalloonTextChar">
    <w:name w:val="Balloon Text Char"/>
    <w:basedOn w:val="DefaultParagraphFont"/>
    <w:link w:val="BalloonText"/>
    <w:rsid w:val="009B22F7"/>
    <w:rPr>
      <w:rFonts w:ascii="Tahoma" w:hAnsi="Tahoma" w:cs="Tahoma"/>
      <w:sz w:val="16"/>
      <w:szCs w:val="16"/>
    </w:rPr>
  </w:style>
  <w:style w:type="paragraph" w:styleId="ListParagraph">
    <w:name w:val="List Paragraph"/>
    <w:basedOn w:val="Normal"/>
    <w:uiPriority w:val="34"/>
    <w:qFormat/>
    <w:rsid w:val="002D4E89"/>
    <w:pPr>
      <w:spacing w:before="0" w:after="0"/>
      <w:ind w:left="720"/>
      <w:contextualSpacing/>
    </w:pPr>
    <w:rPr>
      <w:rFonts w:ascii="Times New Roman" w:hAnsi="Times New Roman"/>
      <w:sz w:val="24"/>
      <w:szCs w:val="24"/>
    </w:rPr>
  </w:style>
  <w:style w:type="paragraph" w:customStyle="1" w:styleId="FactSheetNormal">
    <w:name w:val="Fact Sheet Normal"/>
    <w:basedOn w:val="BodyText"/>
    <w:link w:val="FactSheetNormalChar"/>
    <w:qFormat/>
    <w:rsid w:val="001B7916"/>
    <w:pPr>
      <w:suppressAutoHyphens/>
      <w:autoSpaceDE w:val="0"/>
      <w:autoSpaceDN w:val="0"/>
      <w:adjustRightInd w:val="0"/>
      <w:spacing w:before="0" w:line="280" w:lineRule="atLeast"/>
      <w:textAlignment w:val="center"/>
    </w:pPr>
    <w:rPr>
      <w:rFonts w:ascii="Arial" w:hAnsi="Arial" w:cs="Arial"/>
      <w:color w:val="000000"/>
      <w:sz w:val="22"/>
      <w:szCs w:val="22"/>
      <w:lang w:val="en-GB"/>
    </w:rPr>
  </w:style>
  <w:style w:type="character" w:customStyle="1" w:styleId="FactSheetNormalChar">
    <w:name w:val="Fact Sheet Normal Char"/>
    <w:basedOn w:val="BodyTextChar"/>
    <w:link w:val="FactSheetNormal"/>
    <w:rsid w:val="001B7916"/>
    <w:rPr>
      <w:rFonts w:ascii="Arial" w:hAnsi="Arial" w:cs="Arial"/>
      <w:color w:val="000000"/>
      <w:sz w:val="22"/>
      <w:szCs w:val="22"/>
      <w:lang w:val="en-GB"/>
    </w:rPr>
  </w:style>
  <w:style w:type="paragraph" w:styleId="BodyText">
    <w:name w:val="Body Text"/>
    <w:basedOn w:val="Normal"/>
    <w:link w:val="BodyTextChar"/>
    <w:rsid w:val="001B7916"/>
  </w:style>
  <w:style w:type="character" w:customStyle="1" w:styleId="BodyTextChar">
    <w:name w:val="Body Text Char"/>
    <w:basedOn w:val="DefaultParagraphFont"/>
    <w:link w:val="BodyText"/>
    <w:rsid w:val="001B7916"/>
    <w:rPr>
      <w:rFonts w:ascii="Myriad Pro" w:hAnsi="Myriad Pro"/>
    </w:rPr>
  </w:style>
  <w:style w:type="character" w:customStyle="1" w:styleId="Heading2Char">
    <w:name w:val="Heading 2 Char"/>
    <w:basedOn w:val="DefaultParagraphFont"/>
    <w:link w:val="Heading2"/>
    <w:rsid w:val="00B26E46"/>
    <w:rPr>
      <w:rFonts w:ascii="Arial" w:hAnsi="Arial" w:cs="Arial"/>
      <w:b/>
      <w:color w:val="C10A27"/>
      <w:sz w:val="24"/>
      <w:szCs w:val="22"/>
    </w:rPr>
  </w:style>
  <w:style w:type="paragraph" w:customStyle="1" w:styleId="Figureheading">
    <w:name w:val="Figure heading"/>
    <w:basedOn w:val="Normal"/>
    <w:link w:val="FigureheadingChar"/>
    <w:qFormat/>
    <w:rsid w:val="00487719"/>
    <w:pPr>
      <w:suppressAutoHyphens/>
      <w:autoSpaceDE w:val="0"/>
      <w:autoSpaceDN w:val="0"/>
      <w:adjustRightInd w:val="0"/>
      <w:spacing w:before="0" w:after="57" w:line="220" w:lineRule="atLeast"/>
      <w:textAlignment w:val="center"/>
    </w:pPr>
    <w:rPr>
      <w:rFonts w:ascii="Arial" w:hAnsi="Arial" w:cs="Arial"/>
      <w:b/>
      <w:color w:val="000000"/>
      <w:lang w:val="en-GB"/>
    </w:rPr>
  </w:style>
  <w:style w:type="character" w:customStyle="1" w:styleId="FigureheadingChar">
    <w:name w:val="Figure heading Char"/>
    <w:basedOn w:val="DefaultParagraphFont"/>
    <w:link w:val="Figureheading"/>
    <w:rsid w:val="00487719"/>
    <w:rPr>
      <w:rFonts w:ascii="Arial" w:hAnsi="Arial" w:cs="Arial"/>
      <w:b/>
      <w:color w:val="000000"/>
      <w:lang w:val="en-GB"/>
    </w:rPr>
  </w:style>
  <w:style w:type="paragraph" w:customStyle="1" w:styleId="Headerrow">
    <w:name w:val="Header row"/>
    <w:basedOn w:val="Normal"/>
    <w:link w:val="HeaderrowChar"/>
    <w:qFormat/>
    <w:rsid w:val="00487719"/>
    <w:pPr>
      <w:spacing w:before="0" w:after="0"/>
    </w:pPr>
    <w:rPr>
      <w:rFonts w:ascii="Arial" w:hAnsi="Arial" w:cs="Arial"/>
      <w:b/>
      <w:bCs/>
      <w:color w:val="000000"/>
      <w:sz w:val="16"/>
      <w:szCs w:val="16"/>
    </w:rPr>
  </w:style>
  <w:style w:type="paragraph" w:customStyle="1" w:styleId="FactSheetTableRowHeadings">
    <w:name w:val="Fact Sheet Table Row Headings"/>
    <w:basedOn w:val="Normal"/>
    <w:link w:val="FactSheetTableRowHeadingsChar"/>
    <w:qFormat/>
    <w:rsid w:val="00487719"/>
    <w:pPr>
      <w:spacing w:before="0" w:after="0"/>
    </w:pPr>
    <w:rPr>
      <w:rFonts w:ascii="Arial" w:hAnsi="Arial" w:cs="Arial"/>
      <w:b/>
      <w:bCs/>
      <w:color w:val="000000"/>
      <w:sz w:val="16"/>
      <w:szCs w:val="16"/>
    </w:rPr>
  </w:style>
  <w:style w:type="character" w:customStyle="1" w:styleId="HeaderrowChar">
    <w:name w:val="Header row Char"/>
    <w:basedOn w:val="DefaultParagraphFont"/>
    <w:link w:val="Headerrow"/>
    <w:rsid w:val="00487719"/>
    <w:rPr>
      <w:rFonts w:ascii="Arial" w:hAnsi="Arial" w:cs="Arial"/>
      <w:b/>
      <w:bCs/>
      <w:color w:val="000000"/>
      <w:sz w:val="16"/>
      <w:szCs w:val="16"/>
    </w:rPr>
  </w:style>
  <w:style w:type="paragraph" w:customStyle="1" w:styleId="FactSheetNotes">
    <w:name w:val="Fact Sheet Notes"/>
    <w:basedOn w:val="Normal"/>
    <w:link w:val="FactSheetNotesChar"/>
    <w:qFormat/>
    <w:rsid w:val="00487719"/>
    <w:pPr>
      <w:spacing w:before="0" w:after="0"/>
    </w:pPr>
    <w:rPr>
      <w:rFonts w:ascii="Arial" w:hAnsi="Arial" w:cs="Arial"/>
      <w:sz w:val="16"/>
      <w:szCs w:val="16"/>
    </w:rPr>
  </w:style>
  <w:style w:type="character" w:customStyle="1" w:styleId="FactSheetTableRowHeadingsChar">
    <w:name w:val="Fact Sheet Table Row Headings Char"/>
    <w:basedOn w:val="DefaultParagraphFont"/>
    <w:link w:val="FactSheetTableRowHeadings"/>
    <w:rsid w:val="00487719"/>
    <w:rPr>
      <w:rFonts w:ascii="Arial" w:hAnsi="Arial" w:cs="Arial"/>
      <w:b/>
      <w:bCs/>
      <w:color w:val="000000"/>
      <w:sz w:val="16"/>
      <w:szCs w:val="16"/>
    </w:rPr>
  </w:style>
  <w:style w:type="paragraph" w:customStyle="1" w:styleId="Tableheading">
    <w:name w:val="Table heading"/>
    <w:basedOn w:val="Normal"/>
    <w:link w:val="TableheadingChar"/>
    <w:qFormat/>
    <w:rsid w:val="00487719"/>
    <w:pPr>
      <w:spacing w:after="60"/>
    </w:pPr>
    <w:rPr>
      <w:rFonts w:ascii="Arial" w:hAnsi="Arial" w:cs="Arial"/>
      <w:b/>
    </w:rPr>
  </w:style>
  <w:style w:type="character" w:customStyle="1" w:styleId="FactSheetNotesChar">
    <w:name w:val="Fact Sheet Notes Char"/>
    <w:basedOn w:val="DefaultParagraphFont"/>
    <w:link w:val="FactSheetNotes"/>
    <w:rsid w:val="00487719"/>
    <w:rPr>
      <w:rFonts w:ascii="Arial" w:hAnsi="Arial" w:cs="Arial"/>
      <w:sz w:val="16"/>
      <w:szCs w:val="16"/>
    </w:rPr>
  </w:style>
  <w:style w:type="character" w:customStyle="1" w:styleId="TableheadingChar">
    <w:name w:val="Table heading Char"/>
    <w:basedOn w:val="DefaultParagraphFont"/>
    <w:link w:val="Tableheading"/>
    <w:rsid w:val="00487719"/>
    <w:rPr>
      <w:rFonts w:ascii="Arial" w:hAnsi="Arial" w:cs="Arial"/>
      <w:b/>
    </w:rPr>
  </w:style>
  <w:style w:type="character" w:styleId="Hyperlink">
    <w:name w:val="Hyperlink"/>
    <w:basedOn w:val="DefaultParagraphFont"/>
    <w:rsid w:val="000330A1"/>
    <w:rPr>
      <w:color w:val="0000FF" w:themeColor="hyperlink"/>
      <w:u w:val="single"/>
    </w:rPr>
  </w:style>
  <w:style w:type="character" w:styleId="CommentReference">
    <w:name w:val="annotation reference"/>
    <w:basedOn w:val="DefaultParagraphFont"/>
    <w:rsid w:val="00B82799"/>
    <w:rPr>
      <w:sz w:val="16"/>
      <w:szCs w:val="16"/>
    </w:rPr>
  </w:style>
  <w:style w:type="paragraph" w:styleId="CommentText">
    <w:name w:val="annotation text"/>
    <w:basedOn w:val="Normal"/>
    <w:link w:val="CommentTextChar"/>
    <w:rsid w:val="00B82799"/>
  </w:style>
  <w:style w:type="character" w:customStyle="1" w:styleId="CommentTextChar">
    <w:name w:val="Comment Text Char"/>
    <w:basedOn w:val="DefaultParagraphFont"/>
    <w:link w:val="CommentText"/>
    <w:rsid w:val="00B82799"/>
    <w:rPr>
      <w:rFonts w:ascii="Myriad Pro" w:hAnsi="Myriad Pro"/>
    </w:rPr>
  </w:style>
  <w:style w:type="paragraph" w:styleId="CommentSubject">
    <w:name w:val="annotation subject"/>
    <w:basedOn w:val="CommentText"/>
    <w:next w:val="CommentText"/>
    <w:link w:val="CommentSubjectChar"/>
    <w:rsid w:val="00B82799"/>
    <w:rPr>
      <w:b/>
      <w:bCs/>
    </w:rPr>
  </w:style>
  <w:style w:type="character" w:customStyle="1" w:styleId="CommentSubjectChar">
    <w:name w:val="Comment Subject Char"/>
    <w:basedOn w:val="CommentTextChar"/>
    <w:link w:val="CommentSubject"/>
    <w:rsid w:val="00B82799"/>
    <w:rPr>
      <w:rFonts w:ascii="Myriad Pro" w:hAnsi="Myriad Pro"/>
      <w:b/>
      <w:bCs/>
    </w:rPr>
  </w:style>
  <w:style w:type="paragraph" w:styleId="Revision">
    <w:name w:val="Revision"/>
    <w:hidden/>
    <w:uiPriority w:val="99"/>
    <w:semiHidden/>
    <w:rsid w:val="00D6138C"/>
    <w:rPr>
      <w:rFonts w:ascii="Myriad Pro" w:hAnsi="Myriad Pro"/>
    </w:rPr>
  </w:style>
  <w:style w:type="paragraph" w:styleId="Header">
    <w:name w:val="header"/>
    <w:basedOn w:val="Normal"/>
    <w:link w:val="HeaderChar"/>
    <w:rsid w:val="00046BC1"/>
    <w:pPr>
      <w:tabs>
        <w:tab w:val="center" w:pos="4513"/>
        <w:tab w:val="right" w:pos="9026"/>
      </w:tabs>
      <w:spacing w:before="0" w:after="0"/>
    </w:pPr>
  </w:style>
  <w:style w:type="character" w:customStyle="1" w:styleId="HeaderChar">
    <w:name w:val="Header Char"/>
    <w:basedOn w:val="DefaultParagraphFont"/>
    <w:link w:val="Header"/>
    <w:rsid w:val="00046BC1"/>
    <w:rPr>
      <w:rFonts w:ascii="Myriad Pro" w:hAnsi="Myriad Pro"/>
    </w:rPr>
  </w:style>
  <w:style w:type="paragraph" w:styleId="Footer">
    <w:name w:val="footer"/>
    <w:basedOn w:val="Normal"/>
    <w:link w:val="FooterChar"/>
    <w:uiPriority w:val="99"/>
    <w:rsid w:val="00046BC1"/>
    <w:pPr>
      <w:tabs>
        <w:tab w:val="center" w:pos="4513"/>
        <w:tab w:val="right" w:pos="9026"/>
      </w:tabs>
      <w:spacing w:before="0" w:after="0"/>
    </w:pPr>
  </w:style>
  <w:style w:type="character" w:customStyle="1" w:styleId="FooterChar">
    <w:name w:val="Footer Char"/>
    <w:basedOn w:val="DefaultParagraphFont"/>
    <w:link w:val="Footer"/>
    <w:uiPriority w:val="99"/>
    <w:rsid w:val="00046BC1"/>
    <w:rPr>
      <w:rFonts w:ascii="Myriad Pro" w:hAnsi="Myriad Pro"/>
    </w:rPr>
  </w:style>
  <w:style w:type="paragraph" w:customStyle="1" w:styleId="SWACoverHeader">
    <w:name w:val="SWA Cover Header"/>
    <w:basedOn w:val="Title"/>
    <w:link w:val="SWACoverHeaderChar"/>
    <w:qFormat/>
    <w:rsid w:val="00FE2192"/>
    <w:pPr>
      <w:overflowPunct w:val="0"/>
      <w:autoSpaceDE w:val="0"/>
      <w:autoSpaceDN w:val="0"/>
      <w:adjustRightInd w:val="0"/>
      <w:spacing w:before="5000" w:after="60"/>
      <w:textAlignment w:val="baseline"/>
      <w:outlineLvl w:val="0"/>
    </w:pPr>
    <w:rPr>
      <w:rFonts w:ascii="Arial Bold" w:eastAsiaTheme="majorEastAsia" w:hAnsi="Arial Bold" w:cs="Arial"/>
      <w:b/>
      <w:bCs/>
      <w:color w:val="FFFFFF" w:themeColor="background1"/>
      <w:kern w:val="28"/>
      <w:sz w:val="96"/>
      <w:szCs w:val="96"/>
      <w:lang w:eastAsia="en-US"/>
    </w:rPr>
  </w:style>
  <w:style w:type="character" w:customStyle="1" w:styleId="SWACoverHeaderChar">
    <w:name w:val="SWA Cover Header Char"/>
    <w:basedOn w:val="DefaultParagraphFont"/>
    <w:link w:val="SWACoverHeader"/>
    <w:rsid w:val="00FE2192"/>
    <w:rPr>
      <w:rFonts w:ascii="Arial Bold" w:eastAsiaTheme="majorEastAsia" w:hAnsi="Arial Bold" w:cs="Arial"/>
      <w:b/>
      <w:bCs/>
      <w:color w:val="FFFFFF" w:themeColor="background1"/>
      <w:kern w:val="28"/>
      <w:sz w:val="96"/>
      <w:szCs w:val="96"/>
      <w:lang w:eastAsia="en-US"/>
    </w:rPr>
  </w:style>
  <w:style w:type="character" w:styleId="FollowedHyperlink">
    <w:name w:val="FollowedHyperlink"/>
    <w:basedOn w:val="DefaultParagraphFont"/>
    <w:rsid w:val="003F23DE"/>
    <w:rPr>
      <w:color w:val="800080" w:themeColor="followedHyperlink"/>
      <w:u w:val="single"/>
    </w:rPr>
  </w:style>
  <w:style w:type="paragraph" w:styleId="FootnoteText">
    <w:name w:val="footnote text"/>
    <w:basedOn w:val="Normal"/>
    <w:link w:val="FootnoteTextChar"/>
    <w:unhideWhenUsed/>
    <w:rsid w:val="00B26E46"/>
    <w:pPr>
      <w:spacing w:before="0" w:after="0"/>
    </w:pPr>
    <w:rPr>
      <w:rFonts w:ascii="Arial" w:eastAsiaTheme="minorHAnsi" w:hAnsi="Arial" w:cstheme="minorBidi"/>
      <w:lang w:eastAsia="en-US"/>
    </w:rPr>
  </w:style>
  <w:style w:type="character" w:customStyle="1" w:styleId="FootnoteTextChar">
    <w:name w:val="Footnote Text Char"/>
    <w:basedOn w:val="DefaultParagraphFont"/>
    <w:link w:val="FootnoteText"/>
    <w:rsid w:val="00B26E46"/>
    <w:rPr>
      <w:rFonts w:ascii="Arial" w:eastAsiaTheme="minorHAnsi" w:hAnsi="Arial" w:cstheme="minorBidi"/>
      <w:lang w:eastAsia="en-US"/>
    </w:rPr>
  </w:style>
  <w:style w:type="character" w:styleId="FootnoteReference">
    <w:name w:val="footnote reference"/>
    <w:basedOn w:val="DefaultParagraphFont"/>
    <w:unhideWhenUsed/>
    <w:rsid w:val="00D62F28"/>
    <w:rPr>
      <w:vertAlign w:val="superscript"/>
    </w:rPr>
  </w:style>
  <w:style w:type="paragraph" w:styleId="NormalWeb">
    <w:name w:val="Normal (Web)"/>
    <w:basedOn w:val="Normal"/>
    <w:uiPriority w:val="99"/>
    <w:unhideWhenUsed/>
    <w:rsid w:val="003850F0"/>
    <w:pPr>
      <w:spacing w:before="100" w:beforeAutospacing="1" w:after="100" w:afterAutospacing="1"/>
    </w:pPr>
    <w:rPr>
      <w:rFonts w:ascii="Times New Roman" w:hAnsi="Times New Roman"/>
      <w:sz w:val="24"/>
      <w:szCs w:val="24"/>
    </w:rPr>
  </w:style>
  <w:style w:type="paragraph" w:customStyle="1" w:styleId="Bodytextjustified">
    <w:name w:val="Body text justified"/>
    <w:basedOn w:val="Normal"/>
    <w:qFormat/>
    <w:rsid w:val="00B329A2"/>
    <w:pPr>
      <w:spacing w:line="288" w:lineRule="auto"/>
      <w:jc w:val="both"/>
    </w:pPr>
    <w:rPr>
      <w:rFonts w:ascii="Arial" w:hAnsi="Arial" w:cs="Arial"/>
      <w:sz w:val="22"/>
      <w:szCs w:val="22"/>
    </w:rPr>
  </w:style>
  <w:style w:type="character" w:customStyle="1" w:styleId="Heading1Char">
    <w:name w:val="Heading 1 Char"/>
    <w:basedOn w:val="DefaultParagraphFont"/>
    <w:link w:val="Heading1"/>
    <w:rsid w:val="00B26E46"/>
    <w:rPr>
      <w:rFonts w:ascii="Arial" w:hAnsi="Arial" w:cs="Arial"/>
      <w:b/>
      <w:color w:val="C10A27"/>
      <w:sz w:val="32"/>
      <w:szCs w:val="22"/>
    </w:rPr>
  </w:style>
  <w:style w:type="character" w:customStyle="1" w:styleId="Heading3Char">
    <w:name w:val="Heading 3 Char"/>
    <w:basedOn w:val="DefaultParagraphFont"/>
    <w:link w:val="Heading3"/>
    <w:rsid w:val="00B26E46"/>
    <w:rPr>
      <w:rFonts w:ascii="Arial" w:hAnsi="Arial" w:cs="Arial"/>
      <w:b/>
      <w:color w:val="C10A27"/>
      <w:sz w:val="22"/>
      <w:szCs w:val="22"/>
    </w:rPr>
  </w:style>
  <w:style w:type="paragraph" w:styleId="NoSpacing">
    <w:name w:val="No Spacing"/>
    <w:link w:val="NoSpacingChar"/>
    <w:uiPriority w:val="1"/>
    <w:qFormat/>
    <w:rsid w:val="00DF30C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DF30CB"/>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13">
      <w:bodyDiv w:val="1"/>
      <w:marLeft w:val="0"/>
      <w:marRight w:val="0"/>
      <w:marTop w:val="0"/>
      <w:marBottom w:val="0"/>
      <w:divBdr>
        <w:top w:val="none" w:sz="0" w:space="0" w:color="auto"/>
        <w:left w:val="none" w:sz="0" w:space="0" w:color="auto"/>
        <w:bottom w:val="none" w:sz="0" w:space="0" w:color="auto"/>
        <w:right w:val="none" w:sz="0" w:space="0" w:color="auto"/>
      </w:divBdr>
    </w:div>
    <w:div w:id="29260914">
      <w:bodyDiv w:val="1"/>
      <w:marLeft w:val="0"/>
      <w:marRight w:val="0"/>
      <w:marTop w:val="0"/>
      <w:marBottom w:val="0"/>
      <w:divBdr>
        <w:top w:val="none" w:sz="0" w:space="0" w:color="auto"/>
        <w:left w:val="none" w:sz="0" w:space="0" w:color="auto"/>
        <w:bottom w:val="none" w:sz="0" w:space="0" w:color="auto"/>
        <w:right w:val="none" w:sz="0" w:space="0" w:color="auto"/>
      </w:divBdr>
    </w:div>
    <w:div w:id="60249301">
      <w:bodyDiv w:val="1"/>
      <w:marLeft w:val="0"/>
      <w:marRight w:val="0"/>
      <w:marTop w:val="0"/>
      <w:marBottom w:val="0"/>
      <w:divBdr>
        <w:top w:val="none" w:sz="0" w:space="0" w:color="auto"/>
        <w:left w:val="none" w:sz="0" w:space="0" w:color="auto"/>
        <w:bottom w:val="none" w:sz="0" w:space="0" w:color="auto"/>
        <w:right w:val="none" w:sz="0" w:space="0" w:color="auto"/>
      </w:divBdr>
    </w:div>
    <w:div w:id="131337309">
      <w:bodyDiv w:val="1"/>
      <w:marLeft w:val="0"/>
      <w:marRight w:val="0"/>
      <w:marTop w:val="0"/>
      <w:marBottom w:val="0"/>
      <w:divBdr>
        <w:top w:val="none" w:sz="0" w:space="0" w:color="auto"/>
        <w:left w:val="none" w:sz="0" w:space="0" w:color="auto"/>
        <w:bottom w:val="none" w:sz="0" w:space="0" w:color="auto"/>
        <w:right w:val="none" w:sz="0" w:space="0" w:color="auto"/>
      </w:divBdr>
    </w:div>
    <w:div w:id="295188398">
      <w:bodyDiv w:val="1"/>
      <w:marLeft w:val="0"/>
      <w:marRight w:val="0"/>
      <w:marTop w:val="0"/>
      <w:marBottom w:val="0"/>
      <w:divBdr>
        <w:top w:val="none" w:sz="0" w:space="0" w:color="auto"/>
        <w:left w:val="none" w:sz="0" w:space="0" w:color="auto"/>
        <w:bottom w:val="none" w:sz="0" w:space="0" w:color="auto"/>
        <w:right w:val="none" w:sz="0" w:space="0" w:color="auto"/>
      </w:divBdr>
    </w:div>
    <w:div w:id="376242516">
      <w:bodyDiv w:val="1"/>
      <w:marLeft w:val="0"/>
      <w:marRight w:val="0"/>
      <w:marTop w:val="0"/>
      <w:marBottom w:val="0"/>
      <w:divBdr>
        <w:top w:val="none" w:sz="0" w:space="0" w:color="auto"/>
        <w:left w:val="none" w:sz="0" w:space="0" w:color="auto"/>
        <w:bottom w:val="none" w:sz="0" w:space="0" w:color="auto"/>
        <w:right w:val="none" w:sz="0" w:space="0" w:color="auto"/>
      </w:divBdr>
    </w:div>
    <w:div w:id="450561679">
      <w:bodyDiv w:val="1"/>
      <w:marLeft w:val="0"/>
      <w:marRight w:val="0"/>
      <w:marTop w:val="0"/>
      <w:marBottom w:val="0"/>
      <w:divBdr>
        <w:top w:val="none" w:sz="0" w:space="0" w:color="auto"/>
        <w:left w:val="none" w:sz="0" w:space="0" w:color="auto"/>
        <w:bottom w:val="none" w:sz="0" w:space="0" w:color="auto"/>
        <w:right w:val="none" w:sz="0" w:space="0" w:color="auto"/>
      </w:divBdr>
    </w:div>
    <w:div w:id="467479492">
      <w:bodyDiv w:val="1"/>
      <w:marLeft w:val="0"/>
      <w:marRight w:val="0"/>
      <w:marTop w:val="0"/>
      <w:marBottom w:val="0"/>
      <w:divBdr>
        <w:top w:val="none" w:sz="0" w:space="0" w:color="auto"/>
        <w:left w:val="none" w:sz="0" w:space="0" w:color="auto"/>
        <w:bottom w:val="none" w:sz="0" w:space="0" w:color="auto"/>
        <w:right w:val="none" w:sz="0" w:space="0" w:color="auto"/>
      </w:divBdr>
    </w:div>
    <w:div w:id="556235832">
      <w:bodyDiv w:val="1"/>
      <w:marLeft w:val="0"/>
      <w:marRight w:val="0"/>
      <w:marTop w:val="0"/>
      <w:marBottom w:val="0"/>
      <w:divBdr>
        <w:top w:val="none" w:sz="0" w:space="0" w:color="auto"/>
        <w:left w:val="none" w:sz="0" w:space="0" w:color="auto"/>
        <w:bottom w:val="none" w:sz="0" w:space="0" w:color="auto"/>
        <w:right w:val="none" w:sz="0" w:space="0" w:color="auto"/>
      </w:divBdr>
    </w:div>
    <w:div w:id="571084924">
      <w:bodyDiv w:val="1"/>
      <w:marLeft w:val="0"/>
      <w:marRight w:val="0"/>
      <w:marTop w:val="0"/>
      <w:marBottom w:val="0"/>
      <w:divBdr>
        <w:top w:val="none" w:sz="0" w:space="0" w:color="auto"/>
        <w:left w:val="none" w:sz="0" w:space="0" w:color="auto"/>
        <w:bottom w:val="none" w:sz="0" w:space="0" w:color="auto"/>
        <w:right w:val="none" w:sz="0" w:space="0" w:color="auto"/>
      </w:divBdr>
      <w:divsChild>
        <w:div w:id="1291672049">
          <w:marLeft w:val="0"/>
          <w:marRight w:val="0"/>
          <w:marTop w:val="0"/>
          <w:marBottom w:val="0"/>
          <w:divBdr>
            <w:top w:val="none" w:sz="0" w:space="0" w:color="auto"/>
            <w:left w:val="none" w:sz="0" w:space="0" w:color="auto"/>
            <w:bottom w:val="none" w:sz="0" w:space="0" w:color="auto"/>
            <w:right w:val="none" w:sz="0" w:space="0" w:color="auto"/>
          </w:divBdr>
          <w:divsChild>
            <w:div w:id="1863476566">
              <w:marLeft w:val="0"/>
              <w:marRight w:val="0"/>
              <w:marTop w:val="0"/>
              <w:marBottom w:val="0"/>
              <w:divBdr>
                <w:top w:val="none" w:sz="0" w:space="0" w:color="auto"/>
                <w:left w:val="none" w:sz="0" w:space="0" w:color="auto"/>
                <w:bottom w:val="none" w:sz="0" w:space="0" w:color="auto"/>
                <w:right w:val="none" w:sz="0" w:space="0" w:color="auto"/>
              </w:divBdr>
              <w:divsChild>
                <w:div w:id="1700665128">
                  <w:marLeft w:val="0"/>
                  <w:marRight w:val="0"/>
                  <w:marTop w:val="0"/>
                  <w:marBottom w:val="0"/>
                  <w:divBdr>
                    <w:top w:val="none" w:sz="0" w:space="0" w:color="auto"/>
                    <w:left w:val="none" w:sz="0" w:space="0" w:color="auto"/>
                    <w:bottom w:val="none" w:sz="0" w:space="0" w:color="auto"/>
                    <w:right w:val="none" w:sz="0" w:space="0" w:color="auto"/>
                  </w:divBdr>
                  <w:divsChild>
                    <w:div w:id="941374097">
                      <w:marLeft w:val="0"/>
                      <w:marRight w:val="0"/>
                      <w:marTop w:val="0"/>
                      <w:marBottom w:val="0"/>
                      <w:divBdr>
                        <w:top w:val="none" w:sz="0" w:space="0" w:color="auto"/>
                        <w:left w:val="none" w:sz="0" w:space="0" w:color="auto"/>
                        <w:bottom w:val="none" w:sz="0" w:space="0" w:color="auto"/>
                        <w:right w:val="none" w:sz="0" w:space="0" w:color="auto"/>
                      </w:divBdr>
                      <w:divsChild>
                        <w:div w:id="1011645697">
                          <w:marLeft w:val="0"/>
                          <w:marRight w:val="0"/>
                          <w:marTop w:val="0"/>
                          <w:marBottom w:val="0"/>
                          <w:divBdr>
                            <w:top w:val="none" w:sz="0" w:space="0" w:color="auto"/>
                            <w:left w:val="none" w:sz="0" w:space="0" w:color="auto"/>
                            <w:bottom w:val="none" w:sz="0" w:space="0" w:color="auto"/>
                            <w:right w:val="none" w:sz="0" w:space="0" w:color="auto"/>
                          </w:divBdr>
                          <w:divsChild>
                            <w:div w:id="157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211309">
      <w:bodyDiv w:val="1"/>
      <w:marLeft w:val="0"/>
      <w:marRight w:val="0"/>
      <w:marTop w:val="0"/>
      <w:marBottom w:val="0"/>
      <w:divBdr>
        <w:top w:val="none" w:sz="0" w:space="0" w:color="auto"/>
        <w:left w:val="none" w:sz="0" w:space="0" w:color="auto"/>
        <w:bottom w:val="none" w:sz="0" w:space="0" w:color="auto"/>
        <w:right w:val="none" w:sz="0" w:space="0" w:color="auto"/>
      </w:divBdr>
      <w:divsChild>
        <w:div w:id="1448813551">
          <w:marLeft w:val="0"/>
          <w:marRight w:val="0"/>
          <w:marTop w:val="0"/>
          <w:marBottom w:val="0"/>
          <w:divBdr>
            <w:top w:val="none" w:sz="0" w:space="0" w:color="auto"/>
            <w:left w:val="none" w:sz="0" w:space="0" w:color="auto"/>
            <w:bottom w:val="none" w:sz="0" w:space="0" w:color="auto"/>
            <w:right w:val="none" w:sz="0" w:space="0" w:color="auto"/>
          </w:divBdr>
          <w:divsChild>
            <w:div w:id="1412121096">
              <w:marLeft w:val="0"/>
              <w:marRight w:val="0"/>
              <w:marTop w:val="0"/>
              <w:marBottom w:val="0"/>
              <w:divBdr>
                <w:top w:val="none" w:sz="0" w:space="0" w:color="auto"/>
                <w:left w:val="none" w:sz="0" w:space="0" w:color="auto"/>
                <w:bottom w:val="none" w:sz="0" w:space="0" w:color="auto"/>
                <w:right w:val="none" w:sz="0" w:space="0" w:color="auto"/>
              </w:divBdr>
              <w:divsChild>
                <w:div w:id="1754929659">
                  <w:marLeft w:val="0"/>
                  <w:marRight w:val="0"/>
                  <w:marTop w:val="195"/>
                  <w:marBottom w:val="0"/>
                  <w:divBdr>
                    <w:top w:val="none" w:sz="0" w:space="0" w:color="auto"/>
                    <w:left w:val="none" w:sz="0" w:space="0" w:color="auto"/>
                    <w:bottom w:val="none" w:sz="0" w:space="0" w:color="auto"/>
                    <w:right w:val="none" w:sz="0" w:space="0" w:color="auto"/>
                  </w:divBdr>
                  <w:divsChild>
                    <w:div w:id="1169831515">
                      <w:marLeft w:val="0"/>
                      <w:marRight w:val="0"/>
                      <w:marTop w:val="0"/>
                      <w:marBottom w:val="0"/>
                      <w:divBdr>
                        <w:top w:val="none" w:sz="0" w:space="0" w:color="auto"/>
                        <w:left w:val="none" w:sz="0" w:space="0" w:color="auto"/>
                        <w:bottom w:val="none" w:sz="0" w:space="0" w:color="auto"/>
                        <w:right w:val="none" w:sz="0" w:space="0" w:color="auto"/>
                      </w:divBdr>
                      <w:divsChild>
                        <w:div w:id="212163102">
                          <w:marLeft w:val="0"/>
                          <w:marRight w:val="0"/>
                          <w:marTop w:val="0"/>
                          <w:marBottom w:val="0"/>
                          <w:divBdr>
                            <w:top w:val="none" w:sz="0" w:space="0" w:color="auto"/>
                            <w:left w:val="none" w:sz="0" w:space="0" w:color="auto"/>
                            <w:bottom w:val="none" w:sz="0" w:space="0" w:color="auto"/>
                            <w:right w:val="none" w:sz="0" w:space="0" w:color="auto"/>
                          </w:divBdr>
                          <w:divsChild>
                            <w:div w:id="1581022357">
                              <w:marLeft w:val="0"/>
                              <w:marRight w:val="0"/>
                              <w:marTop w:val="0"/>
                              <w:marBottom w:val="0"/>
                              <w:divBdr>
                                <w:top w:val="none" w:sz="0" w:space="0" w:color="auto"/>
                                <w:left w:val="none" w:sz="0" w:space="0" w:color="auto"/>
                                <w:bottom w:val="none" w:sz="0" w:space="0" w:color="auto"/>
                                <w:right w:val="none" w:sz="0" w:space="0" w:color="auto"/>
                              </w:divBdr>
                              <w:divsChild>
                                <w:div w:id="249781420">
                                  <w:marLeft w:val="0"/>
                                  <w:marRight w:val="0"/>
                                  <w:marTop w:val="0"/>
                                  <w:marBottom w:val="0"/>
                                  <w:divBdr>
                                    <w:top w:val="none" w:sz="0" w:space="0" w:color="auto"/>
                                    <w:left w:val="none" w:sz="0" w:space="0" w:color="auto"/>
                                    <w:bottom w:val="none" w:sz="0" w:space="0" w:color="auto"/>
                                    <w:right w:val="none" w:sz="0" w:space="0" w:color="auto"/>
                                  </w:divBdr>
                                  <w:divsChild>
                                    <w:div w:id="237639755">
                                      <w:marLeft w:val="0"/>
                                      <w:marRight w:val="0"/>
                                      <w:marTop w:val="0"/>
                                      <w:marBottom w:val="0"/>
                                      <w:divBdr>
                                        <w:top w:val="none" w:sz="0" w:space="0" w:color="auto"/>
                                        <w:left w:val="none" w:sz="0" w:space="0" w:color="auto"/>
                                        <w:bottom w:val="none" w:sz="0" w:space="0" w:color="auto"/>
                                        <w:right w:val="none" w:sz="0" w:space="0" w:color="auto"/>
                                      </w:divBdr>
                                      <w:divsChild>
                                        <w:div w:id="637537655">
                                          <w:marLeft w:val="0"/>
                                          <w:marRight w:val="0"/>
                                          <w:marTop w:val="90"/>
                                          <w:marBottom w:val="0"/>
                                          <w:divBdr>
                                            <w:top w:val="none" w:sz="0" w:space="0" w:color="auto"/>
                                            <w:left w:val="none" w:sz="0" w:space="0" w:color="auto"/>
                                            <w:bottom w:val="none" w:sz="0" w:space="0" w:color="auto"/>
                                            <w:right w:val="none" w:sz="0" w:space="0" w:color="auto"/>
                                          </w:divBdr>
                                          <w:divsChild>
                                            <w:div w:id="154153935">
                                              <w:marLeft w:val="0"/>
                                              <w:marRight w:val="0"/>
                                              <w:marTop w:val="0"/>
                                              <w:marBottom w:val="0"/>
                                              <w:divBdr>
                                                <w:top w:val="none" w:sz="0" w:space="0" w:color="auto"/>
                                                <w:left w:val="none" w:sz="0" w:space="0" w:color="auto"/>
                                                <w:bottom w:val="none" w:sz="0" w:space="0" w:color="auto"/>
                                                <w:right w:val="none" w:sz="0" w:space="0" w:color="auto"/>
                                              </w:divBdr>
                                              <w:divsChild>
                                                <w:div w:id="614943206">
                                                  <w:marLeft w:val="0"/>
                                                  <w:marRight w:val="0"/>
                                                  <w:marTop w:val="0"/>
                                                  <w:marBottom w:val="0"/>
                                                  <w:divBdr>
                                                    <w:top w:val="none" w:sz="0" w:space="0" w:color="auto"/>
                                                    <w:left w:val="none" w:sz="0" w:space="0" w:color="auto"/>
                                                    <w:bottom w:val="none" w:sz="0" w:space="0" w:color="auto"/>
                                                    <w:right w:val="none" w:sz="0" w:space="0" w:color="auto"/>
                                                  </w:divBdr>
                                                  <w:divsChild>
                                                    <w:div w:id="1914781371">
                                                      <w:marLeft w:val="0"/>
                                                      <w:marRight w:val="0"/>
                                                      <w:marTop w:val="0"/>
                                                      <w:marBottom w:val="180"/>
                                                      <w:divBdr>
                                                        <w:top w:val="none" w:sz="0" w:space="0" w:color="auto"/>
                                                        <w:left w:val="none" w:sz="0" w:space="0" w:color="auto"/>
                                                        <w:bottom w:val="none" w:sz="0" w:space="0" w:color="auto"/>
                                                        <w:right w:val="none" w:sz="0" w:space="0" w:color="auto"/>
                                                      </w:divBdr>
                                                      <w:divsChild>
                                                        <w:div w:id="392312845">
                                                          <w:marLeft w:val="0"/>
                                                          <w:marRight w:val="0"/>
                                                          <w:marTop w:val="0"/>
                                                          <w:marBottom w:val="0"/>
                                                          <w:divBdr>
                                                            <w:top w:val="none" w:sz="0" w:space="0" w:color="auto"/>
                                                            <w:left w:val="none" w:sz="0" w:space="0" w:color="auto"/>
                                                            <w:bottom w:val="none" w:sz="0" w:space="0" w:color="auto"/>
                                                            <w:right w:val="none" w:sz="0" w:space="0" w:color="auto"/>
                                                          </w:divBdr>
                                                          <w:divsChild>
                                                            <w:div w:id="402870311">
                                                              <w:marLeft w:val="0"/>
                                                              <w:marRight w:val="0"/>
                                                              <w:marTop w:val="0"/>
                                                              <w:marBottom w:val="0"/>
                                                              <w:divBdr>
                                                                <w:top w:val="none" w:sz="0" w:space="0" w:color="auto"/>
                                                                <w:left w:val="none" w:sz="0" w:space="0" w:color="auto"/>
                                                                <w:bottom w:val="none" w:sz="0" w:space="0" w:color="auto"/>
                                                                <w:right w:val="none" w:sz="0" w:space="0" w:color="auto"/>
                                                              </w:divBdr>
                                                              <w:divsChild>
                                                                <w:div w:id="1805152138">
                                                                  <w:marLeft w:val="0"/>
                                                                  <w:marRight w:val="0"/>
                                                                  <w:marTop w:val="0"/>
                                                                  <w:marBottom w:val="0"/>
                                                                  <w:divBdr>
                                                                    <w:top w:val="none" w:sz="0" w:space="0" w:color="auto"/>
                                                                    <w:left w:val="none" w:sz="0" w:space="0" w:color="auto"/>
                                                                    <w:bottom w:val="none" w:sz="0" w:space="0" w:color="auto"/>
                                                                    <w:right w:val="none" w:sz="0" w:space="0" w:color="auto"/>
                                                                  </w:divBdr>
                                                                  <w:divsChild>
                                                                    <w:div w:id="1392458145">
                                                                      <w:marLeft w:val="0"/>
                                                                      <w:marRight w:val="0"/>
                                                                      <w:marTop w:val="0"/>
                                                                      <w:marBottom w:val="0"/>
                                                                      <w:divBdr>
                                                                        <w:top w:val="none" w:sz="0" w:space="0" w:color="auto"/>
                                                                        <w:left w:val="none" w:sz="0" w:space="0" w:color="auto"/>
                                                                        <w:bottom w:val="none" w:sz="0" w:space="0" w:color="auto"/>
                                                                        <w:right w:val="none" w:sz="0" w:space="0" w:color="auto"/>
                                                                      </w:divBdr>
                                                                      <w:divsChild>
                                                                        <w:div w:id="806046657">
                                                                          <w:marLeft w:val="0"/>
                                                                          <w:marRight w:val="0"/>
                                                                          <w:marTop w:val="0"/>
                                                                          <w:marBottom w:val="0"/>
                                                                          <w:divBdr>
                                                                            <w:top w:val="none" w:sz="0" w:space="0" w:color="auto"/>
                                                                            <w:left w:val="none" w:sz="0" w:space="0" w:color="auto"/>
                                                                            <w:bottom w:val="none" w:sz="0" w:space="0" w:color="auto"/>
                                                                            <w:right w:val="none" w:sz="0" w:space="0" w:color="auto"/>
                                                                          </w:divBdr>
                                                                          <w:divsChild>
                                                                            <w:div w:id="5679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684168">
      <w:bodyDiv w:val="1"/>
      <w:marLeft w:val="0"/>
      <w:marRight w:val="0"/>
      <w:marTop w:val="0"/>
      <w:marBottom w:val="0"/>
      <w:divBdr>
        <w:top w:val="none" w:sz="0" w:space="0" w:color="auto"/>
        <w:left w:val="none" w:sz="0" w:space="0" w:color="auto"/>
        <w:bottom w:val="none" w:sz="0" w:space="0" w:color="auto"/>
        <w:right w:val="none" w:sz="0" w:space="0" w:color="auto"/>
      </w:divBdr>
    </w:div>
    <w:div w:id="845098202">
      <w:bodyDiv w:val="1"/>
      <w:marLeft w:val="0"/>
      <w:marRight w:val="0"/>
      <w:marTop w:val="0"/>
      <w:marBottom w:val="0"/>
      <w:divBdr>
        <w:top w:val="none" w:sz="0" w:space="0" w:color="auto"/>
        <w:left w:val="none" w:sz="0" w:space="0" w:color="auto"/>
        <w:bottom w:val="none" w:sz="0" w:space="0" w:color="auto"/>
        <w:right w:val="none" w:sz="0" w:space="0" w:color="auto"/>
      </w:divBdr>
    </w:div>
    <w:div w:id="860900787">
      <w:bodyDiv w:val="1"/>
      <w:marLeft w:val="0"/>
      <w:marRight w:val="0"/>
      <w:marTop w:val="0"/>
      <w:marBottom w:val="0"/>
      <w:divBdr>
        <w:top w:val="none" w:sz="0" w:space="0" w:color="auto"/>
        <w:left w:val="none" w:sz="0" w:space="0" w:color="auto"/>
        <w:bottom w:val="none" w:sz="0" w:space="0" w:color="auto"/>
        <w:right w:val="none" w:sz="0" w:space="0" w:color="auto"/>
      </w:divBdr>
    </w:div>
    <w:div w:id="965239029">
      <w:bodyDiv w:val="1"/>
      <w:marLeft w:val="0"/>
      <w:marRight w:val="0"/>
      <w:marTop w:val="0"/>
      <w:marBottom w:val="0"/>
      <w:divBdr>
        <w:top w:val="none" w:sz="0" w:space="0" w:color="auto"/>
        <w:left w:val="none" w:sz="0" w:space="0" w:color="auto"/>
        <w:bottom w:val="none" w:sz="0" w:space="0" w:color="auto"/>
        <w:right w:val="none" w:sz="0" w:space="0" w:color="auto"/>
      </w:divBdr>
    </w:div>
    <w:div w:id="1108961329">
      <w:bodyDiv w:val="1"/>
      <w:marLeft w:val="0"/>
      <w:marRight w:val="0"/>
      <w:marTop w:val="0"/>
      <w:marBottom w:val="0"/>
      <w:divBdr>
        <w:top w:val="none" w:sz="0" w:space="0" w:color="auto"/>
        <w:left w:val="none" w:sz="0" w:space="0" w:color="auto"/>
        <w:bottom w:val="none" w:sz="0" w:space="0" w:color="auto"/>
        <w:right w:val="none" w:sz="0" w:space="0" w:color="auto"/>
      </w:divBdr>
      <w:divsChild>
        <w:div w:id="1259870545">
          <w:marLeft w:val="0"/>
          <w:marRight w:val="0"/>
          <w:marTop w:val="0"/>
          <w:marBottom w:val="0"/>
          <w:divBdr>
            <w:top w:val="none" w:sz="0" w:space="0" w:color="auto"/>
            <w:left w:val="none" w:sz="0" w:space="0" w:color="auto"/>
            <w:bottom w:val="none" w:sz="0" w:space="0" w:color="auto"/>
            <w:right w:val="none" w:sz="0" w:space="0" w:color="auto"/>
          </w:divBdr>
          <w:divsChild>
            <w:div w:id="1195655845">
              <w:marLeft w:val="0"/>
              <w:marRight w:val="0"/>
              <w:marTop w:val="0"/>
              <w:marBottom w:val="0"/>
              <w:divBdr>
                <w:top w:val="none" w:sz="0" w:space="0" w:color="auto"/>
                <w:left w:val="none" w:sz="0" w:space="0" w:color="auto"/>
                <w:bottom w:val="none" w:sz="0" w:space="0" w:color="auto"/>
                <w:right w:val="none" w:sz="0" w:space="0" w:color="auto"/>
              </w:divBdr>
              <w:divsChild>
                <w:div w:id="1411855922">
                  <w:marLeft w:val="0"/>
                  <w:marRight w:val="0"/>
                  <w:marTop w:val="0"/>
                  <w:marBottom w:val="0"/>
                  <w:divBdr>
                    <w:top w:val="none" w:sz="0" w:space="0" w:color="auto"/>
                    <w:left w:val="none" w:sz="0" w:space="0" w:color="auto"/>
                    <w:bottom w:val="none" w:sz="0" w:space="0" w:color="auto"/>
                    <w:right w:val="none" w:sz="0" w:space="0" w:color="auto"/>
                  </w:divBdr>
                  <w:divsChild>
                    <w:div w:id="1090004126">
                      <w:marLeft w:val="0"/>
                      <w:marRight w:val="0"/>
                      <w:marTop w:val="0"/>
                      <w:marBottom w:val="0"/>
                      <w:divBdr>
                        <w:top w:val="none" w:sz="0" w:space="0" w:color="auto"/>
                        <w:left w:val="none" w:sz="0" w:space="0" w:color="auto"/>
                        <w:bottom w:val="none" w:sz="0" w:space="0" w:color="auto"/>
                        <w:right w:val="none" w:sz="0" w:space="0" w:color="auto"/>
                      </w:divBdr>
                      <w:divsChild>
                        <w:div w:id="1983147321">
                          <w:marLeft w:val="0"/>
                          <w:marRight w:val="0"/>
                          <w:marTop w:val="0"/>
                          <w:marBottom w:val="0"/>
                          <w:divBdr>
                            <w:top w:val="none" w:sz="0" w:space="0" w:color="auto"/>
                            <w:left w:val="none" w:sz="0" w:space="0" w:color="auto"/>
                            <w:bottom w:val="none" w:sz="0" w:space="0" w:color="auto"/>
                            <w:right w:val="none" w:sz="0" w:space="0" w:color="auto"/>
                          </w:divBdr>
                          <w:divsChild>
                            <w:div w:id="19062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267993">
      <w:bodyDiv w:val="1"/>
      <w:marLeft w:val="0"/>
      <w:marRight w:val="0"/>
      <w:marTop w:val="0"/>
      <w:marBottom w:val="0"/>
      <w:divBdr>
        <w:top w:val="none" w:sz="0" w:space="0" w:color="auto"/>
        <w:left w:val="none" w:sz="0" w:space="0" w:color="auto"/>
        <w:bottom w:val="none" w:sz="0" w:space="0" w:color="auto"/>
        <w:right w:val="none" w:sz="0" w:space="0" w:color="auto"/>
      </w:divBdr>
    </w:div>
    <w:div w:id="1358312846">
      <w:bodyDiv w:val="1"/>
      <w:marLeft w:val="0"/>
      <w:marRight w:val="0"/>
      <w:marTop w:val="0"/>
      <w:marBottom w:val="0"/>
      <w:divBdr>
        <w:top w:val="none" w:sz="0" w:space="0" w:color="auto"/>
        <w:left w:val="none" w:sz="0" w:space="0" w:color="auto"/>
        <w:bottom w:val="none" w:sz="0" w:space="0" w:color="auto"/>
        <w:right w:val="none" w:sz="0" w:space="0" w:color="auto"/>
      </w:divBdr>
    </w:div>
    <w:div w:id="1605111660">
      <w:bodyDiv w:val="1"/>
      <w:marLeft w:val="0"/>
      <w:marRight w:val="0"/>
      <w:marTop w:val="0"/>
      <w:marBottom w:val="0"/>
      <w:divBdr>
        <w:top w:val="none" w:sz="0" w:space="0" w:color="auto"/>
        <w:left w:val="none" w:sz="0" w:space="0" w:color="auto"/>
        <w:bottom w:val="none" w:sz="0" w:space="0" w:color="auto"/>
        <w:right w:val="none" w:sz="0" w:space="0" w:color="auto"/>
      </w:divBdr>
    </w:div>
    <w:div w:id="1630748662">
      <w:bodyDiv w:val="1"/>
      <w:marLeft w:val="0"/>
      <w:marRight w:val="0"/>
      <w:marTop w:val="0"/>
      <w:marBottom w:val="0"/>
      <w:divBdr>
        <w:top w:val="none" w:sz="0" w:space="0" w:color="auto"/>
        <w:left w:val="none" w:sz="0" w:space="0" w:color="auto"/>
        <w:bottom w:val="none" w:sz="0" w:space="0" w:color="auto"/>
        <w:right w:val="none" w:sz="0" w:space="0" w:color="auto"/>
      </w:divBdr>
    </w:div>
    <w:div w:id="1669745597">
      <w:bodyDiv w:val="1"/>
      <w:marLeft w:val="0"/>
      <w:marRight w:val="0"/>
      <w:marTop w:val="0"/>
      <w:marBottom w:val="0"/>
      <w:divBdr>
        <w:top w:val="none" w:sz="0" w:space="0" w:color="auto"/>
        <w:left w:val="none" w:sz="0" w:space="0" w:color="auto"/>
        <w:bottom w:val="none" w:sz="0" w:space="0" w:color="auto"/>
        <w:right w:val="none" w:sz="0" w:space="0" w:color="auto"/>
      </w:divBdr>
    </w:div>
    <w:div w:id="1673726968">
      <w:bodyDiv w:val="1"/>
      <w:marLeft w:val="0"/>
      <w:marRight w:val="0"/>
      <w:marTop w:val="0"/>
      <w:marBottom w:val="0"/>
      <w:divBdr>
        <w:top w:val="none" w:sz="0" w:space="0" w:color="auto"/>
        <w:left w:val="none" w:sz="0" w:space="0" w:color="auto"/>
        <w:bottom w:val="none" w:sz="0" w:space="0" w:color="auto"/>
        <w:right w:val="none" w:sz="0" w:space="0" w:color="auto"/>
      </w:divBdr>
      <w:divsChild>
        <w:div w:id="1341853196">
          <w:marLeft w:val="0"/>
          <w:marRight w:val="0"/>
          <w:marTop w:val="0"/>
          <w:marBottom w:val="0"/>
          <w:divBdr>
            <w:top w:val="none" w:sz="0" w:space="0" w:color="auto"/>
            <w:left w:val="none" w:sz="0" w:space="0" w:color="auto"/>
            <w:bottom w:val="none" w:sz="0" w:space="0" w:color="auto"/>
            <w:right w:val="none" w:sz="0" w:space="0" w:color="auto"/>
          </w:divBdr>
          <w:divsChild>
            <w:div w:id="1243685579">
              <w:marLeft w:val="0"/>
              <w:marRight w:val="0"/>
              <w:marTop w:val="0"/>
              <w:marBottom w:val="0"/>
              <w:divBdr>
                <w:top w:val="none" w:sz="0" w:space="0" w:color="auto"/>
                <w:left w:val="none" w:sz="0" w:space="0" w:color="auto"/>
                <w:bottom w:val="none" w:sz="0" w:space="0" w:color="auto"/>
                <w:right w:val="none" w:sz="0" w:space="0" w:color="auto"/>
              </w:divBdr>
              <w:divsChild>
                <w:div w:id="1343049735">
                  <w:marLeft w:val="0"/>
                  <w:marRight w:val="0"/>
                  <w:marTop w:val="0"/>
                  <w:marBottom w:val="0"/>
                  <w:divBdr>
                    <w:top w:val="none" w:sz="0" w:space="0" w:color="auto"/>
                    <w:left w:val="none" w:sz="0" w:space="0" w:color="auto"/>
                    <w:bottom w:val="none" w:sz="0" w:space="0" w:color="auto"/>
                    <w:right w:val="none" w:sz="0" w:space="0" w:color="auto"/>
                  </w:divBdr>
                  <w:divsChild>
                    <w:div w:id="266734725">
                      <w:marLeft w:val="0"/>
                      <w:marRight w:val="0"/>
                      <w:marTop w:val="0"/>
                      <w:marBottom w:val="0"/>
                      <w:divBdr>
                        <w:top w:val="none" w:sz="0" w:space="0" w:color="auto"/>
                        <w:left w:val="none" w:sz="0" w:space="0" w:color="auto"/>
                        <w:bottom w:val="none" w:sz="0" w:space="0" w:color="auto"/>
                        <w:right w:val="none" w:sz="0" w:space="0" w:color="auto"/>
                      </w:divBdr>
                      <w:divsChild>
                        <w:div w:id="1665234285">
                          <w:marLeft w:val="0"/>
                          <w:marRight w:val="0"/>
                          <w:marTop w:val="0"/>
                          <w:marBottom w:val="0"/>
                          <w:divBdr>
                            <w:top w:val="none" w:sz="0" w:space="0" w:color="auto"/>
                            <w:left w:val="none" w:sz="0" w:space="0" w:color="auto"/>
                            <w:bottom w:val="none" w:sz="0" w:space="0" w:color="auto"/>
                            <w:right w:val="none" w:sz="0" w:space="0" w:color="auto"/>
                          </w:divBdr>
                          <w:divsChild>
                            <w:div w:id="1473716979">
                              <w:marLeft w:val="0"/>
                              <w:marRight w:val="0"/>
                              <w:marTop w:val="0"/>
                              <w:marBottom w:val="0"/>
                              <w:divBdr>
                                <w:top w:val="none" w:sz="0" w:space="0" w:color="auto"/>
                                <w:left w:val="none" w:sz="0" w:space="0" w:color="auto"/>
                                <w:bottom w:val="none" w:sz="0" w:space="0" w:color="auto"/>
                                <w:right w:val="none" w:sz="0" w:space="0" w:color="auto"/>
                              </w:divBdr>
                              <w:divsChild>
                                <w:div w:id="18801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763852">
      <w:bodyDiv w:val="1"/>
      <w:marLeft w:val="0"/>
      <w:marRight w:val="0"/>
      <w:marTop w:val="0"/>
      <w:marBottom w:val="0"/>
      <w:divBdr>
        <w:top w:val="none" w:sz="0" w:space="0" w:color="auto"/>
        <w:left w:val="none" w:sz="0" w:space="0" w:color="auto"/>
        <w:bottom w:val="none" w:sz="0" w:space="0" w:color="auto"/>
        <w:right w:val="none" w:sz="0" w:space="0" w:color="auto"/>
      </w:divBdr>
    </w:div>
    <w:div w:id="1843616584">
      <w:bodyDiv w:val="1"/>
      <w:marLeft w:val="0"/>
      <w:marRight w:val="0"/>
      <w:marTop w:val="0"/>
      <w:marBottom w:val="0"/>
      <w:divBdr>
        <w:top w:val="none" w:sz="0" w:space="0" w:color="auto"/>
        <w:left w:val="none" w:sz="0" w:space="0" w:color="auto"/>
        <w:bottom w:val="none" w:sz="0" w:space="0" w:color="auto"/>
        <w:right w:val="none" w:sz="0" w:space="0" w:color="auto"/>
      </w:divBdr>
    </w:div>
    <w:div w:id="1871529454">
      <w:bodyDiv w:val="1"/>
      <w:marLeft w:val="0"/>
      <w:marRight w:val="0"/>
      <w:marTop w:val="0"/>
      <w:marBottom w:val="0"/>
      <w:divBdr>
        <w:top w:val="none" w:sz="0" w:space="0" w:color="auto"/>
        <w:left w:val="none" w:sz="0" w:space="0" w:color="auto"/>
        <w:bottom w:val="none" w:sz="0" w:space="0" w:color="auto"/>
        <w:right w:val="none" w:sz="0" w:space="0" w:color="auto"/>
      </w:divBdr>
    </w:div>
    <w:div w:id="1905984657">
      <w:bodyDiv w:val="1"/>
      <w:marLeft w:val="0"/>
      <w:marRight w:val="0"/>
      <w:marTop w:val="0"/>
      <w:marBottom w:val="0"/>
      <w:divBdr>
        <w:top w:val="none" w:sz="0" w:space="0" w:color="auto"/>
        <w:left w:val="none" w:sz="0" w:space="0" w:color="auto"/>
        <w:bottom w:val="none" w:sz="0" w:space="0" w:color="auto"/>
        <w:right w:val="none" w:sz="0" w:space="0" w:color="auto"/>
      </w:divBdr>
    </w:div>
    <w:div w:id="1907720110">
      <w:bodyDiv w:val="1"/>
      <w:marLeft w:val="0"/>
      <w:marRight w:val="0"/>
      <w:marTop w:val="0"/>
      <w:marBottom w:val="0"/>
      <w:divBdr>
        <w:top w:val="none" w:sz="0" w:space="0" w:color="auto"/>
        <w:left w:val="none" w:sz="0" w:space="0" w:color="auto"/>
        <w:bottom w:val="none" w:sz="0" w:space="0" w:color="auto"/>
        <w:right w:val="none" w:sz="0" w:space="0" w:color="auto"/>
      </w:divBdr>
    </w:div>
    <w:div w:id="1921985897">
      <w:bodyDiv w:val="1"/>
      <w:marLeft w:val="0"/>
      <w:marRight w:val="0"/>
      <w:marTop w:val="0"/>
      <w:marBottom w:val="0"/>
      <w:divBdr>
        <w:top w:val="none" w:sz="0" w:space="0" w:color="auto"/>
        <w:left w:val="none" w:sz="0" w:space="0" w:color="auto"/>
        <w:bottom w:val="none" w:sz="0" w:space="0" w:color="auto"/>
        <w:right w:val="none" w:sz="0" w:space="0" w:color="auto"/>
      </w:divBdr>
    </w:div>
    <w:div w:id="1922982742">
      <w:bodyDiv w:val="1"/>
      <w:marLeft w:val="0"/>
      <w:marRight w:val="0"/>
      <w:marTop w:val="0"/>
      <w:marBottom w:val="0"/>
      <w:divBdr>
        <w:top w:val="none" w:sz="0" w:space="0" w:color="auto"/>
        <w:left w:val="none" w:sz="0" w:space="0" w:color="auto"/>
        <w:bottom w:val="none" w:sz="0" w:space="0" w:color="auto"/>
        <w:right w:val="none" w:sz="0" w:space="0" w:color="auto"/>
      </w:divBdr>
    </w:div>
    <w:div w:id="2025083674">
      <w:bodyDiv w:val="1"/>
      <w:marLeft w:val="0"/>
      <w:marRight w:val="0"/>
      <w:marTop w:val="0"/>
      <w:marBottom w:val="0"/>
      <w:divBdr>
        <w:top w:val="none" w:sz="0" w:space="0" w:color="auto"/>
        <w:left w:val="none" w:sz="0" w:space="0" w:color="auto"/>
        <w:bottom w:val="none" w:sz="0" w:space="0" w:color="auto"/>
        <w:right w:val="none" w:sz="0" w:space="0" w:color="auto"/>
      </w:divBdr>
    </w:div>
    <w:div w:id="207369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57964-A79C-439D-8CB5-C813645F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6E5E914.dotm</Template>
  <TotalTime>0</TotalTime>
  <Pages>6</Pages>
  <Words>1118</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2018-07-02T22:46:00Z</dcterms:created>
  <dcterms:modified xsi:type="dcterms:W3CDTF">2018-07-02T22:47:00Z</dcterms:modified>
</cp:coreProperties>
</file>