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sz w:val="20"/>
          <w:szCs w:val="20"/>
        </w:rPr>
        <w:id w:val="145087662"/>
        <w:docPartObj>
          <w:docPartGallery w:val="Cover Pages"/>
          <w:docPartUnique/>
        </w:docPartObj>
      </w:sdtPr>
      <w:sdtEndPr>
        <w:rPr>
          <w:rFonts w:ascii="Arial" w:hAnsi="Arial" w:cs="Arial"/>
          <w:b/>
          <w:color w:val="FFFFFF" w:themeColor="background1"/>
          <w:sz w:val="56"/>
          <w:szCs w:val="80"/>
        </w:rPr>
      </w:sdtEndPr>
      <w:sdtContent>
        <w:p w14:paraId="45EDB8CB" w14:textId="431660FE" w:rsidR="00987764" w:rsidRDefault="00987764" w:rsidP="00987764">
          <w:pPr>
            <w:pStyle w:val="Title"/>
            <w:spacing w:before="480" w:after="0"/>
            <w:rPr>
              <w:rFonts w:ascii="Arial" w:hAnsi="Arial" w:cs="Arial"/>
              <w:b/>
              <w:color w:val="FFFFFF" w:themeColor="background1"/>
              <w:sz w:val="80"/>
              <w:szCs w:val="80"/>
            </w:rPr>
          </w:pPr>
          <w:r w:rsidRPr="00C56FFA">
            <w:rPr>
              <w:noProof/>
              <w:color w:val="FFFFFF" w:themeColor="background1"/>
              <w:sz w:val="80"/>
              <w:szCs w:val="80"/>
            </w:rPr>
            <w:drawing>
              <wp:anchor distT="0" distB="0" distL="114300" distR="114300" simplePos="0" relativeHeight="251659264" behindDoc="1" locked="0" layoutInCell="1" allowOverlap="1" wp14:anchorId="64734B7B" wp14:editId="3623A99E">
                <wp:simplePos x="0" y="0"/>
                <wp:positionH relativeFrom="column">
                  <wp:posOffset>-963930</wp:posOffset>
                </wp:positionH>
                <wp:positionV relativeFrom="paragraph">
                  <wp:posOffset>-496570</wp:posOffset>
                </wp:positionV>
                <wp:extent cx="9458325" cy="2933700"/>
                <wp:effectExtent l="0" t="0" r="9525" b="0"/>
                <wp:wrapNone/>
                <wp:docPr id="1" name="Picture 1" descr="Red and black cover bann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6 Publications\SWA Updated Brand 161121\Jpegs for layout\Layered 45 Pages\Layered for cover.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458325" cy="293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6551">
            <w:rPr>
              <w:rFonts w:ascii="Arial" w:hAnsi="Arial" w:cs="Arial"/>
              <w:b/>
              <w:color w:val="FFFFFF" w:themeColor="background1"/>
              <w:sz w:val="56"/>
              <w:szCs w:val="80"/>
            </w:rPr>
            <w:t xml:space="preserve">Priority </w:t>
          </w:r>
          <w:r>
            <w:rPr>
              <w:rFonts w:ascii="Arial" w:hAnsi="Arial" w:cs="Arial"/>
              <w:b/>
              <w:color w:val="FFFFFF" w:themeColor="background1"/>
              <w:sz w:val="56"/>
              <w:szCs w:val="80"/>
            </w:rPr>
            <w:t>i</w:t>
          </w:r>
          <w:r w:rsidRPr="002E6551">
            <w:rPr>
              <w:rFonts w:ascii="Arial" w:hAnsi="Arial" w:cs="Arial"/>
              <w:b/>
              <w:color w:val="FFFFFF" w:themeColor="background1"/>
              <w:sz w:val="56"/>
              <w:szCs w:val="80"/>
            </w:rPr>
            <w:t xml:space="preserve">ndustry </w:t>
          </w:r>
          <w:r>
            <w:rPr>
              <w:rFonts w:ascii="Arial" w:hAnsi="Arial" w:cs="Arial"/>
              <w:b/>
              <w:color w:val="FFFFFF" w:themeColor="background1"/>
              <w:sz w:val="56"/>
              <w:szCs w:val="80"/>
            </w:rPr>
            <w:t>s</w:t>
          </w:r>
          <w:r w:rsidRPr="002E6551">
            <w:rPr>
              <w:rFonts w:ascii="Arial" w:hAnsi="Arial" w:cs="Arial"/>
              <w:b/>
              <w:color w:val="FFFFFF" w:themeColor="background1"/>
              <w:sz w:val="56"/>
              <w:szCs w:val="80"/>
            </w:rPr>
            <w:t>napshot</w:t>
          </w:r>
          <w:r>
            <w:rPr>
              <w:rFonts w:ascii="Arial" w:hAnsi="Arial" w:cs="Arial"/>
              <w:b/>
              <w:color w:val="FFFFFF" w:themeColor="background1"/>
              <w:sz w:val="56"/>
              <w:szCs w:val="80"/>
            </w:rPr>
            <w:t>:</w:t>
          </w:r>
        </w:p>
        <w:p w14:paraId="4BD72980" w14:textId="77777777" w:rsidR="00987764" w:rsidRDefault="00987764" w:rsidP="00987764">
          <w:pPr>
            <w:pStyle w:val="Title"/>
            <w:spacing w:after="0"/>
            <w:rPr>
              <w:rFonts w:ascii="Arial" w:hAnsi="Arial" w:cs="Arial"/>
              <w:b/>
              <w:color w:val="FFFFFF" w:themeColor="background1"/>
              <w:sz w:val="72"/>
              <w:szCs w:val="80"/>
            </w:rPr>
          </w:pPr>
          <w:r w:rsidRPr="00C64C33">
            <w:rPr>
              <w:rFonts w:ascii="Arial" w:hAnsi="Arial" w:cs="Arial"/>
              <w:b/>
              <w:color w:val="FFFFFF" w:themeColor="background1"/>
              <w:sz w:val="72"/>
              <w:szCs w:val="80"/>
            </w:rPr>
            <w:t xml:space="preserve">Accommodation </w:t>
          </w:r>
          <w:r>
            <w:rPr>
              <w:rFonts w:ascii="Arial" w:hAnsi="Arial" w:cs="Arial"/>
              <w:b/>
              <w:color w:val="FFFFFF" w:themeColor="background1"/>
              <w:sz w:val="72"/>
              <w:szCs w:val="80"/>
            </w:rPr>
            <w:t>&amp;</w:t>
          </w:r>
        </w:p>
        <w:p w14:paraId="185FE09B" w14:textId="77777777" w:rsidR="00987764" w:rsidRDefault="00987764" w:rsidP="00987764">
          <w:pPr>
            <w:pStyle w:val="Title"/>
            <w:spacing w:after="0"/>
            <w:rPr>
              <w:rFonts w:ascii="Arial" w:hAnsi="Arial" w:cs="Arial"/>
              <w:b/>
              <w:color w:val="FFFFFF" w:themeColor="background1"/>
              <w:sz w:val="72"/>
              <w:szCs w:val="80"/>
            </w:rPr>
          </w:pPr>
          <w:proofErr w:type="gramStart"/>
          <w:r>
            <w:rPr>
              <w:rFonts w:ascii="Arial" w:hAnsi="Arial" w:cs="Arial"/>
              <w:b/>
              <w:color w:val="FFFFFF" w:themeColor="background1"/>
              <w:sz w:val="72"/>
              <w:szCs w:val="80"/>
            </w:rPr>
            <w:t>f</w:t>
          </w:r>
          <w:r w:rsidRPr="00C64C33">
            <w:rPr>
              <w:rFonts w:ascii="Arial" w:hAnsi="Arial" w:cs="Arial"/>
              <w:b/>
              <w:color w:val="FFFFFF" w:themeColor="background1"/>
              <w:sz w:val="72"/>
              <w:szCs w:val="80"/>
            </w:rPr>
            <w:t>ood</w:t>
          </w:r>
          <w:proofErr w:type="gramEnd"/>
          <w:r w:rsidRPr="00C64C33">
            <w:rPr>
              <w:rFonts w:ascii="Arial" w:hAnsi="Arial" w:cs="Arial"/>
              <w:b/>
              <w:color w:val="FFFFFF" w:themeColor="background1"/>
              <w:sz w:val="72"/>
              <w:szCs w:val="80"/>
            </w:rPr>
            <w:t xml:space="preserve"> </w:t>
          </w:r>
          <w:r>
            <w:rPr>
              <w:rFonts w:ascii="Arial" w:hAnsi="Arial" w:cs="Arial"/>
              <w:b/>
              <w:color w:val="FFFFFF" w:themeColor="background1"/>
              <w:sz w:val="72"/>
              <w:szCs w:val="80"/>
            </w:rPr>
            <w:t>s</w:t>
          </w:r>
          <w:r w:rsidRPr="00C64C33">
            <w:rPr>
              <w:rFonts w:ascii="Arial" w:hAnsi="Arial" w:cs="Arial"/>
              <w:b/>
              <w:color w:val="FFFFFF" w:themeColor="background1"/>
              <w:sz w:val="72"/>
              <w:szCs w:val="80"/>
            </w:rPr>
            <w:t>ervices</w:t>
          </w:r>
        </w:p>
        <w:p w14:paraId="31384A44" w14:textId="77777777" w:rsidR="00987764" w:rsidRPr="00FC761C" w:rsidRDefault="00987764" w:rsidP="00987764">
          <w:pPr>
            <w:pStyle w:val="Title"/>
            <w:spacing w:after="360"/>
            <w:jc w:val="right"/>
            <w:rPr>
              <w:rFonts w:ascii="Arial" w:hAnsi="Arial" w:cs="Arial"/>
              <w:b/>
              <w:color w:val="FFFFFF" w:themeColor="background1"/>
              <w:sz w:val="36"/>
              <w:szCs w:val="36"/>
            </w:rPr>
          </w:pPr>
          <w:r>
            <w:rPr>
              <w:rFonts w:ascii="Arial" w:hAnsi="Arial" w:cs="Arial"/>
              <w:b/>
              <w:color w:val="FFFFFF" w:themeColor="background1"/>
              <w:sz w:val="36"/>
              <w:szCs w:val="36"/>
            </w:rPr>
            <w:t>June</w:t>
          </w:r>
          <w:r w:rsidRPr="00FC761C">
            <w:rPr>
              <w:rFonts w:ascii="Arial" w:hAnsi="Arial" w:cs="Arial"/>
              <w:b/>
              <w:color w:val="FFFFFF" w:themeColor="background1"/>
              <w:sz w:val="36"/>
              <w:szCs w:val="36"/>
            </w:rPr>
            <w:t xml:space="preserve"> 2018</w:t>
          </w:r>
        </w:p>
        <w:p w14:paraId="5785CFC5" w14:textId="77777777" w:rsidR="00987764" w:rsidRDefault="00987764" w:rsidP="00987764">
          <w:pPr>
            <w:spacing w:before="240" w:line="288" w:lineRule="auto"/>
            <w:rPr>
              <w:rFonts w:ascii="Arial" w:hAnsi="Arial" w:cs="Arial"/>
              <w:sz w:val="22"/>
              <w:szCs w:val="22"/>
            </w:rPr>
          </w:pPr>
          <w:r>
            <w:rPr>
              <w:rFonts w:ascii="Arial" w:hAnsi="Arial" w:cs="Arial"/>
              <w:sz w:val="22"/>
              <w:szCs w:val="22"/>
            </w:rPr>
            <w:br/>
            <w:t>The accommodation and food services industry is identified as a national priority to reduce work-related injuries and illnesses in the</w:t>
          </w:r>
          <w:r w:rsidRPr="009005EB">
            <w:rPr>
              <w:rFonts w:ascii="Arial" w:hAnsi="Arial" w:cs="Arial"/>
              <w:i/>
              <w:sz w:val="22"/>
              <w:szCs w:val="22"/>
            </w:rPr>
            <w:t xml:space="preserve"> Australian Work Health and Safety Strategy 2012-2022</w:t>
          </w:r>
          <w:r>
            <w:rPr>
              <w:rFonts w:ascii="Arial" w:hAnsi="Arial" w:cs="Arial"/>
              <w:sz w:val="22"/>
              <w:szCs w:val="22"/>
            </w:rPr>
            <w:t>. The industry includes t</w:t>
          </w:r>
          <w:bookmarkStart w:id="0" w:name="_GoBack"/>
          <w:bookmarkEnd w:id="0"/>
          <w:r>
            <w:rPr>
              <w:rFonts w:ascii="Arial" w:hAnsi="Arial" w:cs="Arial"/>
              <w:sz w:val="22"/>
              <w:szCs w:val="22"/>
            </w:rPr>
            <w:t xml:space="preserve">wo sub-industries: accommodation; and food and beverage services and accounts for 7 per cent of total employment. </w:t>
          </w:r>
        </w:p>
        <w:p w14:paraId="438093D4" w14:textId="77777777" w:rsidR="00987764" w:rsidRDefault="00987764" w:rsidP="00987764">
          <w:pPr>
            <w:pStyle w:val="Bodytextjustified"/>
            <w:jc w:val="left"/>
          </w:pPr>
          <w:r>
            <w:t>This is an overview of the industry and its work health and safety (WHS) performance, highlighting key WHS issues and segments of the industry where performance may be lagging.</w:t>
          </w:r>
        </w:p>
        <w:p w14:paraId="36B40EFF" w14:textId="77777777" w:rsidR="00987764" w:rsidRPr="004076EF" w:rsidRDefault="00987764" w:rsidP="00987764">
          <w:pPr>
            <w:pStyle w:val="Bodytextjustified"/>
            <w:jc w:val="left"/>
          </w:pPr>
        </w:p>
        <w:p w14:paraId="1186D17D" w14:textId="34B02474" w:rsidR="00987764" w:rsidRDefault="00987764" w:rsidP="00987764">
          <w:r w:rsidRPr="00C035C5">
            <w:rPr>
              <w:rFonts w:ascii="Arial" w:hAnsi="Arial" w:cs="Arial"/>
              <w:b/>
              <w:noProof/>
              <w:color w:val="AF1E2D"/>
              <w:sz w:val="32"/>
              <w:szCs w:val="22"/>
            </w:rPr>
            <mc:AlternateContent>
              <mc:Choice Requires="wps">
                <w:drawing>
                  <wp:inline distT="0" distB="0" distL="0" distR="0" wp14:anchorId="112ED683" wp14:editId="4CE81756">
                    <wp:extent cx="6391275" cy="3667125"/>
                    <wp:effectExtent l="0" t="0" r="9525" b="952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3667125"/>
                            </a:xfrm>
                            <a:prstGeom prst="rect">
                              <a:avLst/>
                            </a:prstGeom>
                            <a:solidFill>
                              <a:schemeClr val="bg1">
                                <a:lumMod val="85000"/>
                              </a:schemeClr>
                            </a:solidFill>
                            <a:ln w="9525">
                              <a:noFill/>
                              <a:miter lim="800000"/>
                              <a:headEnd/>
                              <a:tailEnd/>
                            </a:ln>
                          </wps:spPr>
                          <wps:txbx>
                            <w:txbxContent>
                              <w:p w14:paraId="7CBE626D" w14:textId="77777777" w:rsidR="00987764" w:rsidRDefault="00987764" w:rsidP="00987764">
                                <w:pPr>
                                  <w:pStyle w:val="Heading1"/>
                                  <w:spacing w:before="120"/>
                                </w:pPr>
                                <w:r>
                                  <w:t>Key points</w:t>
                                </w:r>
                              </w:p>
                              <w:p w14:paraId="2ED2F98B" w14:textId="77777777" w:rsidR="00987764" w:rsidRPr="00FC761C" w:rsidRDefault="00987764" w:rsidP="00987764">
                                <w:pPr>
                                  <w:pStyle w:val="ListParagraph"/>
                                  <w:numPr>
                                    <w:ilvl w:val="0"/>
                                    <w:numId w:val="23"/>
                                  </w:numPr>
                                  <w:spacing w:after="200" w:line="276" w:lineRule="auto"/>
                                  <w:rPr>
                                    <w:rFonts w:ascii="Arial" w:hAnsi="Arial" w:cs="Arial"/>
                                    <w:sz w:val="22"/>
                                    <w:szCs w:val="22"/>
                                  </w:rPr>
                                </w:pPr>
                                <w:r w:rsidRPr="00FC761C">
                                  <w:rPr>
                                    <w:rFonts w:ascii="Arial" w:hAnsi="Arial" w:cs="Arial"/>
                                    <w:sz w:val="22"/>
                                    <w:szCs w:val="22"/>
                                  </w:rPr>
                                  <w:t>Worker fatalities are relatively low</w:t>
                                </w:r>
                                <w:r>
                                  <w:rPr>
                                    <w:rFonts w:ascii="Arial" w:hAnsi="Arial" w:cs="Arial"/>
                                    <w:sz w:val="22"/>
                                    <w:szCs w:val="22"/>
                                  </w:rPr>
                                  <w:t>,</w:t>
                                </w:r>
                                <w:r w:rsidRPr="00FC761C">
                                  <w:rPr>
                                    <w:rFonts w:ascii="Arial" w:hAnsi="Arial" w:cs="Arial"/>
                                    <w:sz w:val="22"/>
                                    <w:szCs w:val="22"/>
                                  </w:rPr>
                                  <w:t xml:space="preserve"> with 3 fatalities per year.</w:t>
                                </w:r>
                              </w:p>
                              <w:p w14:paraId="6EBC0C68" w14:textId="77777777" w:rsidR="00987764" w:rsidRPr="00FC761C" w:rsidRDefault="00987764" w:rsidP="00987764">
                                <w:pPr>
                                  <w:pStyle w:val="ListParagraph"/>
                                  <w:numPr>
                                    <w:ilvl w:val="0"/>
                                    <w:numId w:val="23"/>
                                  </w:numPr>
                                  <w:spacing w:after="200" w:line="276" w:lineRule="auto"/>
                                  <w:rPr>
                                    <w:rFonts w:ascii="Arial" w:hAnsi="Arial" w:cs="Arial"/>
                                    <w:sz w:val="22"/>
                                    <w:szCs w:val="22"/>
                                  </w:rPr>
                                </w:pPr>
                                <w:r w:rsidRPr="00FC761C">
                                  <w:rPr>
                                    <w:rFonts w:ascii="Arial" w:hAnsi="Arial" w:cs="Arial"/>
                                    <w:sz w:val="22"/>
                                    <w:szCs w:val="22"/>
                                  </w:rPr>
                                  <w:t xml:space="preserve">Serious claims are slightly higher than average with 6.4 claims per million hours worked. </w:t>
                                </w:r>
                              </w:p>
                              <w:p w14:paraId="3F34D37D" w14:textId="77777777" w:rsidR="00987764" w:rsidRPr="00FC761C" w:rsidRDefault="00987764" w:rsidP="00987764">
                                <w:pPr>
                                  <w:pStyle w:val="ListParagraph"/>
                                  <w:numPr>
                                    <w:ilvl w:val="0"/>
                                    <w:numId w:val="23"/>
                                  </w:numPr>
                                  <w:spacing w:after="200" w:line="276" w:lineRule="auto"/>
                                  <w:rPr>
                                    <w:rFonts w:ascii="Arial" w:hAnsi="Arial" w:cs="Arial"/>
                                    <w:sz w:val="22"/>
                                    <w:szCs w:val="22"/>
                                  </w:rPr>
                                </w:pPr>
                                <w:r w:rsidRPr="00FC761C">
                                  <w:rPr>
                                    <w:rFonts w:ascii="Arial" w:hAnsi="Arial" w:cs="Arial"/>
                                    <w:sz w:val="22"/>
                                    <w:szCs w:val="22"/>
                                  </w:rPr>
                                  <w:t>The frequency rate of serious claims has decreased by 25 per cent over the last decade.</w:t>
                                </w:r>
                              </w:p>
                              <w:p w14:paraId="68A236DA" w14:textId="77777777" w:rsidR="00987764" w:rsidRPr="00FC761C" w:rsidRDefault="00987764" w:rsidP="00987764">
                                <w:pPr>
                                  <w:pStyle w:val="ListParagraph"/>
                                  <w:numPr>
                                    <w:ilvl w:val="0"/>
                                    <w:numId w:val="23"/>
                                  </w:numPr>
                                  <w:spacing w:after="200" w:line="276" w:lineRule="auto"/>
                                  <w:rPr>
                                    <w:rFonts w:ascii="Arial" w:hAnsi="Arial" w:cs="Arial"/>
                                    <w:sz w:val="22"/>
                                    <w:szCs w:val="22"/>
                                  </w:rPr>
                                </w:pPr>
                                <w:r>
                                  <w:rPr>
                                    <w:rFonts w:ascii="Arial" w:hAnsi="Arial" w:cs="Arial"/>
                                    <w:sz w:val="22"/>
                                    <w:szCs w:val="22"/>
                                  </w:rPr>
                                  <w:t>Despite the younger demographic of the accommodation and food services industry, w</w:t>
                                </w:r>
                                <w:r w:rsidRPr="00FC761C">
                                  <w:rPr>
                                    <w:rFonts w:ascii="Arial" w:hAnsi="Arial" w:cs="Arial"/>
                                    <w:sz w:val="22"/>
                                    <w:szCs w:val="22"/>
                                  </w:rPr>
                                  <w:t>orkers aged 45-54 years account for the highest proportion of worker fatalities</w:t>
                                </w:r>
                                <w:r>
                                  <w:rPr>
                                    <w:rFonts w:ascii="Arial" w:hAnsi="Arial" w:cs="Arial"/>
                                    <w:sz w:val="22"/>
                                    <w:szCs w:val="22"/>
                                  </w:rPr>
                                  <w:t>.</w:t>
                                </w:r>
                                <w:r w:rsidRPr="00FC761C">
                                  <w:rPr>
                                    <w:rFonts w:ascii="Arial" w:hAnsi="Arial" w:cs="Arial"/>
                                    <w:sz w:val="22"/>
                                    <w:szCs w:val="22"/>
                                  </w:rPr>
                                  <w:t xml:space="preserve"> </w:t>
                                </w:r>
                                <w:r>
                                  <w:rPr>
                                    <w:rFonts w:ascii="Arial" w:hAnsi="Arial" w:cs="Arial"/>
                                    <w:sz w:val="22"/>
                                    <w:szCs w:val="22"/>
                                  </w:rPr>
                                  <w:t>Workers aged 55-64 years</w:t>
                                </w:r>
                                <w:r w:rsidRPr="00FC761C">
                                  <w:rPr>
                                    <w:rFonts w:ascii="Arial" w:hAnsi="Arial" w:cs="Arial"/>
                                    <w:sz w:val="22"/>
                                    <w:szCs w:val="22"/>
                                  </w:rPr>
                                  <w:t xml:space="preserve"> recorded the highest serious claim frequency rates.</w:t>
                                </w:r>
                                <w:r>
                                  <w:rPr>
                                    <w:rFonts w:ascii="Arial" w:hAnsi="Arial" w:cs="Arial"/>
                                    <w:sz w:val="22"/>
                                    <w:szCs w:val="22"/>
                                  </w:rPr>
                                  <w:t xml:space="preserve"> </w:t>
                                </w:r>
                              </w:p>
                              <w:p w14:paraId="321F3E3C" w14:textId="77777777" w:rsidR="00987764" w:rsidRPr="00FC761C" w:rsidRDefault="00987764" w:rsidP="00987764">
                                <w:pPr>
                                  <w:pStyle w:val="ListParagraph"/>
                                  <w:numPr>
                                    <w:ilvl w:val="0"/>
                                    <w:numId w:val="23"/>
                                  </w:numPr>
                                  <w:spacing w:after="200" w:line="276" w:lineRule="auto"/>
                                  <w:rPr>
                                    <w:rFonts w:ascii="Arial" w:hAnsi="Arial" w:cs="Arial"/>
                                    <w:sz w:val="22"/>
                                    <w:szCs w:val="22"/>
                                  </w:rPr>
                                </w:pPr>
                                <w:r>
                                  <w:rPr>
                                    <w:rFonts w:ascii="Arial" w:hAnsi="Arial" w:cs="Arial"/>
                                    <w:sz w:val="22"/>
                                    <w:szCs w:val="22"/>
                                  </w:rPr>
                                  <w:t>The f</w:t>
                                </w:r>
                                <w:r w:rsidRPr="00FC761C">
                                  <w:rPr>
                                    <w:rFonts w:ascii="Arial" w:hAnsi="Arial" w:cs="Arial"/>
                                    <w:sz w:val="22"/>
                                    <w:szCs w:val="22"/>
                                  </w:rPr>
                                  <w:t xml:space="preserve">ood and beverage </w:t>
                                </w:r>
                                <w:r>
                                  <w:rPr>
                                    <w:rFonts w:ascii="Arial" w:hAnsi="Arial" w:cs="Arial"/>
                                    <w:sz w:val="22"/>
                                    <w:szCs w:val="22"/>
                                  </w:rPr>
                                  <w:t xml:space="preserve">sub-industry </w:t>
                                </w:r>
                                <w:r w:rsidRPr="00FC761C">
                                  <w:rPr>
                                    <w:rFonts w:ascii="Arial" w:hAnsi="Arial" w:cs="Arial"/>
                                    <w:sz w:val="22"/>
                                    <w:szCs w:val="22"/>
                                  </w:rPr>
                                  <w:t>account</w:t>
                                </w:r>
                                <w:r>
                                  <w:rPr>
                                    <w:rFonts w:ascii="Arial" w:hAnsi="Arial" w:cs="Arial"/>
                                    <w:sz w:val="22"/>
                                    <w:szCs w:val="22"/>
                                  </w:rPr>
                                  <w:t>s</w:t>
                                </w:r>
                                <w:r w:rsidRPr="00FC761C">
                                  <w:rPr>
                                    <w:rFonts w:ascii="Arial" w:hAnsi="Arial" w:cs="Arial"/>
                                    <w:sz w:val="22"/>
                                    <w:szCs w:val="22"/>
                                  </w:rPr>
                                  <w:t xml:space="preserve"> for the majority of serious claims and fatalities</w:t>
                                </w:r>
                                <w:r>
                                  <w:rPr>
                                    <w:rFonts w:ascii="Arial" w:hAnsi="Arial" w:cs="Arial"/>
                                    <w:sz w:val="22"/>
                                    <w:szCs w:val="22"/>
                                  </w:rPr>
                                  <w:t>, however,</w:t>
                                </w:r>
                                <w:r w:rsidRPr="00FC761C">
                                  <w:rPr>
                                    <w:rFonts w:ascii="Arial" w:hAnsi="Arial" w:cs="Arial"/>
                                    <w:sz w:val="22"/>
                                    <w:szCs w:val="22"/>
                                  </w:rPr>
                                  <w:t xml:space="preserve"> </w:t>
                                </w:r>
                                <w:r>
                                  <w:rPr>
                                    <w:rFonts w:ascii="Arial" w:hAnsi="Arial" w:cs="Arial"/>
                                    <w:sz w:val="22"/>
                                    <w:szCs w:val="22"/>
                                  </w:rPr>
                                  <w:t xml:space="preserve">the </w:t>
                                </w:r>
                                <w:r w:rsidRPr="00FC761C">
                                  <w:rPr>
                                    <w:rFonts w:ascii="Arial" w:hAnsi="Arial" w:cs="Arial"/>
                                    <w:sz w:val="22"/>
                                    <w:szCs w:val="22"/>
                                  </w:rPr>
                                  <w:t xml:space="preserve">accommodation </w:t>
                                </w:r>
                                <w:r>
                                  <w:rPr>
                                    <w:rFonts w:ascii="Arial" w:hAnsi="Arial" w:cs="Arial"/>
                                    <w:sz w:val="22"/>
                                    <w:szCs w:val="22"/>
                                  </w:rPr>
                                  <w:t xml:space="preserve">sub-industry </w:t>
                                </w:r>
                                <w:r w:rsidRPr="00FC761C">
                                  <w:rPr>
                                    <w:rFonts w:ascii="Arial" w:hAnsi="Arial" w:cs="Arial"/>
                                    <w:sz w:val="22"/>
                                    <w:szCs w:val="22"/>
                                  </w:rPr>
                                  <w:t>recorded the highest frequency and fatality rate.</w:t>
                                </w:r>
                              </w:p>
                              <w:p w14:paraId="73A352FE" w14:textId="77777777" w:rsidR="00987764" w:rsidRPr="00FC761C" w:rsidRDefault="00987764" w:rsidP="00987764">
                                <w:pPr>
                                  <w:pStyle w:val="ListParagraph"/>
                                  <w:numPr>
                                    <w:ilvl w:val="0"/>
                                    <w:numId w:val="23"/>
                                  </w:numPr>
                                  <w:spacing w:after="200" w:line="276" w:lineRule="auto"/>
                                  <w:rPr>
                                    <w:rFonts w:ascii="Arial" w:hAnsi="Arial" w:cs="Arial"/>
                                    <w:sz w:val="22"/>
                                    <w:szCs w:val="22"/>
                                  </w:rPr>
                                </w:pPr>
                                <w:r w:rsidRPr="00FC761C">
                                  <w:rPr>
                                    <w:rFonts w:ascii="Arial" w:hAnsi="Arial" w:cs="Arial"/>
                                    <w:sz w:val="22"/>
                                    <w:szCs w:val="22"/>
                                  </w:rPr>
                                  <w:t>Hospitality workers account for 22 per cent of serious claims</w:t>
                                </w:r>
                                <w:r>
                                  <w:rPr>
                                    <w:rFonts w:ascii="Arial" w:hAnsi="Arial" w:cs="Arial"/>
                                    <w:sz w:val="22"/>
                                    <w:szCs w:val="22"/>
                                  </w:rPr>
                                  <w:t xml:space="preserve">, </w:t>
                                </w:r>
                                <w:r w:rsidRPr="00FC761C">
                                  <w:rPr>
                                    <w:rFonts w:ascii="Arial" w:hAnsi="Arial" w:cs="Arial"/>
                                    <w:sz w:val="22"/>
                                    <w:szCs w:val="22"/>
                                  </w:rPr>
                                  <w:t xml:space="preserve">the highest percentage in the industry. </w:t>
                                </w:r>
                                <w:r>
                                  <w:rPr>
                                    <w:rFonts w:ascii="Arial" w:hAnsi="Arial" w:cs="Arial"/>
                                    <w:sz w:val="22"/>
                                    <w:szCs w:val="22"/>
                                  </w:rPr>
                                  <w:t>This was f</w:t>
                                </w:r>
                                <w:r w:rsidRPr="00FC761C">
                                  <w:rPr>
                                    <w:rFonts w:ascii="Arial" w:hAnsi="Arial" w:cs="Arial"/>
                                    <w:sz w:val="22"/>
                                    <w:szCs w:val="22"/>
                                  </w:rPr>
                                  <w:t xml:space="preserve">ollowed by food trades workers who account for 20 per cent. </w:t>
                                </w:r>
                              </w:p>
                              <w:p w14:paraId="5BB3DA40" w14:textId="77777777" w:rsidR="00987764" w:rsidRPr="00FC761C" w:rsidRDefault="00987764" w:rsidP="00987764">
                                <w:pPr>
                                  <w:pStyle w:val="ListParagraph"/>
                                  <w:numPr>
                                    <w:ilvl w:val="0"/>
                                    <w:numId w:val="23"/>
                                  </w:numPr>
                                  <w:spacing w:after="200" w:line="276" w:lineRule="auto"/>
                                  <w:rPr>
                                    <w:rFonts w:ascii="Arial" w:hAnsi="Arial" w:cs="Arial"/>
                                    <w:sz w:val="22"/>
                                    <w:szCs w:val="22"/>
                                  </w:rPr>
                                </w:pPr>
                                <w:r w:rsidRPr="00FC761C">
                                  <w:rPr>
                                    <w:rFonts w:ascii="Arial" w:hAnsi="Arial" w:cs="Arial"/>
                                    <w:sz w:val="22"/>
                                    <w:szCs w:val="22"/>
                                  </w:rPr>
                                  <w:t xml:space="preserve">Hospitality, retail and service managers account for 36 per cent of fatalities. </w:t>
                                </w:r>
                              </w:p>
                              <w:p w14:paraId="1DC8AC62" w14:textId="77777777" w:rsidR="00987764" w:rsidRPr="00FC761C" w:rsidRDefault="00987764" w:rsidP="00987764">
                                <w:pPr>
                                  <w:pStyle w:val="ListParagraph"/>
                                  <w:numPr>
                                    <w:ilvl w:val="0"/>
                                    <w:numId w:val="23"/>
                                  </w:numPr>
                                  <w:spacing w:after="200" w:line="276" w:lineRule="auto"/>
                                  <w:rPr>
                                    <w:rFonts w:ascii="Arial" w:hAnsi="Arial" w:cs="Arial"/>
                                    <w:sz w:val="22"/>
                                    <w:szCs w:val="22"/>
                                  </w:rPr>
                                </w:pPr>
                                <w:r w:rsidRPr="00FC761C">
                                  <w:rPr>
                                    <w:rFonts w:ascii="Arial" w:hAnsi="Arial" w:cs="Arial"/>
                                    <w:sz w:val="22"/>
                                    <w:szCs w:val="22"/>
                                  </w:rPr>
                                  <w:t>Explosions account for the highest proportion of fatalities in the industry.</w:t>
                                </w:r>
                              </w:p>
                              <w:p w14:paraId="3689EAFE" w14:textId="77777777" w:rsidR="00987764" w:rsidRPr="00FC761C" w:rsidRDefault="00987764" w:rsidP="00987764">
                                <w:pPr>
                                  <w:pStyle w:val="ListParagraph"/>
                                  <w:numPr>
                                    <w:ilvl w:val="0"/>
                                    <w:numId w:val="23"/>
                                  </w:numPr>
                                  <w:spacing w:after="200" w:line="276" w:lineRule="auto"/>
                                  <w:rPr>
                                    <w:rFonts w:ascii="Arial" w:hAnsi="Arial" w:cs="Arial"/>
                                    <w:sz w:val="22"/>
                                    <w:szCs w:val="22"/>
                                  </w:rPr>
                                </w:pPr>
                                <w:r w:rsidRPr="00FC761C">
                                  <w:rPr>
                                    <w:rFonts w:ascii="Arial" w:hAnsi="Arial" w:cs="Arial"/>
                                    <w:sz w:val="22"/>
                                    <w:szCs w:val="22"/>
                                  </w:rPr>
                                  <w:t>The highest proportion of serious claims in the industry are</w:t>
                                </w:r>
                                <w:r>
                                  <w:rPr>
                                    <w:rFonts w:ascii="Arial" w:hAnsi="Arial" w:cs="Arial"/>
                                    <w:sz w:val="22"/>
                                    <w:szCs w:val="22"/>
                                  </w:rPr>
                                  <w:t xml:space="preserve"> due to</w:t>
                                </w:r>
                                <w:r w:rsidRPr="00FC761C">
                                  <w:rPr>
                                    <w:rFonts w:ascii="Arial" w:hAnsi="Arial" w:cs="Arial"/>
                                    <w:sz w:val="22"/>
                                    <w:szCs w:val="22"/>
                                  </w:rPr>
                                  <w:t>:</w:t>
                                </w:r>
                              </w:p>
                              <w:p w14:paraId="6408DF5F" w14:textId="77777777" w:rsidR="00987764" w:rsidRPr="00FC761C" w:rsidRDefault="00987764" w:rsidP="00987764">
                                <w:pPr>
                                  <w:pStyle w:val="ListParagraph"/>
                                  <w:numPr>
                                    <w:ilvl w:val="1"/>
                                    <w:numId w:val="23"/>
                                  </w:numPr>
                                  <w:spacing w:after="200" w:line="276" w:lineRule="auto"/>
                                  <w:rPr>
                                    <w:rFonts w:ascii="Arial" w:hAnsi="Arial" w:cs="Arial"/>
                                    <w:sz w:val="22"/>
                                    <w:szCs w:val="22"/>
                                  </w:rPr>
                                </w:pPr>
                                <w:r w:rsidRPr="00FC761C">
                                  <w:rPr>
                                    <w:rFonts w:ascii="Arial" w:hAnsi="Arial" w:cs="Arial"/>
                                    <w:sz w:val="22"/>
                                    <w:szCs w:val="22"/>
                                  </w:rPr>
                                  <w:t xml:space="preserve">falls </w:t>
                                </w:r>
                                <w:r>
                                  <w:rPr>
                                    <w:rFonts w:ascii="Arial" w:hAnsi="Arial" w:cs="Arial"/>
                                    <w:sz w:val="22"/>
                                    <w:szCs w:val="22"/>
                                  </w:rPr>
                                  <w:t xml:space="preserve">on the same level </w:t>
                                </w:r>
                                <w:r w:rsidRPr="00FC761C">
                                  <w:rPr>
                                    <w:rFonts w:ascii="Arial" w:hAnsi="Arial" w:cs="Arial"/>
                                    <w:sz w:val="22"/>
                                    <w:szCs w:val="22"/>
                                  </w:rPr>
                                  <w:t>(1</w:t>
                                </w:r>
                                <w:r>
                                  <w:rPr>
                                    <w:rFonts w:ascii="Arial" w:hAnsi="Arial" w:cs="Arial"/>
                                    <w:sz w:val="22"/>
                                    <w:szCs w:val="22"/>
                                  </w:rPr>
                                  <w:t>9</w:t>
                                </w:r>
                                <w:r w:rsidRPr="00FC761C">
                                  <w:rPr>
                                    <w:rFonts w:ascii="Arial" w:hAnsi="Arial" w:cs="Arial"/>
                                    <w:sz w:val="22"/>
                                    <w:szCs w:val="22"/>
                                  </w:rPr>
                                  <w:t xml:space="preserve"> per cent)</w:t>
                                </w:r>
                              </w:p>
                              <w:p w14:paraId="436E3C31" w14:textId="77777777" w:rsidR="00987764" w:rsidRPr="00FC761C" w:rsidRDefault="00987764" w:rsidP="00987764">
                                <w:pPr>
                                  <w:pStyle w:val="ListParagraph"/>
                                  <w:numPr>
                                    <w:ilvl w:val="1"/>
                                    <w:numId w:val="23"/>
                                  </w:numPr>
                                  <w:spacing w:after="200" w:line="276" w:lineRule="auto"/>
                                  <w:rPr>
                                    <w:rFonts w:ascii="Arial" w:hAnsi="Arial" w:cs="Arial"/>
                                    <w:sz w:val="22"/>
                                    <w:szCs w:val="22"/>
                                  </w:rPr>
                                </w:pPr>
                                <w:r w:rsidRPr="00FC761C">
                                  <w:rPr>
                                    <w:rFonts w:ascii="Arial" w:hAnsi="Arial" w:cs="Arial"/>
                                    <w:sz w:val="22"/>
                                    <w:szCs w:val="22"/>
                                  </w:rPr>
                                  <w:t>muscular stress while lifting, carrying or putting down objects (14 per cent)</w:t>
                                </w:r>
                              </w:p>
                              <w:p w14:paraId="7708073A" w14:textId="77777777" w:rsidR="00987764" w:rsidRPr="00FC761C" w:rsidRDefault="00987764" w:rsidP="00987764">
                                <w:pPr>
                                  <w:pStyle w:val="ListParagraph"/>
                                  <w:numPr>
                                    <w:ilvl w:val="1"/>
                                    <w:numId w:val="23"/>
                                  </w:numPr>
                                  <w:spacing w:after="200" w:line="276" w:lineRule="auto"/>
                                  <w:rPr>
                                    <w:rFonts w:ascii="Arial" w:hAnsi="Arial" w:cs="Arial"/>
                                    <w:sz w:val="22"/>
                                    <w:szCs w:val="22"/>
                                  </w:rPr>
                                </w:pPr>
                                <w:proofErr w:type="gramStart"/>
                                <w:r w:rsidRPr="00FC761C">
                                  <w:rPr>
                                    <w:rFonts w:ascii="Arial" w:hAnsi="Arial" w:cs="Arial"/>
                                    <w:sz w:val="22"/>
                                    <w:szCs w:val="22"/>
                                  </w:rPr>
                                  <w:t>muscular</w:t>
                                </w:r>
                                <w:proofErr w:type="gramEnd"/>
                                <w:r w:rsidRPr="00FC761C">
                                  <w:rPr>
                                    <w:rFonts w:ascii="Arial" w:hAnsi="Arial" w:cs="Arial"/>
                                    <w:sz w:val="22"/>
                                    <w:szCs w:val="22"/>
                                  </w:rPr>
                                  <w:t xml:space="preserve"> stress which handling objects (11 per cent).</w:t>
                                </w:r>
                              </w:p>
                              <w:p w14:paraId="0A0A3DB3" w14:textId="77777777" w:rsidR="00987764" w:rsidRDefault="00987764" w:rsidP="00987764">
                                <w:pPr>
                                  <w:pStyle w:val="Bodytextjustified"/>
                                  <w:ind w:left="426"/>
                                  <w:jc w:val="left"/>
                                </w:pPr>
                              </w:p>
                            </w:txbxContent>
                          </wps:txbx>
                          <wps:bodyPr rot="0" vert="horz" wrap="square" lIns="91440" tIns="45720" rIns="91440" bIns="45720" anchor="t" anchorCtr="0">
                            <a:noAutofit/>
                          </wps:bodyPr>
                        </wps:wsp>
                      </a:graphicData>
                    </a:graphic>
                  </wp:inline>
                </w:drawing>
              </mc:Choice>
              <mc:Fallback>
                <w:pict>
                  <v:shapetype w14:anchorId="112ED683" id="_x0000_t202" coordsize="21600,21600" o:spt="202" path="m,l,21600r21600,l21600,xe">
                    <v:stroke joinstyle="miter"/>
                    <v:path gradientshapeok="t" o:connecttype="rect"/>
                  </v:shapetype>
                  <v:shape id="Text Box 2" o:spid="_x0000_s1026" type="#_x0000_t202" style="width:503.25pt;height:28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" fillcolor="#d8d8d8 [2732]" stroked="f">
                    <v:textbox>
                      <w:txbxContent>
                        <w:p w14:paraId="7CBE626D" w14:textId="77777777" w:rsidR="00987764" w:rsidRDefault="00987764" w:rsidP="00987764">
                          <w:pPr>
                            <w:pStyle w:val="Heading1"/>
                            <w:spacing w:before="120"/>
                          </w:pPr>
                          <w:r>
                            <w:t>Key points</w:t>
                          </w:r>
                        </w:p>
                        <w:p w14:paraId="2ED2F98B" w14:textId="77777777" w:rsidR="00987764" w:rsidRPr="00FC761C" w:rsidRDefault="00987764" w:rsidP="00987764">
                          <w:pPr>
                            <w:pStyle w:val="ListParagraph"/>
                            <w:numPr>
                              <w:ilvl w:val="0"/>
                              <w:numId w:val="23"/>
                            </w:numPr>
                            <w:spacing w:after="200" w:line="276" w:lineRule="auto"/>
                            <w:rPr>
                              <w:rFonts w:ascii="Arial" w:hAnsi="Arial" w:cs="Arial"/>
                              <w:sz w:val="22"/>
                              <w:szCs w:val="22"/>
                            </w:rPr>
                          </w:pPr>
                          <w:r w:rsidRPr="00FC761C">
                            <w:rPr>
                              <w:rFonts w:ascii="Arial" w:hAnsi="Arial" w:cs="Arial"/>
                              <w:sz w:val="22"/>
                              <w:szCs w:val="22"/>
                            </w:rPr>
                            <w:t>Worker fatalities are relatively low</w:t>
                          </w:r>
                          <w:r>
                            <w:rPr>
                              <w:rFonts w:ascii="Arial" w:hAnsi="Arial" w:cs="Arial"/>
                              <w:sz w:val="22"/>
                              <w:szCs w:val="22"/>
                            </w:rPr>
                            <w:t>,</w:t>
                          </w:r>
                          <w:r w:rsidRPr="00FC761C">
                            <w:rPr>
                              <w:rFonts w:ascii="Arial" w:hAnsi="Arial" w:cs="Arial"/>
                              <w:sz w:val="22"/>
                              <w:szCs w:val="22"/>
                            </w:rPr>
                            <w:t xml:space="preserve"> with </w:t>
                          </w:r>
                          <w:proofErr w:type="gramStart"/>
                          <w:r w:rsidRPr="00FC761C">
                            <w:rPr>
                              <w:rFonts w:ascii="Arial" w:hAnsi="Arial" w:cs="Arial"/>
                              <w:sz w:val="22"/>
                              <w:szCs w:val="22"/>
                            </w:rPr>
                            <w:t>3</w:t>
                          </w:r>
                          <w:proofErr w:type="gramEnd"/>
                          <w:r w:rsidRPr="00FC761C">
                            <w:rPr>
                              <w:rFonts w:ascii="Arial" w:hAnsi="Arial" w:cs="Arial"/>
                              <w:sz w:val="22"/>
                              <w:szCs w:val="22"/>
                            </w:rPr>
                            <w:t xml:space="preserve"> fatalities per year.</w:t>
                          </w:r>
                        </w:p>
                        <w:p w14:paraId="6EBC0C68" w14:textId="77777777" w:rsidR="00987764" w:rsidRPr="00FC761C" w:rsidRDefault="00987764" w:rsidP="00987764">
                          <w:pPr>
                            <w:pStyle w:val="ListParagraph"/>
                            <w:numPr>
                              <w:ilvl w:val="0"/>
                              <w:numId w:val="23"/>
                            </w:numPr>
                            <w:spacing w:after="200" w:line="276" w:lineRule="auto"/>
                            <w:rPr>
                              <w:rFonts w:ascii="Arial" w:hAnsi="Arial" w:cs="Arial"/>
                              <w:sz w:val="22"/>
                              <w:szCs w:val="22"/>
                            </w:rPr>
                          </w:pPr>
                          <w:r w:rsidRPr="00FC761C">
                            <w:rPr>
                              <w:rFonts w:ascii="Arial" w:hAnsi="Arial" w:cs="Arial"/>
                              <w:sz w:val="22"/>
                              <w:szCs w:val="22"/>
                            </w:rPr>
                            <w:t xml:space="preserve">Serious claims are slightly higher than average with 6.4 claims per million hours worked. </w:t>
                          </w:r>
                        </w:p>
                        <w:p w14:paraId="3F34D37D" w14:textId="77777777" w:rsidR="00987764" w:rsidRPr="00FC761C" w:rsidRDefault="00987764" w:rsidP="00987764">
                          <w:pPr>
                            <w:pStyle w:val="ListParagraph"/>
                            <w:numPr>
                              <w:ilvl w:val="0"/>
                              <w:numId w:val="23"/>
                            </w:numPr>
                            <w:spacing w:after="200" w:line="276" w:lineRule="auto"/>
                            <w:rPr>
                              <w:rFonts w:ascii="Arial" w:hAnsi="Arial" w:cs="Arial"/>
                              <w:sz w:val="22"/>
                              <w:szCs w:val="22"/>
                            </w:rPr>
                          </w:pPr>
                          <w:r w:rsidRPr="00FC761C">
                            <w:rPr>
                              <w:rFonts w:ascii="Arial" w:hAnsi="Arial" w:cs="Arial"/>
                              <w:sz w:val="22"/>
                              <w:szCs w:val="22"/>
                            </w:rPr>
                            <w:t>The frequency rate of serious claims has decreased by 25 per cent over the last decade.</w:t>
                          </w:r>
                        </w:p>
                        <w:p w14:paraId="68A236DA" w14:textId="77777777" w:rsidR="00987764" w:rsidRPr="00FC761C" w:rsidRDefault="00987764" w:rsidP="00987764">
                          <w:pPr>
                            <w:pStyle w:val="ListParagraph"/>
                            <w:numPr>
                              <w:ilvl w:val="0"/>
                              <w:numId w:val="23"/>
                            </w:numPr>
                            <w:spacing w:after="200" w:line="276" w:lineRule="auto"/>
                            <w:rPr>
                              <w:rFonts w:ascii="Arial" w:hAnsi="Arial" w:cs="Arial"/>
                              <w:sz w:val="22"/>
                              <w:szCs w:val="22"/>
                            </w:rPr>
                          </w:pPr>
                          <w:r>
                            <w:rPr>
                              <w:rFonts w:ascii="Arial" w:hAnsi="Arial" w:cs="Arial"/>
                              <w:sz w:val="22"/>
                              <w:szCs w:val="22"/>
                            </w:rPr>
                            <w:t>Despite the younger demographic of the accommodation and food services industry, w</w:t>
                          </w:r>
                          <w:r w:rsidRPr="00FC761C">
                            <w:rPr>
                              <w:rFonts w:ascii="Arial" w:hAnsi="Arial" w:cs="Arial"/>
                              <w:sz w:val="22"/>
                              <w:szCs w:val="22"/>
                            </w:rPr>
                            <w:t>orkers aged 45-54 years account for the highest proportion of worker fatalities</w:t>
                          </w:r>
                          <w:r>
                            <w:rPr>
                              <w:rFonts w:ascii="Arial" w:hAnsi="Arial" w:cs="Arial"/>
                              <w:sz w:val="22"/>
                              <w:szCs w:val="22"/>
                            </w:rPr>
                            <w:t>.</w:t>
                          </w:r>
                          <w:r w:rsidRPr="00FC761C">
                            <w:rPr>
                              <w:rFonts w:ascii="Arial" w:hAnsi="Arial" w:cs="Arial"/>
                              <w:sz w:val="22"/>
                              <w:szCs w:val="22"/>
                            </w:rPr>
                            <w:t xml:space="preserve"> </w:t>
                          </w:r>
                          <w:r>
                            <w:rPr>
                              <w:rFonts w:ascii="Arial" w:hAnsi="Arial" w:cs="Arial"/>
                              <w:sz w:val="22"/>
                              <w:szCs w:val="22"/>
                            </w:rPr>
                            <w:t>Workers aged 55-64 years</w:t>
                          </w:r>
                          <w:r w:rsidRPr="00FC761C">
                            <w:rPr>
                              <w:rFonts w:ascii="Arial" w:hAnsi="Arial" w:cs="Arial"/>
                              <w:sz w:val="22"/>
                              <w:szCs w:val="22"/>
                            </w:rPr>
                            <w:t xml:space="preserve"> recorded the highest serious claim frequency rates.</w:t>
                          </w:r>
                          <w:r>
                            <w:rPr>
                              <w:rFonts w:ascii="Arial" w:hAnsi="Arial" w:cs="Arial"/>
                              <w:sz w:val="22"/>
                              <w:szCs w:val="22"/>
                            </w:rPr>
                            <w:t xml:space="preserve"> </w:t>
                          </w:r>
                        </w:p>
                        <w:p w14:paraId="321F3E3C" w14:textId="77777777" w:rsidR="00987764" w:rsidRPr="00FC761C" w:rsidRDefault="00987764" w:rsidP="00987764">
                          <w:pPr>
                            <w:pStyle w:val="ListParagraph"/>
                            <w:numPr>
                              <w:ilvl w:val="0"/>
                              <w:numId w:val="23"/>
                            </w:numPr>
                            <w:spacing w:after="200" w:line="276" w:lineRule="auto"/>
                            <w:rPr>
                              <w:rFonts w:ascii="Arial" w:hAnsi="Arial" w:cs="Arial"/>
                              <w:sz w:val="22"/>
                              <w:szCs w:val="22"/>
                            </w:rPr>
                          </w:pPr>
                          <w:r>
                            <w:rPr>
                              <w:rFonts w:ascii="Arial" w:hAnsi="Arial" w:cs="Arial"/>
                              <w:sz w:val="22"/>
                              <w:szCs w:val="22"/>
                            </w:rPr>
                            <w:t>The f</w:t>
                          </w:r>
                          <w:r w:rsidRPr="00FC761C">
                            <w:rPr>
                              <w:rFonts w:ascii="Arial" w:hAnsi="Arial" w:cs="Arial"/>
                              <w:sz w:val="22"/>
                              <w:szCs w:val="22"/>
                            </w:rPr>
                            <w:t xml:space="preserve">ood and beverage </w:t>
                          </w:r>
                          <w:r>
                            <w:rPr>
                              <w:rFonts w:ascii="Arial" w:hAnsi="Arial" w:cs="Arial"/>
                              <w:sz w:val="22"/>
                              <w:szCs w:val="22"/>
                            </w:rPr>
                            <w:t xml:space="preserve">sub-industry </w:t>
                          </w:r>
                          <w:r w:rsidRPr="00FC761C">
                            <w:rPr>
                              <w:rFonts w:ascii="Arial" w:hAnsi="Arial" w:cs="Arial"/>
                              <w:sz w:val="22"/>
                              <w:szCs w:val="22"/>
                            </w:rPr>
                            <w:t>account</w:t>
                          </w:r>
                          <w:r>
                            <w:rPr>
                              <w:rFonts w:ascii="Arial" w:hAnsi="Arial" w:cs="Arial"/>
                              <w:sz w:val="22"/>
                              <w:szCs w:val="22"/>
                            </w:rPr>
                            <w:t>s</w:t>
                          </w:r>
                          <w:r w:rsidRPr="00FC761C">
                            <w:rPr>
                              <w:rFonts w:ascii="Arial" w:hAnsi="Arial" w:cs="Arial"/>
                              <w:sz w:val="22"/>
                              <w:szCs w:val="22"/>
                            </w:rPr>
                            <w:t xml:space="preserve"> for the majority of serious claims and fatalities</w:t>
                          </w:r>
                          <w:r>
                            <w:rPr>
                              <w:rFonts w:ascii="Arial" w:hAnsi="Arial" w:cs="Arial"/>
                              <w:sz w:val="22"/>
                              <w:szCs w:val="22"/>
                            </w:rPr>
                            <w:t>, however,</w:t>
                          </w:r>
                          <w:r w:rsidRPr="00FC761C">
                            <w:rPr>
                              <w:rFonts w:ascii="Arial" w:hAnsi="Arial" w:cs="Arial"/>
                              <w:sz w:val="22"/>
                              <w:szCs w:val="22"/>
                            </w:rPr>
                            <w:t xml:space="preserve"> </w:t>
                          </w:r>
                          <w:r>
                            <w:rPr>
                              <w:rFonts w:ascii="Arial" w:hAnsi="Arial" w:cs="Arial"/>
                              <w:sz w:val="22"/>
                              <w:szCs w:val="22"/>
                            </w:rPr>
                            <w:t xml:space="preserve">the </w:t>
                          </w:r>
                          <w:r w:rsidRPr="00FC761C">
                            <w:rPr>
                              <w:rFonts w:ascii="Arial" w:hAnsi="Arial" w:cs="Arial"/>
                              <w:sz w:val="22"/>
                              <w:szCs w:val="22"/>
                            </w:rPr>
                            <w:t xml:space="preserve">accommodation </w:t>
                          </w:r>
                          <w:r>
                            <w:rPr>
                              <w:rFonts w:ascii="Arial" w:hAnsi="Arial" w:cs="Arial"/>
                              <w:sz w:val="22"/>
                              <w:szCs w:val="22"/>
                            </w:rPr>
                            <w:t xml:space="preserve">sub-industry </w:t>
                          </w:r>
                          <w:r w:rsidRPr="00FC761C">
                            <w:rPr>
                              <w:rFonts w:ascii="Arial" w:hAnsi="Arial" w:cs="Arial"/>
                              <w:sz w:val="22"/>
                              <w:szCs w:val="22"/>
                            </w:rPr>
                            <w:t>recorded the highest frequency and fatality rate.</w:t>
                          </w:r>
                        </w:p>
                        <w:p w14:paraId="73A352FE" w14:textId="77777777" w:rsidR="00987764" w:rsidRPr="00FC761C" w:rsidRDefault="00987764" w:rsidP="00987764">
                          <w:pPr>
                            <w:pStyle w:val="ListParagraph"/>
                            <w:numPr>
                              <w:ilvl w:val="0"/>
                              <w:numId w:val="23"/>
                            </w:numPr>
                            <w:spacing w:after="200" w:line="276" w:lineRule="auto"/>
                            <w:rPr>
                              <w:rFonts w:ascii="Arial" w:hAnsi="Arial" w:cs="Arial"/>
                              <w:sz w:val="22"/>
                              <w:szCs w:val="22"/>
                            </w:rPr>
                          </w:pPr>
                          <w:r w:rsidRPr="00FC761C">
                            <w:rPr>
                              <w:rFonts w:ascii="Arial" w:hAnsi="Arial" w:cs="Arial"/>
                              <w:sz w:val="22"/>
                              <w:szCs w:val="22"/>
                            </w:rPr>
                            <w:t>Hospitality workers account for 22 per cent of serious claims</w:t>
                          </w:r>
                          <w:r>
                            <w:rPr>
                              <w:rFonts w:ascii="Arial" w:hAnsi="Arial" w:cs="Arial"/>
                              <w:sz w:val="22"/>
                              <w:szCs w:val="22"/>
                            </w:rPr>
                            <w:t xml:space="preserve">, </w:t>
                          </w:r>
                          <w:r w:rsidRPr="00FC761C">
                            <w:rPr>
                              <w:rFonts w:ascii="Arial" w:hAnsi="Arial" w:cs="Arial"/>
                              <w:sz w:val="22"/>
                              <w:szCs w:val="22"/>
                            </w:rPr>
                            <w:t xml:space="preserve">the highest percentage in the industry. </w:t>
                          </w:r>
                          <w:proofErr w:type="gramStart"/>
                          <w:r>
                            <w:rPr>
                              <w:rFonts w:ascii="Arial" w:hAnsi="Arial" w:cs="Arial"/>
                              <w:sz w:val="22"/>
                              <w:szCs w:val="22"/>
                            </w:rPr>
                            <w:t>This was f</w:t>
                          </w:r>
                          <w:r w:rsidRPr="00FC761C">
                            <w:rPr>
                              <w:rFonts w:ascii="Arial" w:hAnsi="Arial" w:cs="Arial"/>
                              <w:sz w:val="22"/>
                              <w:szCs w:val="22"/>
                            </w:rPr>
                            <w:t>ollowed by food trades workers who account for 20 per cent</w:t>
                          </w:r>
                          <w:proofErr w:type="gramEnd"/>
                          <w:r w:rsidRPr="00FC761C">
                            <w:rPr>
                              <w:rFonts w:ascii="Arial" w:hAnsi="Arial" w:cs="Arial"/>
                              <w:sz w:val="22"/>
                              <w:szCs w:val="22"/>
                            </w:rPr>
                            <w:t xml:space="preserve">. </w:t>
                          </w:r>
                        </w:p>
                        <w:p w14:paraId="5BB3DA40" w14:textId="77777777" w:rsidR="00987764" w:rsidRPr="00FC761C" w:rsidRDefault="00987764" w:rsidP="00987764">
                          <w:pPr>
                            <w:pStyle w:val="ListParagraph"/>
                            <w:numPr>
                              <w:ilvl w:val="0"/>
                              <w:numId w:val="23"/>
                            </w:numPr>
                            <w:spacing w:after="200" w:line="276" w:lineRule="auto"/>
                            <w:rPr>
                              <w:rFonts w:ascii="Arial" w:hAnsi="Arial" w:cs="Arial"/>
                              <w:sz w:val="22"/>
                              <w:szCs w:val="22"/>
                            </w:rPr>
                          </w:pPr>
                          <w:r w:rsidRPr="00FC761C">
                            <w:rPr>
                              <w:rFonts w:ascii="Arial" w:hAnsi="Arial" w:cs="Arial"/>
                              <w:sz w:val="22"/>
                              <w:szCs w:val="22"/>
                            </w:rPr>
                            <w:t xml:space="preserve">Hospitality, retail and service managers account for 36 per cent of fatalities. </w:t>
                          </w:r>
                        </w:p>
                        <w:p w14:paraId="1DC8AC62" w14:textId="77777777" w:rsidR="00987764" w:rsidRPr="00FC761C" w:rsidRDefault="00987764" w:rsidP="00987764">
                          <w:pPr>
                            <w:pStyle w:val="ListParagraph"/>
                            <w:numPr>
                              <w:ilvl w:val="0"/>
                              <w:numId w:val="23"/>
                            </w:numPr>
                            <w:spacing w:after="200" w:line="276" w:lineRule="auto"/>
                            <w:rPr>
                              <w:rFonts w:ascii="Arial" w:hAnsi="Arial" w:cs="Arial"/>
                              <w:sz w:val="22"/>
                              <w:szCs w:val="22"/>
                            </w:rPr>
                          </w:pPr>
                          <w:r w:rsidRPr="00FC761C">
                            <w:rPr>
                              <w:rFonts w:ascii="Arial" w:hAnsi="Arial" w:cs="Arial"/>
                              <w:sz w:val="22"/>
                              <w:szCs w:val="22"/>
                            </w:rPr>
                            <w:t>Explosions account for the highest proportion of fatalities in the industry.</w:t>
                          </w:r>
                        </w:p>
                        <w:p w14:paraId="3689EAFE" w14:textId="77777777" w:rsidR="00987764" w:rsidRPr="00FC761C" w:rsidRDefault="00987764" w:rsidP="00987764">
                          <w:pPr>
                            <w:pStyle w:val="ListParagraph"/>
                            <w:numPr>
                              <w:ilvl w:val="0"/>
                              <w:numId w:val="23"/>
                            </w:numPr>
                            <w:spacing w:after="200" w:line="276" w:lineRule="auto"/>
                            <w:rPr>
                              <w:rFonts w:ascii="Arial" w:hAnsi="Arial" w:cs="Arial"/>
                              <w:sz w:val="22"/>
                              <w:szCs w:val="22"/>
                            </w:rPr>
                          </w:pPr>
                          <w:r w:rsidRPr="00FC761C">
                            <w:rPr>
                              <w:rFonts w:ascii="Arial" w:hAnsi="Arial" w:cs="Arial"/>
                              <w:sz w:val="22"/>
                              <w:szCs w:val="22"/>
                            </w:rPr>
                            <w:t>The highest proportion of serious claims in the industry are</w:t>
                          </w:r>
                          <w:r>
                            <w:rPr>
                              <w:rFonts w:ascii="Arial" w:hAnsi="Arial" w:cs="Arial"/>
                              <w:sz w:val="22"/>
                              <w:szCs w:val="22"/>
                            </w:rPr>
                            <w:t xml:space="preserve"> due to</w:t>
                          </w:r>
                          <w:r w:rsidRPr="00FC761C">
                            <w:rPr>
                              <w:rFonts w:ascii="Arial" w:hAnsi="Arial" w:cs="Arial"/>
                              <w:sz w:val="22"/>
                              <w:szCs w:val="22"/>
                            </w:rPr>
                            <w:t>:</w:t>
                          </w:r>
                        </w:p>
                        <w:p w14:paraId="6408DF5F" w14:textId="77777777" w:rsidR="00987764" w:rsidRPr="00FC761C" w:rsidRDefault="00987764" w:rsidP="00987764">
                          <w:pPr>
                            <w:pStyle w:val="ListParagraph"/>
                            <w:numPr>
                              <w:ilvl w:val="1"/>
                              <w:numId w:val="23"/>
                            </w:numPr>
                            <w:spacing w:after="200" w:line="276" w:lineRule="auto"/>
                            <w:rPr>
                              <w:rFonts w:ascii="Arial" w:hAnsi="Arial" w:cs="Arial"/>
                              <w:sz w:val="22"/>
                              <w:szCs w:val="22"/>
                            </w:rPr>
                          </w:pPr>
                          <w:r w:rsidRPr="00FC761C">
                            <w:rPr>
                              <w:rFonts w:ascii="Arial" w:hAnsi="Arial" w:cs="Arial"/>
                              <w:sz w:val="22"/>
                              <w:szCs w:val="22"/>
                            </w:rPr>
                            <w:t xml:space="preserve">falls </w:t>
                          </w:r>
                          <w:r>
                            <w:rPr>
                              <w:rFonts w:ascii="Arial" w:hAnsi="Arial" w:cs="Arial"/>
                              <w:sz w:val="22"/>
                              <w:szCs w:val="22"/>
                            </w:rPr>
                            <w:t xml:space="preserve">on the same level </w:t>
                          </w:r>
                          <w:r w:rsidRPr="00FC761C">
                            <w:rPr>
                              <w:rFonts w:ascii="Arial" w:hAnsi="Arial" w:cs="Arial"/>
                              <w:sz w:val="22"/>
                              <w:szCs w:val="22"/>
                            </w:rPr>
                            <w:t>(1</w:t>
                          </w:r>
                          <w:r>
                            <w:rPr>
                              <w:rFonts w:ascii="Arial" w:hAnsi="Arial" w:cs="Arial"/>
                              <w:sz w:val="22"/>
                              <w:szCs w:val="22"/>
                            </w:rPr>
                            <w:t>9</w:t>
                          </w:r>
                          <w:r w:rsidRPr="00FC761C">
                            <w:rPr>
                              <w:rFonts w:ascii="Arial" w:hAnsi="Arial" w:cs="Arial"/>
                              <w:sz w:val="22"/>
                              <w:szCs w:val="22"/>
                            </w:rPr>
                            <w:t xml:space="preserve"> per cent)</w:t>
                          </w:r>
                        </w:p>
                        <w:p w14:paraId="436E3C31" w14:textId="77777777" w:rsidR="00987764" w:rsidRPr="00FC761C" w:rsidRDefault="00987764" w:rsidP="00987764">
                          <w:pPr>
                            <w:pStyle w:val="ListParagraph"/>
                            <w:numPr>
                              <w:ilvl w:val="1"/>
                              <w:numId w:val="23"/>
                            </w:numPr>
                            <w:spacing w:after="200" w:line="276" w:lineRule="auto"/>
                            <w:rPr>
                              <w:rFonts w:ascii="Arial" w:hAnsi="Arial" w:cs="Arial"/>
                              <w:sz w:val="22"/>
                              <w:szCs w:val="22"/>
                            </w:rPr>
                          </w:pPr>
                          <w:r w:rsidRPr="00FC761C">
                            <w:rPr>
                              <w:rFonts w:ascii="Arial" w:hAnsi="Arial" w:cs="Arial"/>
                              <w:sz w:val="22"/>
                              <w:szCs w:val="22"/>
                            </w:rPr>
                            <w:t>muscular stress while lifting, carrying or putting down objects (14 per cent)</w:t>
                          </w:r>
                        </w:p>
                        <w:p w14:paraId="7708073A" w14:textId="77777777" w:rsidR="00987764" w:rsidRPr="00FC761C" w:rsidRDefault="00987764" w:rsidP="00987764">
                          <w:pPr>
                            <w:pStyle w:val="ListParagraph"/>
                            <w:numPr>
                              <w:ilvl w:val="1"/>
                              <w:numId w:val="23"/>
                            </w:numPr>
                            <w:spacing w:after="200" w:line="276" w:lineRule="auto"/>
                            <w:rPr>
                              <w:rFonts w:ascii="Arial" w:hAnsi="Arial" w:cs="Arial"/>
                              <w:sz w:val="22"/>
                              <w:szCs w:val="22"/>
                            </w:rPr>
                          </w:pPr>
                          <w:proofErr w:type="gramStart"/>
                          <w:r w:rsidRPr="00FC761C">
                            <w:rPr>
                              <w:rFonts w:ascii="Arial" w:hAnsi="Arial" w:cs="Arial"/>
                              <w:sz w:val="22"/>
                              <w:szCs w:val="22"/>
                            </w:rPr>
                            <w:t>muscular</w:t>
                          </w:r>
                          <w:proofErr w:type="gramEnd"/>
                          <w:r w:rsidRPr="00FC761C">
                            <w:rPr>
                              <w:rFonts w:ascii="Arial" w:hAnsi="Arial" w:cs="Arial"/>
                              <w:sz w:val="22"/>
                              <w:szCs w:val="22"/>
                            </w:rPr>
                            <w:t xml:space="preserve"> stress which handling objects (11 per cent).</w:t>
                          </w:r>
                        </w:p>
                        <w:p w14:paraId="0A0A3DB3" w14:textId="77777777" w:rsidR="00987764" w:rsidRDefault="00987764" w:rsidP="00987764">
                          <w:pPr>
                            <w:pStyle w:val="Bodytextjustified"/>
                            <w:ind w:left="426"/>
                            <w:jc w:val="left"/>
                          </w:pPr>
                        </w:p>
                      </w:txbxContent>
                    </v:textbox>
                    <w10:anchorlock/>
                  </v:shape>
                </w:pict>
              </mc:Fallback>
            </mc:AlternateContent>
          </w:r>
        </w:p>
        <w:p w14:paraId="553DFBA2" w14:textId="662F5765" w:rsidR="00C64C33" w:rsidRPr="00987764" w:rsidRDefault="00987764">
          <w:pPr>
            <w:spacing w:before="0" w:after="0"/>
            <w:rPr>
              <w:rFonts w:ascii="Arial" w:hAnsi="Arial" w:cs="Arial"/>
              <w:b/>
              <w:color w:val="FFFFFF" w:themeColor="background1"/>
              <w:sz w:val="56"/>
              <w:szCs w:val="80"/>
            </w:rPr>
          </w:pPr>
          <w:r>
            <w:rPr>
              <w:rFonts w:ascii="Arial" w:hAnsi="Arial" w:cs="Arial"/>
              <w:b/>
              <w:color w:val="FFFFFF" w:themeColor="background1"/>
              <w:sz w:val="56"/>
              <w:szCs w:val="80"/>
            </w:rPr>
            <w:br w:type="page"/>
          </w:r>
        </w:p>
      </w:sdtContent>
    </w:sdt>
    <w:p w14:paraId="45EB6BF0" w14:textId="5D02DF2D" w:rsidR="009D1116" w:rsidRPr="009D1116" w:rsidRDefault="009D1116" w:rsidP="006929AD">
      <w:pPr>
        <w:pStyle w:val="Heading1"/>
      </w:pPr>
      <w:r w:rsidRPr="009D1116">
        <w:lastRenderedPageBreak/>
        <w:t xml:space="preserve">The </w:t>
      </w:r>
      <w:r w:rsidR="001C38AE">
        <w:t>e</w:t>
      </w:r>
      <w:r w:rsidRPr="006929AD">
        <w:t>vidence</w:t>
      </w:r>
      <w:r w:rsidR="00564678" w:rsidRPr="00991F6C">
        <w:rPr>
          <w:rStyle w:val="FootnoteReference"/>
          <w:sz w:val="24"/>
        </w:rPr>
        <w:footnoteReference w:id="1"/>
      </w:r>
    </w:p>
    <w:p w14:paraId="7398BA37" w14:textId="77777777" w:rsidR="008004B5" w:rsidRDefault="008004B5" w:rsidP="006929AD">
      <w:pPr>
        <w:pStyle w:val="Heading2"/>
      </w:pPr>
      <w:r>
        <w:t xml:space="preserve">Industry </w:t>
      </w:r>
      <w:r w:rsidRPr="006929AD">
        <w:t>profile</w:t>
      </w:r>
      <w:r w:rsidR="00564678">
        <w:rPr>
          <w:rStyle w:val="FootnoteReference"/>
        </w:rPr>
        <w:footnoteReference w:id="2"/>
      </w:r>
    </w:p>
    <w:p w14:paraId="604D2EA6" w14:textId="788CAC50" w:rsidR="009B5CCE" w:rsidRDefault="009B5CCE" w:rsidP="00FC761C">
      <w:pPr>
        <w:pStyle w:val="Bodytextjustified"/>
        <w:jc w:val="left"/>
      </w:pPr>
      <w:r>
        <w:t xml:space="preserve">The </w:t>
      </w:r>
      <w:r w:rsidR="001C38AE">
        <w:t>a</w:t>
      </w:r>
      <w:r>
        <w:t>ccommodation and food services industry accounted for 7 per cent of total employment in November 2017, with employment growing by 13 per cent over the five years to November 2017 (much higher than the overall employment growth of 8 per cent). Employment in the industry is projected to continue to grow at a higher rate than the average over the next five years, increasing by 11 per cent.</w:t>
      </w:r>
    </w:p>
    <w:p w14:paraId="0C037F0F" w14:textId="2CA8AD46" w:rsidR="009B5CCE" w:rsidRDefault="009113F6" w:rsidP="00FC761C">
      <w:pPr>
        <w:pStyle w:val="Bodytextjustified"/>
        <w:jc w:val="left"/>
        <w:rPr>
          <w:rFonts w:cs="Calibri"/>
        </w:rPr>
      </w:pPr>
      <w:r>
        <w:rPr>
          <w:rFonts w:cs="Calibri"/>
        </w:rPr>
        <w:t>T</w:t>
      </w:r>
      <w:r w:rsidR="009B5CCE">
        <w:rPr>
          <w:rFonts w:cs="Calibri"/>
        </w:rPr>
        <w:t>he industry has the youngest age demographic of all industries with 44 per cent of workers aged under 25 years old. T</w:t>
      </w:r>
      <w:r w:rsidR="009B5CCE" w:rsidRPr="00A12469">
        <w:rPr>
          <w:rFonts w:cs="Calibri"/>
        </w:rPr>
        <w:t xml:space="preserve">he industry has </w:t>
      </w:r>
      <w:r w:rsidR="009B5CCE">
        <w:rPr>
          <w:rFonts w:cs="Calibri"/>
        </w:rPr>
        <w:t>the highest proportion of part-time workers (59 per cent</w:t>
      </w:r>
      <w:r w:rsidR="009B5CCE" w:rsidRPr="00A12469">
        <w:rPr>
          <w:rFonts w:cs="Calibri"/>
        </w:rPr>
        <w:t xml:space="preserve"> compared to the all industry average of </w:t>
      </w:r>
      <w:r w:rsidR="009B5CCE">
        <w:rPr>
          <w:rFonts w:cs="Calibri"/>
        </w:rPr>
        <w:t>31</w:t>
      </w:r>
      <w:r w:rsidR="009B5CCE" w:rsidRPr="00A12469">
        <w:rPr>
          <w:rFonts w:cs="Calibri"/>
        </w:rPr>
        <w:t xml:space="preserve"> per cent), and </w:t>
      </w:r>
      <w:r w:rsidR="009B5CCE">
        <w:rPr>
          <w:rFonts w:cs="Calibri"/>
        </w:rPr>
        <w:t xml:space="preserve">the highest proportion </w:t>
      </w:r>
      <w:r w:rsidR="009B5CCE" w:rsidRPr="00A12469">
        <w:rPr>
          <w:rFonts w:cs="Calibri"/>
        </w:rPr>
        <w:t>of casual employees (</w:t>
      </w:r>
      <w:r w:rsidR="000F0640">
        <w:rPr>
          <w:rFonts w:cs="Calibri"/>
        </w:rPr>
        <w:t>63</w:t>
      </w:r>
      <w:r w:rsidR="009B5CCE" w:rsidRPr="00A12469">
        <w:rPr>
          <w:rFonts w:cs="Calibri"/>
        </w:rPr>
        <w:t xml:space="preserve"> per cent compared to the all industry average of 25 per cent).</w:t>
      </w:r>
    </w:p>
    <w:p w14:paraId="5E0C12D2" w14:textId="21EE61F1" w:rsidR="005F6803" w:rsidRPr="00A12469" w:rsidRDefault="0007155F" w:rsidP="005F6803">
      <w:pPr>
        <w:pStyle w:val="Bodytextjustified"/>
        <w:jc w:val="center"/>
        <w:rPr>
          <w:rFonts w:cs="Calibri"/>
        </w:rPr>
      </w:pPr>
      <w:r>
        <w:rPr>
          <w:rFonts w:cs="Calibri"/>
          <w:noProof/>
        </w:rPr>
        <w:drawing>
          <wp:inline distT="0" distB="0" distL="0" distR="0" wp14:anchorId="26EEB216" wp14:editId="3B8BA0C4">
            <wp:extent cx="5322899" cy="1569600"/>
            <wp:effectExtent l="0" t="0" r="0" b="0"/>
            <wp:docPr id="8" name="Picture 8" descr="This image provides a visual overview of the key characteristics of the Accommodation and Food Services industry, discussed in the above paragraphs. For more information about the content of this image, or any other visual content in this document, please email statsonline@sw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22899" cy="1569600"/>
                    </a:xfrm>
                    <a:prstGeom prst="rect">
                      <a:avLst/>
                    </a:prstGeom>
                    <a:noFill/>
                  </pic:spPr>
                </pic:pic>
              </a:graphicData>
            </a:graphic>
          </wp:inline>
        </w:drawing>
      </w:r>
    </w:p>
    <w:p w14:paraId="6BAA3B2A" w14:textId="232402D9" w:rsidR="00A70149" w:rsidRPr="005F6803" w:rsidRDefault="00957371" w:rsidP="005F6803">
      <w:pPr>
        <w:pStyle w:val="Heading2"/>
      </w:pPr>
      <w:r w:rsidRPr="00957371">
        <w:t xml:space="preserve">Why is </w:t>
      </w:r>
      <w:r w:rsidR="00FD3A3D">
        <w:t>the</w:t>
      </w:r>
      <w:r w:rsidRPr="00957371">
        <w:t xml:space="preserve"> industry a </w:t>
      </w:r>
      <w:r w:rsidR="00C26809" w:rsidRPr="00957371">
        <w:t>priority</w:t>
      </w:r>
      <w:r w:rsidRPr="00957371">
        <w:t>?</w:t>
      </w:r>
      <w:r w:rsidR="005F6803">
        <w:rPr>
          <w:noProof/>
          <w:sz w:val="22"/>
        </w:rPr>
        <w:t xml:space="preserve"> </w:t>
      </w:r>
    </w:p>
    <w:p w14:paraId="7CACACAC" w14:textId="093FAE13" w:rsidR="00957F06" w:rsidRDefault="00D95B56" w:rsidP="00374B5F">
      <w:pPr>
        <w:spacing w:line="288" w:lineRule="auto"/>
        <w:rPr>
          <w:rFonts w:ascii="Arial" w:hAnsi="Arial" w:cs="Arial"/>
          <w:sz w:val="22"/>
          <w:szCs w:val="22"/>
        </w:rPr>
      </w:pPr>
      <w:r>
        <w:rPr>
          <w:rFonts w:ascii="Arial" w:hAnsi="Arial" w:cs="Arial"/>
          <w:sz w:val="22"/>
          <w:szCs w:val="22"/>
        </w:rPr>
        <w:t xml:space="preserve">While the industry is a priority under the Strategy, the fatality rate </w:t>
      </w:r>
      <w:r w:rsidR="004645A9">
        <w:rPr>
          <w:rFonts w:ascii="Arial" w:hAnsi="Arial" w:cs="Arial"/>
          <w:sz w:val="22"/>
          <w:szCs w:val="22"/>
        </w:rPr>
        <w:t xml:space="preserve">is significantly </w:t>
      </w:r>
      <w:r>
        <w:rPr>
          <w:rFonts w:ascii="Arial" w:hAnsi="Arial" w:cs="Arial"/>
          <w:sz w:val="22"/>
          <w:szCs w:val="22"/>
        </w:rPr>
        <w:t>lower than the all industry average</w:t>
      </w:r>
      <w:r w:rsidR="00B878BE">
        <w:rPr>
          <w:rFonts w:ascii="Arial" w:hAnsi="Arial" w:cs="Arial"/>
          <w:sz w:val="22"/>
          <w:szCs w:val="22"/>
        </w:rPr>
        <w:t>,</w:t>
      </w:r>
      <w:r w:rsidR="004645A9">
        <w:rPr>
          <w:rFonts w:ascii="Arial" w:hAnsi="Arial" w:cs="Arial"/>
          <w:sz w:val="22"/>
          <w:szCs w:val="22"/>
        </w:rPr>
        <w:t xml:space="preserve"> and </w:t>
      </w:r>
      <w:r w:rsidR="00B878BE">
        <w:rPr>
          <w:rFonts w:ascii="Arial" w:hAnsi="Arial" w:cs="Arial"/>
          <w:sz w:val="22"/>
          <w:szCs w:val="22"/>
        </w:rPr>
        <w:t xml:space="preserve">serious claims are </w:t>
      </w:r>
      <w:r w:rsidR="004645A9">
        <w:rPr>
          <w:rFonts w:ascii="Arial" w:hAnsi="Arial" w:cs="Arial"/>
          <w:sz w:val="22"/>
          <w:szCs w:val="22"/>
        </w:rPr>
        <w:t xml:space="preserve">only slightly above the all industry average serious claim frequency rate of 6.2 </w:t>
      </w:r>
      <w:r w:rsidR="00B878BE">
        <w:rPr>
          <w:rFonts w:ascii="Arial" w:hAnsi="Arial" w:cs="Arial"/>
          <w:sz w:val="22"/>
          <w:szCs w:val="22"/>
        </w:rPr>
        <w:t>claims per million hours worked</w:t>
      </w:r>
      <w:r>
        <w:rPr>
          <w:rFonts w:ascii="Arial" w:hAnsi="Arial" w:cs="Arial"/>
          <w:sz w:val="22"/>
          <w:szCs w:val="22"/>
        </w:rPr>
        <w:t>. This is</w:t>
      </w:r>
      <w:r w:rsidR="00B878BE">
        <w:rPr>
          <w:rFonts w:ascii="Arial" w:hAnsi="Arial" w:cs="Arial"/>
          <w:sz w:val="22"/>
          <w:szCs w:val="22"/>
        </w:rPr>
        <w:t xml:space="preserve"> reflected by the industry </w:t>
      </w:r>
      <w:r>
        <w:rPr>
          <w:rFonts w:ascii="Arial" w:hAnsi="Arial" w:cs="Arial"/>
          <w:sz w:val="22"/>
          <w:szCs w:val="22"/>
        </w:rPr>
        <w:t xml:space="preserve">recording the </w:t>
      </w:r>
      <w:r w:rsidR="009C5D6C">
        <w:rPr>
          <w:rFonts w:ascii="Arial" w:hAnsi="Arial" w:cs="Arial"/>
          <w:sz w:val="22"/>
          <w:szCs w:val="22"/>
        </w:rPr>
        <w:t>thirteenth</w:t>
      </w:r>
      <w:r>
        <w:rPr>
          <w:rFonts w:ascii="Arial" w:hAnsi="Arial" w:cs="Arial"/>
          <w:sz w:val="22"/>
          <w:szCs w:val="22"/>
        </w:rPr>
        <w:t xml:space="preserve"> highest fatality rate and the </w:t>
      </w:r>
      <w:r w:rsidR="009C5D6C">
        <w:rPr>
          <w:rFonts w:ascii="Arial" w:hAnsi="Arial" w:cs="Arial"/>
          <w:sz w:val="22"/>
          <w:szCs w:val="22"/>
        </w:rPr>
        <w:t>ninth</w:t>
      </w:r>
      <w:r>
        <w:rPr>
          <w:rFonts w:ascii="Arial" w:hAnsi="Arial" w:cs="Arial"/>
          <w:sz w:val="22"/>
          <w:szCs w:val="22"/>
        </w:rPr>
        <w:t xml:space="preserve"> highest frequency rate of serious claims. </w:t>
      </w:r>
      <w:r w:rsidR="004645A9">
        <w:rPr>
          <w:rFonts w:ascii="Arial" w:hAnsi="Arial" w:cs="Arial"/>
          <w:sz w:val="22"/>
          <w:szCs w:val="22"/>
        </w:rPr>
        <w:t xml:space="preserve">As shown later in the </w:t>
      </w:r>
      <w:r w:rsidR="00FD3A3D">
        <w:rPr>
          <w:rFonts w:ascii="Arial" w:hAnsi="Arial" w:cs="Arial"/>
          <w:sz w:val="22"/>
          <w:szCs w:val="22"/>
        </w:rPr>
        <w:t>overview</w:t>
      </w:r>
      <w:r w:rsidR="004645A9">
        <w:rPr>
          <w:rFonts w:ascii="Arial" w:hAnsi="Arial" w:cs="Arial"/>
          <w:sz w:val="22"/>
          <w:szCs w:val="22"/>
        </w:rPr>
        <w:t xml:space="preserve">, however, the serious claim frequency rate is considerably higher in the </w:t>
      </w:r>
      <w:r w:rsidR="001C38AE">
        <w:rPr>
          <w:rFonts w:ascii="Arial" w:hAnsi="Arial" w:cs="Arial"/>
          <w:sz w:val="22"/>
          <w:szCs w:val="22"/>
        </w:rPr>
        <w:t>a</w:t>
      </w:r>
      <w:r w:rsidR="004645A9">
        <w:rPr>
          <w:rFonts w:ascii="Arial" w:hAnsi="Arial" w:cs="Arial"/>
          <w:sz w:val="22"/>
          <w:szCs w:val="22"/>
        </w:rPr>
        <w:t>ccommodation segment of the industry.</w:t>
      </w:r>
    </w:p>
    <w:p w14:paraId="51C05150" w14:textId="1CC1C690" w:rsidR="005F6803" w:rsidRDefault="00DF1CC1" w:rsidP="005F6803">
      <w:pPr>
        <w:spacing w:line="288" w:lineRule="auto"/>
        <w:jc w:val="center"/>
        <w:rPr>
          <w:rFonts w:ascii="Arial" w:hAnsi="Arial" w:cs="Arial"/>
          <w:sz w:val="22"/>
          <w:szCs w:val="22"/>
        </w:rPr>
      </w:pPr>
      <w:r>
        <w:rPr>
          <w:noProof/>
        </w:rPr>
        <w:drawing>
          <wp:inline distT="0" distB="0" distL="0" distR="0" wp14:anchorId="6C93E132" wp14:editId="60AB4079">
            <wp:extent cx="5807044" cy="2193502"/>
            <wp:effectExtent l="0" t="0" r="3810" b="0"/>
            <wp:docPr id="5" name="Picture 5" descr="This image provides a visual overview of work-related fatality and injury in the Accommodation and Food Services industry, discussed in the above paragraph. For more information about the content of this image, or any other visual content in this document, please email statsonline@sw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h3795\AppData\Local\Microsoft\Windows\INetCache\Content.Word\180702 Priority Industry Snapshot - Infographic - Accomodation and Food ....jpg"/>
                    <pic:cNvPicPr>
                      <a:picLocks noChangeAspect="1" noChangeArrowheads="1"/>
                    </pic:cNvPicPr>
                  </pic:nvPicPr>
                  <pic:blipFill rotWithShape="1">
                    <a:blip r:embed="rId10" cstate="hqprint">
                      <a:extLst>
                        <a:ext uri="{28A0092B-C50C-407E-A947-70E740481C1C}">
                          <a14:useLocalDpi xmlns:a14="http://schemas.microsoft.com/office/drawing/2010/main" val="0"/>
                        </a:ext>
                      </a:extLst>
                    </a:blip>
                    <a:srcRect/>
                    <a:stretch/>
                  </pic:blipFill>
                  <pic:spPr bwMode="auto">
                    <a:xfrm>
                      <a:off x="0" y="0"/>
                      <a:ext cx="5808928" cy="2194213"/>
                    </a:xfrm>
                    <a:prstGeom prst="rect">
                      <a:avLst/>
                    </a:prstGeom>
                    <a:noFill/>
                    <a:ln>
                      <a:noFill/>
                    </a:ln>
                    <a:extLst>
                      <a:ext uri="{53640926-AAD7-44D8-BBD7-CCE9431645EC}">
                        <a14:shadowObscured xmlns:a14="http://schemas.microsoft.com/office/drawing/2010/main"/>
                      </a:ext>
                    </a:extLst>
                  </pic:spPr>
                </pic:pic>
              </a:graphicData>
            </a:graphic>
          </wp:inline>
        </w:drawing>
      </w:r>
    </w:p>
    <w:p w14:paraId="00B6C559" w14:textId="515C4068" w:rsidR="00DF1CC1" w:rsidRDefault="00DF1CC1">
      <w:pPr>
        <w:spacing w:before="0" w:after="0"/>
        <w:rPr>
          <w:rFonts w:ascii="Arial" w:hAnsi="Arial" w:cs="Arial"/>
          <w:sz w:val="22"/>
          <w:szCs w:val="22"/>
        </w:rPr>
      </w:pPr>
      <w:r>
        <w:rPr>
          <w:rFonts w:ascii="Arial" w:hAnsi="Arial" w:cs="Arial"/>
          <w:sz w:val="22"/>
          <w:szCs w:val="22"/>
        </w:rPr>
        <w:br w:type="page"/>
      </w:r>
    </w:p>
    <w:p w14:paraId="07692A6A" w14:textId="77777777" w:rsidR="007A6525" w:rsidRPr="00957371" w:rsidRDefault="00957371" w:rsidP="006929AD">
      <w:pPr>
        <w:pStyle w:val="Heading2"/>
      </w:pPr>
      <w:r w:rsidRPr="00957371">
        <w:lastRenderedPageBreak/>
        <w:t>WHS performance of the industry</w:t>
      </w:r>
    </w:p>
    <w:p w14:paraId="688CD595" w14:textId="3B27C609" w:rsidR="006842FA" w:rsidRDefault="006842FA" w:rsidP="00FC761C">
      <w:pPr>
        <w:pStyle w:val="Bodytextjustified"/>
        <w:jc w:val="left"/>
      </w:pPr>
      <w:r>
        <w:t xml:space="preserve">Both the number and frequency rate of serious claims in the </w:t>
      </w:r>
      <w:r w:rsidR="001C38AE">
        <w:t>a</w:t>
      </w:r>
      <w:r>
        <w:t xml:space="preserve">ccommodation and food services industry have generally been trending down over the last decade. Since 2006-07, the number of serious claims in the industry has decreased by 12 per cent, while the frequency rate has fallen by 25 per cent. </w:t>
      </w:r>
    </w:p>
    <w:p w14:paraId="7DEAB45B" w14:textId="705ABA77" w:rsidR="00E47E67" w:rsidRDefault="00E47E67" w:rsidP="00E47E67">
      <w:pPr>
        <w:spacing w:line="288" w:lineRule="auto"/>
        <w:rPr>
          <w:rFonts w:ascii="Arial" w:hAnsi="Arial" w:cs="Arial"/>
          <w:sz w:val="22"/>
          <w:szCs w:val="22"/>
        </w:rPr>
      </w:pPr>
      <w:r>
        <w:rPr>
          <w:rFonts w:ascii="Arial" w:hAnsi="Arial" w:cs="Arial"/>
          <w:sz w:val="22"/>
          <w:szCs w:val="22"/>
        </w:rPr>
        <w:t>Apart from a couple of years where there were a handful of additional fatalities, both the number and rate of worker fatalities in the industry has remained relatively stable over the last decade.</w:t>
      </w:r>
    </w:p>
    <w:p w14:paraId="3015F13C" w14:textId="40D7EE02" w:rsidR="002F6D4A" w:rsidRPr="000C0DDE" w:rsidRDefault="000C0DDE" w:rsidP="00564DD2">
      <w:pPr>
        <w:spacing w:line="288" w:lineRule="auto"/>
        <w:rPr>
          <w:rFonts w:ascii="Arial" w:hAnsi="Arial" w:cs="Arial"/>
          <w:sz w:val="22"/>
          <w:szCs w:val="22"/>
        </w:rPr>
      </w:pPr>
      <w:r>
        <w:rPr>
          <w:rFonts w:ascii="Arial" w:hAnsi="Arial" w:cs="Arial"/>
          <w:noProof/>
          <w:sz w:val="22"/>
          <w:szCs w:val="22"/>
        </w:rPr>
        <w:drawing>
          <wp:inline distT="0" distB="0" distL="0" distR="0" wp14:anchorId="155A2CB3" wp14:editId="50076B5B">
            <wp:extent cx="3137206" cy="2170800"/>
            <wp:effectExtent l="0" t="0" r="6350" b="1270"/>
            <wp:docPr id="4" name="Picture 4" descr="This chart presents the number of worker fatalities and the worker fatality rate for the Accommodation and food services industry between 2007 and 2016. The above paragraphs present the chart key mess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37206" cy="2170800"/>
                    </a:xfrm>
                    <a:prstGeom prst="rect">
                      <a:avLst/>
                    </a:prstGeom>
                    <a:noFill/>
                  </pic:spPr>
                </pic:pic>
              </a:graphicData>
            </a:graphic>
          </wp:inline>
        </w:drawing>
      </w:r>
      <w:r>
        <w:rPr>
          <w:rFonts w:ascii="Arial" w:hAnsi="Arial" w:cs="Arial"/>
          <w:noProof/>
          <w:sz w:val="22"/>
          <w:szCs w:val="22"/>
        </w:rPr>
        <w:drawing>
          <wp:inline distT="0" distB="0" distL="0" distR="0" wp14:anchorId="3D4D8FCC" wp14:editId="758B91B4">
            <wp:extent cx="3139279" cy="2170800"/>
            <wp:effectExtent l="0" t="0" r="4445" b="1270"/>
            <wp:docPr id="6" name="Picture 6" descr="This chart presents the number of worker fatalities and the worker fatality rate for the Accommodation and food services industry between 2006-07 and 2015-16. The above paragraphs present the chart key mess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39279" cy="2170800"/>
                    </a:xfrm>
                    <a:prstGeom prst="rect">
                      <a:avLst/>
                    </a:prstGeom>
                    <a:noFill/>
                  </pic:spPr>
                </pic:pic>
              </a:graphicData>
            </a:graphic>
          </wp:inline>
        </w:drawing>
      </w:r>
    </w:p>
    <w:p w14:paraId="6F9EFB7E" w14:textId="63B1A8C2" w:rsidR="00564678" w:rsidRPr="009950B2" w:rsidRDefault="00564678" w:rsidP="005F6803">
      <w:pPr>
        <w:pStyle w:val="Heading2"/>
      </w:pPr>
      <w:r>
        <w:t xml:space="preserve">Demographics </w:t>
      </w:r>
    </w:p>
    <w:p w14:paraId="41230630" w14:textId="7FE52D05" w:rsidR="00564678" w:rsidRDefault="00564678" w:rsidP="00FC761C">
      <w:pPr>
        <w:pStyle w:val="Bodytextjustified"/>
        <w:jc w:val="left"/>
      </w:pPr>
      <w:r>
        <w:t>Noting the very low number of fatalities, o</w:t>
      </w:r>
      <w:r w:rsidRPr="005D4F7A">
        <w:t xml:space="preserve">ver the period </w:t>
      </w:r>
      <w:r>
        <w:t xml:space="preserve">from 2013-2016, workers aged 45-54 accounted for the </w:t>
      </w:r>
      <w:r w:rsidR="001267D0">
        <w:t xml:space="preserve">highest proportion </w:t>
      </w:r>
      <w:r>
        <w:t>of worker fatalities</w:t>
      </w:r>
      <w:r w:rsidR="001267D0">
        <w:t xml:space="preserve"> (36 per cent)</w:t>
      </w:r>
      <w:r>
        <w:t xml:space="preserve"> </w:t>
      </w:r>
      <w:r w:rsidR="001267D0">
        <w:t xml:space="preserve">in </w:t>
      </w:r>
      <w:r>
        <w:t xml:space="preserve">the </w:t>
      </w:r>
      <w:r w:rsidR="001C38AE">
        <w:t>a</w:t>
      </w:r>
      <w:r w:rsidR="001267D0">
        <w:t xml:space="preserve">ccommodation and food </w:t>
      </w:r>
      <w:r w:rsidR="00F849A7">
        <w:t>services</w:t>
      </w:r>
      <w:r w:rsidR="001267D0">
        <w:t xml:space="preserve"> </w:t>
      </w:r>
      <w:r>
        <w:t>industry.</w:t>
      </w:r>
    </w:p>
    <w:p w14:paraId="77B12B30" w14:textId="6982AB38" w:rsidR="00564678" w:rsidRDefault="00564678" w:rsidP="00FC761C">
      <w:pPr>
        <w:pStyle w:val="Bodytextjustified"/>
        <w:jc w:val="left"/>
      </w:pPr>
      <w:r>
        <w:t>In relation to serious workers’ compensation claims, older workers in the industry were more likely t</w:t>
      </w:r>
      <w:r w:rsidR="00B878BE">
        <w:t>o have a serious injury or</w:t>
      </w:r>
      <w:r>
        <w:t xml:space="preserve"> illness. Workers aged between 55 and 64 years had the highest frequency rate (</w:t>
      </w:r>
      <w:r w:rsidR="001267D0">
        <w:t>8.8</w:t>
      </w:r>
      <w:r>
        <w:t xml:space="preserve"> serious claims per million hours worked) in the period from 2012-13 to 2015-16, followed closely by workers aged 45 to 54 years (</w:t>
      </w:r>
      <w:r w:rsidR="001267D0">
        <w:t>8.2</w:t>
      </w:r>
      <w:r>
        <w:t xml:space="preserve"> serious claims per million hours worked).</w:t>
      </w:r>
    </w:p>
    <w:p w14:paraId="62D2C2C7" w14:textId="284D3AFF" w:rsidR="001267D0" w:rsidRDefault="00F941E7">
      <w:pPr>
        <w:spacing w:before="0" w:after="0"/>
        <w:rPr>
          <w:rFonts w:ascii="Arial" w:hAnsi="Arial" w:cs="Arial"/>
          <w:b/>
          <w:color w:val="AF1E2D"/>
          <w:sz w:val="24"/>
          <w:szCs w:val="22"/>
        </w:rPr>
      </w:pPr>
      <w:r>
        <w:rPr>
          <w:rFonts w:ascii="Arial" w:hAnsi="Arial" w:cs="Arial"/>
          <w:b/>
          <w:noProof/>
          <w:color w:val="AF1E2D"/>
          <w:sz w:val="24"/>
          <w:szCs w:val="22"/>
        </w:rPr>
        <w:drawing>
          <wp:inline distT="0" distB="0" distL="0" distR="0" wp14:anchorId="28D4B93D" wp14:editId="7E0FC2F6">
            <wp:extent cx="3204445" cy="1922400"/>
            <wp:effectExtent l="0" t="0" r="0" b="1905"/>
            <wp:docPr id="2" name="Picture 2" descr="This chart presents the proportion of fatalities of workers by age in the Accommodation and food services industry between 2013 and 2016. The above paragraphs present the chart key mess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04445" cy="1922400"/>
                    </a:xfrm>
                    <a:prstGeom prst="rect">
                      <a:avLst/>
                    </a:prstGeom>
                    <a:noFill/>
                  </pic:spPr>
                </pic:pic>
              </a:graphicData>
            </a:graphic>
          </wp:inline>
        </w:drawing>
      </w:r>
      <w:r>
        <w:rPr>
          <w:rFonts w:ascii="Arial" w:hAnsi="Arial" w:cs="Arial"/>
          <w:b/>
          <w:noProof/>
          <w:color w:val="AF1E2D"/>
          <w:sz w:val="24"/>
          <w:szCs w:val="22"/>
        </w:rPr>
        <w:drawing>
          <wp:inline distT="0" distB="0" distL="0" distR="0" wp14:anchorId="375769AB" wp14:editId="7C116752">
            <wp:extent cx="3211135" cy="1922400"/>
            <wp:effectExtent l="0" t="0" r="8890" b="1905"/>
            <wp:docPr id="7" name="Picture 7" descr="This chart presents the frequency rate of serious workers’ compensation claims by age in the Accommodation and food services industry between 2012-13 and 2015-16. The above paragraphs present the chart key mess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11135" cy="1922400"/>
                    </a:xfrm>
                    <a:prstGeom prst="rect">
                      <a:avLst/>
                    </a:prstGeom>
                    <a:noFill/>
                  </pic:spPr>
                </pic:pic>
              </a:graphicData>
            </a:graphic>
          </wp:inline>
        </w:drawing>
      </w:r>
      <w:r w:rsidR="001267D0">
        <w:rPr>
          <w:rFonts w:ascii="Arial" w:hAnsi="Arial" w:cs="Arial"/>
          <w:b/>
          <w:color w:val="AF1E2D"/>
          <w:sz w:val="24"/>
          <w:szCs w:val="22"/>
        </w:rPr>
        <w:br w:type="page"/>
      </w:r>
    </w:p>
    <w:p w14:paraId="4A872D53" w14:textId="77777777" w:rsidR="007A6525" w:rsidRPr="00EB0250" w:rsidRDefault="00EB0250" w:rsidP="006929AD">
      <w:pPr>
        <w:pStyle w:val="Heading2"/>
      </w:pPr>
      <w:r w:rsidRPr="00EB0250">
        <w:lastRenderedPageBreak/>
        <w:t>Key areas of the industry</w:t>
      </w:r>
    </w:p>
    <w:p w14:paraId="3EE2AB9C" w14:textId="77777777" w:rsidR="007A6525" w:rsidRDefault="00824A0B" w:rsidP="006929AD">
      <w:pPr>
        <w:pStyle w:val="Heading3"/>
      </w:pPr>
      <w:r w:rsidRPr="00824A0B">
        <w:t>Sub-</w:t>
      </w:r>
      <w:r w:rsidRPr="006929AD">
        <w:t>industries</w:t>
      </w:r>
    </w:p>
    <w:p w14:paraId="5A92E1E1" w14:textId="7E017141" w:rsidR="009A7E39" w:rsidRDefault="00B878BE" w:rsidP="00CC1A1B">
      <w:pPr>
        <w:spacing w:line="288" w:lineRule="auto"/>
        <w:rPr>
          <w:rFonts w:ascii="Arial" w:hAnsi="Arial" w:cs="Arial"/>
          <w:sz w:val="22"/>
          <w:szCs w:val="22"/>
        </w:rPr>
      </w:pPr>
      <w:r>
        <w:rPr>
          <w:rFonts w:ascii="Arial" w:hAnsi="Arial" w:cs="Arial"/>
          <w:sz w:val="22"/>
          <w:szCs w:val="22"/>
        </w:rPr>
        <w:t>A</w:t>
      </w:r>
      <w:r w:rsidR="00544F43">
        <w:rPr>
          <w:rFonts w:ascii="Arial" w:hAnsi="Arial" w:cs="Arial"/>
          <w:sz w:val="22"/>
          <w:szCs w:val="22"/>
        </w:rPr>
        <w:t>ccounting</w:t>
      </w:r>
      <w:r>
        <w:rPr>
          <w:rFonts w:ascii="Arial" w:hAnsi="Arial" w:cs="Arial"/>
          <w:sz w:val="22"/>
          <w:szCs w:val="22"/>
        </w:rPr>
        <w:t xml:space="preserve"> for the</w:t>
      </w:r>
      <w:r w:rsidR="00544F43">
        <w:rPr>
          <w:rFonts w:ascii="Arial" w:hAnsi="Arial" w:cs="Arial"/>
          <w:sz w:val="22"/>
          <w:szCs w:val="22"/>
        </w:rPr>
        <w:t xml:space="preserve"> </w:t>
      </w:r>
      <w:r w:rsidR="009A7E39">
        <w:rPr>
          <w:rFonts w:ascii="Arial" w:hAnsi="Arial" w:cs="Arial"/>
          <w:sz w:val="22"/>
          <w:szCs w:val="22"/>
        </w:rPr>
        <w:t xml:space="preserve">majority of workers in the </w:t>
      </w:r>
      <w:r w:rsidR="001C38AE">
        <w:rPr>
          <w:rFonts w:ascii="Arial" w:hAnsi="Arial" w:cs="Arial"/>
          <w:sz w:val="22"/>
          <w:szCs w:val="22"/>
        </w:rPr>
        <w:t>a</w:t>
      </w:r>
      <w:r w:rsidR="0013214A">
        <w:rPr>
          <w:rFonts w:ascii="Arial" w:hAnsi="Arial" w:cs="Arial"/>
          <w:sz w:val="22"/>
          <w:szCs w:val="22"/>
        </w:rPr>
        <w:t>ccommodation and food services</w:t>
      </w:r>
      <w:r w:rsidR="009A7E39">
        <w:rPr>
          <w:rFonts w:ascii="Arial" w:hAnsi="Arial" w:cs="Arial"/>
          <w:sz w:val="22"/>
          <w:szCs w:val="22"/>
        </w:rPr>
        <w:t xml:space="preserve"> industry, </w:t>
      </w:r>
      <w:r w:rsidR="00544F43">
        <w:rPr>
          <w:rFonts w:ascii="Arial" w:hAnsi="Arial" w:cs="Arial"/>
          <w:sz w:val="22"/>
          <w:szCs w:val="22"/>
        </w:rPr>
        <w:t xml:space="preserve">the </w:t>
      </w:r>
      <w:r w:rsidR="001C38AE">
        <w:rPr>
          <w:rFonts w:ascii="Arial" w:hAnsi="Arial" w:cs="Arial"/>
          <w:sz w:val="22"/>
          <w:szCs w:val="22"/>
        </w:rPr>
        <w:t>f</w:t>
      </w:r>
      <w:r w:rsidR="00544F43">
        <w:rPr>
          <w:rFonts w:ascii="Arial" w:hAnsi="Arial" w:cs="Arial"/>
          <w:sz w:val="22"/>
          <w:szCs w:val="22"/>
        </w:rPr>
        <w:t xml:space="preserve">ood and beverage services sub-industry </w:t>
      </w:r>
      <w:r w:rsidR="009A7E39">
        <w:rPr>
          <w:rFonts w:ascii="Arial" w:hAnsi="Arial" w:cs="Arial"/>
          <w:sz w:val="22"/>
          <w:szCs w:val="22"/>
        </w:rPr>
        <w:t xml:space="preserve">accounted for </w:t>
      </w:r>
      <w:r w:rsidR="00544F43">
        <w:rPr>
          <w:rFonts w:ascii="Arial" w:hAnsi="Arial" w:cs="Arial"/>
          <w:sz w:val="22"/>
          <w:szCs w:val="22"/>
        </w:rPr>
        <w:t xml:space="preserve">just under </w:t>
      </w:r>
      <w:r w:rsidR="009A7E39">
        <w:rPr>
          <w:rFonts w:ascii="Arial" w:hAnsi="Arial" w:cs="Arial"/>
          <w:sz w:val="22"/>
          <w:szCs w:val="22"/>
        </w:rPr>
        <w:t xml:space="preserve">two-thirds </w:t>
      </w:r>
      <w:r w:rsidR="00544F43">
        <w:rPr>
          <w:rFonts w:ascii="Arial" w:hAnsi="Arial" w:cs="Arial"/>
          <w:sz w:val="22"/>
          <w:szCs w:val="22"/>
        </w:rPr>
        <w:t xml:space="preserve">(64 per cent) </w:t>
      </w:r>
      <w:r w:rsidR="009A7E39">
        <w:rPr>
          <w:rFonts w:ascii="Arial" w:hAnsi="Arial" w:cs="Arial"/>
          <w:sz w:val="22"/>
          <w:szCs w:val="22"/>
        </w:rPr>
        <w:t xml:space="preserve">of fatalities and </w:t>
      </w:r>
      <w:r w:rsidR="00544F43">
        <w:rPr>
          <w:rFonts w:ascii="Arial" w:hAnsi="Arial" w:cs="Arial"/>
          <w:sz w:val="22"/>
          <w:szCs w:val="22"/>
        </w:rPr>
        <w:t>just over three quarters (</w:t>
      </w:r>
      <w:r w:rsidR="00DA39AE">
        <w:rPr>
          <w:rFonts w:ascii="Arial" w:hAnsi="Arial" w:cs="Arial"/>
          <w:sz w:val="22"/>
          <w:szCs w:val="22"/>
        </w:rPr>
        <w:t>77</w:t>
      </w:r>
      <w:r w:rsidR="00544F43">
        <w:rPr>
          <w:rFonts w:ascii="Arial" w:hAnsi="Arial" w:cs="Arial"/>
          <w:sz w:val="22"/>
          <w:szCs w:val="22"/>
        </w:rPr>
        <w:t xml:space="preserve"> per cent)</w:t>
      </w:r>
      <w:r w:rsidR="00DA39AE">
        <w:rPr>
          <w:rFonts w:ascii="Arial" w:hAnsi="Arial" w:cs="Arial"/>
          <w:sz w:val="22"/>
          <w:szCs w:val="22"/>
        </w:rPr>
        <w:t xml:space="preserve"> of </w:t>
      </w:r>
      <w:r w:rsidR="009A7E39">
        <w:rPr>
          <w:rFonts w:ascii="Arial" w:hAnsi="Arial" w:cs="Arial"/>
          <w:sz w:val="22"/>
          <w:szCs w:val="22"/>
        </w:rPr>
        <w:t>serious claims</w:t>
      </w:r>
      <w:r w:rsidR="00544F43">
        <w:rPr>
          <w:rFonts w:ascii="Arial" w:hAnsi="Arial" w:cs="Arial"/>
          <w:sz w:val="22"/>
          <w:szCs w:val="22"/>
        </w:rPr>
        <w:t>.</w:t>
      </w:r>
    </w:p>
    <w:p w14:paraId="4FF05180" w14:textId="33A0EF30" w:rsidR="009A7E39" w:rsidRDefault="00B878BE" w:rsidP="00385495">
      <w:pPr>
        <w:spacing w:line="288" w:lineRule="auto"/>
        <w:rPr>
          <w:rFonts w:ascii="Arial" w:hAnsi="Arial" w:cs="Arial"/>
          <w:sz w:val="22"/>
          <w:szCs w:val="22"/>
        </w:rPr>
      </w:pPr>
      <w:r>
        <w:rPr>
          <w:rFonts w:ascii="Arial" w:hAnsi="Arial" w:cs="Arial"/>
          <w:sz w:val="22"/>
          <w:szCs w:val="22"/>
        </w:rPr>
        <w:t xml:space="preserve">When the </w:t>
      </w:r>
      <w:r w:rsidR="00544F43">
        <w:rPr>
          <w:rFonts w:ascii="Arial" w:hAnsi="Arial" w:cs="Arial"/>
          <w:sz w:val="22"/>
          <w:szCs w:val="22"/>
        </w:rPr>
        <w:t xml:space="preserve">much </w:t>
      </w:r>
      <w:r w:rsidR="0031397A">
        <w:rPr>
          <w:rFonts w:ascii="Arial" w:hAnsi="Arial" w:cs="Arial"/>
          <w:sz w:val="22"/>
          <w:szCs w:val="22"/>
        </w:rPr>
        <w:t xml:space="preserve">smaller </w:t>
      </w:r>
      <w:r w:rsidR="009A7E39">
        <w:rPr>
          <w:rFonts w:ascii="Arial" w:hAnsi="Arial" w:cs="Arial"/>
          <w:sz w:val="22"/>
          <w:szCs w:val="22"/>
        </w:rPr>
        <w:t>size of the workforce</w:t>
      </w:r>
      <w:r>
        <w:rPr>
          <w:rFonts w:ascii="Arial" w:hAnsi="Arial" w:cs="Arial"/>
          <w:sz w:val="22"/>
          <w:szCs w:val="22"/>
        </w:rPr>
        <w:t xml:space="preserve"> is considered,</w:t>
      </w:r>
      <w:r w:rsidR="00544F43">
        <w:rPr>
          <w:rFonts w:ascii="Arial" w:hAnsi="Arial" w:cs="Arial"/>
          <w:sz w:val="22"/>
          <w:szCs w:val="22"/>
        </w:rPr>
        <w:t xml:space="preserve"> </w:t>
      </w:r>
      <w:r w:rsidR="009A7E39">
        <w:rPr>
          <w:rFonts w:ascii="Arial" w:hAnsi="Arial" w:cs="Arial"/>
          <w:sz w:val="22"/>
          <w:szCs w:val="22"/>
        </w:rPr>
        <w:t xml:space="preserve">the </w:t>
      </w:r>
      <w:r w:rsidR="001C38AE">
        <w:rPr>
          <w:rFonts w:ascii="Arial" w:hAnsi="Arial" w:cs="Arial"/>
          <w:sz w:val="22"/>
          <w:szCs w:val="22"/>
        </w:rPr>
        <w:t>a</w:t>
      </w:r>
      <w:r w:rsidR="0031397A">
        <w:rPr>
          <w:rFonts w:ascii="Arial" w:hAnsi="Arial" w:cs="Arial"/>
          <w:sz w:val="22"/>
          <w:szCs w:val="22"/>
        </w:rPr>
        <w:t>ccommodation</w:t>
      </w:r>
      <w:r w:rsidR="009A7E39">
        <w:rPr>
          <w:rFonts w:ascii="Arial" w:hAnsi="Arial" w:cs="Arial"/>
          <w:sz w:val="22"/>
          <w:szCs w:val="22"/>
        </w:rPr>
        <w:t xml:space="preserve"> sub-industry recorded both the highest </w:t>
      </w:r>
      <w:r w:rsidR="00544F43">
        <w:rPr>
          <w:rFonts w:ascii="Arial" w:hAnsi="Arial" w:cs="Arial"/>
          <w:sz w:val="22"/>
          <w:szCs w:val="22"/>
        </w:rPr>
        <w:t xml:space="preserve">serious claim frequency rate (9.0 claims per million hours worked) and the highest fatality rate </w:t>
      </w:r>
      <w:r w:rsidR="009A7E39">
        <w:rPr>
          <w:rFonts w:ascii="Arial" w:hAnsi="Arial" w:cs="Arial"/>
          <w:sz w:val="22"/>
          <w:szCs w:val="22"/>
        </w:rPr>
        <w:t>(</w:t>
      </w:r>
      <w:r w:rsidR="0031397A">
        <w:rPr>
          <w:rFonts w:ascii="Arial" w:hAnsi="Arial" w:cs="Arial"/>
          <w:sz w:val="22"/>
          <w:szCs w:val="22"/>
        </w:rPr>
        <w:t>0.9</w:t>
      </w:r>
      <w:r w:rsidR="009A7E39">
        <w:rPr>
          <w:rFonts w:ascii="Arial" w:hAnsi="Arial" w:cs="Arial"/>
          <w:sz w:val="22"/>
          <w:szCs w:val="22"/>
        </w:rPr>
        <w:t xml:space="preserve"> fatalities per 100,000 workers)</w:t>
      </w:r>
      <w:r w:rsidR="00544F43">
        <w:rPr>
          <w:rFonts w:ascii="Arial" w:hAnsi="Arial" w:cs="Arial"/>
          <w:sz w:val="22"/>
          <w:szCs w:val="22"/>
        </w:rPr>
        <w:t>.</w:t>
      </w:r>
    </w:p>
    <w:p w14:paraId="4004E060" w14:textId="54BB1E69" w:rsidR="007F344F" w:rsidRPr="009A7E39" w:rsidRDefault="00E817CD" w:rsidP="007F344F">
      <w:pPr>
        <w:spacing w:line="288" w:lineRule="auto"/>
        <w:jc w:val="center"/>
        <w:rPr>
          <w:rFonts w:ascii="Arial" w:hAnsi="Arial" w:cs="Arial"/>
          <w:sz w:val="22"/>
          <w:szCs w:val="22"/>
        </w:rPr>
      </w:pPr>
      <w:r>
        <w:rPr>
          <w:rFonts w:ascii="Arial" w:hAnsi="Arial" w:cs="Arial"/>
          <w:b/>
          <w:noProof/>
          <w:color w:val="AF1E2D"/>
          <w:sz w:val="22"/>
          <w:szCs w:val="22"/>
        </w:rPr>
        <w:drawing>
          <wp:inline distT="0" distB="0" distL="0" distR="0" wp14:anchorId="298A95C3" wp14:editId="225EC3F0">
            <wp:extent cx="4573243" cy="1985875"/>
            <wp:effectExtent l="0" t="0" r="0" b="0"/>
            <wp:docPr id="45" name="Picture 45" descr="This image presents the proportion and fatality rate of workers by sub-industries in the Accommodation and food services industry. The above paragraphs present the image key mess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11342" cy="2002419"/>
                    </a:xfrm>
                    <a:prstGeom prst="rect">
                      <a:avLst/>
                    </a:prstGeom>
                    <a:noFill/>
                  </pic:spPr>
                </pic:pic>
              </a:graphicData>
            </a:graphic>
          </wp:inline>
        </w:drawing>
      </w:r>
      <w:r w:rsidR="007F344F">
        <w:rPr>
          <w:rFonts w:ascii="Arial" w:hAnsi="Arial" w:cs="Arial"/>
          <w:noProof/>
          <w:sz w:val="22"/>
          <w:szCs w:val="22"/>
        </w:rPr>
        <w:drawing>
          <wp:inline distT="0" distB="0" distL="0" distR="0" wp14:anchorId="272B33EE" wp14:editId="0CAE3329">
            <wp:extent cx="5109129" cy="2295525"/>
            <wp:effectExtent l="0" t="0" r="0" b="0"/>
            <wp:docPr id="44" name="Picture 44" descr="This image presents the proportion and frequency rate of serious workers’ compensation claims by sub-industries in the Accommodation and food services industry. The above paragraphs present the image key mess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23427" cy="2301949"/>
                    </a:xfrm>
                    <a:prstGeom prst="rect">
                      <a:avLst/>
                    </a:prstGeom>
                    <a:noFill/>
                  </pic:spPr>
                </pic:pic>
              </a:graphicData>
            </a:graphic>
          </wp:inline>
        </w:drawing>
      </w:r>
    </w:p>
    <w:p w14:paraId="62A20308" w14:textId="6A144538" w:rsidR="005F6803" w:rsidRDefault="005F6803" w:rsidP="005F6803">
      <w:pPr>
        <w:spacing w:before="0" w:after="0"/>
        <w:jc w:val="center"/>
        <w:rPr>
          <w:rFonts w:ascii="Arial" w:hAnsi="Arial" w:cs="Arial"/>
          <w:b/>
          <w:color w:val="AF1E2D"/>
          <w:sz w:val="22"/>
          <w:szCs w:val="22"/>
        </w:rPr>
      </w:pPr>
    </w:p>
    <w:p w14:paraId="51737065" w14:textId="115629CB" w:rsidR="00544F43" w:rsidRDefault="00544F43" w:rsidP="005F6803">
      <w:pPr>
        <w:spacing w:before="0" w:after="0"/>
        <w:jc w:val="center"/>
        <w:rPr>
          <w:rFonts w:ascii="Arial" w:hAnsi="Arial" w:cs="Arial"/>
          <w:b/>
          <w:color w:val="AF1E2D"/>
          <w:sz w:val="22"/>
          <w:szCs w:val="22"/>
        </w:rPr>
      </w:pPr>
      <w:r>
        <w:rPr>
          <w:rFonts w:ascii="Arial" w:hAnsi="Arial" w:cs="Arial"/>
          <w:b/>
          <w:color w:val="AF1E2D"/>
          <w:sz w:val="22"/>
          <w:szCs w:val="22"/>
        </w:rPr>
        <w:br w:type="page"/>
      </w:r>
    </w:p>
    <w:p w14:paraId="57DE9C66" w14:textId="3ED36CE7" w:rsidR="00544F43" w:rsidRDefault="00957F06" w:rsidP="00B24C1B">
      <w:pPr>
        <w:pStyle w:val="Heading3"/>
      </w:pPr>
      <w:r>
        <w:lastRenderedPageBreak/>
        <w:t>O</w:t>
      </w:r>
      <w:r w:rsidR="00824A0B" w:rsidRPr="00E826F3">
        <w:t>ccupations</w:t>
      </w:r>
      <w:r w:rsidR="001E2AA5">
        <w:t xml:space="preserve"> </w:t>
      </w:r>
    </w:p>
    <w:p w14:paraId="1222D0EB" w14:textId="103595B5" w:rsidR="00A31C03" w:rsidRPr="00A31C03" w:rsidRDefault="009A7E39" w:rsidP="00A31C03">
      <w:pPr>
        <w:spacing w:line="288" w:lineRule="auto"/>
        <w:rPr>
          <w:rFonts w:ascii="Arial" w:hAnsi="Arial" w:cs="Arial"/>
          <w:sz w:val="22"/>
          <w:szCs w:val="22"/>
        </w:rPr>
      </w:pPr>
      <w:r w:rsidRPr="002E1EDF">
        <w:rPr>
          <w:rFonts w:ascii="Arial" w:hAnsi="Arial" w:cs="Arial"/>
          <w:sz w:val="22"/>
          <w:szCs w:val="22"/>
        </w:rPr>
        <w:t xml:space="preserve">Within the </w:t>
      </w:r>
      <w:r w:rsidR="001C38AE">
        <w:rPr>
          <w:rFonts w:ascii="Arial" w:hAnsi="Arial" w:cs="Arial"/>
          <w:sz w:val="22"/>
          <w:szCs w:val="22"/>
        </w:rPr>
        <w:t>a</w:t>
      </w:r>
      <w:r w:rsidR="0013214A" w:rsidRPr="002E1EDF">
        <w:rPr>
          <w:rFonts w:ascii="Arial" w:hAnsi="Arial" w:cs="Arial"/>
          <w:sz w:val="22"/>
          <w:szCs w:val="22"/>
        </w:rPr>
        <w:t>ccommodation and food services</w:t>
      </w:r>
      <w:r w:rsidRPr="002E1EDF">
        <w:rPr>
          <w:rFonts w:ascii="Arial" w:hAnsi="Arial" w:cs="Arial"/>
          <w:sz w:val="22"/>
          <w:szCs w:val="22"/>
        </w:rPr>
        <w:t xml:space="preserve"> industry, </w:t>
      </w:r>
      <w:r w:rsidR="009C12E0">
        <w:rPr>
          <w:rFonts w:ascii="Arial" w:hAnsi="Arial" w:cs="Arial"/>
          <w:sz w:val="22"/>
          <w:szCs w:val="22"/>
        </w:rPr>
        <w:t>h</w:t>
      </w:r>
      <w:r w:rsidR="00624D66" w:rsidRPr="002E1EDF">
        <w:rPr>
          <w:rFonts w:ascii="Arial" w:hAnsi="Arial" w:cs="Arial"/>
          <w:sz w:val="22"/>
          <w:szCs w:val="22"/>
        </w:rPr>
        <w:t>ospitality</w:t>
      </w:r>
      <w:r w:rsidR="00A31C03">
        <w:rPr>
          <w:rFonts w:ascii="Arial" w:hAnsi="Arial" w:cs="Arial"/>
          <w:sz w:val="22"/>
          <w:szCs w:val="22"/>
        </w:rPr>
        <w:t xml:space="preserve"> workers </w:t>
      </w:r>
      <w:r w:rsidRPr="002E1EDF">
        <w:rPr>
          <w:rFonts w:ascii="Arial" w:hAnsi="Arial" w:cs="Arial"/>
          <w:sz w:val="22"/>
          <w:szCs w:val="22"/>
        </w:rPr>
        <w:t>account</w:t>
      </w:r>
      <w:r w:rsidR="00E61F4B" w:rsidRPr="002E1EDF">
        <w:rPr>
          <w:rFonts w:ascii="Arial" w:hAnsi="Arial" w:cs="Arial"/>
          <w:sz w:val="22"/>
          <w:szCs w:val="22"/>
        </w:rPr>
        <w:t>ed</w:t>
      </w:r>
      <w:r w:rsidRPr="002E1EDF">
        <w:rPr>
          <w:rFonts w:ascii="Arial" w:hAnsi="Arial" w:cs="Arial"/>
          <w:sz w:val="22"/>
          <w:szCs w:val="22"/>
        </w:rPr>
        <w:t xml:space="preserve"> for </w:t>
      </w:r>
      <w:r w:rsidR="00F813B3">
        <w:rPr>
          <w:rFonts w:ascii="Arial" w:hAnsi="Arial" w:cs="Arial"/>
          <w:sz w:val="22"/>
          <w:szCs w:val="22"/>
        </w:rPr>
        <w:t xml:space="preserve">the </w:t>
      </w:r>
      <w:r w:rsidR="00A31C03">
        <w:rPr>
          <w:rFonts w:ascii="Arial" w:hAnsi="Arial" w:cs="Arial"/>
          <w:sz w:val="22"/>
          <w:szCs w:val="22"/>
        </w:rPr>
        <w:t>highest proportion of serious claims (22</w:t>
      </w:r>
      <w:r w:rsidRPr="002E1EDF">
        <w:rPr>
          <w:rFonts w:ascii="Arial" w:hAnsi="Arial" w:cs="Arial"/>
          <w:sz w:val="22"/>
          <w:szCs w:val="22"/>
        </w:rPr>
        <w:t xml:space="preserve"> per cent </w:t>
      </w:r>
      <w:r w:rsidR="00A31C03" w:rsidRPr="00A31C03">
        <w:rPr>
          <w:rFonts w:ascii="Arial" w:hAnsi="Arial" w:cs="Arial"/>
          <w:sz w:val="22"/>
          <w:szCs w:val="22"/>
        </w:rPr>
        <w:t xml:space="preserve">or an average of </w:t>
      </w:r>
      <w:r w:rsidR="00A31C03">
        <w:rPr>
          <w:rFonts w:ascii="Arial" w:hAnsi="Arial" w:cs="Arial"/>
          <w:sz w:val="22"/>
          <w:szCs w:val="22"/>
        </w:rPr>
        <w:t>1</w:t>
      </w:r>
      <w:r w:rsidR="00A31C03" w:rsidRPr="00A31C03">
        <w:rPr>
          <w:rFonts w:ascii="Arial" w:hAnsi="Arial" w:cs="Arial"/>
          <w:sz w:val="22"/>
          <w:szCs w:val="22"/>
        </w:rPr>
        <w:t>,</w:t>
      </w:r>
      <w:r w:rsidR="00A31C03">
        <w:rPr>
          <w:rFonts w:ascii="Arial" w:hAnsi="Arial" w:cs="Arial"/>
          <w:sz w:val="22"/>
          <w:szCs w:val="22"/>
        </w:rPr>
        <w:t>38</w:t>
      </w:r>
      <w:r w:rsidR="00A31C03" w:rsidRPr="00A31C03">
        <w:rPr>
          <w:rFonts w:ascii="Arial" w:hAnsi="Arial" w:cs="Arial"/>
          <w:sz w:val="22"/>
          <w:szCs w:val="22"/>
        </w:rPr>
        <w:t xml:space="preserve">5 claims per year), followed by </w:t>
      </w:r>
      <w:r w:rsidR="009C12E0">
        <w:rPr>
          <w:rFonts w:ascii="Arial" w:hAnsi="Arial" w:cs="Arial"/>
          <w:sz w:val="22"/>
          <w:szCs w:val="22"/>
        </w:rPr>
        <w:t>f</w:t>
      </w:r>
      <w:r w:rsidR="00A31C03">
        <w:rPr>
          <w:rFonts w:ascii="Arial" w:hAnsi="Arial" w:cs="Arial"/>
          <w:sz w:val="22"/>
          <w:szCs w:val="22"/>
        </w:rPr>
        <w:t xml:space="preserve">ood trades workers </w:t>
      </w:r>
      <w:r w:rsidR="00A31C03" w:rsidRPr="00A31C03">
        <w:rPr>
          <w:rFonts w:ascii="Arial" w:hAnsi="Arial" w:cs="Arial"/>
          <w:sz w:val="22"/>
          <w:szCs w:val="22"/>
        </w:rPr>
        <w:t>(</w:t>
      </w:r>
      <w:r w:rsidR="009B70D4">
        <w:rPr>
          <w:rFonts w:ascii="Arial" w:hAnsi="Arial" w:cs="Arial"/>
          <w:sz w:val="22"/>
          <w:szCs w:val="22"/>
        </w:rPr>
        <w:t>20</w:t>
      </w:r>
      <w:r w:rsidR="00A31C03" w:rsidRPr="00A31C03">
        <w:rPr>
          <w:rFonts w:ascii="Arial" w:hAnsi="Arial" w:cs="Arial"/>
          <w:sz w:val="22"/>
          <w:szCs w:val="22"/>
        </w:rPr>
        <w:t xml:space="preserve"> per cent or an average of </w:t>
      </w:r>
      <w:r w:rsidR="009B70D4">
        <w:rPr>
          <w:rFonts w:ascii="Arial" w:hAnsi="Arial" w:cs="Arial"/>
          <w:sz w:val="22"/>
          <w:szCs w:val="22"/>
        </w:rPr>
        <w:t>1</w:t>
      </w:r>
      <w:r w:rsidR="00A31C03" w:rsidRPr="00A31C03">
        <w:rPr>
          <w:rFonts w:ascii="Arial" w:hAnsi="Arial" w:cs="Arial"/>
          <w:sz w:val="22"/>
          <w:szCs w:val="22"/>
        </w:rPr>
        <w:t>,</w:t>
      </w:r>
      <w:r w:rsidR="009B70D4">
        <w:rPr>
          <w:rFonts w:ascii="Arial" w:hAnsi="Arial" w:cs="Arial"/>
          <w:sz w:val="22"/>
          <w:szCs w:val="22"/>
        </w:rPr>
        <w:t>305</w:t>
      </w:r>
      <w:r w:rsidR="00A31C03" w:rsidRPr="00A31C03">
        <w:rPr>
          <w:rFonts w:ascii="Arial" w:hAnsi="Arial" w:cs="Arial"/>
          <w:sz w:val="22"/>
          <w:szCs w:val="22"/>
        </w:rPr>
        <w:t xml:space="preserve"> claims per year), and </w:t>
      </w:r>
      <w:r w:rsidR="009C12E0">
        <w:rPr>
          <w:rFonts w:ascii="Arial" w:hAnsi="Arial" w:cs="Arial"/>
          <w:sz w:val="22"/>
          <w:szCs w:val="22"/>
        </w:rPr>
        <w:t>f</w:t>
      </w:r>
      <w:r w:rsidR="009B70D4">
        <w:rPr>
          <w:rFonts w:ascii="Arial" w:hAnsi="Arial" w:cs="Arial"/>
          <w:sz w:val="22"/>
          <w:szCs w:val="22"/>
        </w:rPr>
        <w:t xml:space="preserve">ood preparation assistants </w:t>
      </w:r>
      <w:r w:rsidR="00A31C03" w:rsidRPr="00A31C03">
        <w:rPr>
          <w:rFonts w:ascii="Arial" w:hAnsi="Arial" w:cs="Arial"/>
          <w:sz w:val="22"/>
          <w:szCs w:val="22"/>
        </w:rPr>
        <w:t>(</w:t>
      </w:r>
      <w:r w:rsidR="009B70D4">
        <w:rPr>
          <w:rFonts w:ascii="Arial" w:hAnsi="Arial" w:cs="Arial"/>
          <w:sz w:val="22"/>
          <w:szCs w:val="22"/>
        </w:rPr>
        <w:t>15</w:t>
      </w:r>
      <w:r w:rsidR="00E817CD">
        <w:rPr>
          <w:rFonts w:ascii="Arial" w:hAnsi="Arial" w:cs="Arial"/>
          <w:sz w:val="22"/>
          <w:szCs w:val="22"/>
        </w:rPr>
        <w:t> </w:t>
      </w:r>
      <w:r w:rsidR="00A31C03" w:rsidRPr="00A31C03">
        <w:rPr>
          <w:rFonts w:ascii="Arial" w:hAnsi="Arial" w:cs="Arial"/>
          <w:sz w:val="22"/>
          <w:szCs w:val="22"/>
        </w:rPr>
        <w:t xml:space="preserve">per cent or an average of </w:t>
      </w:r>
      <w:r w:rsidR="009B70D4">
        <w:rPr>
          <w:rFonts w:ascii="Arial" w:hAnsi="Arial" w:cs="Arial"/>
          <w:sz w:val="22"/>
          <w:szCs w:val="22"/>
        </w:rPr>
        <w:t>965</w:t>
      </w:r>
      <w:r w:rsidR="00A31C03" w:rsidRPr="00A31C03">
        <w:rPr>
          <w:rFonts w:ascii="Arial" w:hAnsi="Arial" w:cs="Arial"/>
          <w:sz w:val="22"/>
          <w:szCs w:val="22"/>
        </w:rPr>
        <w:t xml:space="preserve"> claims per year).</w:t>
      </w:r>
    </w:p>
    <w:p w14:paraId="5CB5955F" w14:textId="0B930107" w:rsidR="009B70D4" w:rsidRDefault="00A31C03" w:rsidP="009B70D4">
      <w:pPr>
        <w:spacing w:line="288" w:lineRule="auto"/>
        <w:rPr>
          <w:rFonts w:ascii="Arial" w:hAnsi="Arial" w:cs="Arial"/>
          <w:sz w:val="22"/>
          <w:szCs w:val="22"/>
        </w:rPr>
      </w:pPr>
      <w:r w:rsidRPr="00A31C03">
        <w:rPr>
          <w:rFonts w:ascii="Arial" w:hAnsi="Arial" w:cs="Arial"/>
          <w:sz w:val="22"/>
          <w:szCs w:val="22"/>
        </w:rPr>
        <w:t xml:space="preserve">In relation to worker fatalities, noting the low number of fatalities in this industry, </w:t>
      </w:r>
      <w:r w:rsidR="009C12E0">
        <w:rPr>
          <w:rFonts w:ascii="Arial" w:hAnsi="Arial" w:cs="Arial"/>
          <w:sz w:val="22"/>
          <w:szCs w:val="22"/>
        </w:rPr>
        <w:t>h</w:t>
      </w:r>
      <w:r w:rsidR="009B70D4">
        <w:rPr>
          <w:rFonts w:ascii="Arial" w:hAnsi="Arial" w:cs="Arial"/>
          <w:sz w:val="22"/>
          <w:szCs w:val="22"/>
        </w:rPr>
        <w:t xml:space="preserve">ospitality, retail and service managers </w:t>
      </w:r>
      <w:r w:rsidRPr="00A31C03">
        <w:rPr>
          <w:rFonts w:ascii="Arial" w:hAnsi="Arial" w:cs="Arial"/>
          <w:sz w:val="22"/>
          <w:szCs w:val="22"/>
        </w:rPr>
        <w:t>account</w:t>
      </w:r>
      <w:r w:rsidR="009B70D4">
        <w:rPr>
          <w:rFonts w:ascii="Arial" w:hAnsi="Arial" w:cs="Arial"/>
          <w:sz w:val="22"/>
          <w:szCs w:val="22"/>
        </w:rPr>
        <w:t>ed</w:t>
      </w:r>
      <w:r w:rsidRPr="00A31C03">
        <w:rPr>
          <w:rFonts w:ascii="Arial" w:hAnsi="Arial" w:cs="Arial"/>
          <w:sz w:val="22"/>
          <w:szCs w:val="22"/>
        </w:rPr>
        <w:t xml:space="preserve"> for the highest proportion of fatalities (3</w:t>
      </w:r>
      <w:r w:rsidR="009B70D4">
        <w:rPr>
          <w:rFonts w:ascii="Arial" w:hAnsi="Arial" w:cs="Arial"/>
          <w:sz w:val="22"/>
          <w:szCs w:val="22"/>
        </w:rPr>
        <w:t>6</w:t>
      </w:r>
      <w:r w:rsidRPr="00A31C03">
        <w:rPr>
          <w:rFonts w:ascii="Arial" w:hAnsi="Arial" w:cs="Arial"/>
          <w:sz w:val="22"/>
          <w:szCs w:val="22"/>
        </w:rPr>
        <w:t xml:space="preserve"> per cent or </w:t>
      </w:r>
      <w:r w:rsidR="009B70D4">
        <w:rPr>
          <w:rFonts w:ascii="Arial" w:hAnsi="Arial" w:cs="Arial"/>
          <w:sz w:val="22"/>
          <w:szCs w:val="22"/>
        </w:rPr>
        <w:t>4</w:t>
      </w:r>
      <w:r w:rsidRPr="00A31C03">
        <w:rPr>
          <w:rFonts w:ascii="Arial" w:hAnsi="Arial" w:cs="Arial"/>
          <w:sz w:val="22"/>
          <w:szCs w:val="22"/>
        </w:rPr>
        <w:t xml:space="preserve"> fatalities over the four</w:t>
      </w:r>
      <w:r w:rsidR="009F4D1A">
        <w:rPr>
          <w:rFonts w:ascii="Arial" w:hAnsi="Arial" w:cs="Arial"/>
          <w:sz w:val="22"/>
          <w:szCs w:val="22"/>
        </w:rPr>
        <w:t>-</w:t>
      </w:r>
      <w:r w:rsidRPr="00A31C03">
        <w:rPr>
          <w:rFonts w:ascii="Arial" w:hAnsi="Arial" w:cs="Arial"/>
          <w:sz w:val="22"/>
          <w:szCs w:val="22"/>
        </w:rPr>
        <w:t xml:space="preserve">year period), followed by </w:t>
      </w:r>
      <w:r w:rsidR="009C12E0">
        <w:rPr>
          <w:rFonts w:ascii="Arial" w:hAnsi="Arial" w:cs="Arial"/>
          <w:sz w:val="22"/>
          <w:szCs w:val="22"/>
        </w:rPr>
        <w:t>o</w:t>
      </w:r>
      <w:r w:rsidR="009B70D4">
        <w:rPr>
          <w:rFonts w:ascii="Arial" w:hAnsi="Arial" w:cs="Arial"/>
          <w:sz w:val="22"/>
          <w:szCs w:val="22"/>
        </w:rPr>
        <w:t xml:space="preserve">ther labourers </w:t>
      </w:r>
      <w:r w:rsidRPr="00A31C03">
        <w:rPr>
          <w:rFonts w:ascii="Arial" w:hAnsi="Arial" w:cs="Arial"/>
          <w:sz w:val="22"/>
          <w:szCs w:val="22"/>
        </w:rPr>
        <w:t>(</w:t>
      </w:r>
      <w:r w:rsidR="009B70D4">
        <w:rPr>
          <w:rFonts w:ascii="Arial" w:hAnsi="Arial" w:cs="Arial"/>
          <w:sz w:val="22"/>
          <w:szCs w:val="22"/>
        </w:rPr>
        <w:t>27</w:t>
      </w:r>
      <w:r w:rsidRPr="00A31C03">
        <w:rPr>
          <w:rFonts w:ascii="Arial" w:hAnsi="Arial" w:cs="Arial"/>
          <w:sz w:val="22"/>
          <w:szCs w:val="22"/>
        </w:rPr>
        <w:t xml:space="preserve"> per cent or 3 fatalities), </w:t>
      </w:r>
      <w:r w:rsidR="00B878BE">
        <w:rPr>
          <w:rFonts w:ascii="Arial" w:hAnsi="Arial" w:cs="Arial"/>
          <w:sz w:val="22"/>
          <w:szCs w:val="22"/>
        </w:rPr>
        <w:t xml:space="preserve">and </w:t>
      </w:r>
      <w:r w:rsidR="009C12E0">
        <w:rPr>
          <w:rFonts w:ascii="Arial" w:hAnsi="Arial" w:cs="Arial"/>
          <w:sz w:val="22"/>
          <w:szCs w:val="22"/>
        </w:rPr>
        <w:t>h</w:t>
      </w:r>
      <w:r w:rsidR="009B70D4">
        <w:rPr>
          <w:rFonts w:ascii="Arial" w:hAnsi="Arial" w:cs="Arial"/>
          <w:sz w:val="22"/>
          <w:szCs w:val="22"/>
        </w:rPr>
        <w:t>ospitality workers</w:t>
      </w:r>
      <w:r w:rsidRPr="00A31C03">
        <w:rPr>
          <w:rFonts w:ascii="Arial" w:hAnsi="Arial" w:cs="Arial"/>
          <w:sz w:val="22"/>
          <w:szCs w:val="22"/>
        </w:rPr>
        <w:t xml:space="preserve"> (1</w:t>
      </w:r>
      <w:r w:rsidR="009B70D4">
        <w:rPr>
          <w:rFonts w:ascii="Arial" w:hAnsi="Arial" w:cs="Arial"/>
          <w:sz w:val="22"/>
          <w:szCs w:val="22"/>
        </w:rPr>
        <w:t>8</w:t>
      </w:r>
      <w:r w:rsidR="00E817CD">
        <w:rPr>
          <w:rFonts w:ascii="Arial" w:hAnsi="Arial" w:cs="Arial"/>
          <w:sz w:val="22"/>
          <w:szCs w:val="22"/>
        </w:rPr>
        <w:t> </w:t>
      </w:r>
      <w:r w:rsidRPr="00A31C03">
        <w:rPr>
          <w:rFonts w:ascii="Arial" w:hAnsi="Arial" w:cs="Arial"/>
          <w:sz w:val="22"/>
          <w:szCs w:val="22"/>
        </w:rPr>
        <w:t>per</w:t>
      </w:r>
      <w:r w:rsidR="009B70D4">
        <w:rPr>
          <w:rFonts w:ascii="Arial" w:hAnsi="Arial" w:cs="Arial"/>
          <w:sz w:val="22"/>
          <w:szCs w:val="22"/>
        </w:rPr>
        <w:t> </w:t>
      </w:r>
      <w:r w:rsidRPr="00A31C03">
        <w:rPr>
          <w:rFonts w:ascii="Arial" w:hAnsi="Arial" w:cs="Arial"/>
          <w:sz w:val="22"/>
          <w:szCs w:val="22"/>
        </w:rPr>
        <w:t>cent or 2 fatalities)</w:t>
      </w:r>
      <w:r w:rsidR="00B878BE">
        <w:rPr>
          <w:rFonts w:ascii="Arial" w:hAnsi="Arial" w:cs="Arial"/>
          <w:sz w:val="22"/>
          <w:szCs w:val="22"/>
        </w:rPr>
        <w:t>.</w:t>
      </w:r>
    </w:p>
    <w:p w14:paraId="3B9728B6" w14:textId="4D1AE845" w:rsidR="00B24C1B" w:rsidRDefault="00B27826" w:rsidP="009B70D4">
      <w:pPr>
        <w:spacing w:line="288" w:lineRule="auto"/>
        <w:rPr>
          <w:rFonts w:ascii="Arial" w:hAnsi="Arial" w:cs="Arial"/>
          <w:sz w:val="22"/>
          <w:szCs w:val="22"/>
        </w:rPr>
      </w:pPr>
      <w:r>
        <w:rPr>
          <w:rFonts w:ascii="Arial" w:hAnsi="Arial" w:cs="Arial"/>
          <w:noProof/>
          <w:sz w:val="22"/>
          <w:szCs w:val="22"/>
        </w:rPr>
        <w:drawing>
          <wp:inline distT="0" distB="0" distL="0" distR="0" wp14:anchorId="367940CF" wp14:editId="2DA5286A">
            <wp:extent cx="3197250" cy="1944000"/>
            <wp:effectExtent l="0" t="0" r="3175" b="0"/>
            <wp:docPr id="12" name="Picture 12" descr="This chart presents the proportion of fatalities in the Accommodation and food services industry by occupation. The above paragraphs present the chart key mess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97250" cy="1944000"/>
                    </a:xfrm>
                    <a:prstGeom prst="rect">
                      <a:avLst/>
                    </a:prstGeom>
                    <a:noFill/>
                  </pic:spPr>
                </pic:pic>
              </a:graphicData>
            </a:graphic>
          </wp:inline>
        </w:drawing>
      </w:r>
      <w:r>
        <w:rPr>
          <w:rFonts w:ascii="Arial" w:hAnsi="Arial" w:cs="Arial"/>
          <w:noProof/>
          <w:sz w:val="22"/>
          <w:szCs w:val="22"/>
        </w:rPr>
        <w:drawing>
          <wp:inline distT="0" distB="0" distL="0" distR="0" wp14:anchorId="5E9196E2" wp14:editId="1CAAAEE9">
            <wp:extent cx="3201300" cy="1944000"/>
            <wp:effectExtent l="0" t="0" r="0" b="0"/>
            <wp:docPr id="13" name="Picture 13" descr="This chart presents the proportion of workers’ compensation claims in the Accommodation and food services industry by occupation. The above paragraphs present the chart key mess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01300" cy="1944000"/>
                    </a:xfrm>
                    <a:prstGeom prst="rect">
                      <a:avLst/>
                    </a:prstGeom>
                    <a:noFill/>
                  </pic:spPr>
                </pic:pic>
              </a:graphicData>
            </a:graphic>
          </wp:inline>
        </w:drawing>
      </w:r>
    </w:p>
    <w:p w14:paraId="7E49A38B" w14:textId="04DC7584" w:rsidR="004A7B65" w:rsidRPr="00B24C1B" w:rsidRDefault="00EB0250" w:rsidP="00B24C1B">
      <w:pPr>
        <w:pStyle w:val="Heading2"/>
      </w:pPr>
      <w:r w:rsidRPr="00EB0250">
        <w:t>Key WHS issues in the industry</w:t>
      </w:r>
      <w:r w:rsidR="00F6458E">
        <w:t xml:space="preserve"> </w:t>
      </w:r>
    </w:p>
    <w:p w14:paraId="6A14119E" w14:textId="03966389" w:rsidR="00A43B1B" w:rsidRDefault="00A43B1B" w:rsidP="00566AAA">
      <w:pPr>
        <w:spacing w:line="288" w:lineRule="auto"/>
        <w:rPr>
          <w:rFonts w:ascii="Arial" w:hAnsi="Arial" w:cs="Arial"/>
          <w:sz w:val="22"/>
          <w:szCs w:val="22"/>
        </w:rPr>
      </w:pPr>
      <w:r>
        <w:rPr>
          <w:rFonts w:ascii="Arial" w:hAnsi="Arial" w:cs="Arial"/>
          <w:sz w:val="22"/>
          <w:szCs w:val="22"/>
        </w:rPr>
        <w:t>The</w:t>
      </w:r>
      <w:r w:rsidR="004A7B65">
        <w:rPr>
          <w:rFonts w:ascii="Arial" w:hAnsi="Arial" w:cs="Arial"/>
          <w:sz w:val="22"/>
          <w:szCs w:val="22"/>
        </w:rPr>
        <w:t xml:space="preserve"> main causes of fatalities within the </w:t>
      </w:r>
      <w:r w:rsidR="009C12E0">
        <w:rPr>
          <w:rFonts w:ascii="Arial" w:hAnsi="Arial" w:cs="Arial"/>
          <w:sz w:val="22"/>
          <w:szCs w:val="22"/>
        </w:rPr>
        <w:t>i</w:t>
      </w:r>
      <w:r>
        <w:rPr>
          <w:rFonts w:ascii="Arial" w:hAnsi="Arial" w:cs="Arial"/>
          <w:sz w:val="22"/>
          <w:szCs w:val="22"/>
        </w:rPr>
        <w:t>ndustry are e</w:t>
      </w:r>
      <w:r w:rsidR="004A7B65">
        <w:rPr>
          <w:rFonts w:ascii="Arial" w:hAnsi="Arial" w:cs="Arial"/>
          <w:sz w:val="22"/>
          <w:szCs w:val="22"/>
        </w:rPr>
        <w:t>xplosions</w:t>
      </w:r>
      <w:r w:rsidR="005E27DA">
        <w:rPr>
          <w:rFonts w:ascii="Arial" w:hAnsi="Arial" w:cs="Arial"/>
          <w:sz w:val="22"/>
          <w:szCs w:val="22"/>
        </w:rPr>
        <w:t>,</w:t>
      </w:r>
      <w:r w:rsidR="004A7B65">
        <w:rPr>
          <w:rFonts w:ascii="Arial" w:hAnsi="Arial" w:cs="Arial"/>
          <w:sz w:val="22"/>
          <w:szCs w:val="22"/>
        </w:rPr>
        <w:t xml:space="preserve"> </w:t>
      </w:r>
      <w:r>
        <w:rPr>
          <w:rFonts w:ascii="Arial" w:hAnsi="Arial" w:cs="Arial"/>
          <w:sz w:val="22"/>
          <w:szCs w:val="22"/>
        </w:rPr>
        <w:t xml:space="preserve">accounting </w:t>
      </w:r>
      <w:r w:rsidR="004A7B65">
        <w:rPr>
          <w:rFonts w:ascii="Arial" w:hAnsi="Arial" w:cs="Arial"/>
          <w:sz w:val="22"/>
          <w:szCs w:val="22"/>
        </w:rPr>
        <w:t>for 27 per cent</w:t>
      </w:r>
      <w:r w:rsidR="009A2D41">
        <w:rPr>
          <w:rFonts w:ascii="Arial" w:hAnsi="Arial" w:cs="Arial"/>
          <w:sz w:val="22"/>
          <w:szCs w:val="22"/>
        </w:rPr>
        <w:t xml:space="preserve"> of fatalities</w:t>
      </w:r>
      <w:r w:rsidR="004A7B65">
        <w:rPr>
          <w:rFonts w:ascii="Arial" w:hAnsi="Arial" w:cs="Arial"/>
          <w:sz w:val="22"/>
          <w:szCs w:val="22"/>
        </w:rPr>
        <w:t xml:space="preserve">, followed by </w:t>
      </w:r>
      <w:r>
        <w:rPr>
          <w:rFonts w:ascii="Arial" w:hAnsi="Arial" w:cs="Arial"/>
          <w:sz w:val="22"/>
          <w:szCs w:val="22"/>
        </w:rPr>
        <w:t>b</w:t>
      </w:r>
      <w:r w:rsidR="004A7B65">
        <w:rPr>
          <w:rFonts w:ascii="Arial" w:hAnsi="Arial" w:cs="Arial"/>
          <w:sz w:val="22"/>
          <w:szCs w:val="22"/>
        </w:rPr>
        <w:t xml:space="preserve">eing assaulted by a person or persons (18 per cent), </w:t>
      </w:r>
      <w:r>
        <w:rPr>
          <w:rFonts w:ascii="Arial" w:hAnsi="Arial" w:cs="Arial"/>
          <w:sz w:val="22"/>
          <w:szCs w:val="22"/>
        </w:rPr>
        <w:t>b</w:t>
      </w:r>
      <w:r w:rsidR="004A7B65">
        <w:rPr>
          <w:rFonts w:ascii="Arial" w:hAnsi="Arial" w:cs="Arial"/>
          <w:sz w:val="22"/>
          <w:szCs w:val="22"/>
        </w:rPr>
        <w:t xml:space="preserve">eing hit by moving objects (18 per cent), and </w:t>
      </w:r>
      <w:r>
        <w:rPr>
          <w:rFonts w:ascii="Arial" w:hAnsi="Arial" w:cs="Arial"/>
          <w:sz w:val="22"/>
          <w:szCs w:val="22"/>
        </w:rPr>
        <w:t>f</w:t>
      </w:r>
      <w:r w:rsidR="004A7B65">
        <w:rPr>
          <w:rFonts w:ascii="Arial" w:hAnsi="Arial" w:cs="Arial"/>
          <w:sz w:val="22"/>
          <w:szCs w:val="22"/>
        </w:rPr>
        <w:t xml:space="preserve">alls from a height (18 per cent). </w:t>
      </w:r>
    </w:p>
    <w:p w14:paraId="1EF4B9A2" w14:textId="5D8CB2D3" w:rsidR="004A7B65" w:rsidRDefault="00A43B1B" w:rsidP="00566AAA">
      <w:pPr>
        <w:spacing w:line="288" w:lineRule="auto"/>
        <w:rPr>
          <w:rFonts w:ascii="Arial" w:hAnsi="Arial" w:cs="Arial"/>
          <w:sz w:val="22"/>
          <w:szCs w:val="22"/>
        </w:rPr>
      </w:pPr>
      <w:r>
        <w:rPr>
          <w:rFonts w:ascii="Arial" w:hAnsi="Arial" w:cs="Arial"/>
          <w:sz w:val="22"/>
          <w:szCs w:val="22"/>
        </w:rPr>
        <w:t>The</w:t>
      </w:r>
      <w:r w:rsidR="004A7B65">
        <w:rPr>
          <w:rFonts w:ascii="Arial" w:hAnsi="Arial" w:cs="Arial"/>
          <w:sz w:val="22"/>
          <w:szCs w:val="22"/>
        </w:rPr>
        <w:t xml:space="preserve"> </w:t>
      </w:r>
      <w:r>
        <w:rPr>
          <w:rFonts w:ascii="Arial" w:hAnsi="Arial" w:cs="Arial"/>
          <w:sz w:val="22"/>
          <w:szCs w:val="22"/>
        </w:rPr>
        <w:t xml:space="preserve">leading </w:t>
      </w:r>
      <w:r w:rsidR="004A7B65">
        <w:rPr>
          <w:rFonts w:ascii="Arial" w:hAnsi="Arial" w:cs="Arial"/>
          <w:sz w:val="22"/>
          <w:szCs w:val="22"/>
        </w:rPr>
        <w:t xml:space="preserve">cause of </w:t>
      </w:r>
      <w:r>
        <w:rPr>
          <w:rFonts w:ascii="Arial" w:hAnsi="Arial" w:cs="Arial"/>
          <w:sz w:val="22"/>
          <w:szCs w:val="22"/>
        </w:rPr>
        <w:t xml:space="preserve">serious </w:t>
      </w:r>
      <w:r w:rsidR="004A7B65">
        <w:rPr>
          <w:rFonts w:ascii="Arial" w:hAnsi="Arial" w:cs="Arial"/>
          <w:sz w:val="22"/>
          <w:szCs w:val="22"/>
        </w:rPr>
        <w:t xml:space="preserve">injuries </w:t>
      </w:r>
      <w:r>
        <w:rPr>
          <w:rFonts w:ascii="Arial" w:hAnsi="Arial" w:cs="Arial"/>
          <w:sz w:val="22"/>
          <w:szCs w:val="22"/>
        </w:rPr>
        <w:t>are</w:t>
      </w:r>
      <w:r w:rsidR="004A7B65">
        <w:rPr>
          <w:rFonts w:ascii="Arial" w:hAnsi="Arial" w:cs="Arial"/>
          <w:sz w:val="22"/>
          <w:szCs w:val="22"/>
        </w:rPr>
        <w:t xml:space="preserve"> </w:t>
      </w:r>
      <w:r>
        <w:rPr>
          <w:rFonts w:ascii="Arial" w:hAnsi="Arial" w:cs="Arial"/>
          <w:sz w:val="22"/>
          <w:szCs w:val="22"/>
        </w:rPr>
        <w:t>f</w:t>
      </w:r>
      <w:r w:rsidR="004A7B65">
        <w:rPr>
          <w:rFonts w:ascii="Arial" w:hAnsi="Arial" w:cs="Arial"/>
          <w:sz w:val="22"/>
          <w:szCs w:val="22"/>
        </w:rPr>
        <w:t xml:space="preserve">alls on the same level (19 per cent of claims), followed by </w:t>
      </w:r>
      <w:r>
        <w:rPr>
          <w:rFonts w:ascii="Arial" w:hAnsi="Arial" w:cs="Arial"/>
          <w:sz w:val="22"/>
          <w:szCs w:val="22"/>
        </w:rPr>
        <w:t>m</w:t>
      </w:r>
      <w:r w:rsidR="004A7B65">
        <w:rPr>
          <w:rFonts w:ascii="Arial" w:hAnsi="Arial" w:cs="Arial"/>
          <w:sz w:val="22"/>
          <w:szCs w:val="22"/>
        </w:rPr>
        <w:t xml:space="preserve">uscular stress while </w:t>
      </w:r>
      <w:r w:rsidR="00B4740F">
        <w:rPr>
          <w:rFonts w:ascii="Arial" w:hAnsi="Arial" w:cs="Arial"/>
          <w:sz w:val="22"/>
          <w:szCs w:val="22"/>
        </w:rPr>
        <w:t xml:space="preserve">lifting, carrying or putting down </w:t>
      </w:r>
      <w:r w:rsidR="004A7B65">
        <w:rPr>
          <w:rFonts w:ascii="Arial" w:hAnsi="Arial" w:cs="Arial"/>
          <w:sz w:val="22"/>
          <w:szCs w:val="22"/>
        </w:rPr>
        <w:t xml:space="preserve">objects (14 per cent), and </w:t>
      </w:r>
      <w:r>
        <w:rPr>
          <w:rFonts w:ascii="Arial" w:hAnsi="Arial" w:cs="Arial"/>
          <w:sz w:val="22"/>
          <w:szCs w:val="22"/>
        </w:rPr>
        <w:t>m</w:t>
      </w:r>
      <w:r w:rsidR="00B4740F">
        <w:rPr>
          <w:rFonts w:ascii="Arial" w:hAnsi="Arial" w:cs="Arial"/>
          <w:sz w:val="22"/>
          <w:szCs w:val="22"/>
        </w:rPr>
        <w:t xml:space="preserve">uscular stress while handling objects </w:t>
      </w:r>
      <w:r w:rsidR="004A7B65">
        <w:rPr>
          <w:rFonts w:ascii="Arial" w:hAnsi="Arial" w:cs="Arial"/>
          <w:sz w:val="22"/>
          <w:szCs w:val="22"/>
        </w:rPr>
        <w:t>(1</w:t>
      </w:r>
      <w:r w:rsidR="00B4740F">
        <w:rPr>
          <w:rFonts w:ascii="Arial" w:hAnsi="Arial" w:cs="Arial"/>
          <w:sz w:val="22"/>
          <w:szCs w:val="22"/>
        </w:rPr>
        <w:t>1</w:t>
      </w:r>
      <w:r w:rsidR="004A7B65">
        <w:rPr>
          <w:rFonts w:ascii="Arial" w:hAnsi="Arial" w:cs="Arial"/>
          <w:sz w:val="22"/>
          <w:szCs w:val="22"/>
        </w:rPr>
        <w:t xml:space="preserve"> per cent).</w:t>
      </w:r>
    </w:p>
    <w:p w14:paraId="7005E67E" w14:textId="5DB50E69" w:rsidR="00F10E75" w:rsidRDefault="00B27826" w:rsidP="00257440">
      <w:pPr>
        <w:spacing w:line="288" w:lineRule="auto"/>
        <w:rPr>
          <w:rFonts w:ascii="Arial" w:hAnsi="Arial" w:cs="Arial"/>
          <w:sz w:val="22"/>
          <w:szCs w:val="22"/>
        </w:rPr>
      </w:pPr>
      <w:r>
        <w:rPr>
          <w:rFonts w:ascii="Arial" w:hAnsi="Arial" w:cs="Arial"/>
          <w:noProof/>
          <w:sz w:val="22"/>
          <w:szCs w:val="22"/>
        </w:rPr>
        <w:drawing>
          <wp:inline distT="0" distB="0" distL="0" distR="0" wp14:anchorId="3F11D930" wp14:editId="403FC107">
            <wp:extent cx="3191621" cy="2556000"/>
            <wp:effectExtent l="0" t="0" r="8890" b="0"/>
            <wp:docPr id="15" name="Picture 15" descr="This chart presents a proportionate breakdown of the main causes of fatalities in the Accommodation and food services industry. The above paragraphs present the chart key mess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91621" cy="2556000"/>
                    </a:xfrm>
                    <a:prstGeom prst="rect">
                      <a:avLst/>
                    </a:prstGeom>
                    <a:noFill/>
                  </pic:spPr>
                </pic:pic>
              </a:graphicData>
            </a:graphic>
          </wp:inline>
        </w:drawing>
      </w:r>
      <w:r>
        <w:rPr>
          <w:rFonts w:ascii="Arial" w:hAnsi="Arial" w:cs="Arial"/>
          <w:noProof/>
          <w:sz w:val="22"/>
          <w:szCs w:val="22"/>
        </w:rPr>
        <w:drawing>
          <wp:inline distT="0" distB="0" distL="0" distR="0" wp14:anchorId="4420C566" wp14:editId="7BF6596E">
            <wp:extent cx="3196126" cy="2556000"/>
            <wp:effectExtent l="0" t="0" r="4445" b="0"/>
            <wp:docPr id="20" name="Picture 20" descr="This chart presents a proportionate breakdown of the main causes of injuries resulting in serious workers’ compensation claims in the Accommodation and food services industry. The above paragraphs present the chart key mess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96126" cy="2556000"/>
                    </a:xfrm>
                    <a:prstGeom prst="rect">
                      <a:avLst/>
                    </a:prstGeom>
                    <a:noFill/>
                  </pic:spPr>
                </pic:pic>
              </a:graphicData>
            </a:graphic>
          </wp:inline>
        </w:drawing>
      </w:r>
    </w:p>
    <w:p w14:paraId="1FC85F7A" w14:textId="057D30C9" w:rsidR="00F10E75" w:rsidRDefault="00F10E75" w:rsidP="00F10E75">
      <w:pPr>
        <w:spacing w:line="288" w:lineRule="auto"/>
        <w:rPr>
          <w:rFonts w:ascii="Arial" w:hAnsi="Arial" w:cs="Arial"/>
          <w:b/>
          <w:color w:val="FFFFFF" w:themeColor="background1"/>
          <w:sz w:val="22"/>
          <w:szCs w:val="22"/>
        </w:rPr>
      </w:pPr>
      <w:r w:rsidRPr="00DB0A2F">
        <w:rPr>
          <w:rFonts w:ascii="Arial" w:hAnsi="Arial" w:cs="Arial"/>
          <w:sz w:val="22"/>
          <w:szCs w:val="22"/>
        </w:rPr>
        <w:t>At the sub-industry level, the main causes of injuries were similar across the board, however, there were some differences with respect to fatalities</w:t>
      </w:r>
      <w:r w:rsidRPr="00257440">
        <w:rPr>
          <w:rFonts w:ascii="Arial" w:hAnsi="Arial" w:cs="Arial"/>
          <w:sz w:val="22"/>
          <w:szCs w:val="22"/>
        </w:rPr>
        <w:t xml:space="preserve">. </w:t>
      </w:r>
      <w:r w:rsidRPr="00D1187A">
        <w:rPr>
          <w:rFonts w:ascii="Arial" w:hAnsi="Arial" w:cs="Arial"/>
          <w:sz w:val="22"/>
          <w:szCs w:val="22"/>
        </w:rPr>
        <w:t>Explosion</w:t>
      </w:r>
      <w:r>
        <w:rPr>
          <w:rFonts w:ascii="Arial" w:hAnsi="Arial" w:cs="Arial"/>
          <w:sz w:val="22"/>
          <w:szCs w:val="22"/>
        </w:rPr>
        <w:t>s</w:t>
      </w:r>
      <w:r w:rsidRPr="00D1187A">
        <w:rPr>
          <w:rFonts w:ascii="Arial" w:hAnsi="Arial" w:cs="Arial"/>
          <w:sz w:val="22"/>
          <w:szCs w:val="22"/>
        </w:rPr>
        <w:t xml:space="preserve"> and </w:t>
      </w:r>
      <w:r>
        <w:rPr>
          <w:rFonts w:ascii="Arial" w:hAnsi="Arial" w:cs="Arial"/>
          <w:sz w:val="22"/>
          <w:szCs w:val="22"/>
        </w:rPr>
        <w:t>b</w:t>
      </w:r>
      <w:r w:rsidRPr="00D1187A">
        <w:rPr>
          <w:rFonts w:ascii="Arial" w:hAnsi="Arial" w:cs="Arial"/>
          <w:sz w:val="22"/>
          <w:szCs w:val="22"/>
        </w:rPr>
        <w:t xml:space="preserve">eing assaulted by a person or persons were the main causes of fatalities in </w:t>
      </w:r>
      <w:r w:rsidR="00332A86">
        <w:rPr>
          <w:rFonts w:ascii="Arial" w:hAnsi="Arial" w:cs="Arial"/>
          <w:sz w:val="22"/>
          <w:szCs w:val="22"/>
        </w:rPr>
        <w:t xml:space="preserve">the </w:t>
      </w:r>
      <w:r>
        <w:rPr>
          <w:rFonts w:ascii="Arial" w:hAnsi="Arial" w:cs="Arial"/>
          <w:sz w:val="22"/>
          <w:szCs w:val="22"/>
        </w:rPr>
        <w:t>f</w:t>
      </w:r>
      <w:r w:rsidRPr="00D1187A">
        <w:rPr>
          <w:rFonts w:ascii="Arial" w:hAnsi="Arial" w:cs="Arial"/>
          <w:sz w:val="22"/>
          <w:szCs w:val="22"/>
        </w:rPr>
        <w:t>ood and beverage services sub-industry</w:t>
      </w:r>
      <w:r>
        <w:rPr>
          <w:rFonts w:ascii="Arial" w:hAnsi="Arial" w:cs="Arial"/>
          <w:sz w:val="22"/>
          <w:szCs w:val="22"/>
        </w:rPr>
        <w:t>, whereas</w:t>
      </w:r>
      <w:r w:rsidRPr="00D1187A">
        <w:rPr>
          <w:rFonts w:ascii="Arial" w:hAnsi="Arial" w:cs="Arial"/>
          <w:sz w:val="22"/>
          <w:szCs w:val="22"/>
        </w:rPr>
        <w:t xml:space="preserve"> </w:t>
      </w:r>
      <w:r>
        <w:rPr>
          <w:rFonts w:ascii="Arial" w:hAnsi="Arial" w:cs="Arial"/>
          <w:sz w:val="22"/>
          <w:szCs w:val="22"/>
        </w:rPr>
        <w:t>f</w:t>
      </w:r>
      <w:r w:rsidRPr="00D1187A">
        <w:rPr>
          <w:rFonts w:ascii="Arial" w:hAnsi="Arial" w:cs="Arial"/>
          <w:sz w:val="22"/>
          <w:szCs w:val="22"/>
        </w:rPr>
        <w:t xml:space="preserve">alls from a height, </w:t>
      </w:r>
      <w:r>
        <w:rPr>
          <w:rFonts w:ascii="Arial" w:hAnsi="Arial" w:cs="Arial"/>
          <w:sz w:val="22"/>
          <w:szCs w:val="22"/>
        </w:rPr>
        <w:t>b</w:t>
      </w:r>
      <w:r w:rsidRPr="00D1187A">
        <w:rPr>
          <w:rFonts w:ascii="Arial" w:hAnsi="Arial" w:cs="Arial"/>
          <w:sz w:val="22"/>
          <w:szCs w:val="22"/>
        </w:rPr>
        <w:t xml:space="preserve">eing hit by moving objects, </w:t>
      </w:r>
      <w:r>
        <w:rPr>
          <w:rFonts w:ascii="Arial" w:hAnsi="Arial" w:cs="Arial"/>
          <w:sz w:val="22"/>
          <w:szCs w:val="22"/>
        </w:rPr>
        <w:t>r</w:t>
      </w:r>
      <w:r w:rsidRPr="00D1187A">
        <w:rPr>
          <w:rFonts w:ascii="Arial" w:hAnsi="Arial" w:cs="Arial"/>
          <w:sz w:val="22"/>
          <w:szCs w:val="22"/>
        </w:rPr>
        <w:t>ollover</w:t>
      </w:r>
      <w:r>
        <w:rPr>
          <w:rFonts w:ascii="Arial" w:hAnsi="Arial" w:cs="Arial"/>
          <w:sz w:val="22"/>
          <w:szCs w:val="22"/>
        </w:rPr>
        <w:t xml:space="preserve"> of a non-road vehicle</w:t>
      </w:r>
      <w:r w:rsidRPr="00D1187A">
        <w:rPr>
          <w:rFonts w:ascii="Arial" w:hAnsi="Arial" w:cs="Arial"/>
          <w:sz w:val="22"/>
          <w:szCs w:val="22"/>
        </w:rPr>
        <w:t xml:space="preserve"> and </w:t>
      </w:r>
      <w:r>
        <w:rPr>
          <w:rFonts w:ascii="Arial" w:hAnsi="Arial" w:cs="Arial"/>
          <w:sz w:val="22"/>
          <w:szCs w:val="22"/>
        </w:rPr>
        <w:t>c</w:t>
      </w:r>
      <w:r w:rsidRPr="00D1187A">
        <w:rPr>
          <w:rFonts w:ascii="Arial" w:hAnsi="Arial" w:cs="Arial"/>
          <w:sz w:val="22"/>
          <w:szCs w:val="22"/>
        </w:rPr>
        <w:t xml:space="preserve">ontact with </w:t>
      </w:r>
      <w:r>
        <w:rPr>
          <w:rFonts w:ascii="Arial" w:hAnsi="Arial" w:cs="Arial"/>
          <w:sz w:val="22"/>
          <w:szCs w:val="22"/>
        </w:rPr>
        <w:t>a chemical or substance</w:t>
      </w:r>
      <w:r w:rsidRPr="00D1187A">
        <w:rPr>
          <w:rFonts w:ascii="Arial" w:hAnsi="Arial" w:cs="Arial"/>
          <w:sz w:val="22"/>
          <w:szCs w:val="22"/>
        </w:rPr>
        <w:t xml:space="preserve"> </w:t>
      </w:r>
      <w:r>
        <w:rPr>
          <w:rFonts w:ascii="Arial" w:hAnsi="Arial" w:cs="Arial"/>
          <w:sz w:val="22"/>
          <w:szCs w:val="22"/>
        </w:rPr>
        <w:t xml:space="preserve">each accounted for 1 fatality in the accommodation </w:t>
      </w:r>
      <w:r w:rsidRPr="00D1187A">
        <w:rPr>
          <w:rFonts w:ascii="Arial" w:hAnsi="Arial" w:cs="Arial"/>
          <w:sz w:val="22"/>
          <w:szCs w:val="22"/>
        </w:rPr>
        <w:t xml:space="preserve">sub-industry. </w:t>
      </w:r>
    </w:p>
    <w:p w14:paraId="05F6C22B" w14:textId="77777777" w:rsidR="00B24C1B" w:rsidRPr="00F10E75" w:rsidRDefault="00B24C1B" w:rsidP="00F10E75">
      <w:pPr>
        <w:rPr>
          <w:rFonts w:ascii="Arial" w:hAnsi="Arial" w:cs="Arial"/>
          <w:sz w:val="22"/>
          <w:szCs w:val="22"/>
        </w:rPr>
      </w:pPr>
    </w:p>
    <w:tbl>
      <w:tblPr>
        <w:tblStyle w:val="TableGrid"/>
        <w:tblW w:w="0" w:type="auto"/>
        <w:tblLook w:val="04A0" w:firstRow="1" w:lastRow="0" w:firstColumn="1" w:lastColumn="0" w:noHBand="0" w:noVBand="1"/>
        <w:tblDescription w:val="This table presents the main causes of fatalities and injuries resulting in workers’ serious compensation claims in the Accommodation and food services industry by sub-industry. The above paragraph presents the table key messages."/>
      </w:tblPr>
      <w:tblGrid>
        <w:gridCol w:w="5098"/>
        <w:gridCol w:w="5098"/>
      </w:tblGrid>
      <w:tr w:rsidR="00F21980" w:rsidRPr="00F21980" w14:paraId="15FC9212" w14:textId="77777777" w:rsidTr="00102929">
        <w:trPr>
          <w:tblHeader/>
        </w:trPr>
        <w:tc>
          <w:tcPr>
            <w:tcW w:w="5098" w:type="dxa"/>
            <w:shd w:val="clear" w:color="auto" w:fill="C10A27"/>
          </w:tcPr>
          <w:p w14:paraId="7B57E1E5" w14:textId="2679E2FA" w:rsidR="00E10B88" w:rsidRPr="00C15D08" w:rsidRDefault="00E10B88" w:rsidP="00C15D08">
            <w:pPr>
              <w:spacing w:line="288" w:lineRule="auto"/>
              <w:rPr>
                <w:rFonts w:ascii="Arial" w:hAnsi="Arial" w:cs="Arial"/>
                <w:b/>
                <w:color w:val="FFFFFF" w:themeColor="background1"/>
                <w:sz w:val="22"/>
                <w:szCs w:val="22"/>
              </w:rPr>
            </w:pPr>
            <w:r w:rsidRPr="00C15D08">
              <w:rPr>
                <w:rFonts w:ascii="Arial" w:hAnsi="Arial" w:cs="Arial"/>
                <w:b/>
                <w:color w:val="FFFFFF" w:themeColor="background1"/>
                <w:sz w:val="22"/>
                <w:szCs w:val="22"/>
              </w:rPr>
              <w:t>Main causes of fatalities</w:t>
            </w:r>
          </w:p>
        </w:tc>
        <w:tc>
          <w:tcPr>
            <w:tcW w:w="5098" w:type="dxa"/>
            <w:shd w:val="clear" w:color="auto" w:fill="C10A27"/>
          </w:tcPr>
          <w:p w14:paraId="7581F763" w14:textId="77777777" w:rsidR="00E10B88" w:rsidRPr="00C15D08" w:rsidRDefault="00E10B88" w:rsidP="00C15D08">
            <w:pPr>
              <w:spacing w:line="288" w:lineRule="auto"/>
              <w:rPr>
                <w:rFonts w:ascii="Arial" w:hAnsi="Arial" w:cs="Arial"/>
                <w:b/>
                <w:color w:val="FFFFFF" w:themeColor="background1"/>
                <w:sz w:val="22"/>
                <w:szCs w:val="22"/>
              </w:rPr>
            </w:pPr>
            <w:r w:rsidRPr="00C15D08">
              <w:rPr>
                <w:rFonts w:ascii="Arial" w:hAnsi="Arial" w:cs="Arial"/>
                <w:b/>
                <w:color w:val="FFFFFF" w:themeColor="background1"/>
                <w:sz w:val="22"/>
                <w:szCs w:val="22"/>
              </w:rPr>
              <w:t>Main causes of injuries</w:t>
            </w:r>
          </w:p>
        </w:tc>
      </w:tr>
      <w:tr w:rsidR="00C15D08" w:rsidRPr="00F21980" w14:paraId="57A1B58B" w14:textId="77777777" w:rsidTr="00C15D08">
        <w:trPr>
          <w:trHeight w:val="330"/>
          <w:tblHeader/>
        </w:trPr>
        <w:tc>
          <w:tcPr>
            <w:tcW w:w="10196" w:type="dxa"/>
            <w:gridSpan w:val="2"/>
            <w:shd w:val="clear" w:color="auto" w:fill="D9D9D9" w:themeFill="background1" w:themeFillShade="D9"/>
          </w:tcPr>
          <w:p w14:paraId="7ABA497A" w14:textId="79EDDAA7" w:rsidR="00C15D08" w:rsidRPr="00C15D08" w:rsidRDefault="00C15D08" w:rsidP="00C15D08">
            <w:pPr>
              <w:spacing w:before="0" w:after="0" w:line="276" w:lineRule="auto"/>
              <w:rPr>
                <w:rFonts w:ascii="Arial" w:hAnsi="Arial" w:cs="Arial"/>
                <w:b/>
                <w:color w:val="FFFFFF" w:themeColor="background1"/>
              </w:rPr>
            </w:pPr>
            <w:r w:rsidRPr="00C15D08">
              <w:rPr>
                <w:rFonts w:ascii="Arial" w:hAnsi="Arial" w:cs="Arial"/>
                <w:b/>
              </w:rPr>
              <w:t>Accommodation</w:t>
            </w:r>
          </w:p>
        </w:tc>
      </w:tr>
      <w:tr w:rsidR="00E826F3" w14:paraId="07D29F1A" w14:textId="77777777" w:rsidTr="00C15D08">
        <w:tc>
          <w:tcPr>
            <w:tcW w:w="5098" w:type="dxa"/>
          </w:tcPr>
          <w:p w14:paraId="61B41D31" w14:textId="77777777" w:rsidR="00E826F3" w:rsidRPr="00A27394" w:rsidRDefault="001504AC" w:rsidP="00A27394">
            <w:pPr>
              <w:rPr>
                <w:rFonts w:ascii="Arial" w:hAnsi="Arial" w:cs="Arial"/>
              </w:rPr>
            </w:pPr>
            <w:r w:rsidRPr="00A27394">
              <w:rPr>
                <w:rFonts w:ascii="Arial" w:hAnsi="Arial" w:cs="Arial"/>
              </w:rPr>
              <w:t xml:space="preserve">Falls from a height </w:t>
            </w:r>
            <w:r w:rsidR="00E826F3" w:rsidRPr="00A27394">
              <w:rPr>
                <w:rFonts w:ascii="Arial" w:hAnsi="Arial" w:cs="Arial"/>
              </w:rPr>
              <w:t xml:space="preserve">– </w:t>
            </w:r>
            <w:r w:rsidR="00DB0A2F" w:rsidRPr="00A27394">
              <w:rPr>
                <w:rFonts w:ascii="Arial" w:hAnsi="Arial" w:cs="Arial"/>
              </w:rPr>
              <w:t>25</w:t>
            </w:r>
            <w:r w:rsidR="00E826F3" w:rsidRPr="00A27394">
              <w:rPr>
                <w:rFonts w:ascii="Arial" w:hAnsi="Arial" w:cs="Arial"/>
              </w:rPr>
              <w:t>%</w:t>
            </w:r>
          </w:p>
          <w:p w14:paraId="55D0D5C3" w14:textId="77777777" w:rsidR="00E826F3" w:rsidRPr="00A27394" w:rsidRDefault="001504AC" w:rsidP="00A27394">
            <w:pPr>
              <w:spacing w:before="240" w:after="240"/>
              <w:rPr>
                <w:rFonts w:ascii="Arial" w:hAnsi="Arial" w:cs="Arial"/>
              </w:rPr>
            </w:pPr>
            <w:r w:rsidRPr="00A27394">
              <w:rPr>
                <w:rFonts w:ascii="Arial" w:hAnsi="Arial" w:cs="Arial"/>
              </w:rPr>
              <w:t xml:space="preserve">Being hit by </w:t>
            </w:r>
            <w:r w:rsidR="00DB0A2F" w:rsidRPr="00A27394">
              <w:rPr>
                <w:rFonts w:ascii="Arial" w:hAnsi="Arial" w:cs="Arial"/>
              </w:rPr>
              <w:t>moving</w:t>
            </w:r>
            <w:r w:rsidRPr="00A27394">
              <w:rPr>
                <w:rFonts w:ascii="Arial" w:hAnsi="Arial" w:cs="Arial"/>
              </w:rPr>
              <w:t xml:space="preserve"> objects </w:t>
            </w:r>
            <w:r w:rsidR="00E826F3" w:rsidRPr="00A27394">
              <w:rPr>
                <w:rFonts w:ascii="Arial" w:hAnsi="Arial" w:cs="Arial"/>
              </w:rPr>
              <w:t xml:space="preserve">– </w:t>
            </w:r>
            <w:r w:rsidRPr="00A27394">
              <w:rPr>
                <w:rFonts w:ascii="Arial" w:hAnsi="Arial" w:cs="Arial"/>
              </w:rPr>
              <w:t>2</w:t>
            </w:r>
            <w:r w:rsidR="00DB0A2F" w:rsidRPr="00A27394">
              <w:rPr>
                <w:rFonts w:ascii="Arial" w:hAnsi="Arial" w:cs="Arial"/>
              </w:rPr>
              <w:t>5</w:t>
            </w:r>
            <w:r w:rsidR="00E826F3" w:rsidRPr="00A27394">
              <w:rPr>
                <w:rFonts w:ascii="Arial" w:hAnsi="Arial" w:cs="Arial"/>
              </w:rPr>
              <w:t>%</w:t>
            </w:r>
          </w:p>
          <w:p w14:paraId="47A5886F" w14:textId="77777777" w:rsidR="00E826F3" w:rsidRPr="00A27394" w:rsidRDefault="00DB0A2F" w:rsidP="00A27394">
            <w:pPr>
              <w:rPr>
                <w:rFonts w:ascii="Arial" w:hAnsi="Arial" w:cs="Arial"/>
              </w:rPr>
            </w:pPr>
            <w:r w:rsidRPr="00A27394">
              <w:rPr>
                <w:rFonts w:ascii="Arial" w:hAnsi="Arial" w:cs="Arial"/>
              </w:rPr>
              <w:t>Rollover of non-road v</w:t>
            </w:r>
            <w:r w:rsidR="001504AC" w:rsidRPr="00A27394">
              <w:rPr>
                <w:rFonts w:ascii="Arial" w:hAnsi="Arial" w:cs="Arial"/>
              </w:rPr>
              <w:t xml:space="preserve">ehicle </w:t>
            </w:r>
            <w:r w:rsidR="00E826F3" w:rsidRPr="00A27394">
              <w:rPr>
                <w:rFonts w:ascii="Arial" w:hAnsi="Arial" w:cs="Arial"/>
              </w:rPr>
              <w:t>–</w:t>
            </w:r>
            <w:r w:rsidR="00A43B1B" w:rsidRPr="00A27394">
              <w:rPr>
                <w:rFonts w:ascii="Arial" w:hAnsi="Arial" w:cs="Arial"/>
              </w:rPr>
              <w:t xml:space="preserve"> </w:t>
            </w:r>
            <w:r w:rsidRPr="00A27394">
              <w:rPr>
                <w:rFonts w:ascii="Arial" w:hAnsi="Arial" w:cs="Arial"/>
              </w:rPr>
              <w:t>25</w:t>
            </w:r>
            <w:r w:rsidR="00E826F3" w:rsidRPr="00A27394">
              <w:rPr>
                <w:rFonts w:ascii="Arial" w:hAnsi="Arial" w:cs="Arial"/>
              </w:rPr>
              <w:t>%</w:t>
            </w:r>
          </w:p>
          <w:p w14:paraId="346FE80F" w14:textId="77777777" w:rsidR="00E826F3" w:rsidRPr="00A27394" w:rsidRDefault="00DB0A2F" w:rsidP="00A27394">
            <w:pPr>
              <w:spacing w:before="240" w:after="240"/>
              <w:rPr>
                <w:rFonts w:ascii="Arial" w:hAnsi="Arial" w:cs="Arial"/>
                <w:sz w:val="22"/>
                <w:szCs w:val="22"/>
              </w:rPr>
            </w:pPr>
            <w:r w:rsidRPr="00A27394">
              <w:rPr>
                <w:rFonts w:ascii="Arial" w:hAnsi="Arial" w:cs="Arial"/>
              </w:rPr>
              <w:t>Contact with chemical or substance – 25%</w:t>
            </w:r>
          </w:p>
        </w:tc>
        <w:tc>
          <w:tcPr>
            <w:tcW w:w="5098" w:type="dxa"/>
          </w:tcPr>
          <w:p w14:paraId="10C5362B" w14:textId="77777777" w:rsidR="00B4740F" w:rsidRPr="00A27394" w:rsidRDefault="00B4740F" w:rsidP="00A27394">
            <w:pPr>
              <w:spacing w:before="240" w:line="360" w:lineRule="auto"/>
              <w:rPr>
                <w:rFonts w:ascii="Arial" w:hAnsi="Arial" w:cs="Arial"/>
              </w:rPr>
            </w:pPr>
            <w:r w:rsidRPr="00A27394">
              <w:rPr>
                <w:rFonts w:ascii="Arial" w:hAnsi="Arial" w:cs="Arial"/>
              </w:rPr>
              <w:t>Falls on the same level – 18%</w:t>
            </w:r>
          </w:p>
          <w:p w14:paraId="78BBCAF6" w14:textId="77777777" w:rsidR="00E826F3" w:rsidRPr="00A27394" w:rsidRDefault="001504AC" w:rsidP="00A27394">
            <w:pPr>
              <w:spacing w:line="360" w:lineRule="auto"/>
              <w:rPr>
                <w:rFonts w:ascii="Arial" w:hAnsi="Arial" w:cs="Arial"/>
              </w:rPr>
            </w:pPr>
            <w:r w:rsidRPr="00A27394">
              <w:rPr>
                <w:rFonts w:ascii="Arial" w:hAnsi="Arial" w:cs="Arial"/>
              </w:rPr>
              <w:t>Muscular stress while handling objects</w:t>
            </w:r>
            <w:r w:rsidR="00E826F3" w:rsidRPr="00A27394">
              <w:rPr>
                <w:rFonts w:ascii="Arial" w:hAnsi="Arial" w:cs="Arial"/>
              </w:rPr>
              <w:t xml:space="preserve"> – </w:t>
            </w:r>
            <w:r w:rsidR="00B4740F" w:rsidRPr="00A27394">
              <w:rPr>
                <w:rFonts w:ascii="Arial" w:hAnsi="Arial" w:cs="Arial"/>
              </w:rPr>
              <w:t>17</w:t>
            </w:r>
            <w:r w:rsidR="00E826F3" w:rsidRPr="00A27394">
              <w:rPr>
                <w:rFonts w:ascii="Arial" w:hAnsi="Arial" w:cs="Arial"/>
              </w:rPr>
              <w:t>%</w:t>
            </w:r>
          </w:p>
          <w:p w14:paraId="57663A2C" w14:textId="77777777" w:rsidR="00E826F3" w:rsidRPr="00A27394" w:rsidRDefault="00B4740F" w:rsidP="00A27394">
            <w:pPr>
              <w:spacing w:line="360" w:lineRule="auto"/>
              <w:rPr>
                <w:rFonts w:ascii="Arial" w:hAnsi="Arial" w:cs="Arial"/>
                <w:sz w:val="22"/>
                <w:szCs w:val="22"/>
              </w:rPr>
            </w:pPr>
            <w:r w:rsidRPr="00A27394">
              <w:rPr>
                <w:rFonts w:ascii="Arial" w:hAnsi="Arial" w:cs="Arial"/>
              </w:rPr>
              <w:t>Muscular stress while lifting, carrying or putting down objects – 16%</w:t>
            </w:r>
          </w:p>
        </w:tc>
      </w:tr>
      <w:tr w:rsidR="00C15D08" w14:paraId="243099F9" w14:textId="77777777" w:rsidTr="00C15D08">
        <w:tc>
          <w:tcPr>
            <w:tcW w:w="10196" w:type="dxa"/>
            <w:gridSpan w:val="2"/>
            <w:shd w:val="clear" w:color="auto" w:fill="D9D9D9" w:themeFill="background1" w:themeFillShade="D9"/>
          </w:tcPr>
          <w:p w14:paraId="7A8A3C1A" w14:textId="5A320B41" w:rsidR="00C15D08" w:rsidRPr="00C15D08" w:rsidRDefault="00C15D08" w:rsidP="00C15D08">
            <w:pPr>
              <w:spacing w:before="0" w:after="0" w:line="288" w:lineRule="auto"/>
              <w:rPr>
                <w:rFonts w:ascii="Arial" w:hAnsi="Arial" w:cs="Arial"/>
              </w:rPr>
            </w:pPr>
            <w:r>
              <w:rPr>
                <w:rFonts w:ascii="Arial" w:hAnsi="Arial" w:cs="Arial"/>
                <w:b/>
              </w:rPr>
              <w:t>Food and beverage service</w:t>
            </w:r>
          </w:p>
        </w:tc>
      </w:tr>
      <w:tr w:rsidR="00B4740F" w14:paraId="5E39B926" w14:textId="77777777" w:rsidTr="00C15D08">
        <w:tc>
          <w:tcPr>
            <w:tcW w:w="5098" w:type="dxa"/>
          </w:tcPr>
          <w:p w14:paraId="2AFC64BF" w14:textId="77777777" w:rsidR="00B4740F" w:rsidRPr="00A27394" w:rsidRDefault="00B4740F" w:rsidP="00A27394">
            <w:pPr>
              <w:spacing w:line="288" w:lineRule="auto"/>
              <w:rPr>
                <w:rFonts w:ascii="Arial" w:hAnsi="Arial" w:cs="Arial"/>
              </w:rPr>
            </w:pPr>
            <w:r w:rsidRPr="00A27394">
              <w:rPr>
                <w:rFonts w:ascii="Arial" w:hAnsi="Arial" w:cs="Arial"/>
              </w:rPr>
              <w:t>Explosion – 43%</w:t>
            </w:r>
          </w:p>
          <w:p w14:paraId="2FB1B088" w14:textId="77777777" w:rsidR="00B4740F" w:rsidRPr="00A27394" w:rsidRDefault="00B4740F" w:rsidP="00A27394">
            <w:pPr>
              <w:spacing w:line="288" w:lineRule="auto"/>
              <w:rPr>
                <w:rFonts w:ascii="Arial" w:hAnsi="Arial" w:cs="Arial"/>
              </w:rPr>
            </w:pPr>
            <w:r w:rsidRPr="00A27394">
              <w:rPr>
                <w:rFonts w:ascii="Arial" w:hAnsi="Arial" w:cs="Arial"/>
              </w:rPr>
              <w:t xml:space="preserve">Being assaulted by person(s) – 29% </w:t>
            </w:r>
          </w:p>
          <w:p w14:paraId="4ECE0D46" w14:textId="77777777" w:rsidR="00B4740F" w:rsidRPr="00A27394" w:rsidRDefault="00B4740F" w:rsidP="00A27394">
            <w:pPr>
              <w:spacing w:line="288" w:lineRule="auto"/>
              <w:rPr>
                <w:rFonts w:ascii="Arial" w:hAnsi="Arial" w:cs="Arial"/>
                <w:b/>
              </w:rPr>
            </w:pPr>
            <w:r w:rsidRPr="00A27394">
              <w:rPr>
                <w:rFonts w:ascii="Arial" w:hAnsi="Arial" w:cs="Arial"/>
              </w:rPr>
              <w:t>Being hit by moving objects – 14%</w:t>
            </w:r>
          </w:p>
          <w:p w14:paraId="51E0154A" w14:textId="77777777" w:rsidR="00B4740F" w:rsidRPr="00A27394" w:rsidRDefault="00B4740F" w:rsidP="00A27394">
            <w:pPr>
              <w:spacing w:line="360" w:lineRule="auto"/>
              <w:rPr>
                <w:rFonts w:ascii="Arial" w:hAnsi="Arial" w:cs="Arial"/>
                <w:b/>
              </w:rPr>
            </w:pPr>
            <w:r w:rsidRPr="00A27394">
              <w:rPr>
                <w:rFonts w:ascii="Arial" w:hAnsi="Arial" w:cs="Arial"/>
              </w:rPr>
              <w:t xml:space="preserve">Falls from a height – 14% </w:t>
            </w:r>
          </w:p>
        </w:tc>
        <w:tc>
          <w:tcPr>
            <w:tcW w:w="5098" w:type="dxa"/>
          </w:tcPr>
          <w:p w14:paraId="63ACFAB9" w14:textId="77777777" w:rsidR="00B4740F" w:rsidRPr="00A27394" w:rsidRDefault="00B4740F" w:rsidP="00A27394">
            <w:pPr>
              <w:spacing w:line="288" w:lineRule="auto"/>
              <w:rPr>
                <w:rFonts w:ascii="Arial" w:hAnsi="Arial" w:cs="Arial"/>
              </w:rPr>
            </w:pPr>
            <w:r w:rsidRPr="00A27394">
              <w:rPr>
                <w:rFonts w:ascii="Arial" w:hAnsi="Arial" w:cs="Arial"/>
              </w:rPr>
              <w:t>Falls on the same level – 19%</w:t>
            </w:r>
          </w:p>
          <w:p w14:paraId="7E1B7288" w14:textId="77777777" w:rsidR="00257440" w:rsidRPr="00A27394" w:rsidRDefault="00257440" w:rsidP="00A27394">
            <w:pPr>
              <w:spacing w:line="288" w:lineRule="auto"/>
              <w:rPr>
                <w:rFonts w:ascii="Arial" w:hAnsi="Arial" w:cs="Arial"/>
              </w:rPr>
            </w:pPr>
            <w:r w:rsidRPr="00A27394">
              <w:rPr>
                <w:rFonts w:ascii="Arial" w:hAnsi="Arial" w:cs="Arial"/>
              </w:rPr>
              <w:t>Muscular stress while lifting, carrying or putting down objects – 14%</w:t>
            </w:r>
          </w:p>
          <w:p w14:paraId="7E05B7C0" w14:textId="77777777" w:rsidR="00B4740F" w:rsidRPr="00A27394" w:rsidRDefault="00B4740F" w:rsidP="00A27394">
            <w:pPr>
              <w:spacing w:line="288" w:lineRule="auto"/>
              <w:rPr>
                <w:rFonts w:ascii="Arial" w:hAnsi="Arial" w:cs="Arial"/>
              </w:rPr>
            </w:pPr>
            <w:r w:rsidRPr="00A27394">
              <w:rPr>
                <w:rFonts w:ascii="Arial" w:hAnsi="Arial" w:cs="Arial"/>
              </w:rPr>
              <w:t>Hitting stationary objects – 1</w:t>
            </w:r>
            <w:r w:rsidR="00257440" w:rsidRPr="00A27394">
              <w:rPr>
                <w:rFonts w:ascii="Arial" w:hAnsi="Arial" w:cs="Arial"/>
              </w:rPr>
              <w:t>0</w:t>
            </w:r>
            <w:r w:rsidRPr="00A27394">
              <w:rPr>
                <w:rFonts w:ascii="Arial" w:hAnsi="Arial" w:cs="Arial"/>
              </w:rPr>
              <w:t>%</w:t>
            </w:r>
          </w:p>
          <w:p w14:paraId="3C6733C4" w14:textId="77777777" w:rsidR="00B4740F" w:rsidRPr="00A27394" w:rsidRDefault="00B4740F" w:rsidP="00A27394">
            <w:pPr>
              <w:spacing w:line="276" w:lineRule="auto"/>
              <w:rPr>
                <w:rFonts w:ascii="Arial" w:hAnsi="Arial" w:cs="Arial"/>
              </w:rPr>
            </w:pPr>
            <w:r w:rsidRPr="00A27394">
              <w:rPr>
                <w:rFonts w:ascii="Arial" w:hAnsi="Arial" w:cs="Arial"/>
              </w:rPr>
              <w:t>Contact with hot objects – 9%</w:t>
            </w:r>
          </w:p>
        </w:tc>
      </w:tr>
    </w:tbl>
    <w:p w14:paraId="6780C390" w14:textId="77777777" w:rsidR="009D1116" w:rsidRDefault="009D1116" w:rsidP="00564DD2">
      <w:pPr>
        <w:spacing w:line="288" w:lineRule="auto"/>
        <w:rPr>
          <w:rFonts w:ascii="Arial" w:hAnsi="Arial" w:cs="Arial"/>
          <w:sz w:val="22"/>
          <w:szCs w:val="22"/>
        </w:rPr>
      </w:pPr>
    </w:p>
    <w:sectPr w:rsidR="009D1116" w:rsidSect="00987764">
      <w:footerReference w:type="default" r:id="rId21"/>
      <w:footerReference w:type="first" r:id="rId22"/>
      <w:pgSz w:w="11906" w:h="16838" w:code="9"/>
      <w:pgMar w:top="709" w:right="707" w:bottom="1135" w:left="993"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A302D" w14:textId="77777777" w:rsidR="00A85DD3" w:rsidRDefault="00A85DD3" w:rsidP="00046BC1">
      <w:pPr>
        <w:spacing w:before="0" w:after="0"/>
      </w:pPr>
      <w:r>
        <w:separator/>
      </w:r>
    </w:p>
  </w:endnote>
  <w:endnote w:type="continuationSeparator" w:id="0">
    <w:p w14:paraId="731CE80F" w14:textId="77777777" w:rsidR="00A85DD3" w:rsidRDefault="00A85DD3" w:rsidP="00046BC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FE448" w14:textId="77777777" w:rsidR="00C26809" w:rsidRDefault="00C26809">
    <w:pPr>
      <w:pStyle w:val="Footer"/>
      <w:jc w:val="right"/>
    </w:pPr>
  </w:p>
  <w:p w14:paraId="58B54857" w14:textId="1EBFE72C" w:rsidR="00C26809" w:rsidRPr="00993E0F" w:rsidRDefault="009E271A" w:rsidP="00C56FFA">
    <w:pPr>
      <w:pStyle w:val="Footer"/>
      <w:pBdr>
        <w:top w:val="single" w:sz="6" w:space="1" w:color="C10A27"/>
      </w:pBdr>
      <w:jc w:val="right"/>
      <w:rPr>
        <w:rFonts w:ascii="Arial" w:hAnsi="Arial" w:cs="Arial"/>
      </w:rPr>
    </w:pPr>
    <w:sdt>
      <w:sdtPr>
        <w:id w:val="-647830215"/>
        <w:docPartObj>
          <w:docPartGallery w:val="Page Numbers (Bottom of Page)"/>
          <w:docPartUnique/>
        </w:docPartObj>
      </w:sdtPr>
      <w:sdtEndPr>
        <w:rPr>
          <w:rFonts w:ascii="Arial" w:hAnsi="Arial" w:cs="Arial"/>
          <w:noProof/>
        </w:rPr>
      </w:sdtEndPr>
      <w:sdtContent>
        <w:r w:rsidR="00C26809" w:rsidRPr="00993E0F">
          <w:rPr>
            <w:rFonts w:ascii="Arial" w:hAnsi="Arial" w:cs="Arial"/>
          </w:rPr>
          <w:fldChar w:fldCharType="begin"/>
        </w:r>
        <w:r w:rsidR="00C26809" w:rsidRPr="00993E0F">
          <w:rPr>
            <w:rFonts w:ascii="Arial" w:hAnsi="Arial" w:cs="Arial"/>
          </w:rPr>
          <w:instrText xml:space="preserve"> PAGE   \* MERGEFORMAT </w:instrText>
        </w:r>
        <w:r w:rsidR="00C26809" w:rsidRPr="00993E0F">
          <w:rPr>
            <w:rFonts w:ascii="Arial" w:hAnsi="Arial" w:cs="Arial"/>
          </w:rPr>
          <w:fldChar w:fldCharType="separate"/>
        </w:r>
        <w:r>
          <w:rPr>
            <w:rFonts w:ascii="Arial" w:hAnsi="Arial" w:cs="Arial"/>
            <w:noProof/>
          </w:rPr>
          <w:t>5</w:t>
        </w:r>
        <w:r w:rsidR="00C26809" w:rsidRPr="00993E0F">
          <w:rPr>
            <w:rFonts w:ascii="Arial" w:hAnsi="Arial" w:cs="Arial"/>
            <w:noProof/>
          </w:rPr>
          <w:fldChar w:fldCharType="end"/>
        </w:r>
      </w:sdtContent>
    </w:sdt>
  </w:p>
  <w:p w14:paraId="3DA5158F" w14:textId="77777777" w:rsidR="00C26809" w:rsidRPr="00FA03F8" w:rsidRDefault="00C26809" w:rsidP="00FA03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A301E" w14:textId="77777777" w:rsidR="00987764" w:rsidRDefault="00987764" w:rsidP="00987764">
    <w:pPr>
      <w:pStyle w:val="Footer"/>
      <w:ind w:left="7200"/>
      <w:rPr>
        <w:rFonts w:ascii="Arial" w:hAnsi="Arial" w:cs="Arial"/>
      </w:rPr>
    </w:pPr>
    <w:r w:rsidRPr="00FB6794">
      <w:rPr>
        <w:rFonts w:ascii="Arial" w:hAnsi="Arial" w:cs="Arial"/>
        <w:noProof/>
      </w:rPr>
      <mc:AlternateContent>
        <mc:Choice Requires="wps">
          <w:drawing>
            <wp:anchor distT="45720" distB="45720" distL="114300" distR="114300" simplePos="0" relativeHeight="251660288" behindDoc="0" locked="0" layoutInCell="1" allowOverlap="1" wp14:anchorId="3E5D3B09" wp14:editId="3F36B139">
              <wp:simplePos x="0" y="0"/>
              <wp:positionH relativeFrom="column">
                <wp:posOffset>2322195</wp:posOffset>
              </wp:positionH>
              <wp:positionV relativeFrom="paragraph">
                <wp:posOffset>65405</wp:posOffset>
              </wp:positionV>
              <wp:extent cx="1543050" cy="4667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466725"/>
                      </a:xfrm>
                      <a:prstGeom prst="rect">
                        <a:avLst/>
                      </a:prstGeom>
                      <a:noFill/>
                      <a:ln w="9525">
                        <a:noFill/>
                        <a:miter lim="800000"/>
                        <a:headEnd/>
                        <a:tailEnd/>
                      </a:ln>
                    </wps:spPr>
                    <wps:txbx>
                      <w:txbxContent>
                        <w:p w14:paraId="3A64FA95" w14:textId="77777777" w:rsidR="00987764" w:rsidRPr="00FF67CE" w:rsidRDefault="00987764" w:rsidP="00987764">
                          <w:pPr>
                            <w:pStyle w:val="Footer"/>
                            <w:jc w:val="both"/>
                            <w:rPr>
                              <w:rFonts w:ascii="Arial" w:hAnsi="Arial" w:cs="Arial"/>
                            </w:rPr>
                          </w:pPr>
                          <w:r w:rsidRPr="00FF67CE">
                            <w:rPr>
                              <w:rFonts w:ascii="Arial" w:hAnsi="Arial" w:cs="Arial"/>
                            </w:rPr>
                            <w:t>Creative Commons 4.0</w:t>
                          </w:r>
                        </w:p>
                        <w:p w14:paraId="4EEE05D0" w14:textId="77777777" w:rsidR="00987764" w:rsidRPr="00FF67CE" w:rsidRDefault="00987764" w:rsidP="00987764">
                          <w:pPr>
                            <w:pStyle w:val="Footer"/>
                            <w:jc w:val="both"/>
                            <w:rPr>
                              <w:rFonts w:ascii="Arial" w:hAnsi="Arial" w:cs="Arial"/>
                              <w:sz w:val="22"/>
                            </w:rPr>
                          </w:pPr>
                          <w:r>
                            <w:rPr>
                              <w:rFonts w:ascii="Arial" w:hAnsi="Arial" w:cs="Arial"/>
                            </w:rPr>
                            <w:t>International Licenc</w:t>
                          </w:r>
                          <w:r w:rsidRPr="00FF67CE">
                            <w:rPr>
                              <w:rFonts w:ascii="Arial" w:hAnsi="Arial" w:cs="Arial"/>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5D3B09" id="_x0000_t202" coordsize="21600,21600" o:spt="202" path="m,l,21600r21600,l21600,xe">
              <v:stroke joinstyle="miter"/>
              <v:path gradientshapeok="t" o:connecttype="rect"/>
            </v:shapetype>
            <v:shape id="_x0000_s1027" type="#_x0000_t202" style="position:absolute;left:0;text-align:left;margin-left:182.85pt;margin-top:5.15pt;width:121.5pt;height:36.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" filled="f" stroked="f">
              <v:textbox>
                <w:txbxContent>
                  <w:p w14:paraId="3A64FA95" w14:textId="77777777" w:rsidR="00987764" w:rsidRPr="00FF67CE" w:rsidRDefault="00987764" w:rsidP="00987764">
                    <w:pPr>
                      <w:pStyle w:val="Footer"/>
                      <w:jc w:val="both"/>
                      <w:rPr>
                        <w:rFonts w:ascii="Arial" w:hAnsi="Arial" w:cs="Arial"/>
                      </w:rPr>
                    </w:pPr>
                    <w:r w:rsidRPr="00FF67CE">
                      <w:rPr>
                        <w:rFonts w:ascii="Arial" w:hAnsi="Arial" w:cs="Arial"/>
                      </w:rPr>
                      <w:t>Creative Commons 4.0</w:t>
                    </w:r>
                  </w:p>
                  <w:p w14:paraId="4EEE05D0" w14:textId="77777777" w:rsidR="00987764" w:rsidRPr="00FF67CE" w:rsidRDefault="00987764" w:rsidP="00987764">
                    <w:pPr>
                      <w:pStyle w:val="Footer"/>
                      <w:jc w:val="both"/>
                      <w:rPr>
                        <w:rFonts w:ascii="Arial" w:hAnsi="Arial" w:cs="Arial"/>
                        <w:sz w:val="22"/>
                      </w:rPr>
                    </w:pPr>
                    <w:r>
                      <w:rPr>
                        <w:rFonts w:ascii="Arial" w:hAnsi="Arial" w:cs="Arial"/>
                      </w:rPr>
                      <w:t>International Licenc</w:t>
                    </w:r>
                    <w:r w:rsidRPr="00FF67CE">
                      <w:rPr>
                        <w:rFonts w:ascii="Arial" w:hAnsi="Arial" w:cs="Arial"/>
                      </w:rPr>
                      <w:t>e</w:t>
                    </w:r>
                  </w:p>
                </w:txbxContent>
              </v:textbox>
              <w10:wrap type="square"/>
            </v:shape>
          </w:pict>
        </mc:Fallback>
      </mc:AlternateContent>
    </w:r>
    <w:r w:rsidRPr="00902E00">
      <w:rPr>
        <w:rFonts w:ascii="Arial" w:hAnsi="Arial" w:cs="Arial"/>
        <w:noProof/>
      </w:rPr>
      <w:drawing>
        <wp:anchor distT="0" distB="0" distL="114300" distR="114300" simplePos="0" relativeHeight="251659264" behindDoc="0" locked="0" layoutInCell="1" allowOverlap="1" wp14:anchorId="59071AF1" wp14:editId="743A223A">
          <wp:simplePos x="0" y="0"/>
          <wp:positionH relativeFrom="column">
            <wp:posOffset>3789680</wp:posOffset>
          </wp:positionH>
          <wp:positionV relativeFrom="paragraph">
            <wp:posOffset>83185</wp:posOffset>
          </wp:positionV>
          <wp:extent cx="981075" cy="343236"/>
          <wp:effectExtent l="0" t="0" r="0" b="0"/>
          <wp:wrapThrough wrapText="bothSides">
            <wp:wrapPolygon edited="0">
              <wp:start x="0" y="0"/>
              <wp:lineTo x="0" y="20400"/>
              <wp:lineTo x="20971" y="20400"/>
              <wp:lineTo x="20971" y="0"/>
              <wp:lineTo x="0" y="0"/>
            </wp:wrapPolygon>
          </wp:wrapThrough>
          <wp:docPr id="14" name="Picture 14" descr="Creative commons 4.0 International lic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reative Commons CC by.png"/>
                  <pic:cNvPicPr/>
                </pic:nvPicPr>
                <pic:blipFill>
                  <a:blip r:embed="rId1">
                    <a:extLst>
                      <a:ext uri="{28A0092B-C50C-407E-A947-70E740481C1C}">
                        <a14:useLocalDpi xmlns:a14="http://schemas.microsoft.com/office/drawing/2010/main" val="0"/>
                      </a:ext>
                    </a:extLst>
                  </a:blip>
                  <a:stretch>
                    <a:fillRect/>
                  </a:stretch>
                </pic:blipFill>
                <pic:spPr>
                  <a:xfrm>
                    <a:off x="0" y="0"/>
                    <a:ext cx="981075" cy="343236"/>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4C3DC886" wp14:editId="7942A188">
          <wp:simplePos x="0" y="0"/>
          <wp:positionH relativeFrom="column">
            <wp:posOffset>-116205</wp:posOffset>
          </wp:positionH>
          <wp:positionV relativeFrom="paragraph">
            <wp:posOffset>8255</wp:posOffset>
          </wp:positionV>
          <wp:extent cx="2247900" cy="452755"/>
          <wp:effectExtent l="0" t="0" r="0" b="4445"/>
          <wp:wrapSquare wrapText="bothSides"/>
          <wp:docPr id="21" name="Picture 21" descr="New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47900" cy="452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6794">
      <w:rPr>
        <w:rFonts w:ascii="Arial" w:hAnsi="Arial" w:cs="Arial"/>
        <w:noProof/>
      </w:rPr>
      <mc:AlternateContent>
        <mc:Choice Requires="wps">
          <w:drawing>
            <wp:anchor distT="45720" distB="45720" distL="114300" distR="114300" simplePos="0" relativeHeight="251661312" behindDoc="0" locked="0" layoutInCell="1" allowOverlap="1" wp14:anchorId="0C3BD672" wp14:editId="6E9E8696">
              <wp:simplePos x="0" y="0"/>
              <wp:positionH relativeFrom="column">
                <wp:posOffset>4741545</wp:posOffset>
              </wp:positionH>
              <wp:positionV relativeFrom="paragraph">
                <wp:posOffset>55880</wp:posOffset>
              </wp:positionV>
              <wp:extent cx="1952625" cy="46672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466725"/>
                      </a:xfrm>
                      <a:prstGeom prst="rect">
                        <a:avLst/>
                      </a:prstGeom>
                      <a:noFill/>
                      <a:ln w="9525">
                        <a:noFill/>
                        <a:miter lim="800000"/>
                        <a:headEnd/>
                        <a:tailEnd/>
                      </a:ln>
                    </wps:spPr>
                    <wps:txbx>
                      <w:txbxContent>
                        <w:p w14:paraId="7028E210" w14:textId="302B007B" w:rsidR="00987764" w:rsidRDefault="00993E0F" w:rsidP="00987764">
                          <w:pPr>
                            <w:pStyle w:val="Footer"/>
                            <w:rPr>
                              <w:rFonts w:ascii="Arial" w:hAnsi="Arial" w:cs="Arial"/>
                              <w:sz w:val="18"/>
                            </w:rPr>
                          </w:pPr>
                          <w:r>
                            <w:rPr>
                              <w:rFonts w:ascii="Arial" w:hAnsi="Arial" w:cs="Arial"/>
                            </w:rPr>
                            <w:t xml:space="preserve">978-1-76051-514-0   </w:t>
                          </w:r>
                          <w:r w:rsidR="00987764">
                            <w:rPr>
                              <w:rFonts w:ascii="Arial" w:hAnsi="Arial" w:cs="Arial"/>
                            </w:rPr>
                            <w:t>[PDF]</w:t>
                          </w:r>
                          <w:r w:rsidR="00987764" w:rsidRPr="00FF67CE">
                            <w:rPr>
                              <w:rFonts w:ascii="Arial" w:hAnsi="Arial" w:cs="Arial"/>
                              <w:sz w:val="18"/>
                            </w:rPr>
                            <w:t xml:space="preserve"> </w:t>
                          </w:r>
                        </w:p>
                        <w:p w14:paraId="6B756B42" w14:textId="6D5511CC" w:rsidR="00987764" w:rsidRPr="00FF67CE" w:rsidRDefault="00993E0F" w:rsidP="00987764">
                          <w:pPr>
                            <w:pStyle w:val="Footer"/>
                            <w:rPr>
                              <w:rFonts w:ascii="Arial" w:hAnsi="Arial" w:cs="Arial"/>
                            </w:rPr>
                          </w:pPr>
                          <w:r>
                            <w:rPr>
                              <w:rFonts w:ascii="Arial" w:hAnsi="Arial" w:cs="Arial"/>
                            </w:rPr>
                            <w:t xml:space="preserve">978-1-76051-515-7   </w:t>
                          </w:r>
                          <w:r w:rsidR="00987764">
                            <w:rPr>
                              <w:rFonts w:ascii="Arial" w:hAnsi="Arial" w:cs="Arial"/>
                            </w:rPr>
                            <w:t>[DOCX]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3BD672" id="_x0000_s1028" type="#_x0000_t202" style="position:absolute;left:0;text-align:left;margin-left:373.35pt;margin-top:4.4pt;width:153.75pt;height:36.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" filled="f" stroked="f">
              <v:textbox>
                <w:txbxContent>
                  <w:p w14:paraId="7028E210" w14:textId="302B007B" w:rsidR="00987764" w:rsidRDefault="00993E0F" w:rsidP="00987764">
                    <w:pPr>
                      <w:pStyle w:val="Footer"/>
                      <w:rPr>
                        <w:rFonts w:ascii="Arial" w:hAnsi="Arial" w:cs="Arial"/>
                        <w:sz w:val="18"/>
                      </w:rPr>
                    </w:pPr>
                    <w:r>
                      <w:rPr>
                        <w:rFonts w:ascii="Arial" w:hAnsi="Arial" w:cs="Arial"/>
                      </w:rPr>
                      <w:t>978-1-76051-514-0</w:t>
                    </w:r>
                    <w:r>
                      <w:rPr>
                        <w:rFonts w:ascii="Arial" w:hAnsi="Arial" w:cs="Arial"/>
                      </w:rPr>
                      <w:t xml:space="preserve">   </w:t>
                    </w:r>
                    <w:r w:rsidR="00987764">
                      <w:rPr>
                        <w:rFonts w:ascii="Arial" w:hAnsi="Arial" w:cs="Arial"/>
                      </w:rPr>
                      <w:t>[PDF]</w:t>
                    </w:r>
                    <w:r w:rsidR="00987764" w:rsidRPr="00FF67CE">
                      <w:rPr>
                        <w:rFonts w:ascii="Arial" w:hAnsi="Arial" w:cs="Arial"/>
                        <w:sz w:val="18"/>
                      </w:rPr>
                      <w:t xml:space="preserve"> </w:t>
                    </w:r>
                  </w:p>
                  <w:p w14:paraId="6B756B42" w14:textId="6D5511CC" w:rsidR="00987764" w:rsidRPr="00FF67CE" w:rsidRDefault="00993E0F" w:rsidP="00987764">
                    <w:pPr>
                      <w:pStyle w:val="Footer"/>
                      <w:rPr>
                        <w:rFonts w:ascii="Arial" w:hAnsi="Arial" w:cs="Arial"/>
                      </w:rPr>
                    </w:pPr>
                    <w:r>
                      <w:rPr>
                        <w:rFonts w:ascii="Arial" w:hAnsi="Arial" w:cs="Arial"/>
                      </w:rPr>
                      <w:t>978-1-76051-515-7</w:t>
                    </w:r>
                    <w:r>
                      <w:rPr>
                        <w:rFonts w:ascii="Arial" w:hAnsi="Arial" w:cs="Arial"/>
                      </w:rPr>
                      <w:t xml:space="preserve">   </w:t>
                    </w:r>
                    <w:r w:rsidR="00987764">
                      <w:rPr>
                        <w:rFonts w:ascii="Arial" w:hAnsi="Arial" w:cs="Arial"/>
                      </w:rPr>
                      <w:t>[DOCX]</w:t>
                    </w:r>
                  </w:p>
                </w:txbxContent>
              </v:textbox>
              <w10:wrap type="square"/>
            </v:shape>
          </w:pict>
        </mc:Fallback>
      </mc:AlternateContent>
    </w:r>
  </w:p>
  <w:p w14:paraId="31BF2315" w14:textId="7EAF5C3C" w:rsidR="0034303C" w:rsidRDefault="003430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CB6A9" w14:textId="77777777" w:rsidR="00A85DD3" w:rsidRDefault="00A85DD3" w:rsidP="00046BC1">
      <w:pPr>
        <w:spacing w:before="0" w:after="0"/>
      </w:pPr>
      <w:r>
        <w:separator/>
      </w:r>
    </w:p>
  </w:footnote>
  <w:footnote w:type="continuationSeparator" w:id="0">
    <w:p w14:paraId="2F409226" w14:textId="77777777" w:rsidR="00A85DD3" w:rsidRDefault="00A85DD3" w:rsidP="00046BC1">
      <w:pPr>
        <w:spacing w:before="0" w:after="0"/>
      </w:pPr>
      <w:r>
        <w:continuationSeparator/>
      </w:r>
    </w:p>
  </w:footnote>
  <w:footnote w:id="1">
    <w:p w14:paraId="088135E8" w14:textId="77777777" w:rsidR="00564678" w:rsidRDefault="00564678" w:rsidP="00564678">
      <w:pPr>
        <w:pStyle w:val="FootnoteText"/>
      </w:pPr>
      <w:r>
        <w:rPr>
          <w:rStyle w:val="FootnoteReference"/>
        </w:rPr>
        <w:footnoteRef/>
      </w:r>
      <w:r>
        <w:t xml:space="preserve"> Unless otherwise specified, the data contained in this report is sourced from Safe Work Australia’s National Data Set for Compensation-based Statistics and Work-related Traumatic Injury Fatalities data set.</w:t>
      </w:r>
      <w:r w:rsidR="009C5D6C">
        <w:t xml:space="preserve"> Fatalities data relate to the period 2013 to 2016, while serious claim data related to 2012-13 to 2015-16.</w:t>
      </w:r>
    </w:p>
  </w:footnote>
  <w:footnote w:id="2">
    <w:p w14:paraId="5FFDC305" w14:textId="77777777" w:rsidR="00564678" w:rsidRPr="00991F6C" w:rsidRDefault="00564678" w:rsidP="00564678">
      <w:pPr>
        <w:pStyle w:val="FootnoteText"/>
        <w:rPr>
          <w:i/>
        </w:rPr>
      </w:pPr>
      <w:r>
        <w:rPr>
          <w:rStyle w:val="FootnoteReference"/>
        </w:rPr>
        <w:footnoteRef/>
      </w:r>
      <w:r>
        <w:t xml:space="preserve"> The data in this section is sourced from the Australian Bureau of Statistics and the Department of Employment’s </w:t>
      </w:r>
      <w:r>
        <w:rPr>
          <w:i/>
        </w:rPr>
        <w:t>Employment Outlook to May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24784"/>
    <w:multiLevelType w:val="hybridMultilevel"/>
    <w:tmpl w:val="A5DC5D0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141356D9"/>
    <w:multiLevelType w:val="hybridMultilevel"/>
    <w:tmpl w:val="317AA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33676"/>
    <w:multiLevelType w:val="hybridMultilevel"/>
    <w:tmpl w:val="74CE6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BB7BC2"/>
    <w:multiLevelType w:val="hybridMultilevel"/>
    <w:tmpl w:val="1E029B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0C11C7"/>
    <w:multiLevelType w:val="multilevel"/>
    <w:tmpl w:val="4ED6F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3D239B"/>
    <w:multiLevelType w:val="hybridMultilevel"/>
    <w:tmpl w:val="60F02F8E"/>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24516DC7"/>
    <w:multiLevelType w:val="hybridMultilevel"/>
    <w:tmpl w:val="A5DC5D0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2B192A21"/>
    <w:multiLevelType w:val="hybridMultilevel"/>
    <w:tmpl w:val="A5DC5D0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30365153"/>
    <w:multiLevelType w:val="hybridMultilevel"/>
    <w:tmpl w:val="F8F09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C66CA7"/>
    <w:multiLevelType w:val="hybridMultilevel"/>
    <w:tmpl w:val="45949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E43D4B"/>
    <w:multiLevelType w:val="hybridMultilevel"/>
    <w:tmpl w:val="A5DC5D0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3F3756EE"/>
    <w:multiLevelType w:val="hybridMultilevel"/>
    <w:tmpl w:val="A5DC5D0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3F3C1893"/>
    <w:multiLevelType w:val="hybridMultilevel"/>
    <w:tmpl w:val="A5DC5D0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474205B8"/>
    <w:multiLevelType w:val="hybridMultilevel"/>
    <w:tmpl w:val="04EC4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C210E2"/>
    <w:multiLevelType w:val="hybridMultilevel"/>
    <w:tmpl w:val="A5DC5D0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48EA76F8"/>
    <w:multiLevelType w:val="hybridMultilevel"/>
    <w:tmpl w:val="D14601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27A54E3"/>
    <w:multiLevelType w:val="hybridMultilevel"/>
    <w:tmpl w:val="A5DC5D0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61B23ABC"/>
    <w:multiLevelType w:val="hybridMultilevel"/>
    <w:tmpl w:val="A5DC5D0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660B70D0"/>
    <w:multiLevelType w:val="hybridMultilevel"/>
    <w:tmpl w:val="49FE2C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8513871"/>
    <w:multiLevelType w:val="hybridMultilevel"/>
    <w:tmpl w:val="A5DC5D0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6FE27C38"/>
    <w:multiLevelType w:val="hybridMultilevel"/>
    <w:tmpl w:val="A3766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7636461"/>
    <w:multiLevelType w:val="hybridMultilevel"/>
    <w:tmpl w:val="3C7005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ABF4CEC"/>
    <w:multiLevelType w:val="hybridMultilevel"/>
    <w:tmpl w:val="A5DC5D0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18"/>
  </w:num>
  <w:num w:numId="2">
    <w:abstractNumId w:val="2"/>
  </w:num>
  <w:num w:numId="3">
    <w:abstractNumId w:val="0"/>
  </w:num>
  <w:num w:numId="4">
    <w:abstractNumId w:val="6"/>
  </w:num>
  <w:num w:numId="5">
    <w:abstractNumId w:val="7"/>
  </w:num>
  <w:num w:numId="6">
    <w:abstractNumId w:val="12"/>
  </w:num>
  <w:num w:numId="7">
    <w:abstractNumId w:val="19"/>
  </w:num>
  <w:num w:numId="8">
    <w:abstractNumId w:val="11"/>
  </w:num>
  <w:num w:numId="9">
    <w:abstractNumId w:val="16"/>
  </w:num>
  <w:num w:numId="10">
    <w:abstractNumId w:val="10"/>
  </w:num>
  <w:num w:numId="11">
    <w:abstractNumId w:val="22"/>
  </w:num>
  <w:num w:numId="12">
    <w:abstractNumId w:val="8"/>
  </w:num>
  <w:num w:numId="13">
    <w:abstractNumId w:val="20"/>
  </w:num>
  <w:num w:numId="14">
    <w:abstractNumId w:val="13"/>
  </w:num>
  <w:num w:numId="15">
    <w:abstractNumId w:val="4"/>
  </w:num>
  <w:num w:numId="16">
    <w:abstractNumId w:val="1"/>
  </w:num>
  <w:num w:numId="17">
    <w:abstractNumId w:val="15"/>
  </w:num>
  <w:num w:numId="18">
    <w:abstractNumId w:val="9"/>
  </w:num>
  <w:num w:numId="19">
    <w:abstractNumId w:val="17"/>
  </w:num>
  <w:num w:numId="20">
    <w:abstractNumId w:val="14"/>
  </w:num>
  <w:num w:numId="21">
    <w:abstractNumId w:val="5"/>
  </w:num>
  <w:num w:numId="22">
    <w:abstractNumId w:val="2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s>
  <w:rsids>
    <w:rsidRoot w:val="00D80106"/>
    <w:rsid w:val="000017EC"/>
    <w:rsid w:val="000019FE"/>
    <w:rsid w:val="0001009B"/>
    <w:rsid w:val="00010440"/>
    <w:rsid w:val="00011CE9"/>
    <w:rsid w:val="00012DB4"/>
    <w:rsid w:val="00022172"/>
    <w:rsid w:val="0002445B"/>
    <w:rsid w:val="00031E14"/>
    <w:rsid w:val="000330A1"/>
    <w:rsid w:val="000441EB"/>
    <w:rsid w:val="00046BC1"/>
    <w:rsid w:val="000643EF"/>
    <w:rsid w:val="000661BA"/>
    <w:rsid w:val="0006640D"/>
    <w:rsid w:val="0007155F"/>
    <w:rsid w:val="0007294F"/>
    <w:rsid w:val="00073D70"/>
    <w:rsid w:val="00074105"/>
    <w:rsid w:val="00082186"/>
    <w:rsid w:val="000904AB"/>
    <w:rsid w:val="000A4481"/>
    <w:rsid w:val="000B430B"/>
    <w:rsid w:val="000B7228"/>
    <w:rsid w:val="000C0DDE"/>
    <w:rsid w:val="000C514D"/>
    <w:rsid w:val="000E2777"/>
    <w:rsid w:val="000F027E"/>
    <w:rsid w:val="000F0640"/>
    <w:rsid w:val="000F4B67"/>
    <w:rsid w:val="00102929"/>
    <w:rsid w:val="001058EC"/>
    <w:rsid w:val="0011022E"/>
    <w:rsid w:val="001109B5"/>
    <w:rsid w:val="001267D0"/>
    <w:rsid w:val="00131D79"/>
    <w:rsid w:val="0013214A"/>
    <w:rsid w:val="00132604"/>
    <w:rsid w:val="00134C15"/>
    <w:rsid w:val="00141351"/>
    <w:rsid w:val="00147210"/>
    <w:rsid w:val="001504AC"/>
    <w:rsid w:val="00157689"/>
    <w:rsid w:val="00170B90"/>
    <w:rsid w:val="0017547C"/>
    <w:rsid w:val="001804E7"/>
    <w:rsid w:val="0019437C"/>
    <w:rsid w:val="00195ED4"/>
    <w:rsid w:val="00197DB3"/>
    <w:rsid w:val="001A5243"/>
    <w:rsid w:val="001A6AC2"/>
    <w:rsid w:val="001B1F8E"/>
    <w:rsid w:val="001B4E8D"/>
    <w:rsid w:val="001B512F"/>
    <w:rsid w:val="001B7916"/>
    <w:rsid w:val="001C38AE"/>
    <w:rsid w:val="001C4A35"/>
    <w:rsid w:val="001C719B"/>
    <w:rsid w:val="001C745D"/>
    <w:rsid w:val="001C7808"/>
    <w:rsid w:val="001C7D70"/>
    <w:rsid w:val="001E2AA5"/>
    <w:rsid w:val="001E2C4B"/>
    <w:rsid w:val="001E5FC5"/>
    <w:rsid w:val="001F2388"/>
    <w:rsid w:val="002056E0"/>
    <w:rsid w:val="00217963"/>
    <w:rsid w:val="0022187B"/>
    <w:rsid w:val="00222D33"/>
    <w:rsid w:val="00224C3F"/>
    <w:rsid w:val="0022790E"/>
    <w:rsid w:val="0024348C"/>
    <w:rsid w:val="002444A9"/>
    <w:rsid w:val="002479DC"/>
    <w:rsid w:val="00251155"/>
    <w:rsid w:val="00257440"/>
    <w:rsid w:val="00267E2E"/>
    <w:rsid w:val="00274113"/>
    <w:rsid w:val="00281576"/>
    <w:rsid w:val="00283000"/>
    <w:rsid w:val="00283641"/>
    <w:rsid w:val="002874D3"/>
    <w:rsid w:val="00292D90"/>
    <w:rsid w:val="002A24D1"/>
    <w:rsid w:val="002A4898"/>
    <w:rsid w:val="002A6432"/>
    <w:rsid w:val="002A7F5E"/>
    <w:rsid w:val="002B41D4"/>
    <w:rsid w:val="002B546B"/>
    <w:rsid w:val="002B5B8A"/>
    <w:rsid w:val="002C1299"/>
    <w:rsid w:val="002C4623"/>
    <w:rsid w:val="002D483D"/>
    <w:rsid w:val="002D4E89"/>
    <w:rsid w:val="002E1EDF"/>
    <w:rsid w:val="002E2809"/>
    <w:rsid w:val="002E7D8E"/>
    <w:rsid w:val="002F1E7A"/>
    <w:rsid w:val="002F57F1"/>
    <w:rsid w:val="002F6D4A"/>
    <w:rsid w:val="00302F43"/>
    <w:rsid w:val="003042F6"/>
    <w:rsid w:val="00305789"/>
    <w:rsid w:val="00306222"/>
    <w:rsid w:val="003074B2"/>
    <w:rsid w:val="00312EE0"/>
    <w:rsid w:val="0031380D"/>
    <w:rsid w:val="0031397A"/>
    <w:rsid w:val="00316173"/>
    <w:rsid w:val="00320558"/>
    <w:rsid w:val="00322A6D"/>
    <w:rsid w:val="0032561A"/>
    <w:rsid w:val="00332574"/>
    <w:rsid w:val="00332A86"/>
    <w:rsid w:val="00334EFE"/>
    <w:rsid w:val="00340379"/>
    <w:rsid w:val="0034303C"/>
    <w:rsid w:val="00347A57"/>
    <w:rsid w:val="00360AF6"/>
    <w:rsid w:val="0037001B"/>
    <w:rsid w:val="00373613"/>
    <w:rsid w:val="00374B5F"/>
    <w:rsid w:val="00375927"/>
    <w:rsid w:val="003803A9"/>
    <w:rsid w:val="003803CD"/>
    <w:rsid w:val="003850F0"/>
    <w:rsid w:val="00385495"/>
    <w:rsid w:val="00395FED"/>
    <w:rsid w:val="003A1912"/>
    <w:rsid w:val="003A3BD2"/>
    <w:rsid w:val="003A585E"/>
    <w:rsid w:val="003B2F3C"/>
    <w:rsid w:val="003B3AAE"/>
    <w:rsid w:val="003D2DBC"/>
    <w:rsid w:val="003E03CC"/>
    <w:rsid w:val="003E1906"/>
    <w:rsid w:val="003E3AC6"/>
    <w:rsid w:val="003E5110"/>
    <w:rsid w:val="003F1D05"/>
    <w:rsid w:val="003F1EBA"/>
    <w:rsid w:val="003F23DE"/>
    <w:rsid w:val="003F7379"/>
    <w:rsid w:val="00404D2C"/>
    <w:rsid w:val="00404EA3"/>
    <w:rsid w:val="00407533"/>
    <w:rsid w:val="004076EF"/>
    <w:rsid w:val="0041580C"/>
    <w:rsid w:val="00427DC5"/>
    <w:rsid w:val="00431310"/>
    <w:rsid w:val="00432D27"/>
    <w:rsid w:val="00436004"/>
    <w:rsid w:val="0044203F"/>
    <w:rsid w:val="00444F71"/>
    <w:rsid w:val="00446764"/>
    <w:rsid w:val="00454648"/>
    <w:rsid w:val="004645A9"/>
    <w:rsid w:val="00465A3C"/>
    <w:rsid w:val="004711FF"/>
    <w:rsid w:val="00474D49"/>
    <w:rsid w:val="0048145C"/>
    <w:rsid w:val="0048534D"/>
    <w:rsid w:val="004858DE"/>
    <w:rsid w:val="004861AA"/>
    <w:rsid w:val="0048755A"/>
    <w:rsid w:val="00487719"/>
    <w:rsid w:val="00490281"/>
    <w:rsid w:val="00494850"/>
    <w:rsid w:val="00495DF4"/>
    <w:rsid w:val="00497A39"/>
    <w:rsid w:val="004A136B"/>
    <w:rsid w:val="004A13E9"/>
    <w:rsid w:val="004A7B65"/>
    <w:rsid w:val="004B0935"/>
    <w:rsid w:val="004B40B6"/>
    <w:rsid w:val="004C2F51"/>
    <w:rsid w:val="004C53D1"/>
    <w:rsid w:val="004C6BDB"/>
    <w:rsid w:val="004E3E69"/>
    <w:rsid w:val="004E3FC7"/>
    <w:rsid w:val="004F0B05"/>
    <w:rsid w:val="004F5621"/>
    <w:rsid w:val="00502672"/>
    <w:rsid w:val="0050291C"/>
    <w:rsid w:val="00511AB7"/>
    <w:rsid w:val="00516830"/>
    <w:rsid w:val="00520F32"/>
    <w:rsid w:val="0053043C"/>
    <w:rsid w:val="0053247F"/>
    <w:rsid w:val="005328E0"/>
    <w:rsid w:val="005360FE"/>
    <w:rsid w:val="005428A4"/>
    <w:rsid w:val="00543BE3"/>
    <w:rsid w:val="00544F43"/>
    <w:rsid w:val="00550A41"/>
    <w:rsid w:val="00554F3C"/>
    <w:rsid w:val="00564678"/>
    <w:rsid w:val="00564DD2"/>
    <w:rsid w:val="0056504C"/>
    <w:rsid w:val="00565228"/>
    <w:rsid w:val="005653C1"/>
    <w:rsid w:val="0056541C"/>
    <w:rsid w:val="005807FD"/>
    <w:rsid w:val="00586F60"/>
    <w:rsid w:val="00593618"/>
    <w:rsid w:val="005A46F1"/>
    <w:rsid w:val="005A48C1"/>
    <w:rsid w:val="005A6B5B"/>
    <w:rsid w:val="005B207B"/>
    <w:rsid w:val="005B46A5"/>
    <w:rsid w:val="005B75C0"/>
    <w:rsid w:val="005B7F2B"/>
    <w:rsid w:val="005C2E83"/>
    <w:rsid w:val="005C446D"/>
    <w:rsid w:val="005C5428"/>
    <w:rsid w:val="005C5E44"/>
    <w:rsid w:val="005D6305"/>
    <w:rsid w:val="005E27DA"/>
    <w:rsid w:val="005F226C"/>
    <w:rsid w:val="005F6406"/>
    <w:rsid w:val="005F6803"/>
    <w:rsid w:val="00612FDF"/>
    <w:rsid w:val="00613531"/>
    <w:rsid w:val="006210CD"/>
    <w:rsid w:val="00621EF9"/>
    <w:rsid w:val="00624D66"/>
    <w:rsid w:val="00633EE8"/>
    <w:rsid w:val="006356A3"/>
    <w:rsid w:val="00640B02"/>
    <w:rsid w:val="006415B3"/>
    <w:rsid w:val="0065349E"/>
    <w:rsid w:val="00662D0B"/>
    <w:rsid w:val="00665F87"/>
    <w:rsid w:val="006667AA"/>
    <w:rsid w:val="00675BD8"/>
    <w:rsid w:val="00677F80"/>
    <w:rsid w:val="006820DA"/>
    <w:rsid w:val="006842FA"/>
    <w:rsid w:val="0068505E"/>
    <w:rsid w:val="00690B7E"/>
    <w:rsid w:val="00692110"/>
    <w:rsid w:val="006929AD"/>
    <w:rsid w:val="006A78A2"/>
    <w:rsid w:val="006B0BA3"/>
    <w:rsid w:val="006B310D"/>
    <w:rsid w:val="006B357C"/>
    <w:rsid w:val="006B6408"/>
    <w:rsid w:val="006C0423"/>
    <w:rsid w:val="006C1B92"/>
    <w:rsid w:val="006C2C6B"/>
    <w:rsid w:val="006C3D4E"/>
    <w:rsid w:val="006C595E"/>
    <w:rsid w:val="006D19B9"/>
    <w:rsid w:val="006D4FA9"/>
    <w:rsid w:val="006D763E"/>
    <w:rsid w:val="006E1B60"/>
    <w:rsid w:val="007011AA"/>
    <w:rsid w:val="0070144B"/>
    <w:rsid w:val="00702154"/>
    <w:rsid w:val="007043E4"/>
    <w:rsid w:val="00705A86"/>
    <w:rsid w:val="007079F7"/>
    <w:rsid w:val="00711CA3"/>
    <w:rsid w:val="00725B06"/>
    <w:rsid w:val="007307F5"/>
    <w:rsid w:val="007467AC"/>
    <w:rsid w:val="0074780E"/>
    <w:rsid w:val="00747C75"/>
    <w:rsid w:val="00751F02"/>
    <w:rsid w:val="00760419"/>
    <w:rsid w:val="007705D1"/>
    <w:rsid w:val="0078082D"/>
    <w:rsid w:val="007855EB"/>
    <w:rsid w:val="00797407"/>
    <w:rsid w:val="007A45E4"/>
    <w:rsid w:val="007A6525"/>
    <w:rsid w:val="007B2A85"/>
    <w:rsid w:val="007B6953"/>
    <w:rsid w:val="007C45F9"/>
    <w:rsid w:val="007D6070"/>
    <w:rsid w:val="007E0C2B"/>
    <w:rsid w:val="007E1849"/>
    <w:rsid w:val="007F0E70"/>
    <w:rsid w:val="007F344F"/>
    <w:rsid w:val="007F5A29"/>
    <w:rsid w:val="008004B5"/>
    <w:rsid w:val="00802F3E"/>
    <w:rsid w:val="0080500C"/>
    <w:rsid w:val="008070AB"/>
    <w:rsid w:val="0081015F"/>
    <w:rsid w:val="00820DA1"/>
    <w:rsid w:val="00821AC6"/>
    <w:rsid w:val="00824A0B"/>
    <w:rsid w:val="00831881"/>
    <w:rsid w:val="00832121"/>
    <w:rsid w:val="00833951"/>
    <w:rsid w:val="008444BC"/>
    <w:rsid w:val="0084704E"/>
    <w:rsid w:val="008507EB"/>
    <w:rsid w:val="008550D3"/>
    <w:rsid w:val="008556A8"/>
    <w:rsid w:val="00855757"/>
    <w:rsid w:val="0086407B"/>
    <w:rsid w:val="0086612F"/>
    <w:rsid w:val="008834BE"/>
    <w:rsid w:val="00883BE1"/>
    <w:rsid w:val="008872AF"/>
    <w:rsid w:val="00890045"/>
    <w:rsid w:val="00891793"/>
    <w:rsid w:val="00892F89"/>
    <w:rsid w:val="00894E05"/>
    <w:rsid w:val="008A7E33"/>
    <w:rsid w:val="008B0C49"/>
    <w:rsid w:val="008B18A1"/>
    <w:rsid w:val="008C0C0A"/>
    <w:rsid w:val="008C1915"/>
    <w:rsid w:val="008D53D4"/>
    <w:rsid w:val="008D5E39"/>
    <w:rsid w:val="008E6D54"/>
    <w:rsid w:val="008F1FDE"/>
    <w:rsid w:val="008F616E"/>
    <w:rsid w:val="008F673D"/>
    <w:rsid w:val="009005EB"/>
    <w:rsid w:val="009021BC"/>
    <w:rsid w:val="00904815"/>
    <w:rsid w:val="009113F6"/>
    <w:rsid w:val="00913945"/>
    <w:rsid w:val="009146EA"/>
    <w:rsid w:val="00926741"/>
    <w:rsid w:val="0093298C"/>
    <w:rsid w:val="00940622"/>
    <w:rsid w:val="00947E12"/>
    <w:rsid w:val="009504F5"/>
    <w:rsid w:val="00951A3C"/>
    <w:rsid w:val="00952CC6"/>
    <w:rsid w:val="00953000"/>
    <w:rsid w:val="00956AC7"/>
    <w:rsid w:val="00957371"/>
    <w:rsid w:val="00957F06"/>
    <w:rsid w:val="00961BB0"/>
    <w:rsid w:val="00961E98"/>
    <w:rsid w:val="0096753F"/>
    <w:rsid w:val="009711BB"/>
    <w:rsid w:val="0097145B"/>
    <w:rsid w:val="009726E3"/>
    <w:rsid w:val="0097571C"/>
    <w:rsid w:val="0097785B"/>
    <w:rsid w:val="00987764"/>
    <w:rsid w:val="00991305"/>
    <w:rsid w:val="00992FDC"/>
    <w:rsid w:val="00993E0F"/>
    <w:rsid w:val="00994C83"/>
    <w:rsid w:val="00995B6E"/>
    <w:rsid w:val="009A2D41"/>
    <w:rsid w:val="009A7E39"/>
    <w:rsid w:val="009B22F7"/>
    <w:rsid w:val="009B231B"/>
    <w:rsid w:val="009B5CCE"/>
    <w:rsid w:val="009B5DAE"/>
    <w:rsid w:val="009B70D4"/>
    <w:rsid w:val="009B77E3"/>
    <w:rsid w:val="009C0774"/>
    <w:rsid w:val="009C07DC"/>
    <w:rsid w:val="009C12E0"/>
    <w:rsid w:val="009C2B1F"/>
    <w:rsid w:val="009C5D6C"/>
    <w:rsid w:val="009D1116"/>
    <w:rsid w:val="009D450B"/>
    <w:rsid w:val="009D6A51"/>
    <w:rsid w:val="009E11CB"/>
    <w:rsid w:val="009E271A"/>
    <w:rsid w:val="009E3193"/>
    <w:rsid w:val="009E3326"/>
    <w:rsid w:val="009F2112"/>
    <w:rsid w:val="009F4D1A"/>
    <w:rsid w:val="009F55BE"/>
    <w:rsid w:val="00A12D49"/>
    <w:rsid w:val="00A14276"/>
    <w:rsid w:val="00A150B1"/>
    <w:rsid w:val="00A153C7"/>
    <w:rsid w:val="00A17F72"/>
    <w:rsid w:val="00A25BF0"/>
    <w:rsid w:val="00A25EB9"/>
    <w:rsid w:val="00A2649D"/>
    <w:rsid w:val="00A26D75"/>
    <w:rsid w:val="00A26E53"/>
    <w:rsid w:val="00A27394"/>
    <w:rsid w:val="00A27A86"/>
    <w:rsid w:val="00A31625"/>
    <w:rsid w:val="00A31C03"/>
    <w:rsid w:val="00A350FA"/>
    <w:rsid w:val="00A418F9"/>
    <w:rsid w:val="00A43B1B"/>
    <w:rsid w:val="00A43B24"/>
    <w:rsid w:val="00A569EB"/>
    <w:rsid w:val="00A645EE"/>
    <w:rsid w:val="00A650B4"/>
    <w:rsid w:val="00A70149"/>
    <w:rsid w:val="00A71165"/>
    <w:rsid w:val="00A7441D"/>
    <w:rsid w:val="00A82C17"/>
    <w:rsid w:val="00A85DD3"/>
    <w:rsid w:val="00A9432B"/>
    <w:rsid w:val="00A9488C"/>
    <w:rsid w:val="00AB2AFA"/>
    <w:rsid w:val="00AC2BE3"/>
    <w:rsid w:val="00AC3029"/>
    <w:rsid w:val="00AC3894"/>
    <w:rsid w:val="00AD09D3"/>
    <w:rsid w:val="00AD1971"/>
    <w:rsid w:val="00AD2227"/>
    <w:rsid w:val="00AE0C6F"/>
    <w:rsid w:val="00AE205C"/>
    <w:rsid w:val="00AE2339"/>
    <w:rsid w:val="00AE4CE2"/>
    <w:rsid w:val="00AF0125"/>
    <w:rsid w:val="00AF015C"/>
    <w:rsid w:val="00AF04A8"/>
    <w:rsid w:val="00AF203A"/>
    <w:rsid w:val="00AF38A5"/>
    <w:rsid w:val="00B24C1B"/>
    <w:rsid w:val="00B27826"/>
    <w:rsid w:val="00B33D2D"/>
    <w:rsid w:val="00B374AB"/>
    <w:rsid w:val="00B40807"/>
    <w:rsid w:val="00B41DD6"/>
    <w:rsid w:val="00B4740F"/>
    <w:rsid w:val="00B47DA3"/>
    <w:rsid w:val="00B71C54"/>
    <w:rsid w:val="00B722EB"/>
    <w:rsid w:val="00B82799"/>
    <w:rsid w:val="00B82E0E"/>
    <w:rsid w:val="00B82E5A"/>
    <w:rsid w:val="00B878BE"/>
    <w:rsid w:val="00B94429"/>
    <w:rsid w:val="00B96FDB"/>
    <w:rsid w:val="00BA0580"/>
    <w:rsid w:val="00BA13DC"/>
    <w:rsid w:val="00BA6578"/>
    <w:rsid w:val="00BB12FA"/>
    <w:rsid w:val="00BB3109"/>
    <w:rsid w:val="00BB3505"/>
    <w:rsid w:val="00BD7A61"/>
    <w:rsid w:val="00BE0AC3"/>
    <w:rsid w:val="00BE627E"/>
    <w:rsid w:val="00BF4B3B"/>
    <w:rsid w:val="00BF53C8"/>
    <w:rsid w:val="00C0348A"/>
    <w:rsid w:val="00C03529"/>
    <w:rsid w:val="00C03DC6"/>
    <w:rsid w:val="00C059DF"/>
    <w:rsid w:val="00C07AD3"/>
    <w:rsid w:val="00C10812"/>
    <w:rsid w:val="00C14A88"/>
    <w:rsid w:val="00C15D08"/>
    <w:rsid w:val="00C26809"/>
    <w:rsid w:val="00C32FC6"/>
    <w:rsid w:val="00C40D10"/>
    <w:rsid w:val="00C47A36"/>
    <w:rsid w:val="00C56FFA"/>
    <w:rsid w:val="00C64471"/>
    <w:rsid w:val="00C64C33"/>
    <w:rsid w:val="00C65AF0"/>
    <w:rsid w:val="00C7047B"/>
    <w:rsid w:val="00C72464"/>
    <w:rsid w:val="00C73C42"/>
    <w:rsid w:val="00C75C59"/>
    <w:rsid w:val="00C91EDE"/>
    <w:rsid w:val="00C9528F"/>
    <w:rsid w:val="00CB463D"/>
    <w:rsid w:val="00CC1A1B"/>
    <w:rsid w:val="00CC25BB"/>
    <w:rsid w:val="00CC281F"/>
    <w:rsid w:val="00CC4A17"/>
    <w:rsid w:val="00CD03A3"/>
    <w:rsid w:val="00CD0729"/>
    <w:rsid w:val="00CE3C77"/>
    <w:rsid w:val="00CE7C15"/>
    <w:rsid w:val="00CF5751"/>
    <w:rsid w:val="00D017DA"/>
    <w:rsid w:val="00D05AF2"/>
    <w:rsid w:val="00D07710"/>
    <w:rsid w:val="00D1187A"/>
    <w:rsid w:val="00D1471F"/>
    <w:rsid w:val="00D16369"/>
    <w:rsid w:val="00D16FCF"/>
    <w:rsid w:val="00D225E9"/>
    <w:rsid w:val="00D27EA9"/>
    <w:rsid w:val="00D304F3"/>
    <w:rsid w:val="00D30B05"/>
    <w:rsid w:val="00D33756"/>
    <w:rsid w:val="00D37457"/>
    <w:rsid w:val="00D37B12"/>
    <w:rsid w:val="00D4231B"/>
    <w:rsid w:val="00D50EFB"/>
    <w:rsid w:val="00D57E3F"/>
    <w:rsid w:val="00D6138C"/>
    <w:rsid w:val="00D61A40"/>
    <w:rsid w:val="00D62756"/>
    <w:rsid w:val="00D62F28"/>
    <w:rsid w:val="00D63EFF"/>
    <w:rsid w:val="00D71B56"/>
    <w:rsid w:val="00D80106"/>
    <w:rsid w:val="00D85EFE"/>
    <w:rsid w:val="00D95B56"/>
    <w:rsid w:val="00DA39AE"/>
    <w:rsid w:val="00DA4DBC"/>
    <w:rsid w:val="00DA7E75"/>
    <w:rsid w:val="00DB0A2F"/>
    <w:rsid w:val="00DB6BF3"/>
    <w:rsid w:val="00DC53C8"/>
    <w:rsid w:val="00DC69C0"/>
    <w:rsid w:val="00DD1AC3"/>
    <w:rsid w:val="00DD3912"/>
    <w:rsid w:val="00DD7250"/>
    <w:rsid w:val="00DF1CC1"/>
    <w:rsid w:val="00E0116D"/>
    <w:rsid w:val="00E01A0E"/>
    <w:rsid w:val="00E01B32"/>
    <w:rsid w:val="00E034C7"/>
    <w:rsid w:val="00E1015B"/>
    <w:rsid w:val="00E10B88"/>
    <w:rsid w:val="00E16888"/>
    <w:rsid w:val="00E17504"/>
    <w:rsid w:val="00E24919"/>
    <w:rsid w:val="00E30D67"/>
    <w:rsid w:val="00E35579"/>
    <w:rsid w:val="00E37D47"/>
    <w:rsid w:val="00E46792"/>
    <w:rsid w:val="00E47E67"/>
    <w:rsid w:val="00E57023"/>
    <w:rsid w:val="00E5748F"/>
    <w:rsid w:val="00E575FE"/>
    <w:rsid w:val="00E61F4B"/>
    <w:rsid w:val="00E66B7B"/>
    <w:rsid w:val="00E71CBF"/>
    <w:rsid w:val="00E756A7"/>
    <w:rsid w:val="00E772BC"/>
    <w:rsid w:val="00E817CD"/>
    <w:rsid w:val="00E826F3"/>
    <w:rsid w:val="00E83D81"/>
    <w:rsid w:val="00E84F50"/>
    <w:rsid w:val="00E8741D"/>
    <w:rsid w:val="00E930B3"/>
    <w:rsid w:val="00E93F3A"/>
    <w:rsid w:val="00E9640E"/>
    <w:rsid w:val="00EA1EF1"/>
    <w:rsid w:val="00EA7042"/>
    <w:rsid w:val="00EB0250"/>
    <w:rsid w:val="00EB0705"/>
    <w:rsid w:val="00EB0861"/>
    <w:rsid w:val="00EB4366"/>
    <w:rsid w:val="00EB4F8B"/>
    <w:rsid w:val="00EB71D6"/>
    <w:rsid w:val="00EC1C7E"/>
    <w:rsid w:val="00EC2412"/>
    <w:rsid w:val="00ED71C3"/>
    <w:rsid w:val="00EE727D"/>
    <w:rsid w:val="00F05108"/>
    <w:rsid w:val="00F07A52"/>
    <w:rsid w:val="00F10E75"/>
    <w:rsid w:val="00F13B69"/>
    <w:rsid w:val="00F16278"/>
    <w:rsid w:val="00F20C0F"/>
    <w:rsid w:val="00F21980"/>
    <w:rsid w:val="00F22D30"/>
    <w:rsid w:val="00F2592C"/>
    <w:rsid w:val="00F3114B"/>
    <w:rsid w:val="00F31514"/>
    <w:rsid w:val="00F33558"/>
    <w:rsid w:val="00F353E2"/>
    <w:rsid w:val="00F45183"/>
    <w:rsid w:val="00F51AC2"/>
    <w:rsid w:val="00F5788D"/>
    <w:rsid w:val="00F60636"/>
    <w:rsid w:val="00F61090"/>
    <w:rsid w:val="00F62087"/>
    <w:rsid w:val="00F62AB9"/>
    <w:rsid w:val="00F62DC6"/>
    <w:rsid w:val="00F63D86"/>
    <w:rsid w:val="00F64462"/>
    <w:rsid w:val="00F6458E"/>
    <w:rsid w:val="00F64ABA"/>
    <w:rsid w:val="00F6735C"/>
    <w:rsid w:val="00F723FB"/>
    <w:rsid w:val="00F72BE1"/>
    <w:rsid w:val="00F75229"/>
    <w:rsid w:val="00F75FFF"/>
    <w:rsid w:val="00F813B3"/>
    <w:rsid w:val="00F849A7"/>
    <w:rsid w:val="00F941E7"/>
    <w:rsid w:val="00F9493B"/>
    <w:rsid w:val="00FA03F8"/>
    <w:rsid w:val="00FA1FA8"/>
    <w:rsid w:val="00FA4E29"/>
    <w:rsid w:val="00FB6541"/>
    <w:rsid w:val="00FC2466"/>
    <w:rsid w:val="00FC4448"/>
    <w:rsid w:val="00FC761C"/>
    <w:rsid w:val="00FC7699"/>
    <w:rsid w:val="00FD2F1F"/>
    <w:rsid w:val="00FD3A3D"/>
    <w:rsid w:val="00FE2192"/>
    <w:rsid w:val="00FE309A"/>
    <w:rsid w:val="00FE675D"/>
    <w:rsid w:val="00FF2D7D"/>
    <w:rsid w:val="00FF3DD2"/>
    <w:rsid w:val="00FF5AB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14:docId w14:val="12E6186B"/>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9AD"/>
    <w:pPr>
      <w:spacing w:before="120" w:after="120"/>
    </w:pPr>
    <w:rPr>
      <w:rFonts w:ascii="Myriad Pro" w:hAnsi="Myriad Pro"/>
    </w:rPr>
  </w:style>
  <w:style w:type="paragraph" w:styleId="Heading1">
    <w:name w:val="heading 1"/>
    <w:basedOn w:val="Normal"/>
    <w:next w:val="Normal"/>
    <w:link w:val="Heading1Char"/>
    <w:qFormat/>
    <w:rsid w:val="00073D70"/>
    <w:pPr>
      <w:spacing w:before="360" w:after="0" w:line="288" w:lineRule="auto"/>
      <w:outlineLvl w:val="0"/>
    </w:pPr>
    <w:rPr>
      <w:rFonts w:ascii="Arial" w:hAnsi="Arial" w:cs="Arial"/>
      <w:b/>
      <w:color w:val="C10A27"/>
      <w:sz w:val="32"/>
      <w:szCs w:val="22"/>
    </w:rPr>
  </w:style>
  <w:style w:type="paragraph" w:styleId="Heading2">
    <w:name w:val="heading 2"/>
    <w:basedOn w:val="Normal"/>
    <w:next w:val="Normal"/>
    <w:link w:val="Heading2Char"/>
    <w:unhideWhenUsed/>
    <w:qFormat/>
    <w:rsid w:val="00073D70"/>
    <w:pPr>
      <w:spacing w:before="240" w:line="288" w:lineRule="auto"/>
      <w:outlineLvl w:val="1"/>
    </w:pPr>
    <w:rPr>
      <w:rFonts w:ascii="Arial" w:hAnsi="Arial" w:cs="Arial"/>
      <w:b/>
      <w:color w:val="C10A27"/>
      <w:sz w:val="24"/>
      <w:szCs w:val="22"/>
    </w:rPr>
  </w:style>
  <w:style w:type="paragraph" w:styleId="Heading3">
    <w:name w:val="heading 3"/>
    <w:basedOn w:val="Normal"/>
    <w:next w:val="Normal"/>
    <w:link w:val="Heading3Char"/>
    <w:unhideWhenUsed/>
    <w:qFormat/>
    <w:rsid w:val="00073D70"/>
    <w:pPr>
      <w:spacing w:before="240" w:line="288" w:lineRule="auto"/>
      <w:outlineLvl w:val="2"/>
    </w:pPr>
    <w:rPr>
      <w:rFonts w:ascii="Arial" w:hAnsi="Arial" w:cs="Arial"/>
      <w:b/>
      <w:color w:val="C10A27"/>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D80106"/>
    <w:rPr>
      <w:sz w:val="52"/>
      <w:szCs w:val="52"/>
    </w:rPr>
  </w:style>
  <w:style w:type="character" w:customStyle="1" w:styleId="TitleChar">
    <w:name w:val="Title Char"/>
    <w:basedOn w:val="DefaultParagraphFont"/>
    <w:link w:val="Title"/>
    <w:rsid w:val="00D80106"/>
    <w:rPr>
      <w:rFonts w:ascii="Myriad Pro" w:hAnsi="Myriad Pro"/>
      <w:sz w:val="52"/>
      <w:szCs w:val="52"/>
    </w:rPr>
  </w:style>
  <w:style w:type="table" w:styleId="TableGrid">
    <w:name w:val="Table Grid"/>
    <w:basedOn w:val="TableNormal"/>
    <w:rsid w:val="009B7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B22F7"/>
    <w:pPr>
      <w:spacing w:before="0" w:after="0"/>
    </w:pPr>
    <w:rPr>
      <w:rFonts w:ascii="Tahoma" w:hAnsi="Tahoma" w:cs="Tahoma"/>
      <w:sz w:val="16"/>
      <w:szCs w:val="16"/>
    </w:rPr>
  </w:style>
  <w:style w:type="character" w:customStyle="1" w:styleId="BalloonTextChar">
    <w:name w:val="Balloon Text Char"/>
    <w:basedOn w:val="DefaultParagraphFont"/>
    <w:link w:val="BalloonText"/>
    <w:rsid w:val="009B22F7"/>
    <w:rPr>
      <w:rFonts w:ascii="Tahoma" w:hAnsi="Tahoma" w:cs="Tahoma"/>
      <w:sz w:val="16"/>
      <w:szCs w:val="16"/>
    </w:rPr>
  </w:style>
  <w:style w:type="paragraph" w:styleId="ListParagraph">
    <w:name w:val="List Paragraph"/>
    <w:basedOn w:val="Normal"/>
    <w:uiPriority w:val="34"/>
    <w:qFormat/>
    <w:rsid w:val="002D4E89"/>
    <w:pPr>
      <w:spacing w:before="0" w:after="0"/>
      <w:ind w:left="720"/>
      <w:contextualSpacing/>
    </w:pPr>
    <w:rPr>
      <w:rFonts w:ascii="Times New Roman" w:hAnsi="Times New Roman"/>
      <w:sz w:val="24"/>
      <w:szCs w:val="24"/>
    </w:rPr>
  </w:style>
  <w:style w:type="paragraph" w:customStyle="1" w:styleId="FactSheetNormal">
    <w:name w:val="Fact Sheet Normal"/>
    <w:basedOn w:val="BodyText"/>
    <w:link w:val="FactSheetNormalChar"/>
    <w:qFormat/>
    <w:rsid w:val="001B7916"/>
    <w:pPr>
      <w:suppressAutoHyphens/>
      <w:autoSpaceDE w:val="0"/>
      <w:autoSpaceDN w:val="0"/>
      <w:adjustRightInd w:val="0"/>
      <w:spacing w:before="0" w:line="280" w:lineRule="atLeast"/>
      <w:textAlignment w:val="center"/>
    </w:pPr>
    <w:rPr>
      <w:rFonts w:ascii="Arial" w:hAnsi="Arial" w:cs="Arial"/>
      <w:color w:val="000000"/>
      <w:sz w:val="22"/>
      <w:szCs w:val="22"/>
      <w:lang w:val="en-GB"/>
    </w:rPr>
  </w:style>
  <w:style w:type="character" w:customStyle="1" w:styleId="FactSheetNormalChar">
    <w:name w:val="Fact Sheet Normal Char"/>
    <w:basedOn w:val="BodyTextChar"/>
    <w:link w:val="FactSheetNormal"/>
    <w:rsid w:val="001B7916"/>
    <w:rPr>
      <w:rFonts w:ascii="Arial" w:hAnsi="Arial" w:cs="Arial"/>
      <w:color w:val="000000"/>
      <w:sz w:val="22"/>
      <w:szCs w:val="22"/>
      <w:lang w:val="en-GB"/>
    </w:rPr>
  </w:style>
  <w:style w:type="paragraph" w:styleId="BodyText">
    <w:name w:val="Body Text"/>
    <w:basedOn w:val="Normal"/>
    <w:link w:val="BodyTextChar"/>
    <w:rsid w:val="001B7916"/>
  </w:style>
  <w:style w:type="character" w:customStyle="1" w:styleId="BodyTextChar">
    <w:name w:val="Body Text Char"/>
    <w:basedOn w:val="DefaultParagraphFont"/>
    <w:link w:val="BodyText"/>
    <w:rsid w:val="001B7916"/>
    <w:rPr>
      <w:rFonts w:ascii="Myriad Pro" w:hAnsi="Myriad Pro"/>
    </w:rPr>
  </w:style>
  <w:style w:type="character" w:customStyle="1" w:styleId="Heading2Char">
    <w:name w:val="Heading 2 Char"/>
    <w:basedOn w:val="DefaultParagraphFont"/>
    <w:link w:val="Heading2"/>
    <w:rsid w:val="00073D70"/>
    <w:rPr>
      <w:rFonts w:ascii="Arial" w:hAnsi="Arial" w:cs="Arial"/>
      <w:b/>
      <w:color w:val="C10A27"/>
      <w:sz w:val="24"/>
      <w:szCs w:val="22"/>
    </w:rPr>
  </w:style>
  <w:style w:type="paragraph" w:customStyle="1" w:styleId="Figureheading">
    <w:name w:val="Figure heading"/>
    <w:basedOn w:val="Normal"/>
    <w:link w:val="FigureheadingChar"/>
    <w:qFormat/>
    <w:rsid w:val="00487719"/>
    <w:pPr>
      <w:suppressAutoHyphens/>
      <w:autoSpaceDE w:val="0"/>
      <w:autoSpaceDN w:val="0"/>
      <w:adjustRightInd w:val="0"/>
      <w:spacing w:before="0" w:after="57" w:line="220" w:lineRule="atLeast"/>
      <w:textAlignment w:val="center"/>
    </w:pPr>
    <w:rPr>
      <w:rFonts w:ascii="Arial" w:hAnsi="Arial" w:cs="Arial"/>
      <w:b/>
      <w:color w:val="000000"/>
      <w:lang w:val="en-GB"/>
    </w:rPr>
  </w:style>
  <w:style w:type="character" w:customStyle="1" w:styleId="FigureheadingChar">
    <w:name w:val="Figure heading Char"/>
    <w:basedOn w:val="DefaultParagraphFont"/>
    <w:link w:val="Figureheading"/>
    <w:rsid w:val="00487719"/>
    <w:rPr>
      <w:rFonts w:ascii="Arial" w:hAnsi="Arial" w:cs="Arial"/>
      <w:b/>
      <w:color w:val="000000"/>
      <w:lang w:val="en-GB"/>
    </w:rPr>
  </w:style>
  <w:style w:type="paragraph" w:customStyle="1" w:styleId="Headerrow">
    <w:name w:val="Header row"/>
    <w:basedOn w:val="Normal"/>
    <w:link w:val="HeaderrowChar"/>
    <w:qFormat/>
    <w:rsid w:val="00487719"/>
    <w:pPr>
      <w:spacing w:before="0" w:after="0"/>
    </w:pPr>
    <w:rPr>
      <w:rFonts w:ascii="Arial" w:hAnsi="Arial" w:cs="Arial"/>
      <w:b/>
      <w:bCs/>
      <w:color w:val="000000"/>
      <w:sz w:val="16"/>
      <w:szCs w:val="16"/>
    </w:rPr>
  </w:style>
  <w:style w:type="paragraph" w:customStyle="1" w:styleId="FactSheetTableRowHeadings">
    <w:name w:val="Fact Sheet Table Row Headings"/>
    <w:basedOn w:val="Normal"/>
    <w:link w:val="FactSheetTableRowHeadingsChar"/>
    <w:qFormat/>
    <w:rsid w:val="00487719"/>
    <w:pPr>
      <w:spacing w:before="0" w:after="0"/>
    </w:pPr>
    <w:rPr>
      <w:rFonts w:ascii="Arial" w:hAnsi="Arial" w:cs="Arial"/>
      <w:b/>
      <w:bCs/>
      <w:color w:val="000000"/>
      <w:sz w:val="16"/>
      <w:szCs w:val="16"/>
    </w:rPr>
  </w:style>
  <w:style w:type="character" w:customStyle="1" w:styleId="HeaderrowChar">
    <w:name w:val="Header row Char"/>
    <w:basedOn w:val="DefaultParagraphFont"/>
    <w:link w:val="Headerrow"/>
    <w:rsid w:val="00487719"/>
    <w:rPr>
      <w:rFonts w:ascii="Arial" w:hAnsi="Arial" w:cs="Arial"/>
      <w:b/>
      <w:bCs/>
      <w:color w:val="000000"/>
      <w:sz w:val="16"/>
      <w:szCs w:val="16"/>
    </w:rPr>
  </w:style>
  <w:style w:type="paragraph" w:customStyle="1" w:styleId="FactSheetNotes">
    <w:name w:val="Fact Sheet Notes"/>
    <w:basedOn w:val="Normal"/>
    <w:link w:val="FactSheetNotesChar"/>
    <w:qFormat/>
    <w:rsid w:val="00487719"/>
    <w:pPr>
      <w:spacing w:before="0" w:after="0"/>
    </w:pPr>
    <w:rPr>
      <w:rFonts w:ascii="Arial" w:hAnsi="Arial" w:cs="Arial"/>
      <w:sz w:val="16"/>
      <w:szCs w:val="16"/>
    </w:rPr>
  </w:style>
  <w:style w:type="character" w:customStyle="1" w:styleId="FactSheetTableRowHeadingsChar">
    <w:name w:val="Fact Sheet Table Row Headings Char"/>
    <w:basedOn w:val="DefaultParagraphFont"/>
    <w:link w:val="FactSheetTableRowHeadings"/>
    <w:rsid w:val="00487719"/>
    <w:rPr>
      <w:rFonts w:ascii="Arial" w:hAnsi="Arial" w:cs="Arial"/>
      <w:b/>
      <w:bCs/>
      <w:color w:val="000000"/>
      <w:sz w:val="16"/>
      <w:szCs w:val="16"/>
    </w:rPr>
  </w:style>
  <w:style w:type="paragraph" w:customStyle="1" w:styleId="Tableheading">
    <w:name w:val="Table heading"/>
    <w:basedOn w:val="Normal"/>
    <w:link w:val="TableheadingChar"/>
    <w:qFormat/>
    <w:rsid w:val="00487719"/>
    <w:pPr>
      <w:spacing w:after="60"/>
    </w:pPr>
    <w:rPr>
      <w:rFonts w:ascii="Arial" w:hAnsi="Arial" w:cs="Arial"/>
      <w:b/>
    </w:rPr>
  </w:style>
  <w:style w:type="character" w:customStyle="1" w:styleId="FactSheetNotesChar">
    <w:name w:val="Fact Sheet Notes Char"/>
    <w:basedOn w:val="DefaultParagraphFont"/>
    <w:link w:val="FactSheetNotes"/>
    <w:rsid w:val="00487719"/>
    <w:rPr>
      <w:rFonts w:ascii="Arial" w:hAnsi="Arial" w:cs="Arial"/>
      <w:sz w:val="16"/>
      <w:szCs w:val="16"/>
    </w:rPr>
  </w:style>
  <w:style w:type="character" w:customStyle="1" w:styleId="TableheadingChar">
    <w:name w:val="Table heading Char"/>
    <w:basedOn w:val="DefaultParagraphFont"/>
    <w:link w:val="Tableheading"/>
    <w:rsid w:val="00487719"/>
    <w:rPr>
      <w:rFonts w:ascii="Arial" w:hAnsi="Arial" w:cs="Arial"/>
      <w:b/>
    </w:rPr>
  </w:style>
  <w:style w:type="character" w:styleId="Hyperlink">
    <w:name w:val="Hyperlink"/>
    <w:basedOn w:val="DefaultParagraphFont"/>
    <w:rsid w:val="000330A1"/>
    <w:rPr>
      <w:color w:val="0000FF" w:themeColor="hyperlink"/>
      <w:u w:val="single"/>
    </w:rPr>
  </w:style>
  <w:style w:type="character" w:styleId="CommentReference">
    <w:name w:val="annotation reference"/>
    <w:basedOn w:val="DefaultParagraphFont"/>
    <w:rsid w:val="00B82799"/>
    <w:rPr>
      <w:sz w:val="16"/>
      <w:szCs w:val="16"/>
    </w:rPr>
  </w:style>
  <w:style w:type="paragraph" w:styleId="CommentText">
    <w:name w:val="annotation text"/>
    <w:basedOn w:val="Normal"/>
    <w:link w:val="CommentTextChar"/>
    <w:rsid w:val="00B82799"/>
  </w:style>
  <w:style w:type="character" w:customStyle="1" w:styleId="CommentTextChar">
    <w:name w:val="Comment Text Char"/>
    <w:basedOn w:val="DefaultParagraphFont"/>
    <w:link w:val="CommentText"/>
    <w:rsid w:val="00B82799"/>
    <w:rPr>
      <w:rFonts w:ascii="Myriad Pro" w:hAnsi="Myriad Pro"/>
    </w:rPr>
  </w:style>
  <w:style w:type="paragraph" w:styleId="CommentSubject">
    <w:name w:val="annotation subject"/>
    <w:basedOn w:val="CommentText"/>
    <w:next w:val="CommentText"/>
    <w:link w:val="CommentSubjectChar"/>
    <w:rsid w:val="00B82799"/>
    <w:rPr>
      <w:b/>
      <w:bCs/>
    </w:rPr>
  </w:style>
  <w:style w:type="character" w:customStyle="1" w:styleId="CommentSubjectChar">
    <w:name w:val="Comment Subject Char"/>
    <w:basedOn w:val="CommentTextChar"/>
    <w:link w:val="CommentSubject"/>
    <w:rsid w:val="00B82799"/>
    <w:rPr>
      <w:rFonts w:ascii="Myriad Pro" w:hAnsi="Myriad Pro"/>
      <w:b/>
      <w:bCs/>
    </w:rPr>
  </w:style>
  <w:style w:type="paragraph" w:styleId="Revision">
    <w:name w:val="Revision"/>
    <w:hidden/>
    <w:uiPriority w:val="99"/>
    <w:semiHidden/>
    <w:rsid w:val="00D6138C"/>
    <w:rPr>
      <w:rFonts w:ascii="Myriad Pro" w:hAnsi="Myriad Pro"/>
    </w:rPr>
  </w:style>
  <w:style w:type="paragraph" w:styleId="Header">
    <w:name w:val="header"/>
    <w:basedOn w:val="Normal"/>
    <w:link w:val="HeaderChar"/>
    <w:rsid w:val="00046BC1"/>
    <w:pPr>
      <w:tabs>
        <w:tab w:val="center" w:pos="4513"/>
        <w:tab w:val="right" w:pos="9026"/>
      </w:tabs>
      <w:spacing w:before="0" w:after="0"/>
    </w:pPr>
  </w:style>
  <w:style w:type="character" w:customStyle="1" w:styleId="HeaderChar">
    <w:name w:val="Header Char"/>
    <w:basedOn w:val="DefaultParagraphFont"/>
    <w:link w:val="Header"/>
    <w:rsid w:val="00046BC1"/>
    <w:rPr>
      <w:rFonts w:ascii="Myriad Pro" w:hAnsi="Myriad Pro"/>
    </w:rPr>
  </w:style>
  <w:style w:type="paragraph" w:styleId="Footer">
    <w:name w:val="footer"/>
    <w:basedOn w:val="Normal"/>
    <w:link w:val="FooterChar"/>
    <w:uiPriority w:val="99"/>
    <w:rsid w:val="00046BC1"/>
    <w:pPr>
      <w:tabs>
        <w:tab w:val="center" w:pos="4513"/>
        <w:tab w:val="right" w:pos="9026"/>
      </w:tabs>
      <w:spacing w:before="0" w:after="0"/>
    </w:pPr>
  </w:style>
  <w:style w:type="character" w:customStyle="1" w:styleId="FooterChar">
    <w:name w:val="Footer Char"/>
    <w:basedOn w:val="DefaultParagraphFont"/>
    <w:link w:val="Footer"/>
    <w:uiPriority w:val="99"/>
    <w:rsid w:val="00046BC1"/>
    <w:rPr>
      <w:rFonts w:ascii="Myriad Pro" w:hAnsi="Myriad Pro"/>
    </w:rPr>
  </w:style>
  <w:style w:type="paragraph" w:customStyle="1" w:styleId="SWACoverHeader">
    <w:name w:val="SWA Cover Header"/>
    <w:basedOn w:val="Title"/>
    <w:link w:val="SWACoverHeaderChar"/>
    <w:qFormat/>
    <w:rsid w:val="00FE2192"/>
    <w:pPr>
      <w:overflowPunct w:val="0"/>
      <w:autoSpaceDE w:val="0"/>
      <w:autoSpaceDN w:val="0"/>
      <w:adjustRightInd w:val="0"/>
      <w:spacing w:before="5000" w:after="60"/>
      <w:textAlignment w:val="baseline"/>
      <w:outlineLvl w:val="0"/>
    </w:pPr>
    <w:rPr>
      <w:rFonts w:ascii="Arial Bold" w:eastAsiaTheme="majorEastAsia" w:hAnsi="Arial Bold" w:cs="Arial"/>
      <w:b/>
      <w:bCs/>
      <w:color w:val="FFFFFF" w:themeColor="background1"/>
      <w:kern w:val="28"/>
      <w:sz w:val="96"/>
      <w:szCs w:val="96"/>
      <w:lang w:eastAsia="en-US"/>
    </w:rPr>
  </w:style>
  <w:style w:type="character" w:customStyle="1" w:styleId="SWACoverHeaderChar">
    <w:name w:val="SWA Cover Header Char"/>
    <w:basedOn w:val="DefaultParagraphFont"/>
    <w:link w:val="SWACoverHeader"/>
    <w:rsid w:val="00FE2192"/>
    <w:rPr>
      <w:rFonts w:ascii="Arial Bold" w:eastAsiaTheme="majorEastAsia" w:hAnsi="Arial Bold" w:cs="Arial"/>
      <w:b/>
      <w:bCs/>
      <w:color w:val="FFFFFF" w:themeColor="background1"/>
      <w:kern w:val="28"/>
      <w:sz w:val="96"/>
      <w:szCs w:val="96"/>
      <w:lang w:eastAsia="en-US"/>
    </w:rPr>
  </w:style>
  <w:style w:type="character" w:styleId="FollowedHyperlink">
    <w:name w:val="FollowedHyperlink"/>
    <w:basedOn w:val="DefaultParagraphFont"/>
    <w:rsid w:val="003F23DE"/>
    <w:rPr>
      <w:color w:val="800080" w:themeColor="followedHyperlink"/>
      <w:u w:val="single"/>
    </w:rPr>
  </w:style>
  <w:style w:type="paragraph" w:styleId="FootnoteText">
    <w:name w:val="footnote text"/>
    <w:basedOn w:val="Normal"/>
    <w:link w:val="FootnoteTextChar"/>
    <w:unhideWhenUsed/>
    <w:rsid w:val="00E817CD"/>
    <w:pPr>
      <w:spacing w:before="0" w:after="0"/>
    </w:pPr>
    <w:rPr>
      <w:rFonts w:ascii="Arial" w:eastAsiaTheme="minorHAnsi" w:hAnsi="Arial" w:cstheme="minorBidi"/>
      <w:lang w:eastAsia="en-US"/>
    </w:rPr>
  </w:style>
  <w:style w:type="character" w:customStyle="1" w:styleId="FootnoteTextChar">
    <w:name w:val="Footnote Text Char"/>
    <w:basedOn w:val="DefaultParagraphFont"/>
    <w:link w:val="FootnoteText"/>
    <w:rsid w:val="00E817CD"/>
    <w:rPr>
      <w:rFonts w:ascii="Arial" w:eastAsiaTheme="minorHAnsi" w:hAnsi="Arial" w:cstheme="minorBidi"/>
      <w:lang w:eastAsia="en-US"/>
    </w:rPr>
  </w:style>
  <w:style w:type="character" w:styleId="FootnoteReference">
    <w:name w:val="footnote reference"/>
    <w:basedOn w:val="DefaultParagraphFont"/>
    <w:unhideWhenUsed/>
    <w:rsid w:val="00D62F28"/>
    <w:rPr>
      <w:vertAlign w:val="superscript"/>
    </w:rPr>
  </w:style>
  <w:style w:type="paragraph" w:styleId="NormalWeb">
    <w:name w:val="Normal (Web)"/>
    <w:basedOn w:val="Normal"/>
    <w:uiPriority w:val="99"/>
    <w:unhideWhenUsed/>
    <w:rsid w:val="003850F0"/>
    <w:pPr>
      <w:spacing w:before="100" w:beforeAutospacing="1" w:after="100" w:afterAutospacing="1"/>
    </w:pPr>
    <w:rPr>
      <w:rFonts w:ascii="Times New Roman" w:hAnsi="Times New Roman"/>
      <w:sz w:val="24"/>
      <w:szCs w:val="24"/>
    </w:rPr>
  </w:style>
  <w:style w:type="paragraph" w:customStyle="1" w:styleId="Bodytextjustified">
    <w:name w:val="Body text justified"/>
    <w:basedOn w:val="Normal"/>
    <w:qFormat/>
    <w:rsid w:val="00613531"/>
    <w:pPr>
      <w:spacing w:line="288" w:lineRule="auto"/>
      <w:jc w:val="both"/>
    </w:pPr>
    <w:rPr>
      <w:rFonts w:ascii="Arial" w:hAnsi="Arial" w:cs="Arial"/>
      <w:sz w:val="22"/>
      <w:szCs w:val="22"/>
    </w:rPr>
  </w:style>
  <w:style w:type="character" w:customStyle="1" w:styleId="Heading1Char">
    <w:name w:val="Heading 1 Char"/>
    <w:basedOn w:val="DefaultParagraphFont"/>
    <w:link w:val="Heading1"/>
    <w:rsid w:val="00073D70"/>
    <w:rPr>
      <w:rFonts w:ascii="Arial" w:hAnsi="Arial" w:cs="Arial"/>
      <w:b/>
      <w:color w:val="C10A27"/>
      <w:sz w:val="32"/>
      <w:szCs w:val="22"/>
    </w:rPr>
  </w:style>
  <w:style w:type="character" w:customStyle="1" w:styleId="Heading3Char">
    <w:name w:val="Heading 3 Char"/>
    <w:basedOn w:val="DefaultParagraphFont"/>
    <w:link w:val="Heading3"/>
    <w:rsid w:val="00073D70"/>
    <w:rPr>
      <w:rFonts w:ascii="Arial" w:hAnsi="Arial" w:cs="Arial"/>
      <w:b/>
      <w:color w:val="C10A27"/>
      <w:sz w:val="22"/>
      <w:szCs w:val="22"/>
    </w:rPr>
  </w:style>
  <w:style w:type="paragraph" w:styleId="NoSpacing">
    <w:name w:val="No Spacing"/>
    <w:link w:val="NoSpacingChar"/>
    <w:uiPriority w:val="1"/>
    <w:qFormat/>
    <w:rsid w:val="00987764"/>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987764"/>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313">
      <w:bodyDiv w:val="1"/>
      <w:marLeft w:val="0"/>
      <w:marRight w:val="0"/>
      <w:marTop w:val="0"/>
      <w:marBottom w:val="0"/>
      <w:divBdr>
        <w:top w:val="none" w:sz="0" w:space="0" w:color="auto"/>
        <w:left w:val="none" w:sz="0" w:space="0" w:color="auto"/>
        <w:bottom w:val="none" w:sz="0" w:space="0" w:color="auto"/>
        <w:right w:val="none" w:sz="0" w:space="0" w:color="auto"/>
      </w:divBdr>
    </w:div>
    <w:div w:id="29260914">
      <w:bodyDiv w:val="1"/>
      <w:marLeft w:val="0"/>
      <w:marRight w:val="0"/>
      <w:marTop w:val="0"/>
      <w:marBottom w:val="0"/>
      <w:divBdr>
        <w:top w:val="none" w:sz="0" w:space="0" w:color="auto"/>
        <w:left w:val="none" w:sz="0" w:space="0" w:color="auto"/>
        <w:bottom w:val="none" w:sz="0" w:space="0" w:color="auto"/>
        <w:right w:val="none" w:sz="0" w:space="0" w:color="auto"/>
      </w:divBdr>
    </w:div>
    <w:div w:id="60249301">
      <w:bodyDiv w:val="1"/>
      <w:marLeft w:val="0"/>
      <w:marRight w:val="0"/>
      <w:marTop w:val="0"/>
      <w:marBottom w:val="0"/>
      <w:divBdr>
        <w:top w:val="none" w:sz="0" w:space="0" w:color="auto"/>
        <w:left w:val="none" w:sz="0" w:space="0" w:color="auto"/>
        <w:bottom w:val="none" w:sz="0" w:space="0" w:color="auto"/>
        <w:right w:val="none" w:sz="0" w:space="0" w:color="auto"/>
      </w:divBdr>
    </w:div>
    <w:div w:id="131337309">
      <w:bodyDiv w:val="1"/>
      <w:marLeft w:val="0"/>
      <w:marRight w:val="0"/>
      <w:marTop w:val="0"/>
      <w:marBottom w:val="0"/>
      <w:divBdr>
        <w:top w:val="none" w:sz="0" w:space="0" w:color="auto"/>
        <w:left w:val="none" w:sz="0" w:space="0" w:color="auto"/>
        <w:bottom w:val="none" w:sz="0" w:space="0" w:color="auto"/>
        <w:right w:val="none" w:sz="0" w:space="0" w:color="auto"/>
      </w:divBdr>
    </w:div>
    <w:div w:id="295188398">
      <w:bodyDiv w:val="1"/>
      <w:marLeft w:val="0"/>
      <w:marRight w:val="0"/>
      <w:marTop w:val="0"/>
      <w:marBottom w:val="0"/>
      <w:divBdr>
        <w:top w:val="none" w:sz="0" w:space="0" w:color="auto"/>
        <w:left w:val="none" w:sz="0" w:space="0" w:color="auto"/>
        <w:bottom w:val="none" w:sz="0" w:space="0" w:color="auto"/>
        <w:right w:val="none" w:sz="0" w:space="0" w:color="auto"/>
      </w:divBdr>
    </w:div>
    <w:div w:id="376242516">
      <w:bodyDiv w:val="1"/>
      <w:marLeft w:val="0"/>
      <w:marRight w:val="0"/>
      <w:marTop w:val="0"/>
      <w:marBottom w:val="0"/>
      <w:divBdr>
        <w:top w:val="none" w:sz="0" w:space="0" w:color="auto"/>
        <w:left w:val="none" w:sz="0" w:space="0" w:color="auto"/>
        <w:bottom w:val="none" w:sz="0" w:space="0" w:color="auto"/>
        <w:right w:val="none" w:sz="0" w:space="0" w:color="auto"/>
      </w:divBdr>
    </w:div>
    <w:div w:id="450561679">
      <w:bodyDiv w:val="1"/>
      <w:marLeft w:val="0"/>
      <w:marRight w:val="0"/>
      <w:marTop w:val="0"/>
      <w:marBottom w:val="0"/>
      <w:divBdr>
        <w:top w:val="none" w:sz="0" w:space="0" w:color="auto"/>
        <w:left w:val="none" w:sz="0" w:space="0" w:color="auto"/>
        <w:bottom w:val="none" w:sz="0" w:space="0" w:color="auto"/>
        <w:right w:val="none" w:sz="0" w:space="0" w:color="auto"/>
      </w:divBdr>
    </w:div>
    <w:div w:id="467479492">
      <w:bodyDiv w:val="1"/>
      <w:marLeft w:val="0"/>
      <w:marRight w:val="0"/>
      <w:marTop w:val="0"/>
      <w:marBottom w:val="0"/>
      <w:divBdr>
        <w:top w:val="none" w:sz="0" w:space="0" w:color="auto"/>
        <w:left w:val="none" w:sz="0" w:space="0" w:color="auto"/>
        <w:bottom w:val="none" w:sz="0" w:space="0" w:color="auto"/>
        <w:right w:val="none" w:sz="0" w:space="0" w:color="auto"/>
      </w:divBdr>
    </w:div>
    <w:div w:id="556235832">
      <w:bodyDiv w:val="1"/>
      <w:marLeft w:val="0"/>
      <w:marRight w:val="0"/>
      <w:marTop w:val="0"/>
      <w:marBottom w:val="0"/>
      <w:divBdr>
        <w:top w:val="none" w:sz="0" w:space="0" w:color="auto"/>
        <w:left w:val="none" w:sz="0" w:space="0" w:color="auto"/>
        <w:bottom w:val="none" w:sz="0" w:space="0" w:color="auto"/>
        <w:right w:val="none" w:sz="0" w:space="0" w:color="auto"/>
      </w:divBdr>
    </w:div>
    <w:div w:id="571084924">
      <w:bodyDiv w:val="1"/>
      <w:marLeft w:val="0"/>
      <w:marRight w:val="0"/>
      <w:marTop w:val="0"/>
      <w:marBottom w:val="0"/>
      <w:divBdr>
        <w:top w:val="none" w:sz="0" w:space="0" w:color="auto"/>
        <w:left w:val="none" w:sz="0" w:space="0" w:color="auto"/>
        <w:bottom w:val="none" w:sz="0" w:space="0" w:color="auto"/>
        <w:right w:val="none" w:sz="0" w:space="0" w:color="auto"/>
      </w:divBdr>
      <w:divsChild>
        <w:div w:id="1291672049">
          <w:marLeft w:val="0"/>
          <w:marRight w:val="0"/>
          <w:marTop w:val="0"/>
          <w:marBottom w:val="0"/>
          <w:divBdr>
            <w:top w:val="none" w:sz="0" w:space="0" w:color="auto"/>
            <w:left w:val="none" w:sz="0" w:space="0" w:color="auto"/>
            <w:bottom w:val="none" w:sz="0" w:space="0" w:color="auto"/>
            <w:right w:val="none" w:sz="0" w:space="0" w:color="auto"/>
          </w:divBdr>
          <w:divsChild>
            <w:div w:id="1863476566">
              <w:marLeft w:val="0"/>
              <w:marRight w:val="0"/>
              <w:marTop w:val="0"/>
              <w:marBottom w:val="0"/>
              <w:divBdr>
                <w:top w:val="none" w:sz="0" w:space="0" w:color="auto"/>
                <w:left w:val="none" w:sz="0" w:space="0" w:color="auto"/>
                <w:bottom w:val="none" w:sz="0" w:space="0" w:color="auto"/>
                <w:right w:val="none" w:sz="0" w:space="0" w:color="auto"/>
              </w:divBdr>
              <w:divsChild>
                <w:div w:id="1700665128">
                  <w:marLeft w:val="0"/>
                  <w:marRight w:val="0"/>
                  <w:marTop w:val="0"/>
                  <w:marBottom w:val="0"/>
                  <w:divBdr>
                    <w:top w:val="none" w:sz="0" w:space="0" w:color="auto"/>
                    <w:left w:val="none" w:sz="0" w:space="0" w:color="auto"/>
                    <w:bottom w:val="none" w:sz="0" w:space="0" w:color="auto"/>
                    <w:right w:val="none" w:sz="0" w:space="0" w:color="auto"/>
                  </w:divBdr>
                  <w:divsChild>
                    <w:div w:id="941374097">
                      <w:marLeft w:val="0"/>
                      <w:marRight w:val="0"/>
                      <w:marTop w:val="0"/>
                      <w:marBottom w:val="0"/>
                      <w:divBdr>
                        <w:top w:val="none" w:sz="0" w:space="0" w:color="auto"/>
                        <w:left w:val="none" w:sz="0" w:space="0" w:color="auto"/>
                        <w:bottom w:val="none" w:sz="0" w:space="0" w:color="auto"/>
                        <w:right w:val="none" w:sz="0" w:space="0" w:color="auto"/>
                      </w:divBdr>
                      <w:divsChild>
                        <w:div w:id="1011645697">
                          <w:marLeft w:val="0"/>
                          <w:marRight w:val="0"/>
                          <w:marTop w:val="0"/>
                          <w:marBottom w:val="0"/>
                          <w:divBdr>
                            <w:top w:val="none" w:sz="0" w:space="0" w:color="auto"/>
                            <w:left w:val="none" w:sz="0" w:space="0" w:color="auto"/>
                            <w:bottom w:val="none" w:sz="0" w:space="0" w:color="auto"/>
                            <w:right w:val="none" w:sz="0" w:space="0" w:color="auto"/>
                          </w:divBdr>
                          <w:divsChild>
                            <w:div w:id="157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9211309">
      <w:bodyDiv w:val="1"/>
      <w:marLeft w:val="0"/>
      <w:marRight w:val="0"/>
      <w:marTop w:val="0"/>
      <w:marBottom w:val="0"/>
      <w:divBdr>
        <w:top w:val="none" w:sz="0" w:space="0" w:color="auto"/>
        <w:left w:val="none" w:sz="0" w:space="0" w:color="auto"/>
        <w:bottom w:val="none" w:sz="0" w:space="0" w:color="auto"/>
        <w:right w:val="none" w:sz="0" w:space="0" w:color="auto"/>
      </w:divBdr>
      <w:divsChild>
        <w:div w:id="1448813551">
          <w:marLeft w:val="0"/>
          <w:marRight w:val="0"/>
          <w:marTop w:val="0"/>
          <w:marBottom w:val="0"/>
          <w:divBdr>
            <w:top w:val="none" w:sz="0" w:space="0" w:color="auto"/>
            <w:left w:val="none" w:sz="0" w:space="0" w:color="auto"/>
            <w:bottom w:val="none" w:sz="0" w:space="0" w:color="auto"/>
            <w:right w:val="none" w:sz="0" w:space="0" w:color="auto"/>
          </w:divBdr>
          <w:divsChild>
            <w:div w:id="1412121096">
              <w:marLeft w:val="0"/>
              <w:marRight w:val="0"/>
              <w:marTop w:val="0"/>
              <w:marBottom w:val="0"/>
              <w:divBdr>
                <w:top w:val="none" w:sz="0" w:space="0" w:color="auto"/>
                <w:left w:val="none" w:sz="0" w:space="0" w:color="auto"/>
                <w:bottom w:val="none" w:sz="0" w:space="0" w:color="auto"/>
                <w:right w:val="none" w:sz="0" w:space="0" w:color="auto"/>
              </w:divBdr>
              <w:divsChild>
                <w:div w:id="1754929659">
                  <w:marLeft w:val="0"/>
                  <w:marRight w:val="0"/>
                  <w:marTop w:val="195"/>
                  <w:marBottom w:val="0"/>
                  <w:divBdr>
                    <w:top w:val="none" w:sz="0" w:space="0" w:color="auto"/>
                    <w:left w:val="none" w:sz="0" w:space="0" w:color="auto"/>
                    <w:bottom w:val="none" w:sz="0" w:space="0" w:color="auto"/>
                    <w:right w:val="none" w:sz="0" w:space="0" w:color="auto"/>
                  </w:divBdr>
                  <w:divsChild>
                    <w:div w:id="1169831515">
                      <w:marLeft w:val="0"/>
                      <w:marRight w:val="0"/>
                      <w:marTop w:val="0"/>
                      <w:marBottom w:val="0"/>
                      <w:divBdr>
                        <w:top w:val="none" w:sz="0" w:space="0" w:color="auto"/>
                        <w:left w:val="none" w:sz="0" w:space="0" w:color="auto"/>
                        <w:bottom w:val="none" w:sz="0" w:space="0" w:color="auto"/>
                        <w:right w:val="none" w:sz="0" w:space="0" w:color="auto"/>
                      </w:divBdr>
                      <w:divsChild>
                        <w:div w:id="212163102">
                          <w:marLeft w:val="0"/>
                          <w:marRight w:val="0"/>
                          <w:marTop w:val="0"/>
                          <w:marBottom w:val="0"/>
                          <w:divBdr>
                            <w:top w:val="none" w:sz="0" w:space="0" w:color="auto"/>
                            <w:left w:val="none" w:sz="0" w:space="0" w:color="auto"/>
                            <w:bottom w:val="none" w:sz="0" w:space="0" w:color="auto"/>
                            <w:right w:val="none" w:sz="0" w:space="0" w:color="auto"/>
                          </w:divBdr>
                          <w:divsChild>
                            <w:div w:id="1581022357">
                              <w:marLeft w:val="0"/>
                              <w:marRight w:val="0"/>
                              <w:marTop w:val="0"/>
                              <w:marBottom w:val="0"/>
                              <w:divBdr>
                                <w:top w:val="none" w:sz="0" w:space="0" w:color="auto"/>
                                <w:left w:val="none" w:sz="0" w:space="0" w:color="auto"/>
                                <w:bottom w:val="none" w:sz="0" w:space="0" w:color="auto"/>
                                <w:right w:val="none" w:sz="0" w:space="0" w:color="auto"/>
                              </w:divBdr>
                              <w:divsChild>
                                <w:div w:id="249781420">
                                  <w:marLeft w:val="0"/>
                                  <w:marRight w:val="0"/>
                                  <w:marTop w:val="0"/>
                                  <w:marBottom w:val="0"/>
                                  <w:divBdr>
                                    <w:top w:val="none" w:sz="0" w:space="0" w:color="auto"/>
                                    <w:left w:val="none" w:sz="0" w:space="0" w:color="auto"/>
                                    <w:bottom w:val="none" w:sz="0" w:space="0" w:color="auto"/>
                                    <w:right w:val="none" w:sz="0" w:space="0" w:color="auto"/>
                                  </w:divBdr>
                                  <w:divsChild>
                                    <w:div w:id="237639755">
                                      <w:marLeft w:val="0"/>
                                      <w:marRight w:val="0"/>
                                      <w:marTop w:val="0"/>
                                      <w:marBottom w:val="0"/>
                                      <w:divBdr>
                                        <w:top w:val="none" w:sz="0" w:space="0" w:color="auto"/>
                                        <w:left w:val="none" w:sz="0" w:space="0" w:color="auto"/>
                                        <w:bottom w:val="none" w:sz="0" w:space="0" w:color="auto"/>
                                        <w:right w:val="none" w:sz="0" w:space="0" w:color="auto"/>
                                      </w:divBdr>
                                      <w:divsChild>
                                        <w:div w:id="637537655">
                                          <w:marLeft w:val="0"/>
                                          <w:marRight w:val="0"/>
                                          <w:marTop w:val="90"/>
                                          <w:marBottom w:val="0"/>
                                          <w:divBdr>
                                            <w:top w:val="none" w:sz="0" w:space="0" w:color="auto"/>
                                            <w:left w:val="none" w:sz="0" w:space="0" w:color="auto"/>
                                            <w:bottom w:val="none" w:sz="0" w:space="0" w:color="auto"/>
                                            <w:right w:val="none" w:sz="0" w:space="0" w:color="auto"/>
                                          </w:divBdr>
                                          <w:divsChild>
                                            <w:div w:id="154153935">
                                              <w:marLeft w:val="0"/>
                                              <w:marRight w:val="0"/>
                                              <w:marTop w:val="0"/>
                                              <w:marBottom w:val="0"/>
                                              <w:divBdr>
                                                <w:top w:val="none" w:sz="0" w:space="0" w:color="auto"/>
                                                <w:left w:val="none" w:sz="0" w:space="0" w:color="auto"/>
                                                <w:bottom w:val="none" w:sz="0" w:space="0" w:color="auto"/>
                                                <w:right w:val="none" w:sz="0" w:space="0" w:color="auto"/>
                                              </w:divBdr>
                                              <w:divsChild>
                                                <w:div w:id="614943206">
                                                  <w:marLeft w:val="0"/>
                                                  <w:marRight w:val="0"/>
                                                  <w:marTop w:val="0"/>
                                                  <w:marBottom w:val="0"/>
                                                  <w:divBdr>
                                                    <w:top w:val="none" w:sz="0" w:space="0" w:color="auto"/>
                                                    <w:left w:val="none" w:sz="0" w:space="0" w:color="auto"/>
                                                    <w:bottom w:val="none" w:sz="0" w:space="0" w:color="auto"/>
                                                    <w:right w:val="none" w:sz="0" w:space="0" w:color="auto"/>
                                                  </w:divBdr>
                                                  <w:divsChild>
                                                    <w:div w:id="1914781371">
                                                      <w:marLeft w:val="0"/>
                                                      <w:marRight w:val="0"/>
                                                      <w:marTop w:val="0"/>
                                                      <w:marBottom w:val="180"/>
                                                      <w:divBdr>
                                                        <w:top w:val="none" w:sz="0" w:space="0" w:color="auto"/>
                                                        <w:left w:val="none" w:sz="0" w:space="0" w:color="auto"/>
                                                        <w:bottom w:val="none" w:sz="0" w:space="0" w:color="auto"/>
                                                        <w:right w:val="none" w:sz="0" w:space="0" w:color="auto"/>
                                                      </w:divBdr>
                                                      <w:divsChild>
                                                        <w:div w:id="392312845">
                                                          <w:marLeft w:val="0"/>
                                                          <w:marRight w:val="0"/>
                                                          <w:marTop w:val="0"/>
                                                          <w:marBottom w:val="0"/>
                                                          <w:divBdr>
                                                            <w:top w:val="none" w:sz="0" w:space="0" w:color="auto"/>
                                                            <w:left w:val="none" w:sz="0" w:space="0" w:color="auto"/>
                                                            <w:bottom w:val="none" w:sz="0" w:space="0" w:color="auto"/>
                                                            <w:right w:val="none" w:sz="0" w:space="0" w:color="auto"/>
                                                          </w:divBdr>
                                                          <w:divsChild>
                                                            <w:div w:id="402870311">
                                                              <w:marLeft w:val="0"/>
                                                              <w:marRight w:val="0"/>
                                                              <w:marTop w:val="0"/>
                                                              <w:marBottom w:val="0"/>
                                                              <w:divBdr>
                                                                <w:top w:val="none" w:sz="0" w:space="0" w:color="auto"/>
                                                                <w:left w:val="none" w:sz="0" w:space="0" w:color="auto"/>
                                                                <w:bottom w:val="none" w:sz="0" w:space="0" w:color="auto"/>
                                                                <w:right w:val="none" w:sz="0" w:space="0" w:color="auto"/>
                                                              </w:divBdr>
                                                              <w:divsChild>
                                                                <w:div w:id="1805152138">
                                                                  <w:marLeft w:val="0"/>
                                                                  <w:marRight w:val="0"/>
                                                                  <w:marTop w:val="0"/>
                                                                  <w:marBottom w:val="0"/>
                                                                  <w:divBdr>
                                                                    <w:top w:val="none" w:sz="0" w:space="0" w:color="auto"/>
                                                                    <w:left w:val="none" w:sz="0" w:space="0" w:color="auto"/>
                                                                    <w:bottom w:val="none" w:sz="0" w:space="0" w:color="auto"/>
                                                                    <w:right w:val="none" w:sz="0" w:space="0" w:color="auto"/>
                                                                  </w:divBdr>
                                                                  <w:divsChild>
                                                                    <w:div w:id="1392458145">
                                                                      <w:marLeft w:val="0"/>
                                                                      <w:marRight w:val="0"/>
                                                                      <w:marTop w:val="0"/>
                                                                      <w:marBottom w:val="0"/>
                                                                      <w:divBdr>
                                                                        <w:top w:val="none" w:sz="0" w:space="0" w:color="auto"/>
                                                                        <w:left w:val="none" w:sz="0" w:space="0" w:color="auto"/>
                                                                        <w:bottom w:val="none" w:sz="0" w:space="0" w:color="auto"/>
                                                                        <w:right w:val="none" w:sz="0" w:space="0" w:color="auto"/>
                                                                      </w:divBdr>
                                                                      <w:divsChild>
                                                                        <w:div w:id="806046657">
                                                                          <w:marLeft w:val="0"/>
                                                                          <w:marRight w:val="0"/>
                                                                          <w:marTop w:val="0"/>
                                                                          <w:marBottom w:val="0"/>
                                                                          <w:divBdr>
                                                                            <w:top w:val="none" w:sz="0" w:space="0" w:color="auto"/>
                                                                            <w:left w:val="none" w:sz="0" w:space="0" w:color="auto"/>
                                                                            <w:bottom w:val="none" w:sz="0" w:space="0" w:color="auto"/>
                                                                            <w:right w:val="none" w:sz="0" w:space="0" w:color="auto"/>
                                                                          </w:divBdr>
                                                                          <w:divsChild>
                                                                            <w:div w:id="56795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1684168">
      <w:bodyDiv w:val="1"/>
      <w:marLeft w:val="0"/>
      <w:marRight w:val="0"/>
      <w:marTop w:val="0"/>
      <w:marBottom w:val="0"/>
      <w:divBdr>
        <w:top w:val="none" w:sz="0" w:space="0" w:color="auto"/>
        <w:left w:val="none" w:sz="0" w:space="0" w:color="auto"/>
        <w:bottom w:val="none" w:sz="0" w:space="0" w:color="auto"/>
        <w:right w:val="none" w:sz="0" w:space="0" w:color="auto"/>
      </w:divBdr>
    </w:div>
    <w:div w:id="845098202">
      <w:bodyDiv w:val="1"/>
      <w:marLeft w:val="0"/>
      <w:marRight w:val="0"/>
      <w:marTop w:val="0"/>
      <w:marBottom w:val="0"/>
      <w:divBdr>
        <w:top w:val="none" w:sz="0" w:space="0" w:color="auto"/>
        <w:left w:val="none" w:sz="0" w:space="0" w:color="auto"/>
        <w:bottom w:val="none" w:sz="0" w:space="0" w:color="auto"/>
        <w:right w:val="none" w:sz="0" w:space="0" w:color="auto"/>
      </w:divBdr>
    </w:div>
    <w:div w:id="860900787">
      <w:bodyDiv w:val="1"/>
      <w:marLeft w:val="0"/>
      <w:marRight w:val="0"/>
      <w:marTop w:val="0"/>
      <w:marBottom w:val="0"/>
      <w:divBdr>
        <w:top w:val="none" w:sz="0" w:space="0" w:color="auto"/>
        <w:left w:val="none" w:sz="0" w:space="0" w:color="auto"/>
        <w:bottom w:val="none" w:sz="0" w:space="0" w:color="auto"/>
        <w:right w:val="none" w:sz="0" w:space="0" w:color="auto"/>
      </w:divBdr>
    </w:div>
    <w:div w:id="965239029">
      <w:bodyDiv w:val="1"/>
      <w:marLeft w:val="0"/>
      <w:marRight w:val="0"/>
      <w:marTop w:val="0"/>
      <w:marBottom w:val="0"/>
      <w:divBdr>
        <w:top w:val="none" w:sz="0" w:space="0" w:color="auto"/>
        <w:left w:val="none" w:sz="0" w:space="0" w:color="auto"/>
        <w:bottom w:val="none" w:sz="0" w:space="0" w:color="auto"/>
        <w:right w:val="none" w:sz="0" w:space="0" w:color="auto"/>
      </w:divBdr>
    </w:div>
    <w:div w:id="1108961329">
      <w:bodyDiv w:val="1"/>
      <w:marLeft w:val="0"/>
      <w:marRight w:val="0"/>
      <w:marTop w:val="0"/>
      <w:marBottom w:val="0"/>
      <w:divBdr>
        <w:top w:val="none" w:sz="0" w:space="0" w:color="auto"/>
        <w:left w:val="none" w:sz="0" w:space="0" w:color="auto"/>
        <w:bottom w:val="none" w:sz="0" w:space="0" w:color="auto"/>
        <w:right w:val="none" w:sz="0" w:space="0" w:color="auto"/>
      </w:divBdr>
      <w:divsChild>
        <w:div w:id="1259870545">
          <w:marLeft w:val="0"/>
          <w:marRight w:val="0"/>
          <w:marTop w:val="0"/>
          <w:marBottom w:val="0"/>
          <w:divBdr>
            <w:top w:val="none" w:sz="0" w:space="0" w:color="auto"/>
            <w:left w:val="none" w:sz="0" w:space="0" w:color="auto"/>
            <w:bottom w:val="none" w:sz="0" w:space="0" w:color="auto"/>
            <w:right w:val="none" w:sz="0" w:space="0" w:color="auto"/>
          </w:divBdr>
          <w:divsChild>
            <w:div w:id="1195655845">
              <w:marLeft w:val="0"/>
              <w:marRight w:val="0"/>
              <w:marTop w:val="0"/>
              <w:marBottom w:val="0"/>
              <w:divBdr>
                <w:top w:val="none" w:sz="0" w:space="0" w:color="auto"/>
                <w:left w:val="none" w:sz="0" w:space="0" w:color="auto"/>
                <w:bottom w:val="none" w:sz="0" w:space="0" w:color="auto"/>
                <w:right w:val="none" w:sz="0" w:space="0" w:color="auto"/>
              </w:divBdr>
              <w:divsChild>
                <w:div w:id="1411855922">
                  <w:marLeft w:val="0"/>
                  <w:marRight w:val="0"/>
                  <w:marTop w:val="0"/>
                  <w:marBottom w:val="0"/>
                  <w:divBdr>
                    <w:top w:val="none" w:sz="0" w:space="0" w:color="auto"/>
                    <w:left w:val="none" w:sz="0" w:space="0" w:color="auto"/>
                    <w:bottom w:val="none" w:sz="0" w:space="0" w:color="auto"/>
                    <w:right w:val="none" w:sz="0" w:space="0" w:color="auto"/>
                  </w:divBdr>
                  <w:divsChild>
                    <w:div w:id="1090004126">
                      <w:marLeft w:val="0"/>
                      <w:marRight w:val="0"/>
                      <w:marTop w:val="0"/>
                      <w:marBottom w:val="0"/>
                      <w:divBdr>
                        <w:top w:val="none" w:sz="0" w:space="0" w:color="auto"/>
                        <w:left w:val="none" w:sz="0" w:space="0" w:color="auto"/>
                        <w:bottom w:val="none" w:sz="0" w:space="0" w:color="auto"/>
                        <w:right w:val="none" w:sz="0" w:space="0" w:color="auto"/>
                      </w:divBdr>
                      <w:divsChild>
                        <w:div w:id="1983147321">
                          <w:marLeft w:val="0"/>
                          <w:marRight w:val="0"/>
                          <w:marTop w:val="0"/>
                          <w:marBottom w:val="0"/>
                          <w:divBdr>
                            <w:top w:val="none" w:sz="0" w:space="0" w:color="auto"/>
                            <w:left w:val="none" w:sz="0" w:space="0" w:color="auto"/>
                            <w:bottom w:val="none" w:sz="0" w:space="0" w:color="auto"/>
                            <w:right w:val="none" w:sz="0" w:space="0" w:color="auto"/>
                          </w:divBdr>
                          <w:divsChild>
                            <w:div w:id="190626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267993">
      <w:bodyDiv w:val="1"/>
      <w:marLeft w:val="0"/>
      <w:marRight w:val="0"/>
      <w:marTop w:val="0"/>
      <w:marBottom w:val="0"/>
      <w:divBdr>
        <w:top w:val="none" w:sz="0" w:space="0" w:color="auto"/>
        <w:left w:val="none" w:sz="0" w:space="0" w:color="auto"/>
        <w:bottom w:val="none" w:sz="0" w:space="0" w:color="auto"/>
        <w:right w:val="none" w:sz="0" w:space="0" w:color="auto"/>
      </w:divBdr>
    </w:div>
    <w:div w:id="1358312846">
      <w:bodyDiv w:val="1"/>
      <w:marLeft w:val="0"/>
      <w:marRight w:val="0"/>
      <w:marTop w:val="0"/>
      <w:marBottom w:val="0"/>
      <w:divBdr>
        <w:top w:val="none" w:sz="0" w:space="0" w:color="auto"/>
        <w:left w:val="none" w:sz="0" w:space="0" w:color="auto"/>
        <w:bottom w:val="none" w:sz="0" w:space="0" w:color="auto"/>
        <w:right w:val="none" w:sz="0" w:space="0" w:color="auto"/>
      </w:divBdr>
    </w:div>
    <w:div w:id="1562986332">
      <w:bodyDiv w:val="1"/>
      <w:marLeft w:val="0"/>
      <w:marRight w:val="0"/>
      <w:marTop w:val="0"/>
      <w:marBottom w:val="0"/>
      <w:divBdr>
        <w:top w:val="none" w:sz="0" w:space="0" w:color="auto"/>
        <w:left w:val="none" w:sz="0" w:space="0" w:color="auto"/>
        <w:bottom w:val="none" w:sz="0" w:space="0" w:color="auto"/>
        <w:right w:val="none" w:sz="0" w:space="0" w:color="auto"/>
      </w:divBdr>
    </w:div>
    <w:div w:id="1605111660">
      <w:bodyDiv w:val="1"/>
      <w:marLeft w:val="0"/>
      <w:marRight w:val="0"/>
      <w:marTop w:val="0"/>
      <w:marBottom w:val="0"/>
      <w:divBdr>
        <w:top w:val="none" w:sz="0" w:space="0" w:color="auto"/>
        <w:left w:val="none" w:sz="0" w:space="0" w:color="auto"/>
        <w:bottom w:val="none" w:sz="0" w:space="0" w:color="auto"/>
        <w:right w:val="none" w:sz="0" w:space="0" w:color="auto"/>
      </w:divBdr>
    </w:div>
    <w:div w:id="1630748662">
      <w:bodyDiv w:val="1"/>
      <w:marLeft w:val="0"/>
      <w:marRight w:val="0"/>
      <w:marTop w:val="0"/>
      <w:marBottom w:val="0"/>
      <w:divBdr>
        <w:top w:val="none" w:sz="0" w:space="0" w:color="auto"/>
        <w:left w:val="none" w:sz="0" w:space="0" w:color="auto"/>
        <w:bottom w:val="none" w:sz="0" w:space="0" w:color="auto"/>
        <w:right w:val="none" w:sz="0" w:space="0" w:color="auto"/>
      </w:divBdr>
    </w:div>
    <w:div w:id="1669745597">
      <w:bodyDiv w:val="1"/>
      <w:marLeft w:val="0"/>
      <w:marRight w:val="0"/>
      <w:marTop w:val="0"/>
      <w:marBottom w:val="0"/>
      <w:divBdr>
        <w:top w:val="none" w:sz="0" w:space="0" w:color="auto"/>
        <w:left w:val="none" w:sz="0" w:space="0" w:color="auto"/>
        <w:bottom w:val="none" w:sz="0" w:space="0" w:color="auto"/>
        <w:right w:val="none" w:sz="0" w:space="0" w:color="auto"/>
      </w:divBdr>
    </w:div>
    <w:div w:id="1673726968">
      <w:bodyDiv w:val="1"/>
      <w:marLeft w:val="0"/>
      <w:marRight w:val="0"/>
      <w:marTop w:val="0"/>
      <w:marBottom w:val="0"/>
      <w:divBdr>
        <w:top w:val="none" w:sz="0" w:space="0" w:color="auto"/>
        <w:left w:val="none" w:sz="0" w:space="0" w:color="auto"/>
        <w:bottom w:val="none" w:sz="0" w:space="0" w:color="auto"/>
        <w:right w:val="none" w:sz="0" w:space="0" w:color="auto"/>
      </w:divBdr>
      <w:divsChild>
        <w:div w:id="1341853196">
          <w:marLeft w:val="0"/>
          <w:marRight w:val="0"/>
          <w:marTop w:val="0"/>
          <w:marBottom w:val="0"/>
          <w:divBdr>
            <w:top w:val="none" w:sz="0" w:space="0" w:color="auto"/>
            <w:left w:val="none" w:sz="0" w:space="0" w:color="auto"/>
            <w:bottom w:val="none" w:sz="0" w:space="0" w:color="auto"/>
            <w:right w:val="none" w:sz="0" w:space="0" w:color="auto"/>
          </w:divBdr>
          <w:divsChild>
            <w:div w:id="1243685579">
              <w:marLeft w:val="0"/>
              <w:marRight w:val="0"/>
              <w:marTop w:val="0"/>
              <w:marBottom w:val="0"/>
              <w:divBdr>
                <w:top w:val="none" w:sz="0" w:space="0" w:color="auto"/>
                <w:left w:val="none" w:sz="0" w:space="0" w:color="auto"/>
                <w:bottom w:val="none" w:sz="0" w:space="0" w:color="auto"/>
                <w:right w:val="none" w:sz="0" w:space="0" w:color="auto"/>
              </w:divBdr>
              <w:divsChild>
                <w:div w:id="1343049735">
                  <w:marLeft w:val="0"/>
                  <w:marRight w:val="0"/>
                  <w:marTop w:val="0"/>
                  <w:marBottom w:val="0"/>
                  <w:divBdr>
                    <w:top w:val="none" w:sz="0" w:space="0" w:color="auto"/>
                    <w:left w:val="none" w:sz="0" w:space="0" w:color="auto"/>
                    <w:bottom w:val="none" w:sz="0" w:space="0" w:color="auto"/>
                    <w:right w:val="none" w:sz="0" w:space="0" w:color="auto"/>
                  </w:divBdr>
                  <w:divsChild>
                    <w:div w:id="266734725">
                      <w:marLeft w:val="0"/>
                      <w:marRight w:val="0"/>
                      <w:marTop w:val="0"/>
                      <w:marBottom w:val="0"/>
                      <w:divBdr>
                        <w:top w:val="none" w:sz="0" w:space="0" w:color="auto"/>
                        <w:left w:val="none" w:sz="0" w:space="0" w:color="auto"/>
                        <w:bottom w:val="none" w:sz="0" w:space="0" w:color="auto"/>
                        <w:right w:val="none" w:sz="0" w:space="0" w:color="auto"/>
                      </w:divBdr>
                      <w:divsChild>
                        <w:div w:id="1665234285">
                          <w:marLeft w:val="0"/>
                          <w:marRight w:val="0"/>
                          <w:marTop w:val="0"/>
                          <w:marBottom w:val="0"/>
                          <w:divBdr>
                            <w:top w:val="none" w:sz="0" w:space="0" w:color="auto"/>
                            <w:left w:val="none" w:sz="0" w:space="0" w:color="auto"/>
                            <w:bottom w:val="none" w:sz="0" w:space="0" w:color="auto"/>
                            <w:right w:val="none" w:sz="0" w:space="0" w:color="auto"/>
                          </w:divBdr>
                          <w:divsChild>
                            <w:div w:id="1473716979">
                              <w:marLeft w:val="0"/>
                              <w:marRight w:val="0"/>
                              <w:marTop w:val="0"/>
                              <w:marBottom w:val="0"/>
                              <w:divBdr>
                                <w:top w:val="none" w:sz="0" w:space="0" w:color="auto"/>
                                <w:left w:val="none" w:sz="0" w:space="0" w:color="auto"/>
                                <w:bottom w:val="none" w:sz="0" w:space="0" w:color="auto"/>
                                <w:right w:val="none" w:sz="0" w:space="0" w:color="auto"/>
                              </w:divBdr>
                              <w:divsChild>
                                <w:div w:id="188016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763852">
      <w:bodyDiv w:val="1"/>
      <w:marLeft w:val="0"/>
      <w:marRight w:val="0"/>
      <w:marTop w:val="0"/>
      <w:marBottom w:val="0"/>
      <w:divBdr>
        <w:top w:val="none" w:sz="0" w:space="0" w:color="auto"/>
        <w:left w:val="none" w:sz="0" w:space="0" w:color="auto"/>
        <w:bottom w:val="none" w:sz="0" w:space="0" w:color="auto"/>
        <w:right w:val="none" w:sz="0" w:space="0" w:color="auto"/>
      </w:divBdr>
    </w:div>
    <w:div w:id="1871529454">
      <w:bodyDiv w:val="1"/>
      <w:marLeft w:val="0"/>
      <w:marRight w:val="0"/>
      <w:marTop w:val="0"/>
      <w:marBottom w:val="0"/>
      <w:divBdr>
        <w:top w:val="none" w:sz="0" w:space="0" w:color="auto"/>
        <w:left w:val="none" w:sz="0" w:space="0" w:color="auto"/>
        <w:bottom w:val="none" w:sz="0" w:space="0" w:color="auto"/>
        <w:right w:val="none" w:sz="0" w:space="0" w:color="auto"/>
      </w:divBdr>
    </w:div>
    <w:div w:id="1905984657">
      <w:bodyDiv w:val="1"/>
      <w:marLeft w:val="0"/>
      <w:marRight w:val="0"/>
      <w:marTop w:val="0"/>
      <w:marBottom w:val="0"/>
      <w:divBdr>
        <w:top w:val="none" w:sz="0" w:space="0" w:color="auto"/>
        <w:left w:val="none" w:sz="0" w:space="0" w:color="auto"/>
        <w:bottom w:val="none" w:sz="0" w:space="0" w:color="auto"/>
        <w:right w:val="none" w:sz="0" w:space="0" w:color="auto"/>
      </w:divBdr>
    </w:div>
    <w:div w:id="1907720110">
      <w:bodyDiv w:val="1"/>
      <w:marLeft w:val="0"/>
      <w:marRight w:val="0"/>
      <w:marTop w:val="0"/>
      <w:marBottom w:val="0"/>
      <w:divBdr>
        <w:top w:val="none" w:sz="0" w:space="0" w:color="auto"/>
        <w:left w:val="none" w:sz="0" w:space="0" w:color="auto"/>
        <w:bottom w:val="none" w:sz="0" w:space="0" w:color="auto"/>
        <w:right w:val="none" w:sz="0" w:space="0" w:color="auto"/>
      </w:divBdr>
    </w:div>
    <w:div w:id="1921985897">
      <w:bodyDiv w:val="1"/>
      <w:marLeft w:val="0"/>
      <w:marRight w:val="0"/>
      <w:marTop w:val="0"/>
      <w:marBottom w:val="0"/>
      <w:divBdr>
        <w:top w:val="none" w:sz="0" w:space="0" w:color="auto"/>
        <w:left w:val="none" w:sz="0" w:space="0" w:color="auto"/>
        <w:bottom w:val="none" w:sz="0" w:space="0" w:color="auto"/>
        <w:right w:val="none" w:sz="0" w:space="0" w:color="auto"/>
      </w:divBdr>
    </w:div>
    <w:div w:id="1922982742">
      <w:bodyDiv w:val="1"/>
      <w:marLeft w:val="0"/>
      <w:marRight w:val="0"/>
      <w:marTop w:val="0"/>
      <w:marBottom w:val="0"/>
      <w:divBdr>
        <w:top w:val="none" w:sz="0" w:space="0" w:color="auto"/>
        <w:left w:val="none" w:sz="0" w:space="0" w:color="auto"/>
        <w:bottom w:val="none" w:sz="0" w:space="0" w:color="auto"/>
        <w:right w:val="none" w:sz="0" w:space="0" w:color="auto"/>
      </w:divBdr>
    </w:div>
    <w:div w:id="2025083674">
      <w:bodyDiv w:val="1"/>
      <w:marLeft w:val="0"/>
      <w:marRight w:val="0"/>
      <w:marTop w:val="0"/>
      <w:marBottom w:val="0"/>
      <w:divBdr>
        <w:top w:val="none" w:sz="0" w:space="0" w:color="auto"/>
        <w:left w:val="none" w:sz="0" w:space="0" w:color="auto"/>
        <w:bottom w:val="none" w:sz="0" w:space="0" w:color="auto"/>
        <w:right w:val="none" w:sz="0" w:space="0" w:color="auto"/>
      </w:divBdr>
    </w:div>
    <w:div w:id="207369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52304-F674-4A9B-8ED9-5048A9262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6E5E914.dotm</Template>
  <TotalTime>0</TotalTime>
  <Pages>6</Pages>
  <Words>964</Words>
  <Characters>5078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2018-07-02T22:37:00Z</dcterms:created>
  <dcterms:modified xsi:type="dcterms:W3CDTF">2018-07-02T22:41:00Z</dcterms:modified>
</cp:coreProperties>
</file>