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1CF" w:rsidRDefault="00A60913" w:rsidP="006161CF">
      <w:pPr>
        <w:pStyle w:val="Heading1"/>
        <w:spacing w:before="120"/>
        <w:jc w:val="center"/>
        <w:rPr>
          <w:caps/>
        </w:rPr>
      </w:pPr>
      <w:bookmarkStart w:id="0" w:name="_GoBack"/>
      <w:bookmarkEnd w:id="0"/>
      <w:r w:rsidRPr="00B70AA6">
        <w:rPr>
          <w:caps/>
        </w:rPr>
        <w:t>psychosocial</w:t>
      </w:r>
      <w:r w:rsidR="00827308" w:rsidRPr="00B70AA6">
        <w:rPr>
          <w:caps/>
        </w:rPr>
        <w:t xml:space="preserve"> health and safety and bullying </w:t>
      </w:r>
    </w:p>
    <w:p w:rsidR="006161CF" w:rsidRDefault="00A60913" w:rsidP="006161CF">
      <w:pPr>
        <w:pStyle w:val="Heading1"/>
        <w:spacing w:before="120"/>
        <w:jc w:val="center"/>
        <w:rPr>
          <w:caps/>
        </w:rPr>
      </w:pPr>
      <w:r w:rsidRPr="00B70AA6">
        <w:rPr>
          <w:caps/>
        </w:rPr>
        <w:t>in australian workplaces</w:t>
      </w:r>
    </w:p>
    <w:p w:rsidR="00AB586F" w:rsidRPr="00B70AA6" w:rsidRDefault="00A60913" w:rsidP="006161CF">
      <w:pPr>
        <w:pStyle w:val="Heading1"/>
        <w:spacing w:before="120"/>
        <w:jc w:val="center"/>
        <w:rPr>
          <w:caps/>
        </w:rPr>
      </w:pPr>
      <w:r w:rsidRPr="00B70AA6">
        <w:rPr>
          <w:caps/>
        </w:rPr>
        <w:t>Indicators from ACCEPTED WORKERS’ COMPENSATION CLAIMS</w:t>
      </w:r>
    </w:p>
    <w:p w:rsidR="00A60913" w:rsidRPr="00B70AA6" w:rsidRDefault="005A58E0" w:rsidP="006161CF">
      <w:pPr>
        <w:pStyle w:val="Heading1"/>
        <w:spacing w:before="120"/>
        <w:jc w:val="center"/>
        <w:rPr>
          <w:caps/>
        </w:rPr>
      </w:pPr>
      <w:r>
        <w:rPr>
          <w:caps/>
        </w:rPr>
        <w:t>ANNUAL STATEMENT, 3RD</w:t>
      </w:r>
      <w:r w:rsidR="00CD41C6">
        <w:rPr>
          <w:caps/>
        </w:rPr>
        <w:t xml:space="preserve"> EDITION, 2016</w:t>
      </w:r>
    </w:p>
    <w:p w:rsidR="00A60913" w:rsidRDefault="00A60913" w:rsidP="00B70AA6">
      <w:pPr>
        <w:pStyle w:val="Heading2"/>
      </w:pPr>
      <w:r w:rsidRPr="00A60913">
        <w:t>INTRODUCTION</w:t>
      </w:r>
    </w:p>
    <w:p w:rsidR="00827308" w:rsidRPr="00B70AA6" w:rsidRDefault="00827308" w:rsidP="00827308">
      <w:pPr>
        <w:rPr>
          <w:szCs w:val="22"/>
        </w:rPr>
      </w:pPr>
    </w:p>
    <w:p w:rsidR="00A60913" w:rsidRPr="006F3EA5" w:rsidRDefault="00A60913" w:rsidP="00B70AA6">
      <w:pPr>
        <w:rPr>
          <w:rFonts w:asciiTheme="minorHAnsi" w:hAnsiTheme="minorHAnsi" w:cstheme="minorHAnsi"/>
          <w:szCs w:val="22"/>
        </w:rPr>
      </w:pPr>
      <w:r w:rsidRPr="006F3EA5">
        <w:rPr>
          <w:rFonts w:asciiTheme="minorHAnsi" w:hAnsiTheme="minorHAnsi" w:cstheme="minorHAnsi"/>
          <w:szCs w:val="22"/>
        </w:rPr>
        <w:t xml:space="preserve">This is the </w:t>
      </w:r>
      <w:r w:rsidR="00CD41C6" w:rsidRPr="006F3EA5">
        <w:rPr>
          <w:rFonts w:asciiTheme="minorHAnsi" w:hAnsiTheme="minorHAnsi" w:cstheme="minorHAnsi"/>
          <w:szCs w:val="22"/>
        </w:rPr>
        <w:t>third</w:t>
      </w:r>
      <w:r w:rsidRPr="006F3EA5">
        <w:rPr>
          <w:rFonts w:asciiTheme="minorHAnsi" w:hAnsiTheme="minorHAnsi" w:cstheme="minorHAnsi"/>
          <w:szCs w:val="22"/>
        </w:rPr>
        <w:t xml:space="preserve"> annual national statement issued by Safe Work Australia to identify emerging trends in psychosocial health and safety and bullying in Australian workplaces.</w:t>
      </w:r>
      <w:r w:rsidR="00FF07D3" w:rsidRPr="006F3EA5">
        <w:rPr>
          <w:rFonts w:asciiTheme="minorHAnsi" w:hAnsiTheme="minorHAnsi" w:cstheme="minorHAnsi"/>
          <w:szCs w:val="22"/>
        </w:rPr>
        <w:t xml:space="preserve"> </w:t>
      </w:r>
      <w:r w:rsidRPr="006F3EA5">
        <w:rPr>
          <w:rFonts w:asciiTheme="minorHAnsi" w:hAnsiTheme="minorHAnsi" w:cstheme="minorHAnsi"/>
          <w:szCs w:val="22"/>
        </w:rPr>
        <w:t xml:space="preserve">The information presented in this statement is based on data from accepted workers’ compensation claims involving mental stress. This mechanism category is assigned to claims when the work-related injury or disease results from the person experiencing mental stress or being exposed to mentally stressing situations. </w:t>
      </w:r>
    </w:p>
    <w:p w:rsidR="00FF07D3" w:rsidRPr="006F3EA5" w:rsidRDefault="00FF07D3" w:rsidP="00B70AA6">
      <w:pPr>
        <w:rPr>
          <w:rFonts w:asciiTheme="minorHAnsi" w:hAnsiTheme="minorHAnsi" w:cstheme="minorHAnsi"/>
          <w:szCs w:val="22"/>
        </w:rPr>
      </w:pPr>
    </w:p>
    <w:p w:rsidR="00A60913" w:rsidRPr="006F3EA5" w:rsidRDefault="00A60913" w:rsidP="00B70AA6">
      <w:pPr>
        <w:rPr>
          <w:rFonts w:asciiTheme="minorHAnsi" w:hAnsiTheme="minorHAnsi" w:cstheme="minorHAnsi"/>
          <w:szCs w:val="22"/>
        </w:rPr>
      </w:pPr>
      <w:r w:rsidRPr="006F3EA5">
        <w:rPr>
          <w:rFonts w:asciiTheme="minorHAnsi" w:hAnsiTheme="minorHAnsi" w:cstheme="minorHAnsi"/>
          <w:szCs w:val="22"/>
        </w:rPr>
        <w:t xml:space="preserve">The prevalence of this type of claim provides a limited indicator for the psychosocial health and safety status of Australian workplaces. The mental stress code includes a subcategory </w:t>
      </w:r>
      <w:r w:rsidR="006161CF" w:rsidRPr="006F3EA5">
        <w:rPr>
          <w:rFonts w:asciiTheme="minorHAnsi" w:hAnsiTheme="minorHAnsi" w:cstheme="minorHAnsi"/>
          <w:szCs w:val="22"/>
        </w:rPr>
        <w:t xml:space="preserve">for </w:t>
      </w:r>
      <w:r w:rsidRPr="006F3EA5">
        <w:rPr>
          <w:rFonts w:asciiTheme="minorHAnsi" w:hAnsiTheme="minorHAnsi" w:cstheme="minorHAnsi"/>
          <w:szCs w:val="22"/>
        </w:rPr>
        <w:t>work-related harassment and/or workplace bullying. This subcategory is assigned to claims when the employee was a victim of:</w:t>
      </w:r>
    </w:p>
    <w:p w:rsidR="00A60913" w:rsidRPr="006F3EA5" w:rsidRDefault="00A60913" w:rsidP="00B70AA6">
      <w:pPr>
        <w:pStyle w:val="ListParagraph"/>
        <w:numPr>
          <w:ilvl w:val="0"/>
          <w:numId w:val="4"/>
        </w:numPr>
        <w:rPr>
          <w:rFonts w:asciiTheme="minorHAnsi" w:hAnsiTheme="minorHAnsi" w:cstheme="minorHAnsi"/>
          <w:szCs w:val="22"/>
        </w:rPr>
      </w:pPr>
      <w:r w:rsidRPr="006F3EA5">
        <w:rPr>
          <w:rFonts w:asciiTheme="minorHAnsi" w:hAnsiTheme="minorHAnsi" w:cstheme="minorHAnsi"/>
          <w:szCs w:val="22"/>
        </w:rPr>
        <w:t>repetitive assault and/or threatened assault by a work colleague or colleagues, or</w:t>
      </w:r>
    </w:p>
    <w:p w:rsidR="00A60913" w:rsidRPr="006F3EA5" w:rsidRDefault="00A60913" w:rsidP="00B70AA6">
      <w:pPr>
        <w:pStyle w:val="ListParagraph"/>
        <w:numPr>
          <w:ilvl w:val="0"/>
          <w:numId w:val="4"/>
        </w:numPr>
        <w:rPr>
          <w:rFonts w:asciiTheme="minorHAnsi" w:hAnsiTheme="minorHAnsi" w:cstheme="minorHAnsi"/>
          <w:szCs w:val="22"/>
        </w:rPr>
      </w:pPr>
      <w:r w:rsidRPr="006F3EA5">
        <w:rPr>
          <w:rFonts w:asciiTheme="minorHAnsi" w:hAnsiTheme="minorHAnsi" w:cstheme="minorHAnsi"/>
          <w:szCs w:val="22"/>
        </w:rPr>
        <w:t>repetitive verbal harassment, threats, and abuse from a work colleague or colleagues.</w:t>
      </w:r>
    </w:p>
    <w:p w:rsidR="00FF07D3" w:rsidRPr="006F3EA5" w:rsidRDefault="00FF07D3" w:rsidP="00FF07D3">
      <w:pPr>
        <w:pStyle w:val="ListParagraph"/>
        <w:rPr>
          <w:rFonts w:asciiTheme="minorHAnsi" w:hAnsiTheme="minorHAnsi" w:cstheme="minorHAnsi"/>
          <w:szCs w:val="22"/>
        </w:rPr>
      </w:pPr>
    </w:p>
    <w:p w:rsidR="00827308" w:rsidRPr="006F3EA5" w:rsidRDefault="00A60913" w:rsidP="00B70AA6">
      <w:pPr>
        <w:rPr>
          <w:rFonts w:asciiTheme="minorHAnsi" w:hAnsiTheme="minorHAnsi" w:cstheme="minorHAnsi"/>
          <w:color w:val="001E5B"/>
          <w:szCs w:val="22"/>
        </w:rPr>
      </w:pPr>
      <w:r w:rsidRPr="006F3EA5">
        <w:rPr>
          <w:rFonts w:asciiTheme="minorHAnsi" w:hAnsiTheme="minorHAnsi" w:cstheme="minorHAnsi"/>
          <w:szCs w:val="22"/>
        </w:rPr>
        <w:t xml:space="preserve">This </w:t>
      </w:r>
      <w:r w:rsidR="00805E16">
        <w:rPr>
          <w:rFonts w:asciiTheme="minorHAnsi" w:hAnsiTheme="minorHAnsi" w:cstheme="minorHAnsi"/>
          <w:szCs w:val="22"/>
        </w:rPr>
        <w:t xml:space="preserve">subcategory </w:t>
      </w:r>
      <w:r w:rsidRPr="006F3EA5">
        <w:rPr>
          <w:rFonts w:asciiTheme="minorHAnsi" w:hAnsiTheme="minorHAnsi" w:cstheme="minorHAnsi"/>
          <w:szCs w:val="22"/>
        </w:rPr>
        <w:t>broadly aligns with the nationally accepted definition of workplace bullying of repeated and unreasonable behaviour directed towards a worker or a group of workers that creates a risk to health and safety (</w:t>
      </w:r>
      <w:r w:rsidRPr="00066CA9">
        <w:rPr>
          <w:rFonts w:asciiTheme="minorHAnsi" w:hAnsiTheme="minorHAnsi" w:cstheme="minorHAnsi"/>
          <w:i/>
          <w:szCs w:val="22"/>
        </w:rPr>
        <w:t>Fair Work Act 2009</w:t>
      </w:r>
      <w:r w:rsidRPr="006F3EA5">
        <w:rPr>
          <w:rFonts w:asciiTheme="minorHAnsi" w:hAnsiTheme="minorHAnsi" w:cstheme="minorHAnsi"/>
          <w:szCs w:val="22"/>
        </w:rPr>
        <w:t>, s.789FD(1)).</w:t>
      </w:r>
      <w:r w:rsidR="00FF07D3" w:rsidRPr="006F3EA5">
        <w:rPr>
          <w:rFonts w:asciiTheme="minorHAnsi" w:hAnsiTheme="minorHAnsi" w:cstheme="minorHAnsi"/>
          <w:color w:val="001E5B"/>
          <w:szCs w:val="22"/>
        </w:rPr>
        <w:t xml:space="preserve"> </w:t>
      </w:r>
      <w:r w:rsidRPr="006F3EA5">
        <w:rPr>
          <w:rFonts w:asciiTheme="minorHAnsi" w:hAnsiTheme="minorHAnsi" w:cstheme="minorHAnsi"/>
          <w:szCs w:val="22"/>
        </w:rPr>
        <w:t xml:space="preserve">Excluded from the analysis as presented in this statement are claims due to sexual or racial harassment. Also excluded are assault cases where the physical injuries were more serious than the mental stress involved in the incident. </w:t>
      </w:r>
    </w:p>
    <w:p w:rsidR="00A60913" w:rsidRPr="00827308" w:rsidRDefault="00A60913" w:rsidP="00B70AA6">
      <w:pPr>
        <w:pStyle w:val="Heading2"/>
        <w:rPr>
          <w:spacing w:val="-5"/>
        </w:rPr>
      </w:pPr>
      <w:r w:rsidRPr="00A60913">
        <w:t>MENTAL STRESS CLAIM TRENDS</w:t>
      </w:r>
    </w:p>
    <w:p w:rsidR="00A60913" w:rsidRDefault="00A60913">
      <w:pPr>
        <w:rPr>
          <w:rFonts w:cs="Arial"/>
        </w:rPr>
      </w:pPr>
    </w:p>
    <w:p w:rsidR="00A60913" w:rsidRPr="006F3EA5" w:rsidRDefault="00A60913" w:rsidP="00AB586F">
      <w:pPr>
        <w:rPr>
          <w:rFonts w:asciiTheme="minorHAnsi" w:hAnsiTheme="minorHAnsi" w:cstheme="minorHAnsi"/>
          <w:szCs w:val="22"/>
          <w:lang w:val="en-GB"/>
        </w:rPr>
      </w:pPr>
      <w:r w:rsidRPr="006F3EA5">
        <w:rPr>
          <w:rFonts w:asciiTheme="minorHAnsi" w:hAnsiTheme="minorHAnsi" w:cstheme="minorHAnsi"/>
          <w:szCs w:val="22"/>
          <w:lang w:val="en-GB"/>
        </w:rPr>
        <w:t>Figure 1 shows that the frequency rate of mental stres</w:t>
      </w:r>
      <w:r w:rsidR="00CD41C6" w:rsidRPr="006F3EA5">
        <w:rPr>
          <w:rFonts w:asciiTheme="minorHAnsi" w:hAnsiTheme="minorHAnsi" w:cstheme="minorHAnsi"/>
          <w:szCs w:val="22"/>
          <w:lang w:val="en-GB"/>
        </w:rPr>
        <w:t>s claims has fallen between 2002-03 and 2014-15</w:t>
      </w:r>
      <w:r w:rsidR="006161CF" w:rsidRPr="006F3EA5">
        <w:rPr>
          <w:rFonts w:asciiTheme="minorHAnsi" w:hAnsiTheme="minorHAnsi" w:cstheme="minorHAnsi"/>
          <w:szCs w:val="22"/>
          <w:lang w:val="en-GB"/>
        </w:rPr>
        <w:t>. W</w:t>
      </w:r>
      <w:r w:rsidRPr="006F3EA5">
        <w:rPr>
          <w:rFonts w:asciiTheme="minorHAnsi" w:hAnsiTheme="minorHAnsi" w:cstheme="minorHAnsi"/>
          <w:szCs w:val="22"/>
          <w:lang w:val="en-GB"/>
        </w:rPr>
        <w:t xml:space="preserve">hile the rate for harassment and/or bullying claims has increased over that </w:t>
      </w:r>
      <w:r w:rsidR="006161CF" w:rsidRPr="006F3EA5">
        <w:rPr>
          <w:rFonts w:asciiTheme="minorHAnsi" w:hAnsiTheme="minorHAnsi" w:cstheme="minorHAnsi"/>
          <w:szCs w:val="22"/>
          <w:lang w:val="en-GB"/>
        </w:rPr>
        <w:t xml:space="preserve">same </w:t>
      </w:r>
      <w:r w:rsidRPr="006F3EA5">
        <w:rPr>
          <w:rFonts w:asciiTheme="minorHAnsi" w:hAnsiTheme="minorHAnsi" w:cstheme="minorHAnsi"/>
          <w:szCs w:val="22"/>
          <w:lang w:val="en-GB"/>
        </w:rPr>
        <w:t>period</w:t>
      </w:r>
      <w:r w:rsidR="006161CF" w:rsidRPr="006F3EA5">
        <w:rPr>
          <w:rFonts w:asciiTheme="minorHAnsi" w:hAnsiTheme="minorHAnsi" w:cstheme="minorHAnsi"/>
          <w:szCs w:val="22"/>
          <w:lang w:val="en-GB"/>
        </w:rPr>
        <w:t>, it has started to trend down since the peak in 2010-11</w:t>
      </w:r>
      <w:r w:rsidRPr="006F3EA5">
        <w:rPr>
          <w:rFonts w:asciiTheme="minorHAnsi" w:hAnsiTheme="minorHAnsi" w:cstheme="minorHAnsi"/>
          <w:szCs w:val="22"/>
          <w:lang w:val="en-GB"/>
        </w:rPr>
        <w:t xml:space="preserve">. This trend data is an approximate measure </w:t>
      </w:r>
      <w:r w:rsidR="00805E16">
        <w:rPr>
          <w:rFonts w:asciiTheme="minorHAnsi" w:hAnsiTheme="minorHAnsi" w:cstheme="minorHAnsi"/>
          <w:szCs w:val="22"/>
          <w:lang w:val="en-GB"/>
        </w:rPr>
        <w:t>of</w:t>
      </w:r>
      <w:r w:rsidRPr="006F3EA5">
        <w:rPr>
          <w:rFonts w:asciiTheme="minorHAnsi" w:hAnsiTheme="minorHAnsi" w:cstheme="minorHAnsi"/>
          <w:szCs w:val="22"/>
          <w:lang w:val="en-GB"/>
        </w:rPr>
        <w:t xml:space="preserve"> the psychosocial health and safety status of Australian workplaces over time and should be interpreted with caution.</w:t>
      </w:r>
      <w:r w:rsidR="00747AAD">
        <w:rPr>
          <w:rFonts w:asciiTheme="minorHAnsi" w:hAnsiTheme="minorHAnsi" w:cstheme="minorHAnsi"/>
          <w:szCs w:val="22"/>
          <w:lang w:val="en-GB"/>
        </w:rPr>
        <w:t xml:space="preserve"> E</w:t>
      </w:r>
      <w:r w:rsidRPr="006F3EA5">
        <w:rPr>
          <w:rFonts w:asciiTheme="minorHAnsi" w:hAnsiTheme="minorHAnsi" w:cstheme="minorHAnsi"/>
          <w:szCs w:val="22"/>
          <w:lang w:val="en-GB"/>
        </w:rPr>
        <w:t>xternal factors such as changes to jurisdictional legislation may have influenced the scope of claims involving mental stress over the reporting period.</w:t>
      </w:r>
    </w:p>
    <w:p w:rsidR="00827308" w:rsidRDefault="00827308" w:rsidP="00827308">
      <w:pPr>
        <w:rPr>
          <w:lang w:val="en-GB"/>
        </w:rPr>
      </w:pPr>
    </w:p>
    <w:p w:rsidR="00827308" w:rsidRPr="009C5140" w:rsidRDefault="00827308" w:rsidP="00827308">
      <w:pPr>
        <w:rPr>
          <w:rFonts w:asciiTheme="minorHAnsi" w:hAnsiTheme="minorHAnsi" w:cstheme="minorHAnsi"/>
          <w:b/>
          <w:szCs w:val="22"/>
        </w:rPr>
      </w:pPr>
      <w:r w:rsidRPr="009C5140">
        <w:rPr>
          <w:rFonts w:asciiTheme="minorHAnsi" w:hAnsiTheme="minorHAnsi" w:cstheme="minorHAnsi"/>
          <w:b/>
          <w:szCs w:val="22"/>
        </w:rPr>
        <w:t>Figure 1</w:t>
      </w:r>
      <w:r w:rsidR="007278B7">
        <w:rPr>
          <w:rFonts w:asciiTheme="minorHAnsi" w:hAnsiTheme="minorHAnsi" w:cstheme="minorHAnsi"/>
          <w:b/>
          <w:szCs w:val="22"/>
        </w:rPr>
        <w:t>:</w:t>
      </w:r>
      <w:r w:rsidRPr="009C5140">
        <w:rPr>
          <w:rFonts w:asciiTheme="minorHAnsi" w:hAnsiTheme="minorHAnsi" w:cstheme="minorHAnsi"/>
          <w:b/>
          <w:szCs w:val="22"/>
        </w:rPr>
        <w:t xml:space="preserve"> Mental stress and subcategory harassment and/or</w:t>
      </w:r>
      <w:r w:rsidR="00CD41C6" w:rsidRPr="009C5140">
        <w:rPr>
          <w:rFonts w:asciiTheme="minorHAnsi" w:hAnsiTheme="minorHAnsi" w:cstheme="minorHAnsi"/>
          <w:b/>
          <w:szCs w:val="22"/>
        </w:rPr>
        <w:t xml:space="preserve"> bullying: Frequency rates, 2002–03 to 2014–15</w:t>
      </w:r>
      <w:r w:rsidRPr="009C5140">
        <w:rPr>
          <w:rFonts w:asciiTheme="minorHAnsi" w:hAnsiTheme="minorHAnsi" w:cstheme="minorHAnsi"/>
          <w:b/>
          <w:szCs w:val="22"/>
        </w:rPr>
        <w:t>p*</w:t>
      </w:r>
    </w:p>
    <w:p w:rsidR="00827308" w:rsidRPr="00A60913" w:rsidRDefault="006161CF" w:rsidP="00F2353D">
      <w:pPr>
        <w:jc w:val="center"/>
        <w:rPr>
          <w:lang w:val="en-GB"/>
        </w:rPr>
      </w:pPr>
      <w:r>
        <w:rPr>
          <w:noProof/>
        </w:rPr>
        <w:drawing>
          <wp:inline distT="0" distB="0" distL="0" distR="0" wp14:anchorId="7FFA740F" wp14:editId="46436A3F">
            <wp:extent cx="6503826" cy="2667000"/>
            <wp:effectExtent l="0" t="0" r="0" b="0"/>
            <wp:docPr id="3" name="Picture 3" descr="Figure 1 shows that the frequency rate of mental stress claims has fallen between 2002-03 and 2014-15" title="Mental stress and subcategory harassment and/or bullying: Frequency rates, 2002–03 to 2014–15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03826" cy="2667000"/>
                    </a:xfrm>
                    <a:prstGeom prst="rect">
                      <a:avLst/>
                    </a:prstGeom>
                    <a:noFill/>
                  </pic:spPr>
                </pic:pic>
              </a:graphicData>
            </a:graphic>
          </wp:inline>
        </w:drawing>
      </w:r>
    </w:p>
    <w:p w:rsidR="00827308" w:rsidRPr="006F3EA5" w:rsidRDefault="00CD41C6" w:rsidP="005E5B12">
      <w:pPr>
        <w:pStyle w:val="footnotes"/>
        <w:spacing w:after="0"/>
        <w:rPr>
          <w:rFonts w:asciiTheme="minorHAnsi" w:hAnsiTheme="minorHAnsi" w:cstheme="minorHAnsi"/>
          <w:color w:val="003A4A"/>
        </w:rPr>
      </w:pPr>
      <w:r w:rsidRPr="006F3EA5">
        <w:rPr>
          <w:rFonts w:asciiTheme="minorHAnsi" w:hAnsiTheme="minorHAnsi" w:cstheme="minorHAnsi"/>
          <w:color w:val="003A4A"/>
        </w:rPr>
        <w:t>*2014-15</w:t>
      </w:r>
      <w:r w:rsidR="00827308" w:rsidRPr="006F3EA5">
        <w:rPr>
          <w:rFonts w:asciiTheme="minorHAnsi" w:hAnsiTheme="minorHAnsi" w:cstheme="minorHAnsi"/>
          <w:color w:val="003A4A"/>
        </w:rPr>
        <w:t xml:space="preserve"> data are preliminary and subject to change</w:t>
      </w:r>
      <w:r w:rsidR="006F3EA5" w:rsidRPr="006F3EA5">
        <w:rPr>
          <w:rFonts w:asciiTheme="minorHAnsi" w:hAnsiTheme="minorHAnsi" w:cstheme="minorHAnsi"/>
          <w:color w:val="003A4A"/>
        </w:rPr>
        <w:t>.</w:t>
      </w:r>
    </w:p>
    <w:p w:rsidR="006161CF" w:rsidRPr="006F3EA5" w:rsidRDefault="006161CF" w:rsidP="005E5B12">
      <w:pPr>
        <w:pStyle w:val="footnotes"/>
        <w:spacing w:after="0"/>
        <w:rPr>
          <w:rFonts w:asciiTheme="minorHAnsi" w:hAnsiTheme="minorHAnsi" w:cstheme="minorHAnsi"/>
          <w:color w:val="003A4A"/>
        </w:rPr>
      </w:pPr>
      <w:r w:rsidRPr="006F3EA5">
        <w:rPr>
          <w:rFonts w:asciiTheme="minorHAnsi" w:hAnsiTheme="minorHAnsi" w:cstheme="minorHAnsi"/>
          <w:color w:val="003A4A"/>
        </w:rPr>
        <w:t>**</w:t>
      </w:r>
      <w:r w:rsidR="006F3EA5" w:rsidRPr="006F3EA5">
        <w:rPr>
          <w:rFonts w:asciiTheme="minorHAnsi" w:hAnsiTheme="minorHAnsi" w:cstheme="minorHAnsi"/>
          <w:color w:val="003A4A"/>
        </w:rPr>
        <w:t xml:space="preserve"> Mental stress data includes information from Victoria.</w:t>
      </w:r>
    </w:p>
    <w:p w:rsidR="006F3EA5" w:rsidRPr="006F3EA5" w:rsidRDefault="00805E16" w:rsidP="005E5B12">
      <w:pPr>
        <w:pStyle w:val="footnotes"/>
        <w:spacing w:after="0"/>
        <w:rPr>
          <w:rFonts w:asciiTheme="minorHAnsi" w:hAnsiTheme="minorHAnsi" w:cstheme="minorHAnsi"/>
          <w:color w:val="003A4A"/>
        </w:rPr>
      </w:pPr>
      <w:r>
        <w:rPr>
          <w:rFonts w:asciiTheme="minorHAnsi" w:hAnsiTheme="minorHAnsi" w:cstheme="minorHAnsi"/>
          <w:color w:val="003A4A"/>
        </w:rPr>
        <w:t>*** Harassment and</w:t>
      </w:r>
      <w:r w:rsidR="006F3EA5" w:rsidRPr="006F3EA5">
        <w:rPr>
          <w:rFonts w:asciiTheme="minorHAnsi" w:hAnsiTheme="minorHAnsi" w:cstheme="minorHAnsi"/>
          <w:color w:val="003A4A"/>
        </w:rPr>
        <w:t>/or bullying data excludes information from Victoria.</w:t>
      </w:r>
    </w:p>
    <w:p w:rsidR="00827308" w:rsidRDefault="00827308">
      <w:pPr>
        <w:rPr>
          <w:rFonts w:cs="Arial"/>
        </w:rPr>
      </w:pPr>
    </w:p>
    <w:p w:rsidR="00827308" w:rsidRDefault="00827308" w:rsidP="00FF07D3">
      <w:pPr>
        <w:pStyle w:val="Heading2"/>
      </w:pPr>
      <w:r>
        <w:lastRenderedPageBreak/>
        <w:t>MENTAL STRESS CATEGORY BREAKDOWN</w:t>
      </w:r>
    </w:p>
    <w:p w:rsidR="00827308" w:rsidRDefault="00827308">
      <w:pPr>
        <w:rPr>
          <w:rFonts w:cs="Arial"/>
        </w:rPr>
      </w:pPr>
    </w:p>
    <w:p w:rsidR="00827308" w:rsidRPr="006F3EA5" w:rsidRDefault="00827308" w:rsidP="00827308">
      <w:pPr>
        <w:suppressAutoHyphens/>
        <w:autoSpaceDE w:val="0"/>
        <w:autoSpaceDN w:val="0"/>
        <w:adjustRightInd w:val="0"/>
        <w:spacing w:after="170" w:line="260" w:lineRule="atLeast"/>
        <w:textAlignment w:val="center"/>
        <w:rPr>
          <w:rFonts w:asciiTheme="minorHAnsi" w:hAnsiTheme="minorHAnsi" w:cstheme="minorHAnsi"/>
          <w:szCs w:val="22"/>
          <w:lang w:val="en-GB"/>
        </w:rPr>
      </w:pPr>
      <w:r w:rsidRPr="006F3EA5">
        <w:rPr>
          <w:rFonts w:asciiTheme="minorHAnsi" w:hAnsiTheme="minorHAnsi" w:cstheme="minorHAnsi"/>
          <w:szCs w:val="22"/>
          <w:lang w:val="en-GB"/>
        </w:rPr>
        <w:t xml:space="preserve">Table 1 provides key statistics for claims involving mental stress as the main </w:t>
      </w:r>
      <w:r w:rsidR="00FF07D3" w:rsidRPr="006F3EA5">
        <w:rPr>
          <w:rFonts w:asciiTheme="minorHAnsi" w:hAnsiTheme="minorHAnsi" w:cstheme="minorHAnsi"/>
          <w:szCs w:val="22"/>
          <w:lang w:val="en-GB"/>
        </w:rPr>
        <w:t>mechanism</w:t>
      </w:r>
      <w:r w:rsidR="002A60E0">
        <w:rPr>
          <w:rFonts w:asciiTheme="minorHAnsi" w:hAnsiTheme="minorHAnsi" w:cstheme="minorHAnsi"/>
          <w:szCs w:val="22"/>
          <w:lang w:val="en-GB"/>
        </w:rPr>
        <w:t xml:space="preserve"> of injury or disease for 2013</w:t>
      </w:r>
      <w:r w:rsidR="002A60E0">
        <w:rPr>
          <w:rFonts w:asciiTheme="minorHAnsi" w:hAnsiTheme="minorHAnsi" w:cstheme="minorHAnsi"/>
          <w:szCs w:val="22"/>
          <w:lang w:val="en-GB"/>
        </w:rPr>
        <w:noBreakHyphen/>
      </w:r>
      <w:r w:rsidR="00CD41C6" w:rsidRPr="006F3EA5">
        <w:rPr>
          <w:rFonts w:asciiTheme="minorHAnsi" w:hAnsiTheme="minorHAnsi" w:cstheme="minorHAnsi"/>
          <w:szCs w:val="22"/>
          <w:lang w:val="en-GB"/>
        </w:rPr>
        <w:t>14</w:t>
      </w:r>
      <w:r w:rsidRPr="006F3EA5">
        <w:rPr>
          <w:rFonts w:asciiTheme="minorHAnsi" w:hAnsiTheme="minorHAnsi" w:cstheme="minorHAnsi"/>
          <w:szCs w:val="22"/>
          <w:lang w:val="en-GB"/>
        </w:rPr>
        <w:t xml:space="preserve"> broken up by mechanism subcategory. It shows that, while mental stress claims </w:t>
      </w:r>
      <w:r w:rsidR="006F3EA5" w:rsidRPr="006F3EA5">
        <w:rPr>
          <w:rFonts w:asciiTheme="minorHAnsi" w:hAnsiTheme="minorHAnsi" w:cstheme="minorHAnsi"/>
          <w:szCs w:val="22"/>
          <w:lang w:val="en-GB"/>
        </w:rPr>
        <w:t>only make up a small proportion of claims</w:t>
      </w:r>
      <w:r w:rsidRPr="006F3EA5">
        <w:rPr>
          <w:rFonts w:asciiTheme="minorHAnsi" w:hAnsiTheme="minorHAnsi" w:cstheme="minorHAnsi"/>
          <w:szCs w:val="22"/>
          <w:lang w:val="en-GB"/>
        </w:rPr>
        <w:t xml:space="preserve">, the median time lost and median direct cost associated with mental stress claims are </w:t>
      </w:r>
      <w:r w:rsidR="002A60E0">
        <w:rPr>
          <w:rFonts w:asciiTheme="minorHAnsi" w:hAnsiTheme="minorHAnsi" w:cstheme="minorHAnsi"/>
          <w:szCs w:val="22"/>
          <w:lang w:val="en-GB"/>
        </w:rPr>
        <w:t xml:space="preserve">significantly </w:t>
      </w:r>
      <w:r w:rsidRPr="006F3EA5">
        <w:rPr>
          <w:rFonts w:asciiTheme="minorHAnsi" w:hAnsiTheme="minorHAnsi" w:cstheme="minorHAnsi"/>
          <w:szCs w:val="22"/>
          <w:lang w:val="en-GB"/>
        </w:rPr>
        <w:t xml:space="preserve">higher compared to those observed for all workers’ compensation claims. </w:t>
      </w:r>
    </w:p>
    <w:p w:rsidR="00827308" w:rsidRPr="009C5140" w:rsidRDefault="00827308" w:rsidP="00FF07D3">
      <w:pPr>
        <w:pStyle w:val="Figuretitle"/>
        <w:spacing w:before="57" w:after="57"/>
        <w:rPr>
          <w:rFonts w:asciiTheme="minorHAnsi" w:hAnsiTheme="minorHAnsi" w:cstheme="minorHAnsi"/>
          <w:color w:val="auto"/>
          <w:spacing w:val="-1"/>
          <w:sz w:val="22"/>
          <w:szCs w:val="22"/>
        </w:rPr>
      </w:pPr>
      <w:r w:rsidRPr="009C5140">
        <w:rPr>
          <w:rFonts w:asciiTheme="minorHAnsi" w:hAnsiTheme="minorHAnsi" w:cstheme="minorHAnsi"/>
          <w:color w:val="auto"/>
          <w:spacing w:val="-4"/>
          <w:sz w:val="22"/>
          <w:szCs w:val="22"/>
        </w:rPr>
        <w:t>Table 1</w:t>
      </w:r>
      <w:r w:rsidR="007278B7">
        <w:rPr>
          <w:rFonts w:asciiTheme="minorHAnsi" w:hAnsiTheme="minorHAnsi" w:cstheme="minorHAnsi"/>
          <w:color w:val="auto"/>
          <w:spacing w:val="-4"/>
          <w:sz w:val="22"/>
          <w:szCs w:val="22"/>
        </w:rPr>
        <w:t>:</w:t>
      </w:r>
      <w:r w:rsidRPr="009C5140">
        <w:rPr>
          <w:rFonts w:asciiTheme="minorHAnsi" w:hAnsiTheme="minorHAnsi" w:cstheme="minorHAnsi"/>
          <w:color w:val="auto"/>
          <w:spacing w:val="-4"/>
          <w:sz w:val="22"/>
          <w:szCs w:val="22"/>
        </w:rPr>
        <w:t xml:space="preserve"> Number, time lost, direct cost, frequency rate and incidence rat</w:t>
      </w:r>
      <w:r w:rsidR="00CD41C6" w:rsidRPr="009C5140">
        <w:rPr>
          <w:rFonts w:asciiTheme="minorHAnsi" w:hAnsiTheme="minorHAnsi" w:cstheme="minorHAnsi"/>
          <w:color w:val="auto"/>
          <w:spacing w:val="-4"/>
          <w:sz w:val="22"/>
          <w:szCs w:val="22"/>
        </w:rPr>
        <w:t>e for mental stress claims, 2013</w:t>
      </w:r>
      <w:r w:rsidRPr="009C5140">
        <w:rPr>
          <w:rFonts w:asciiTheme="minorHAnsi" w:hAnsiTheme="minorHAnsi" w:cstheme="minorHAnsi"/>
          <w:color w:val="auto"/>
          <w:spacing w:val="-4"/>
          <w:sz w:val="22"/>
          <w:szCs w:val="22"/>
        </w:rPr>
        <w:t>-1</w:t>
      </w:r>
      <w:r w:rsidR="00CD41C6" w:rsidRPr="009C5140">
        <w:rPr>
          <w:rFonts w:asciiTheme="minorHAnsi" w:hAnsiTheme="minorHAnsi" w:cstheme="minorHAnsi"/>
          <w:color w:val="auto"/>
          <w:spacing w:val="-4"/>
          <w:sz w:val="22"/>
          <w:szCs w:val="22"/>
        </w:rPr>
        <w:t>4</w:t>
      </w:r>
      <w:r w:rsidR="006F3EA5" w:rsidRPr="009C5140">
        <w:rPr>
          <w:rFonts w:asciiTheme="minorHAnsi" w:hAnsiTheme="minorHAnsi" w:cstheme="minorHAnsi"/>
          <w:color w:val="auto"/>
          <w:spacing w:val="-1"/>
          <w:sz w:val="22"/>
          <w:szCs w:val="22"/>
        </w:rPr>
        <w:t>*</w:t>
      </w:r>
    </w:p>
    <w:tbl>
      <w:tblPr>
        <w:tblW w:w="10318" w:type="dxa"/>
        <w:tblInd w:w="93" w:type="dxa"/>
        <w:tblLook w:val="04A0" w:firstRow="1" w:lastRow="0" w:firstColumn="1" w:lastColumn="0" w:noHBand="0" w:noVBand="1"/>
        <w:tblCaption w:val="Number, time lost, direct cost, frequency rate and incidence rate for mental stress claims, 2013-14"/>
        <w:tblDescription w:val="Table 1 provides key statistics for claims involving mental stress as the main mechanism of injury or disease for 2013 14 broken up by mechanism subcategory"/>
      </w:tblPr>
      <w:tblGrid>
        <w:gridCol w:w="3134"/>
        <w:gridCol w:w="992"/>
        <w:gridCol w:w="1559"/>
        <w:gridCol w:w="1276"/>
        <w:gridCol w:w="1559"/>
        <w:gridCol w:w="1798"/>
      </w:tblGrid>
      <w:tr w:rsidR="00827308" w:rsidRPr="006F3EA5" w:rsidTr="00324101">
        <w:trPr>
          <w:trHeight w:val="600"/>
          <w:tblHeader/>
        </w:trPr>
        <w:tc>
          <w:tcPr>
            <w:tcW w:w="3134" w:type="dxa"/>
            <w:tcBorders>
              <w:top w:val="nil"/>
              <w:left w:val="nil"/>
              <w:bottom w:val="single" w:sz="4" w:space="0" w:color="auto"/>
              <w:right w:val="nil"/>
            </w:tcBorders>
            <w:shd w:val="clear" w:color="auto" w:fill="auto"/>
            <w:noWrap/>
            <w:vAlign w:val="bottom"/>
            <w:hideMark/>
          </w:tcPr>
          <w:p w:rsidR="00827308" w:rsidRPr="006F3EA5" w:rsidRDefault="00827308">
            <w:pPr>
              <w:rPr>
                <w:rFonts w:asciiTheme="minorHAnsi" w:hAnsiTheme="minorHAnsi" w:cstheme="minorHAnsi"/>
                <w:color w:val="000000"/>
                <w:sz w:val="20"/>
                <w:szCs w:val="20"/>
              </w:rPr>
            </w:pPr>
            <w:r w:rsidRPr="006F3EA5">
              <w:rPr>
                <w:rFonts w:asciiTheme="minorHAnsi" w:hAnsiTheme="minorHAnsi" w:cstheme="minorHAnsi"/>
                <w:color w:val="000000"/>
                <w:sz w:val="20"/>
                <w:szCs w:val="20"/>
              </w:rPr>
              <w:t>Sub-category of mental stress</w:t>
            </w:r>
            <w:r w:rsidR="006F3EA5">
              <w:rPr>
                <w:rFonts w:asciiTheme="minorHAnsi" w:hAnsiTheme="minorHAnsi" w:cstheme="minorHAnsi"/>
                <w:color w:val="000000"/>
                <w:sz w:val="20"/>
                <w:szCs w:val="20"/>
              </w:rPr>
              <w:t>**</w:t>
            </w:r>
          </w:p>
        </w:tc>
        <w:tc>
          <w:tcPr>
            <w:tcW w:w="992" w:type="dxa"/>
            <w:tcBorders>
              <w:top w:val="nil"/>
              <w:left w:val="nil"/>
              <w:bottom w:val="single" w:sz="4" w:space="0" w:color="auto"/>
              <w:right w:val="nil"/>
            </w:tcBorders>
            <w:shd w:val="clear" w:color="auto" w:fill="auto"/>
            <w:vAlign w:val="bottom"/>
            <w:hideMark/>
          </w:tcPr>
          <w:p w:rsidR="00827308" w:rsidRPr="006F3EA5" w:rsidRDefault="00827308">
            <w:pPr>
              <w:jc w:val="center"/>
              <w:rPr>
                <w:rFonts w:asciiTheme="minorHAnsi" w:hAnsiTheme="minorHAnsi" w:cstheme="minorHAnsi"/>
                <w:color w:val="000000"/>
                <w:sz w:val="20"/>
                <w:szCs w:val="20"/>
              </w:rPr>
            </w:pPr>
            <w:r w:rsidRPr="006F3EA5">
              <w:rPr>
                <w:rFonts w:asciiTheme="minorHAnsi" w:hAnsiTheme="minorHAnsi" w:cstheme="minorHAnsi"/>
                <w:color w:val="000000"/>
                <w:sz w:val="20"/>
                <w:szCs w:val="20"/>
              </w:rPr>
              <w:t>No. of claims</w:t>
            </w:r>
          </w:p>
        </w:tc>
        <w:tc>
          <w:tcPr>
            <w:tcW w:w="1559" w:type="dxa"/>
            <w:tcBorders>
              <w:top w:val="nil"/>
              <w:left w:val="nil"/>
              <w:bottom w:val="single" w:sz="4" w:space="0" w:color="auto"/>
              <w:right w:val="nil"/>
            </w:tcBorders>
            <w:shd w:val="clear" w:color="auto" w:fill="auto"/>
            <w:vAlign w:val="bottom"/>
            <w:hideMark/>
          </w:tcPr>
          <w:p w:rsidR="00827308" w:rsidRPr="006F3EA5" w:rsidRDefault="00827308">
            <w:pPr>
              <w:jc w:val="center"/>
              <w:rPr>
                <w:rFonts w:asciiTheme="minorHAnsi" w:hAnsiTheme="minorHAnsi" w:cstheme="minorHAnsi"/>
                <w:color w:val="000000"/>
                <w:sz w:val="20"/>
                <w:szCs w:val="20"/>
              </w:rPr>
            </w:pPr>
            <w:r w:rsidRPr="006F3EA5">
              <w:rPr>
                <w:rFonts w:asciiTheme="minorHAnsi" w:hAnsiTheme="minorHAnsi" w:cstheme="minorHAnsi"/>
                <w:color w:val="000000"/>
                <w:sz w:val="20"/>
                <w:szCs w:val="20"/>
              </w:rPr>
              <w:t>Median time lost (working weeks)</w:t>
            </w:r>
          </w:p>
        </w:tc>
        <w:tc>
          <w:tcPr>
            <w:tcW w:w="1276" w:type="dxa"/>
            <w:tcBorders>
              <w:top w:val="nil"/>
              <w:left w:val="nil"/>
              <w:bottom w:val="single" w:sz="4" w:space="0" w:color="auto"/>
              <w:right w:val="nil"/>
            </w:tcBorders>
            <w:shd w:val="clear" w:color="auto" w:fill="auto"/>
            <w:vAlign w:val="bottom"/>
            <w:hideMark/>
          </w:tcPr>
          <w:p w:rsidR="00827308" w:rsidRPr="006F3EA5" w:rsidRDefault="00827308">
            <w:pPr>
              <w:jc w:val="center"/>
              <w:rPr>
                <w:rFonts w:asciiTheme="minorHAnsi" w:hAnsiTheme="minorHAnsi" w:cstheme="minorHAnsi"/>
                <w:color w:val="000000"/>
                <w:sz w:val="20"/>
                <w:szCs w:val="20"/>
              </w:rPr>
            </w:pPr>
            <w:r w:rsidRPr="006F3EA5">
              <w:rPr>
                <w:rFonts w:asciiTheme="minorHAnsi" w:hAnsiTheme="minorHAnsi" w:cstheme="minorHAnsi"/>
                <w:color w:val="000000"/>
                <w:sz w:val="20"/>
                <w:szCs w:val="20"/>
              </w:rPr>
              <w:t>Median direct cost ($)</w:t>
            </w:r>
          </w:p>
        </w:tc>
        <w:tc>
          <w:tcPr>
            <w:tcW w:w="1559" w:type="dxa"/>
            <w:tcBorders>
              <w:top w:val="nil"/>
              <w:left w:val="nil"/>
              <w:bottom w:val="single" w:sz="4" w:space="0" w:color="auto"/>
              <w:right w:val="nil"/>
            </w:tcBorders>
            <w:shd w:val="clear" w:color="auto" w:fill="auto"/>
            <w:vAlign w:val="bottom"/>
            <w:hideMark/>
          </w:tcPr>
          <w:p w:rsidR="006F3EA5" w:rsidRDefault="006F3EA5">
            <w:pPr>
              <w:jc w:val="center"/>
              <w:rPr>
                <w:rFonts w:asciiTheme="minorHAnsi" w:hAnsiTheme="minorHAnsi" w:cstheme="minorHAnsi"/>
                <w:color w:val="000000"/>
                <w:sz w:val="20"/>
                <w:szCs w:val="20"/>
              </w:rPr>
            </w:pPr>
            <w:r>
              <w:rPr>
                <w:rFonts w:asciiTheme="minorHAnsi" w:hAnsiTheme="minorHAnsi" w:cstheme="minorHAnsi"/>
                <w:color w:val="000000"/>
                <w:sz w:val="20"/>
                <w:szCs w:val="20"/>
              </w:rPr>
              <w:t>Frequency rate -</w:t>
            </w:r>
          </w:p>
          <w:p w:rsidR="00827308" w:rsidRPr="006F3EA5" w:rsidRDefault="00827308">
            <w:pPr>
              <w:jc w:val="center"/>
              <w:rPr>
                <w:rFonts w:asciiTheme="minorHAnsi" w:hAnsiTheme="minorHAnsi" w:cstheme="minorHAnsi"/>
                <w:color w:val="000000"/>
                <w:sz w:val="20"/>
                <w:szCs w:val="20"/>
              </w:rPr>
            </w:pPr>
            <w:r w:rsidRPr="006F3EA5">
              <w:rPr>
                <w:rFonts w:asciiTheme="minorHAnsi" w:hAnsiTheme="minorHAnsi" w:cstheme="minorHAnsi"/>
                <w:color w:val="000000"/>
                <w:sz w:val="20"/>
                <w:szCs w:val="20"/>
              </w:rPr>
              <w:t>Claims per 100 million hours</w:t>
            </w:r>
          </w:p>
        </w:tc>
        <w:tc>
          <w:tcPr>
            <w:tcW w:w="1798" w:type="dxa"/>
            <w:tcBorders>
              <w:top w:val="nil"/>
              <w:left w:val="nil"/>
              <w:bottom w:val="single" w:sz="4" w:space="0" w:color="auto"/>
              <w:right w:val="nil"/>
            </w:tcBorders>
            <w:shd w:val="clear" w:color="auto" w:fill="auto"/>
            <w:vAlign w:val="bottom"/>
            <w:hideMark/>
          </w:tcPr>
          <w:p w:rsidR="006F3EA5" w:rsidRDefault="006F3EA5">
            <w:pPr>
              <w:jc w:val="center"/>
              <w:rPr>
                <w:rFonts w:asciiTheme="minorHAnsi" w:hAnsiTheme="minorHAnsi" w:cstheme="minorHAnsi"/>
                <w:color w:val="000000"/>
                <w:sz w:val="20"/>
                <w:szCs w:val="20"/>
              </w:rPr>
            </w:pPr>
            <w:r>
              <w:rPr>
                <w:rFonts w:asciiTheme="minorHAnsi" w:hAnsiTheme="minorHAnsi" w:cstheme="minorHAnsi"/>
                <w:color w:val="000000"/>
                <w:sz w:val="20"/>
                <w:szCs w:val="20"/>
              </w:rPr>
              <w:t>Incidence rate -</w:t>
            </w:r>
          </w:p>
          <w:p w:rsidR="00827308" w:rsidRPr="006F3EA5" w:rsidRDefault="00827308">
            <w:pPr>
              <w:jc w:val="center"/>
              <w:rPr>
                <w:rFonts w:asciiTheme="minorHAnsi" w:hAnsiTheme="minorHAnsi" w:cstheme="minorHAnsi"/>
                <w:color w:val="000000"/>
                <w:sz w:val="20"/>
                <w:szCs w:val="20"/>
              </w:rPr>
            </w:pPr>
            <w:r w:rsidRPr="006F3EA5">
              <w:rPr>
                <w:rFonts w:asciiTheme="minorHAnsi" w:hAnsiTheme="minorHAnsi" w:cstheme="minorHAnsi"/>
                <w:color w:val="000000"/>
                <w:sz w:val="20"/>
                <w:szCs w:val="20"/>
              </w:rPr>
              <w:t>Claims per 10 000 employees</w:t>
            </w:r>
          </w:p>
        </w:tc>
      </w:tr>
      <w:tr w:rsidR="002604AC" w:rsidRPr="006F3EA5" w:rsidTr="006F3EA5">
        <w:trPr>
          <w:trHeight w:val="300"/>
        </w:trPr>
        <w:tc>
          <w:tcPr>
            <w:tcW w:w="3134" w:type="dxa"/>
            <w:tcBorders>
              <w:top w:val="nil"/>
              <w:left w:val="nil"/>
              <w:bottom w:val="nil"/>
              <w:right w:val="nil"/>
            </w:tcBorders>
            <w:shd w:val="clear" w:color="auto" w:fill="auto"/>
            <w:noWrap/>
            <w:vAlign w:val="bottom"/>
            <w:hideMark/>
          </w:tcPr>
          <w:p w:rsidR="002604AC" w:rsidRPr="006F3EA5" w:rsidRDefault="002604AC">
            <w:pPr>
              <w:rPr>
                <w:rFonts w:asciiTheme="minorHAnsi" w:hAnsiTheme="minorHAnsi" w:cstheme="minorHAnsi"/>
                <w:color w:val="000000"/>
                <w:sz w:val="20"/>
                <w:szCs w:val="20"/>
              </w:rPr>
            </w:pPr>
            <w:r w:rsidRPr="006F3EA5">
              <w:rPr>
                <w:rFonts w:asciiTheme="minorHAnsi" w:hAnsiTheme="minorHAnsi" w:cstheme="minorHAnsi"/>
                <w:color w:val="000000"/>
                <w:sz w:val="20"/>
                <w:szCs w:val="20"/>
              </w:rPr>
              <w:t>Work pressure</w:t>
            </w:r>
          </w:p>
        </w:tc>
        <w:tc>
          <w:tcPr>
            <w:tcW w:w="992" w:type="dxa"/>
            <w:tcBorders>
              <w:top w:val="nil"/>
              <w:left w:val="nil"/>
              <w:bottom w:val="nil"/>
              <w:right w:val="nil"/>
            </w:tcBorders>
            <w:shd w:val="clear" w:color="auto" w:fill="auto"/>
            <w:noWrap/>
            <w:vAlign w:val="bottom"/>
            <w:hideMark/>
          </w:tcPr>
          <w:p w:rsidR="002604AC" w:rsidRPr="006F3EA5" w:rsidRDefault="002604AC">
            <w:pPr>
              <w:jc w:val="right"/>
              <w:rPr>
                <w:rFonts w:asciiTheme="minorHAnsi" w:hAnsiTheme="minorHAnsi" w:cstheme="minorHAnsi"/>
                <w:color w:val="000000"/>
                <w:sz w:val="20"/>
                <w:szCs w:val="20"/>
              </w:rPr>
            </w:pPr>
            <w:r w:rsidRPr="006F3EA5">
              <w:rPr>
                <w:rFonts w:asciiTheme="minorHAnsi" w:hAnsiTheme="minorHAnsi" w:cstheme="minorHAnsi"/>
                <w:color w:val="000000"/>
                <w:sz w:val="20"/>
                <w:szCs w:val="20"/>
              </w:rPr>
              <w:t>1 680</w:t>
            </w:r>
          </w:p>
        </w:tc>
        <w:tc>
          <w:tcPr>
            <w:tcW w:w="1559" w:type="dxa"/>
            <w:tcBorders>
              <w:top w:val="nil"/>
              <w:left w:val="nil"/>
              <w:bottom w:val="nil"/>
              <w:right w:val="nil"/>
            </w:tcBorders>
            <w:shd w:val="clear" w:color="auto" w:fill="auto"/>
            <w:noWrap/>
            <w:vAlign w:val="bottom"/>
            <w:hideMark/>
          </w:tcPr>
          <w:p w:rsidR="002604AC" w:rsidRPr="006F3EA5" w:rsidRDefault="002604AC">
            <w:pPr>
              <w:jc w:val="right"/>
              <w:rPr>
                <w:rFonts w:asciiTheme="minorHAnsi" w:hAnsiTheme="minorHAnsi" w:cstheme="minorHAnsi"/>
                <w:color w:val="000000"/>
                <w:sz w:val="20"/>
                <w:szCs w:val="20"/>
              </w:rPr>
            </w:pPr>
            <w:r w:rsidRPr="006F3EA5">
              <w:rPr>
                <w:rFonts w:asciiTheme="minorHAnsi" w:hAnsiTheme="minorHAnsi" w:cstheme="minorHAnsi"/>
                <w:color w:val="000000"/>
                <w:sz w:val="20"/>
                <w:szCs w:val="20"/>
              </w:rPr>
              <w:t>10.5</w:t>
            </w:r>
          </w:p>
        </w:tc>
        <w:tc>
          <w:tcPr>
            <w:tcW w:w="1276" w:type="dxa"/>
            <w:tcBorders>
              <w:top w:val="nil"/>
              <w:left w:val="nil"/>
              <w:bottom w:val="nil"/>
              <w:right w:val="nil"/>
            </w:tcBorders>
            <w:shd w:val="clear" w:color="auto" w:fill="auto"/>
            <w:noWrap/>
            <w:vAlign w:val="bottom"/>
            <w:hideMark/>
          </w:tcPr>
          <w:p w:rsidR="002604AC" w:rsidRPr="006F3EA5" w:rsidRDefault="002604AC">
            <w:pPr>
              <w:jc w:val="right"/>
              <w:rPr>
                <w:rFonts w:asciiTheme="minorHAnsi" w:hAnsiTheme="minorHAnsi" w:cstheme="minorHAnsi"/>
                <w:color w:val="000000"/>
                <w:sz w:val="20"/>
                <w:szCs w:val="20"/>
              </w:rPr>
            </w:pPr>
            <w:r w:rsidRPr="006F3EA5">
              <w:rPr>
                <w:rFonts w:asciiTheme="minorHAnsi" w:hAnsiTheme="minorHAnsi" w:cstheme="minorHAnsi"/>
                <w:color w:val="000000"/>
                <w:sz w:val="20"/>
                <w:szCs w:val="20"/>
              </w:rPr>
              <w:t>25</w:t>
            </w:r>
            <w:r w:rsidR="00BC1459" w:rsidRPr="006F3EA5">
              <w:rPr>
                <w:rFonts w:asciiTheme="minorHAnsi" w:hAnsiTheme="minorHAnsi" w:cstheme="minorHAnsi"/>
                <w:color w:val="000000"/>
                <w:sz w:val="20"/>
                <w:szCs w:val="20"/>
              </w:rPr>
              <w:t xml:space="preserve"> </w:t>
            </w:r>
            <w:r w:rsidRPr="006F3EA5">
              <w:rPr>
                <w:rFonts w:asciiTheme="minorHAnsi" w:hAnsiTheme="minorHAnsi" w:cstheme="minorHAnsi"/>
                <w:color w:val="000000"/>
                <w:sz w:val="20"/>
                <w:szCs w:val="20"/>
              </w:rPr>
              <w:t>900</w:t>
            </w:r>
          </w:p>
        </w:tc>
        <w:tc>
          <w:tcPr>
            <w:tcW w:w="1559" w:type="dxa"/>
            <w:tcBorders>
              <w:top w:val="nil"/>
              <w:left w:val="nil"/>
              <w:bottom w:val="nil"/>
              <w:right w:val="nil"/>
            </w:tcBorders>
            <w:shd w:val="clear" w:color="auto" w:fill="auto"/>
            <w:noWrap/>
            <w:vAlign w:val="bottom"/>
            <w:hideMark/>
          </w:tcPr>
          <w:p w:rsidR="002604AC" w:rsidRPr="006F3EA5" w:rsidRDefault="002604AC">
            <w:pPr>
              <w:jc w:val="right"/>
              <w:rPr>
                <w:rFonts w:asciiTheme="minorHAnsi" w:hAnsiTheme="minorHAnsi" w:cstheme="minorHAnsi"/>
                <w:color w:val="000000"/>
                <w:sz w:val="20"/>
                <w:szCs w:val="20"/>
              </w:rPr>
            </w:pPr>
            <w:r w:rsidRPr="006F3EA5">
              <w:rPr>
                <w:rFonts w:asciiTheme="minorHAnsi" w:hAnsiTheme="minorHAnsi" w:cstheme="minorHAnsi"/>
                <w:color w:val="000000"/>
                <w:sz w:val="20"/>
                <w:szCs w:val="20"/>
              </w:rPr>
              <w:t>12.1</w:t>
            </w:r>
          </w:p>
        </w:tc>
        <w:tc>
          <w:tcPr>
            <w:tcW w:w="1798" w:type="dxa"/>
            <w:tcBorders>
              <w:top w:val="nil"/>
              <w:left w:val="nil"/>
              <w:bottom w:val="nil"/>
              <w:right w:val="nil"/>
            </w:tcBorders>
            <w:shd w:val="clear" w:color="auto" w:fill="auto"/>
            <w:noWrap/>
            <w:vAlign w:val="bottom"/>
            <w:hideMark/>
          </w:tcPr>
          <w:p w:rsidR="002604AC" w:rsidRPr="006F3EA5" w:rsidRDefault="002604AC">
            <w:pPr>
              <w:jc w:val="right"/>
              <w:rPr>
                <w:rFonts w:asciiTheme="minorHAnsi" w:hAnsiTheme="minorHAnsi" w:cstheme="minorHAnsi"/>
                <w:color w:val="000000"/>
                <w:sz w:val="20"/>
                <w:szCs w:val="20"/>
              </w:rPr>
            </w:pPr>
            <w:r w:rsidRPr="006F3EA5">
              <w:rPr>
                <w:rFonts w:asciiTheme="minorHAnsi" w:hAnsiTheme="minorHAnsi" w:cstheme="minorHAnsi"/>
                <w:color w:val="000000"/>
                <w:sz w:val="20"/>
                <w:szCs w:val="20"/>
              </w:rPr>
              <w:t>2.0</w:t>
            </w:r>
          </w:p>
        </w:tc>
      </w:tr>
      <w:tr w:rsidR="002604AC" w:rsidRPr="006F3EA5" w:rsidTr="006F3EA5">
        <w:trPr>
          <w:trHeight w:val="300"/>
        </w:trPr>
        <w:tc>
          <w:tcPr>
            <w:tcW w:w="3134" w:type="dxa"/>
            <w:tcBorders>
              <w:top w:val="nil"/>
              <w:left w:val="nil"/>
              <w:bottom w:val="nil"/>
              <w:right w:val="nil"/>
            </w:tcBorders>
            <w:shd w:val="clear" w:color="auto" w:fill="auto"/>
            <w:noWrap/>
            <w:vAlign w:val="bottom"/>
            <w:hideMark/>
          </w:tcPr>
          <w:p w:rsidR="002604AC" w:rsidRPr="006F3EA5" w:rsidRDefault="002604AC">
            <w:pPr>
              <w:rPr>
                <w:rFonts w:asciiTheme="minorHAnsi" w:hAnsiTheme="minorHAnsi" w:cstheme="minorHAnsi"/>
                <w:color w:val="000000"/>
                <w:sz w:val="20"/>
                <w:szCs w:val="20"/>
              </w:rPr>
            </w:pPr>
            <w:r w:rsidRPr="006F3EA5">
              <w:rPr>
                <w:rFonts w:asciiTheme="minorHAnsi" w:hAnsiTheme="minorHAnsi" w:cstheme="minorHAnsi"/>
                <w:color w:val="000000"/>
                <w:sz w:val="20"/>
                <w:szCs w:val="20"/>
              </w:rPr>
              <w:t>Work related harassment and/or workplace bullying</w:t>
            </w:r>
          </w:p>
        </w:tc>
        <w:tc>
          <w:tcPr>
            <w:tcW w:w="992" w:type="dxa"/>
            <w:tcBorders>
              <w:top w:val="nil"/>
              <w:left w:val="nil"/>
              <w:bottom w:val="nil"/>
              <w:right w:val="nil"/>
            </w:tcBorders>
            <w:shd w:val="clear" w:color="auto" w:fill="auto"/>
            <w:noWrap/>
            <w:vAlign w:val="bottom"/>
            <w:hideMark/>
          </w:tcPr>
          <w:p w:rsidR="002604AC" w:rsidRPr="006F3EA5" w:rsidRDefault="002604AC">
            <w:pPr>
              <w:jc w:val="right"/>
              <w:rPr>
                <w:rFonts w:asciiTheme="minorHAnsi" w:hAnsiTheme="minorHAnsi" w:cstheme="minorHAnsi"/>
                <w:color w:val="000000"/>
                <w:sz w:val="20"/>
                <w:szCs w:val="20"/>
              </w:rPr>
            </w:pPr>
            <w:r w:rsidRPr="006F3EA5">
              <w:rPr>
                <w:rFonts w:asciiTheme="minorHAnsi" w:hAnsiTheme="minorHAnsi" w:cstheme="minorHAnsi"/>
                <w:color w:val="000000"/>
                <w:sz w:val="20"/>
                <w:szCs w:val="20"/>
              </w:rPr>
              <w:t>1 660</w:t>
            </w:r>
          </w:p>
        </w:tc>
        <w:tc>
          <w:tcPr>
            <w:tcW w:w="1559" w:type="dxa"/>
            <w:tcBorders>
              <w:top w:val="nil"/>
              <w:left w:val="nil"/>
              <w:bottom w:val="nil"/>
              <w:right w:val="nil"/>
            </w:tcBorders>
            <w:shd w:val="clear" w:color="auto" w:fill="auto"/>
            <w:noWrap/>
            <w:vAlign w:val="bottom"/>
            <w:hideMark/>
          </w:tcPr>
          <w:p w:rsidR="002604AC" w:rsidRPr="006F3EA5" w:rsidRDefault="002604AC">
            <w:pPr>
              <w:jc w:val="right"/>
              <w:rPr>
                <w:rFonts w:asciiTheme="minorHAnsi" w:hAnsiTheme="minorHAnsi" w:cstheme="minorHAnsi"/>
                <w:color w:val="000000"/>
                <w:sz w:val="20"/>
                <w:szCs w:val="20"/>
              </w:rPr>
            </w:pPr>
            <w:r w:rsidRPr="006F3EA5">
              <w:rPr>
                <w:rFonts w:asciiTheme="minorHAnsi" w:hAnsiTheme="minorHAnsi" w:cstheme="minorHAnsi"/>
                <w:color w:val="000000"/>
                <w:sz w:val="20"/>
                <w:szCs w:val="20"/>
              </w:rPr>
              <w:t>9.4</w:t>
            </w:r>
          </w:p>
        </w:tc>
        <w:tc>
          <w:tcPr>
            <w:tcW w:w="1276" w:type="dxa"/>
            <w:tcBorders>
              <w:top w:val="nil"/>
              <w:left w:val="nil"/>
              <w:bottom w:val="nil"/>
              <w:right w:val="nil"/>
            </w:tcBorders>
            <w:shd w:val="clear" w:color="auto" w:fill="auto"/>
            <w:noWrap/>
            <w:vAlign w:val="bottom"/>
            <w:hideMark/>
          </w:tcPr>
          <w:p w:rsidR="002604AC" w:rsidRPr="006F3EA5" w:rsidRDefault="002604AC">
            <w:pPr>
              <w:jc w:val="right"/>
              <w:rPr>
                <w:rFonts w:asciiTheme="minorHAnsi" w:hAnsiTheme="minorHAnsi" w:cstheme="minorHAnsi"/>
                <w:color w:val="000000"/>
                <w:sz w:val="20"/>
                <w:szCs w:val="20"/>
              </w:rPr>
            </w:pPr>
            <w:r w:rsidRPr="006F3EA5">
              <w:rPr>
                <w:rFonts w:asciiTheme="minorHAnsi" w:hAnsiTheme="minorHAnsi" w:cstheme="minorHAnsi"/>
                <w:color w:val="000000"/>
                <w:sz w:val="20"/>
                <w:szCs w:val="20"/>
              </w:rPr>
              <w:t>22</w:t>
            </w:r>
            <w:r w:rsidR="00BC1459" w:rsidRPr="006F3EA5">
              <w:rPr>
                <w:rFonts w:asciiTheme="minorHAnsi" w:hAnsiTheme="minorHAnsi" w:cstheme="minorHAnsi"/>
                <w:color w:val="000000"/>
                <w:sz w:val="20"/>
                <w:szCs w:val="20"/>
              </w:rPr>
              <w:t xml:space="preserve"> </w:t>
            </w:r>
            <w:r w:rsidRPr="006F3EA5">
              <w:rPr>
                <w:rFonts w:asciiTheme="minorHAnsi" w:hAnsiTheme="minorHAnsi" w:cstheme="minorHAnsi"/>
                <w:color w:val="000000"/>
                <w:sz w:val="20"/>
                <w:szCs w:val="20"/>
              </w:rPr>
              <w:t>600</w:t>
            </w:r>
          </w:p>
        </w:tc>
        <w:tc>
          <w:tcPr>
            <w:tcW w:w="1559" w:type="dxa"/>
            <w:tcBorders>
              <w:top w:val="nil"/>
              <w:left w:val="nil"/>
              <w:bottom w:val="nil"/>
              <w:right w:val="nil"/>
            </w:tcBorders>
            <w:shd w:val="clear" w:color="auto" w:fill="auto"/>
            <w:noWrap/>
            <w:vAlign w:val="bottom"/>
            <w:hideMark/>
          </w:tcPr>
          <w:p w:rsidR="002604AC" w:rsidRPr="006F3EA5" w:rsidRDefault="002604AC">
            <w:pPr>
              <w:jc w:val="right"/>
              <w:rPr>
                <w:rFonts w:asciiTheme="minorHAnsi" w:hAnsiTheme="minorHAnsi" w:cstheme="minorHAnsi"/>
                <w:color w:val="000000"/>
                <w:sz w:val="20"/>
                <w:szCs w:val="20"/>
              </w:rPr>
            </w:pPr>
            <w:r w:rsidRPr="006F3EA5">
              <w:rPr>
                <w:rFonts w:asciiTheme="minorHAnsi" w:hAnsiTheme="minorHAnsi" w:cstheme="minorHAnsi"/>
                <w:color w:val="000000"/>
                <w:sz w:val="20"/>
                <w:szCs w:val="20"/>
              </w:rPr>
              <w:t>11.9</w:t>
            </w:r>
          </w:p>
        </w:tc>
        <w:tc>
          <w:tcPr>
            <w:tcW w:w="1798" w:type="dxa"/>
            <w:tcBorders>
              <w:top w:val="nil"/>
              <w:left w:val="nil"/>
              <w:bottom w:val="nil"/>
              <w:right w:val="nil"/>
            </w:tcBorders>
            <w:shd w:val="clear" w:color="auto" w:fill="auto"/>
            <w:noWrap/>
            <w:vAlign w:val="bottom"/>
            <w:hideMark/>
          </w:tcPr>
          <w:p w:rsidR="002604AC" w:rsidRPr="006F3EA5" w:rsidRDefault="002604AC">
            <w:pPr>
              <w:jc w:val="right"/>
              <w:rPr>
                <w:rFonts w:asciiTheme="minorHAnsi" w:hAnsiTheme="minorHAnsi" w:cstheme="minorHAnsi"/>
                <w:color w:val="000000"/>
                <w:sz w:val="20"/>
                <w:szCs w:val="20"/>
              </w:rPr>
            </w:pPr>
            <w:r w:rsidRPr="006F3EA5">
              <w:rPr>
                <w:rFonts w:asciiTheme="minorHAnsi" w:hAnsiTheme="minorHAnsi" w:cstheme="minorHAnsi"/>
                <w:color w:val="000000"/>
                <w:sz w:val="20"/>
                <w:szCs w:val="20"/>
              </w:rPr>
              <w:t>2.0</w:t>
            </w:r>
          </w:p>
        </w:tc>
      </w:tr>
      <w:tr w:rsidR="002604AC" w:rsidRPr="006F3EA5" w:rsidTr="006F3EA5">
        <w:trPr>
          <w:trHeight w:val="300"/>
        </w:trPr>
        <w:tc>
          <w:tcPr>
            <w:tcW w:w="3134" w:type="dxa"/>
            <w:tcBorders>
              <w:top w:val="nil"/>
              <w:left w:val="nil"/>
              <w:bottom w:val="nil"/>
              <w:right w:val="nil"/>
            </w:tcBorders>
            <w:shd w:val="clear" w:color="auto" w:fill="auto"/>
            <w:noWrap/>
            <w:vAlign w:val="bottom"/>
            <w:hideMark/>
          </w:tcPr>
          <w:p w:rsidR="002604AC" w:rsidRPr="006F3EA5" w:rsidRDefault="002604AC">
            <w:pPr>
              <w:rPr>
                <w:rFonts w:asciiTheme="minorHAnsi" w:hAnsiTheme="minorHAnsi" w:cstheme="minorHAnsi"/>
                <w:color w:val="000000"/>
                <w:sz w:val="20"/>
                <w:szCs w:val="20"/>
              </w:rPr>
            </w:pPr>
            <w:r w:rsidRPr="006F3EA5">
              <w:rPr>
                <w:rFonts w:asciiTheme="minorHAnsi" w:hAnsiTheme="minorHAnsi" w:cstheme="minorHAnsi"/>
                <w:color w:val="000000"/>
                <w:sz w:val="20"/>
                <w:szCs w:val="20"/>
              </w:rPr>
              <w:t>Exposure to workplace or occupational violence</w:t>
            </w:r>
          </w:p>
        </w:tc>
        <w:tc>
          <w:tcPr>
            <w:tcW w:w="992" w:type="dxa"/>
            <w:tcBorders>
              <w:top w:val="nil"/>
              <w:left w:val="nil"/>
              <w:bottom w:val="nil"/>
              <w:right w:val="nil"/>
            </w:tcBorders>
            <w:shd w:val="clear" w:color="auto" w:fill="auto"/>
            <w:noWrap/>
            <w:vAlign w:val="bottom"/>
            <w:hideMark/>
          </w:tcPr>
          <w:p w:rsidR="002604AC" w:rsidRPr="006F3EA5" w:rsidRDefault="002604AC">
            <w:pPr>
              <w:jc w:val="right"/>
              <w:rPr>
                <w:rFonts w:asciiTheme="minorHAnsi" w:hAnsiTheme="minorHAnsi" w:cstheme="minorHAnsi"/>
                <w:color w:val="000000"/>
                <w:sz w:val="20"/>
                <w:szCs w:val="20"/>
              </w:rPr>
            </w:pPr>
            <w:r w:rsidRPr="006F3EA5">
              <w:rPr>
                <w:rFonts w:asciiTheme="minorHAnsi" w:hAnsiTheme="minorHAnsi" w:cstheme="minorHAnsi"/>
                <w:color w:val="000000"/>
                <w:sz w:val="20"/>
                <w:szCs w:val="20"/>
              </w:rPr>
              <w:t>890</w:t>
            </w:r>
          </w:p>
        </w:tc>
        <w:tc>
          <w:tcPr>
            <w:tcW w:w="1559" w:type="dxa"/>
            <w:tcBorders>
              <w:top w:val="nil"/>
              <w:left w:val="nil"/>
              <w:bottom w:val="nil"/>
              <w:right w:val="nil"/>
            </w:tcBorders>
            <w:shd w:val="clear" w:color="auto" w:fill="auto"/>
            <w:noWrap/>
            <w:vAlign w:val="bottom"/>
            <w:hideMark/>
          </w:tcPr>
          <w:p w:rsidR="002604AC" w:rsidRPr="006F3EA5" w:rsidRDefault="002604AC">
            <w:pPr>
              <w:jc w:val="right"/>
              <w:rPr>
                <w:rFonts w:asciiTheme="minorHAnsi" w:hAnsiTheme="minorHAnsi" w:cstheme="minorHAnsi"/>
                <w:color w:val="000000"/>
                <w:sz w:val="20"/>
                <w:szCs w:val="20"/>
              </w:rPr>
            </w:pPr>
            <w:r w:rsidRPr="006F3EA5">
              <w:rPr>
                <w:rFonts w:asciiTheme="minorHAnsi" w:hAnsiTheme="minorHAnsi" w:cstheme="minorHAnsi"/>
                <w:color w:val="000000"/>
                <w:sz w:val="20"/>
                <w:szCs w:val="20"/>
              </w:rPr>
              <w:t>4.0</w:t>
            </w:r>
          </w:p>
        </w:tc>
        <w:tc>
          <w:tcPr>
            <w:tcW w:w="1276" w:type="dxa"/>
            <w:tcBorders>
              <w:top w:val="nil"/>
              <w:left w:val="nil"/>
              <w:bottom w:val="nil"/>
              <w:right w:val="nil"/>
            </w:tcBorders>
            <w:shd w:val="clear" w:color="auto" w:fill="auto"/>
            <w:noWrap/>
            <w:vAlign w:val="bottom"/>
            <w:hideMark/>
          </w:tcPr>
          <w:p w:rsidR="002604AC" w:rsidRPr="006F3EA5" w:rsidRDefault="002604AC">
            <w:pPr>
              <w:jc w:val="right"/>
              <w:rPr>
                <w:rFonts w:asciiTheme="minorHAnsi" w:hAnsiTheme="minorHAnsi" w:cstheme="minorHAnsi"/>
                <w:color w:val="000000"/>
                <w:sz w:val="20"/>
                <w:szCs w:val="20"/>
              </w:rPr>
            </w:pPr>
            <w:r w:rsidRPr="006F3EA5">
              <w:rPr>
                <w:rFonts w:asciiTheme="minorHAnsi" w:hAnsiTheme="minorHAnsi" w:cstheme="minorHAnsi"/>
                <w:color w:val="000000"/>
                <w:sz w:val="20"/>
                <w:szCs w:val="20"/>
              </w:rPr>
              <w:t>7</w:t>
            </w:r>
            <w:r w:rsidR="00BC1459" w:rsidRPr="006F3EA5">
              <w:rPr>
                <w:rFonts w:asciiTheme="minorHAnsi" w:hAnsiTheme="minorHAnsi" w:cstheme="minorHAnsi"/>
                <w:color w:val="000000"/>
                <w:sz w:val="20"/>
                <w:szCs w:val="20"/>
              </w:rPr>
              <w:t xml:space="preserve"> </w:t>
            </w:r>
            <w:r w:rsidRPr="006F3EA5">
              <w:rPr>
                <w:rFonts w:asciiTheme="minorHAnsi" w:hAnsiTheme="minorHAnsi" w:cstheme="minorHAnsi"/>
                <w:color w:val="000000"/>
                <w:sz w:val="20"/>
                <w:szCs w:val="20"/>
              </w:rPr>
              <w:t>800</w:t>
            </w:r>
          </w:p>
        </w:tc>
        <w:tc>
          <w:tcPr>
            <w:tcW w:w="1559" w:type="dxa"/>
            <w:tcBorders>
              <w:top w:val="nil"/>
              <w:left w:val="nil"/>
              <w:bottom w:val="nil"/>
              <w:right w:val="nil"/>
            </w:tcBorders>
            <w:shd w:val="clear" w:color="auto" w:fill="auto"/>
            <w:noWrap/>
            <w:vAlign w:val="bottom"/>
            <w:hideMark/>
          </w:tcPr>
          <w:p w:rsidR="002604AC" w:rsidRPr="006F3EA5" w:rsidRDefault="002604AC">
            <w:pPr>
              <w:jc w:val="right"/>
              <w:rPr>
                <w:rFonts w:asciiTheme="minorHAnsi" w:hAnsiTheme="minorHAnsi" w:cstheme="minorHAnsi"/>
                <w:color w:val="000000"/>
                <w:sz w:val="20"/>
                <w:szCs w:val="20"/>
              </w:rPr>
            </w:pPr>
            <w:r w:rsidRPr="006F3EA5">
              <w:rPr>
                <w:rFonts w:asciiTheme="minorHAnsi" w:hAnsiTheme="minorHAnsi" w:cstheme="minorHAnsi"/>
                <w:color w:val="000000"/>
                <w:sz w:val="20"/>
                <w:szCs w:val="20"/>
              </w:rPr>
              <w:t>6.4</w:t>
            </w:r>
          </w:p>
        </w:tc>
        <w:tc>
          <w:tcPr>
            <w:tcW w:w="1798" w:type="dxa"/>
            <w:tcBorders>
              <w:top w:val="nil"/>
              <w:left w:val="nil"/>
              <w:bottom w:val="nil"/>
              <w:right w:val="nil"/>
            </w:tcBorders>
            <w:shd w:val="clear" w:color="auto" w:fill="auto"/>
            <w:noWrap/>
            <w:vAlign w:val="bottom"/>
            <w:hideMark/>
          </w:tcPr>
          <w:p w:rsidR="002604AC" w:rsidRPr="006F3EA5" w:rsidRDefault="002604AC">
            <w:pPr>
              <w:jc w:val="right"/>
              <w:rPr>
                <w:rFonts w:asciiTheme="minorHAnsi" w:hAnsiTheme="minorHAnsi" w:cstheme="minorHAnsi"/>
                <w:color w:val="000000"/>
                <w:sz w:val="20"/>
                <w:szCs w:val="20"/>
              </w:rPr>
            </w:pPr>
            <w:r w:rsidRPr="006F3EA5">
              <w:rPr>
                <w:rFonts w:asciiTheme="minorHAnsi" w:hAnsiTheme="minorHAnsi" w:cstheme="minorHAnsi"/>
                <w:color w:val="000000"/>
                <w:sz w:val="20"/>
                <w:szCs w:val="20"/>
              </w:rPr>
              <w:t>1.1</w:t>
            </w:r>
          </w:p>
        </w:tc>
      </w:tr>
      <w:tr w:rsidR="002604AC" w:rsidRPr="006F3EA5" w:rsidTr="006F3EA5">
        <w:trPr>
          <w:trHeight w:val="300"/>
        </w:trPr>
        <w:tc>
          <w:tcPr>
            <w:tcW w:w="3134" w:type="dxa"/>
            <w:tcBorders>
              <w:top w:val="nil"/>
              <w:left w:val="nil"/>
              <w:bottom w:val="nil"/>
              <w:right w:val="nil"/>
            </w:tcBorders>
            <w:shd w:val="clear" w:color="auto" w:fill="auto"/>
            <w:noWrap/>
            <w:vAlign w:val="bottom"/>
            <w:hideMark/>
          </w:tcPr>
          <w:p w:rsidR="002604AC" w:rsidRPr="006F3EA5" w:rsidRDefault="002604AC">
            <w:pPr>
              <w:rPr>
                <w:rFonts w:asciiTheme="minorHAnsi" w:hAnsiTheme="minorHAnsi" w:cstheme="minorHAnsi"/>
                <w:color w:val="000000"/>
                <w:sz w:val="20"/>
                <w:szCs w:val="20"/>
              </w:rPr>
            </w:pPr>
            <w:r w:rsidRPr="006F3EA5">
              <w:rPr>
                <w:rFonts w:asciiTheme="minorHAnsi" w:hAnsiTheme="minorHAnsi" w:cstheme="minorHAnsi"/>
                <w:color w:val="000000"/>
                <w:sz w:val="20"/>
                <w:szCs w:val="20"/>
              </w:rPr>
              <w:t>Exposure to a traumatic event</w:t>
            </w:r>
          </w:p>
        </w:tc>
        <w:tc>
          <w:tcPr>
            <w:tcW w:w="992" w:type="dxa"/>
            <w:tcBorders>
              <w:top w:val="nil"/>
              <w:left w:val="nil"/>
              <w:bottom w:val="nil"/>
              <w:right w:val="nil"/>
            </w:tcBorders>
            <w:shd w:val="clear" w:color="auto" w:fill="auto"/>
            <w:noWrap/>
            <w:vAlign w:val="bottom"/>
            <w:hideMark/>
          </w:tcPr>
          <w:p w:rsidR="002604AC" w:rsidRPr="006F3EA5" w:rsidRDefault="002604AC">
            <w:pPr>
              <w:jc w:val="right"/>
              <w:rPr>
                <w:rFonts w:asciiTheme="minorHAnsi" w:hAnsiTheme="minorHAnsi" w:cstheme="minorHAnsi"/>
                <w:color w:val="000000"/>
                <w:sz w:val="20"/>
                <w:szCs w:val="20"/>
              </w:rPr>
            </w:pPr>
            <w:r w:rsidRPr="006F3EA5">
              <w:rPr>
                <w:rFonts w:asciiTheme="minorHAnsi" w:hAnsiTheme="minorHAnsi" w:cstheme="minorHAnsi"/>
                <w:color w:val="000000"/>
                <w:sz w:val="20"/>
                <w:szCs w:val="20"/>
              </w:rPr>
              <w:t>730</w:t>
            </w:r>
          </w:p>
        </w:tc>
        <w:tc>
          <w:tcPr>
            <w:tcW w:w="1559" w:type="dxa"/>
            <w:tcBorders>
              <w:top w:val="nil"/>
              <w:left w:val="nil"/>
              <w:bottom w:val="nil"/>
              <w:right w:val="nil"/>
            </w:tcBorders>
            <w:shd w:val="clear" w:color="auto" w:fill="auto"/>
            <w:noWrap/>
            <w:vAlign w:val="bottom"/>
            <w:hideMark/>
          </w:tcPr>
          <w:p w:rsidR="002604AC" w:rsidRPr="006F3EA5" w:rsidRDefault="002604AC">
            <w:pPr>
              <w:jc w:val="right"/>
              <w:rPr>
                <w:rFonts w:asciiTheme="minorHAnsi" w:hAnsiTheme="minorHAnsi" w:cstheme="minorHAnsi"/>
                <w:color w:val="000000"/>
                <w:sz w:val="20"/>
                <w:szCs w:val="20"/>
              </w:rPr>
            </w:pPr>
            <w:r w:rsidRPr="006F3EA5">
              <w:rPr>
                <w:rFonts w:asciiTheme="minorHAnsi" w:hAnsiTheme="minorHAnsi" w:cstheme="minorHAnsi"/>
                <w:color w:val="000000"/>
                <w:sz w:val="20"/>
                <w:szCs w:val="20"/>
              </w:rPr>
              <w:t>4.4</w:t>
            </w:r>
          </w:p>
        </w:tc>
        <w:tc>
          <w:tcPr>
            <w:tcW w:w="1276" w:type="dxa"/>
            <w:tcBorders>
              <w:top w:val="nil"/>
              <w:left w:val="nil"/>
              <w:bottom w:val="nil"/>
              <w:right w:val="nil"/>
            </w:tcBorders>
            <w:shd w:val="clear" w:color="auto" w:fill="auto"/>
            <w:noWrap/>
            <w:vAlign w:val="bottom"/>
            <w:hideMark/>
          </w:tcPr>
          <w:p w:rsidR="002604AC" w:rsidRPr="006F3EA5" w:rsidRDefault="002604AC">
            <w:pPr>
              <w:jc w:val="right"/>
              <w:rPr>
                <w:rFonts w:asciiTheme="minorHAnsi" w:hAnsiTheme="minorHAnsi" w:cstheme="minorHAnsi"/>
                <w:color w:val="000000"/>
                <w:sz w:val="20"/>
                <w:szCs w:val="20"/>
              </w:rPr>
            </w:pPr>
            <w:r w:rsidRPr="006F3EA5">
              <w:rPr>
                <w:rFonts w:asciiTheme="minorHAnsi" w:hAnsiTheme="minorHAnsi" w:cstheme="minorHAnsi"/>
                <w:color w:val="000000"/>
                <w:sz w:val="20"/>
                <w:szCs w:val="20"/>
              </w:rPr>
              <w:t>9</w:t>
            </w:r>
            <w:r w:rsidR="00BC1459" w:rsidRPr="006F3EA5">
              <w:rPr>
                <w:rFonts w:asciiTheme="minorHAnsi" w:hAnsiTheme="minorHAnsi" w:cstheme="minorHAnsi"/>
                <w:color w:val="000000"/>
                <w:sz w:val="20"/>
                <w:szCs w:val="20"/>
              </w:rPr>
              <w:t xml:space="preserve"> </w:t>
            </w:r>
            <w:r w:rsidRPr="006F3EA5">
              <w:rPr>
                <w:rFonts w:asciiTheme="minorHAnsi" w:hAnsiTheme="minorHAnsi" w:cstheme="minorHAnsi"/>
                <w:color w:val="000000"/>
                <w:sz w:val="20"/>
                <w:szCs w:val="20"/>
              </w:rPr>
              <w:t>600</w:t>
            </w:r>
          </w:p>
        </w:tc>
        <w:tc>
          <w:tcPr>
            <w:tcW w:w="1559" w:type="dxa"/>
            <w:tcBorders>
              <w:top w:val="nil"/>
              <w:left w:val="nil"/>
              <w:bottom w:val="nil"/>
              <w:right w:val="nil"/>
            </w:tcBorders>
            <w:shd w:val="clear" w:color="auto" w:fill="auto"/>
            <w:noWrap/>
            <w:vAlign w:val="bottom"/>
            <w:hideMark/>
          </w:tcPr>
          <w:p w:rsidR="002604AC" w:rsidRPr="006F3EA5" w:rsidRDefault="002604AC">
            <w:pPr>
              <w:jc w:val="right"/>
              <w:rPr>
                <w:rFonts w:asciiTheme="minorHAnsi" w:hAnsiTheme="minorHAnsi" w:cstheme="minorHAnsi"/>
                <w:color w:val="000000"/>
                <w:sz w:val="20"/>
                <w:szCs w:val="20"/>
              </w:rPr>
            </w:pPr>
            <w:r w:rsidRPr="006F3EA5">
              <w:rPr>
                <w:rFonts w:asciiTheme="minorHAnsi" w:hAnsiTheme="minorHAnsi" w:cstheme="minorHAnsi"/>
                <w:color w:val="000000"/>
                <w:sz w:val="20"/>
                <w:szCs w:val="20"/>
              </w:rPr>
              <w:t>5.2</w:t>
            </w:r>
          </w:p>
        </w:tc>
        <w:tc>
          <w:tcPr>
            <w:tcW w:w="1798" w:type="dxa"/>
            <w:tcBorders>
              <w:top w:val="nil"/>
              <w:left w:val="nil"/>
              <w:bottom w:val="nil"/>
              <w:right w:val="nil"/>
            </w:tcBorders>
            <w:shd w:val="clear" w:color="auto" w:fill="auto"/>
            <w:noWrap/>
            <w:vAlign w:val="bottom"/>
            <w:hideMark/>
          </w:tcPr>
          <w:p w:rsidR="002604AC" w:rsidRPr="006F3EA5" w:rsidRDefault="002604AC">
            <w:pPr>
              <w:jc w:val="right"/>
              <w:rPr>
                <w:rFonts w:asciiTheme="minorHAnsi" w:hAnsiTheme="minorHAnsi" w:cstheme="minorHAnsi"/>
                <w:color w:val="000000"/>
                <w:sz w:val="20"/>
                <w:szCs w:val="20"/>
              </w:rPr>
            </w:pPr>
            <w:r w:rsidRPr="006F3EA5">
              <w:rPr>
                <w:rFonts w:asciiTheme="minorHAnsi" w:hAnsiTheme="minorHAnsi" w:cstheme="minorHAnsi"/>
                <w:color w:val="000000"/>
                <w:sz w:val="20"/>
                <w:szCs w:val="20"/>
              </w:rPr>
              <w:t>0.9</w:t>
            </w:r>
          </w:p>
        </w:tc>
      </w:tr>
      <w:tr w:rsidR="002604AC" w:rsidRPr="006F3EA5" w:rsidTr="006F3EA5">
        <w:trPr>
          <w:trHeight w:val="300"/>
        </w:trPr>
        <w:tc>
          <w:tcPr>
            <w:tcW w:w="3134" w:type="dxa"/>
            <w:tcBorders>
              <w:top w:val="nil"/>
              <w:left w:val="nil"/>
              <w:bottom w:val="nil"/>
              <w:right w:val="nil"/>
            </w:tcBorders>
            <w:shd w:val="clear" w:color="auto" w:fill="auto"/>
            <w:noWrap/>
            <w:vAlign w:val="bottom"/>
            <w:hideMark/>
          </w:tcPr>
          <w:p w:rsidR="002604AC" w:rsidRPr="006F3EA5" w:rsidRDefault="002604AC">
            <w:pPr>
              <w:rPr>
                <w:rFonts w:asciiTheme="minorHAnsi" w:hAnsiTheme="minorHAnsi" w:cstheme="minorHAnsi"/>
                <w:color w:val="000000"/>
                <w:sz w:val="20"/>
                <w:szCs w:val="20"/>
              </w:rPr>
            </w:pPr>
            <w:r w:rsidRPr="006F3EA5">
              <w:rPr>
                <w:rFonts w:asciiTheme="minorHAnsi" w:hAnsiTheme="minorHAnsi" w:cstheme="minorHAnsi"/>
                <w:color w:val="000000"/>
                <w:sz w:val="20"/>
                <w:szCs w:val="20"/>
              </w:rPr>
              <w:t>Other mental stress factors</w:t>
            </w:r>
          </w:p>
        </w:tc>
        <w:tc>
          <w:tcPr>
            <w:tcW w:w="992" w:type="dxa"/>
            <w:tcBorders>
              <w:top w:val="nil"/>
              <w:left w:val="nil"/>
              <w:bottom w:val="nil"/>
              <w:right w:val="nil"/>
            </w:tcBorders>
            <w:shd w:val="clear" w:color="auto" w:fill="auto"/>
            <w:noWrap/>
            <w:vAlign w:val="bottom"/>
            <w:hideMark/>
          </w:tcPr>
          <w:p w:rsidR="002604AC" w:rsidRPr="006F3EA5" w:rsidRDefault="002604AC">
            <w:pPr>
              <w:jc w:val="right"/>
              <w:rPr>
                <w:rFonts w:asciiTheme="minorHAnsi" w:hAnsiTheme="minorHAnsi" w:cstheme="minorHAnsi"/>
                <w:color w:val="000000"/>
                <w:sz w:val="20"/>
                <w:szCs w:val="20"/>
              </w:rPr>
            </w:pPr>
            <w:r w:rsidRPr="006F3EA5">
              <w:rPr>
                <w:rFonts w:asciiTheme="minorHAnsi" w:hAnsiTheme="minorHAnsi" w:cstheme="minorHAnsi"/>
                <w:color w:val="000000"/>
                <w:sz w:val="20"/>
                <w:szCs w:val="20"/>
              </w:rPr>
              <w:t>555</w:t>
            </w:r>
          </w:p>
        </w:tc>
        <w:tc>
          <w:tcPr>
            <w:tcW w:w="1559" w:type="dxa"/>
            <w:tcBorders>
              <w:top w:val="nil"/>
              <w:left w:val="nil"/>
              <w:bottom w:val="nil"/>
              <w:right w:val="nil"/>
            </w:tcBorders>
            <w:shd w:val="clear" w:color="auto" w:fill="auto"/>
            <w:noWrap/>
            <w:vAlign w:val="bottom"/>
            <w:hideMark/>
          </w:tcPr>
          <w:p w:rsidR="002604AC" w:rsidRPr="006F3EA5" w:rsidRDefault="002604AC">
            <w:pPr>
              <w:jc w:val="right"/>
              <w:rPr>
                <w:rFonts w:asciiTheme="minorHAnsi" w:hAnsiTheme="minorHAnsi" w:cstheme="minorHAnsi"/>
                <w:color w:val="000000"/>
                <w:sz w:val="20"/>
                <w:szCs w:val="20"/>
              </w:rPr>
            </w:pPr>
            <w:r w:rsidRPr="006F3EA5">
              <w:rPr>
                <w:rFonts w:asciiTheme="minorHAnsi" w:hAnsiTheme="minorHAnsi" w:cstheme="minorHAnsi"/>
                <w:color w:val="000000"/>
                <w:sz w:val="20"/>
                <w:szCs w:val="20"/>
              </w:rPr>
              <w:t>6.5</w:t>
            </w:r>
          </w:p>
        </w:tc>
        <w:tc>
          <w:tcPr>
            <w:tcW w:w="1276" w:type="dxa"/>
            <w:tcBorders>
              <w:top w:val="nil"/>
              <w:left w:val="nil"/>
              <w:bottom w:val="nil"/>
              <w:right w:val="nil"/>
            </w:tcBorders>
            <w:shd w:val="clear" w:color="auto" w:fill="auto"/>
            <w:noWrap/>
            <w:vAlign w:val="bottom"/>
            <w:hideMark/>
          </w:tcPr>
          <w:p w:rsidR="002604AC" w:rsidRPr="006F3EA5" w:rsidRDefault="002604AC">
            <w:pPr>
              <w:jc w:val="right"/>
              <w:rPr>
                <w:rFonts w:asciiTheme="minorHAnsi" w:hAnsiTheme="minorHAnsi" w:cstheme="minorHAnsi"/>
                <w:color w:val="000000"/>
                <w:sz w:val="20"/>
                <w:szCs w:val="20"/>
              </w:rPr>
            </w:pPr>
            <w:r w:rsidRPr="006F3EA5">
              <w:rPr>
                <w:rFonts w:asciiTheme="minorHAnsi" w:hAnsiTheme="minorHAnsi" w:cstheme="minorHAnsi"/>
                <w:color w:val="000000"/>
                <w:sz w:val="20"/>
                <w:szCs w:val="20"/>
              </w:rPr>
              <w:t>13</w:t>
            </w:r>
            <w:r w:rsidR="00BC1459" w:rsidRPr="006F3EA5">
              <w:rPr>
                <w:rFonts w:asciiTheme="minorHAnsi" w:hAnsiTheme="minorHAnsi" w:cstheme="minorHAnsi"/>
                <w:color w:val="000000"/>
                <w:sz w:val="20"/>
                <w:szCs w:val="20"/>
              </w:rPr>
              <w:t xml:space="preserve"> </w:t>
            </w:r>
            <w:r w:rsidRPr="006F3EA5">
              <w:rPr>
                <w:rFonts w:asciiTheme="minorHAnsi" w:hAnsiTheme="minorHAnsi" w:cstheme="minorHAnsi"/>
                <w:color w:val="000000"/>
                <w:sz w:val="20"/>
                <w:szCs w:val="20"/>
              </w:rPr>
              <w:t>800</w:t>
            </w:r>
          </w:p>
        </w:tc>
        <w:tc>
          <w:tcPr>
            <w:tcW w:w="1559" w:type="dxa"/>
            <w:tcBorders>
              <w:top w:val="nil"/>
              <w:left w:val="nil"/>
              <w:bottom w:val="nil"/>
              <w:right w:val="nil"/>
            </w:tcBorders>
            <w:shd w:val="clear" w:color="auto" w:fill="auto"/>
            <w:noWrap/>
            <w:vAlign w:val="bottom"/>
            <w:hideMark/>
          </w:tcPr>
          <w:p w:rsidR="002604AC" w:rsidRPr="006F3EA5" w:rsidRDefault="002604AC">
            <w:pPr>
              <w:jc w:val="right"/>
              <w:rPr>
                <w:rFonts w:asciiTheme="minorHAnsi" w:hAnsiTheme="minorHAnsi" w:cstheme="minorHAnsi"/>
                <w:color w:val="000000"/>
                <w:sz w:val="20"/>
                <w:szCs w:val="20"/>
              </w:rPr>
            </w:pPr>
            <w:r w:rsidRPr="006F3EA5">
              <w:rPr>
                <w:rFonts w:asciiTheme="minorHAnsi" w:hAnsiTheme="minorHAnsi" w:cstheme="minorHAnsi"/>
                <w:color w:val="000000"/>
                <w:sz w:val="20"/>
                <w:szCs w:val="20"/>
              </w:rPr>
              <w:t>4.0</w:t>
            </w:r>
          </w:p>
        </w:tc>
        <w:tc>
          <w:tcPr>
            <w:tcW w:w="1798" w:type="dxa"/>
            <w:tcBorders>
              <w:top w:val="nil"/>
              <w:left w:val="nil"/>
              <w:bottom w:val="nil"/>
              <w:right w:val="nil"/>
            </w:tcBorders>
            <w:shd w:val="clear" w:color="auto" w:fill="auto"/>
            <w:noWrap/>
            <w:vAlign w:val="bottom"/>
            <w:hideMark/>
          </w:tcPr>
          <w:p w:rsidR="002604AC" w:rsidRPr="006F3EA5" w:rsidRDefault="002604AC">
            <w:pPr>
              <w:jc w:val="right"/>
              <w:rPr>
                <w:rFonts w:asciiTheme="minorHAnsi" w:hAnsiTheme="minorHAnsi" w:cstheme="minorHAnsi"/>
                <w:color w:val="000000"/>
                <w:sz w:val="20"/>
                <w:szCs w:val="20"/>
              </w:rPr>
            </w:pPr>
            <w:r w:rsidRPr="006F3EA5">
              <w:rPr>
                <w:rFonts w:asciiTheme="minorHAnsi" w:hAnsiTheme="minorHAnsi" w:cstheme="minorHAnsi"/>
                <w:color w:val="000000"/>
                <w:sz w:val="20"/>
                <w:szCs w:val="20"/>
              </w:rPr>
              <w:t>0.7</w:t>
            </w:r>
          </w:p>
        </w:tc>
      </w:tr>
      <w:tr w:rsidR="002604AC" w:rsidRPr="006F3EA5" w:rsidTr="00805E16">
        <w:trPr>
          <w:trHeight w:val="300"/>
        </w:trPr>
        <w:tc>
          <w:tcPr>
            <w:tcW w:w="3134" w:type="dxa"/>
            <w:tcBorders>
              <w:top w:val="nil"/>
              <w:left w:val="nil"/>
              <w:right w:val="nil"/>
            </w:tcBorders>
            <w:shd w:val="clear" w:color="auto" w:fill="auto"/>
            <w:noWrap/>
            <w:vAlign w:val="bottom"/>
            <w:hideMark/>
          </w:tcPr>
          <w:p w:rsidR="002604AC" w:rsidRPr="006F3EA5" w:rsidRDefault="002604AC">
            <w:pPr>
              <w:rPr>
                <w:rFonts w:asciiTheme="minorHAnsi" w:hAnsiTheme="minorHAnsi" w:cstheme="minorHAnsi"/>
                <w:color w:val="000000"/>
                <w:sz w:val="20"/>
                <w:szCs w:val="20"/>
              </w:rPr>
            </w:pPr>
            <w:r w:rsidRPr="006F3EA5">
              <w:rPr>
                <w:rFonts w:asciiTheme="minorHAnsi" w:hAnsiTheme="minorHAnsi" w:cstheme="minorHAnsi"/>
                <w:color w:val="000000"/>
                <w:sz w:val="20"/>
                <w:szCs w:val="20"/>
              </w:rPr>
              <w:t>Other harassment</w:t>
            </w:r>
          </w:p>
        </w:tc>
        <w:tc>
          <w:tcPr>
            <w:tcW w:w="992" w:type="dxa"/>
            <w:tcBorders>
              <w:top w:val="nil"/>
              <w:left w:val="nil"/>
              <w:right w:val="nil"/>
            </w:tcBorders>
            <w:shd w:val="clear" w:color="auto" w:fill="auto"/>
            <w:noWrap/>
            <w:vAlign w:val="bottom"/>
            <w:hideMark/>
          </w:tcPr>
          <w:p w:rsidR="002604AC" w:rsidRPr="006F3EA5" w:rsidRDefault="002604AC">
            <w:pPr>
              <w:jc w:val="right"/>
              <w:rPr>
                <w:rFonts w:asciiTheme="minorHAnsi" w:hAnsiTheme="minorHAnsi" w:cstheme="minorHAnsi"/>
                <w:color w:val="000000"/>
                <w:sz w:val="20"/>
                <w:szCs w:val="20"/>
              </w:rPr>
            </w:pPr>
            <w:r w:rsidRPr="006F3EA5">
              <w:rPr>
                <w:rFonts w:asciiTheme="minorHAnsi" w:hAnsiTheme="minorHAnsi" w:cstheme="minorHAnsi"/>
                <w:color w:val="000000"/>
                <w:sz w:val="20"/>
                <w:szCs w:val="20"/>
              </w:rPr>
              <w:t>130</w:t>
            </w:r>
          </w:p>
        </w:tc>
        <w:tc>
          <w:tcPr>
            <w:tcW w:w="1559" w:type="dxa"/>
            <w:tcBorders>
              <w:top w:val="nil"/>
              <w:left w:val="nil"/>
              <w:right w:val="nil"/>
            </w:tcBorders>
            <w:shd w:val="clear" w:color="auto" w:fill="auto"/>
            <w:noWrap/>
            <w:vAlign w:val="bottom"/>
            <w:hideMark/>
          </w:tcPr>
          <w:p w:rsidR="002604AC" w:rsidRPr="006F3EA5" w:rsidRDefault="002604AC">
            <w:pPr>
              <w:jc w:val="right"/>
              <w:rPr>
                <w:rFonts w:asciiTheme="minorHAnsi" w:hAnsiTheme="minorHAnsi" w:cstheme="minorHAnsi"/>
                <w:color w:val="000000"/>
                <w:sz w:val="20"/>
                <w:szCs w:val="20"/>
              </w:rPr>
            </w:pPr>
            <w:r w:rsidRPr="006F3EA5">
              <w:rPr>
                <w:rFonts w:asciiTheme="minorHAnsi" w:hAnsiTheme="minorHAnsi" w:cstheme="minorHAnsi"/>
                <w:color w:val="000000"/>
                <w:sz w:val="20"/>
                <w:szCs w:val="20"/>
              </w:rPr>
              <w:t>8.0</w:t>
            </w:r>
          </w:p>
        </w:tc>
        <w:tc>
          <w:tcPr>
            <w:tcW w:w="1276" w:type="dxa"/>
            <w:tcBorders>
              <w:top w:val="nil"/>
              <w:left w:val="nil"/>
              <w:bottom w:val="nil"/>
              <w:right w:val="nil"/>
            </w:tcBorders>
            <w:shd w:val="clear" w:color="auto" w:fill="auto"/>
            <w:noWrap/>
            <w:vAlign w:val="bottom"/>
            <w:hideMark/>
          </w:tcPr>
          <w:p w:rsidR="002604AC" w:rsidRPr="006F3EA5" w:rsidRDefault="002604AC">
            <w:pPr>
              <w:jc w:val="right"/>
              <w:rPr>
                <w:rFonts w:asciiTheme="minorHAnsi" w:hAnsiTheme="minorHAnsi" w:cstheme="minorHAnsi"/>
                <w:color w:val="000000"/>
                <w:sz w:val="20"/>
                <w:szCs w:val="20"/>
              </w:rPr>
            </w:pPr>
            <w:r w:rsidRPr="006F3EA5">
              <w:rPr>
                <w:rFonts w:asciiTheme="minorHAnsi" w:hAnsiTheme="minorHAnsi" w:cstheme="minorHAnsi"/>
                <w:color w:val="000000"/>
                <w:sz w:val="20"/>
                <w:szCs w:val="20"/>
              </w:rPr>
              <w:t>14</w:t>
            </w:r>
            <w:r w:rsidR="00BC1459" w:rsidRPr="006F3EA5">
              <w:rPr>
                <w:rFonts w:asciiTheme="minorHAnsi" w:hAnsiTheme="minorHAnsi" w:cstheme="minorHAnsi"/>
                <w:color w:val="000000"/>
                <w:sz w:val="20"/>
                <w:szCs w:val="20"/>
              </w:rPr>
              <w:t xml:space="preserve"> </w:t>
            </w:r>
            <w:r w:rsidRPr="006F3EA5">
              <w:rPr>
                <w:rFonts w:asciiTheme="minorHAnsi" w:hAnsiTheme="minorHAnsi" w:cstheme="minorHAnsi"/>
                <w:color w:val="000000"/>
                <w:sz w:val="20"/>
                <w:szCs w:val="20"/>
              </w:rPr>
              <w:t>500</w:t>
            </w:r>
          </w:p>
        </w:tc>
        <w:tc>
          <w:tcPr>
            <w:tcW w:w="1559" w:type="dxa"/>
            <w:tcBorders>
              <w:top w:val="nil"/>
              <w:left w:val="nil"/>
              <w:bottom w:val="nil"/>
              <w:right w:val="nil"/>
            </w:tcBorders>
            <w:shd w:val="clear" w:color="auto" w:fill="auto"/>
            <w:noWrap/>
            <w:vAlign w:val="bottom"/>
            <w:hideMark/>
          </w:tcPr>
          <w:p w:rsidR="002604AC" w:rsidRPr="006F3EA5" w:rsidRDefault="002604AC">
            <w:pPr>
              <w:jc w:val="right"/>
              <w:rPr>
                <w:rFonts w:asciiTheme="minorHAnsi" w:hAnsiTheme="minorHAnsi" w:cstheme="minorHAnsi"/>
                <w:color w:val="000000"/>
                <w:sz w:val="20"/>
                <w:szCs w:val="20"/>
              </w:rPr>
            </w:pPr>
            <w:r w:rsidRPr="006F3EA5">
              <w:rPr>
                <w:rFonts w:asciiTheme="minorHAnsi" w:hAnsiTheme="minorHAnsi" w:cstheme="minorHAnsi"/>
                <w:color w:val="000000"/>
                <w:sz w:val="20"/>
                <w:szCs w:val="20"/>
              </w:rPr>
              <w:t>0.9</w:t>
            </w:r>
          </w:p>
        </w:tc>
        <w:tc>
          <w:tcPr>
            <w:tcW w:w="1798" w:type="dxa"/>
            <w:tcBorders>
              <w:top w:val="nil"/>
              <w:left w:val="nil"/>
              <w:bottom w:val="nil"/>
              <w:right w:val="nil"/>
            </w:tcBorders>
            <w:shd w:val="clear" w:color="auto" w:fill="auto"/>
            <w:noWrap/>
            <w:vAlign w:val="bottom"/>
            <w:hideMark/>
          </w:tcPr>
          <w:p w:rsidR="002604AC" w:rsidRPr="006F3EA5" w:rsidRDefault="002604AC">
            <w:pPr>
              <w:jc w:val="right"/>
              <w:rPr>
                <w:rFonts w:asciiTheme="minorHAnsi" w:hAnsiTheme="minorHAnsi" w:cstheme="minorHAnsi"/>
                <w:color w:val="000000"/>
                <w:sz w:val="20"/>
                <w:szCs w:val="20"/>
              </w:rPr>
            </w:pPr>
            <w:r w:rsidRPr="006F3EA5">
              <w:rPr>
                <w:rFonts w:asciiTheme="minorHAnsi" w:hAnsiTheme="minorHAnsi" w:cstheme="minorHAnsi"/>
                <w:color w:val="000000"/>
                <w:sz w:val="20"/>
                <w:szCs w:val="20"/>
              </w:rPr>
              <w:t>0.2</w:t>
            </w:r>
          </w:p>
        </w:tc>
      </w:tr>
      <w:tr w:rsidR="002604AC" w:rsidRPr="006F3EA5" w:rsidTr="00805E16">
        <w:trPr>
          <w:trHeight w:val="300"/>
        </w:trPr>
        <w:tc>
          <w:tcPr>
            <w:tcW w:w="3134" w:type="dxa"/>
            <w:tcBorders>
              <w:top w:val="nil"/>
              <w:left w:val="nil"/>
              <w:bottom w:val="nil"/>
              <w:right w:val="nil"/>
            </w:tcBorders>
            <w:shd w:val="clear" w:color="auto" w:fill="auto"/>
            <w:noWrap/>
            <w:vAlign w:val="bottom"/>
            <w:hideMark/>
          </w:tcPr>
          <w:p w:rsidR="002604AC" w:rsidRPr="006F3EA5" w:rsidRDefault="002604AC">
            <w:pPr>
              <w:rPr>
                <w:rFonts w:asciiTheme="minorHAnsi" w:hAnsiTheme="minorHAnsi" w:cstheme="minorHAnsi"/>
                <w:color w:val="000000"/>
                <w:sz w:val="20"/>
                <w:szCs w:val="20"/>
              </w:rPr>
            </w:pPr>
            <w:r w:rsidRPr="006F3EA5">
              <w:rPr>
                <w:rFonts w:asciiTheme="minorHAnsi" w:hAnsiTheme="minorHAnsi" w:cstheme="minorHAnsi"/>
                <w:color w:val="000000"/>
                <w:sz w:val="20"/>
                <w:szCs w:val="20"/>
              </w:rPr>
              <w:t>Suicide or attempted suicide</w:t>
            </w:r>
          </w:p>
        </w:tc>
        <w:tc>
          <w:tcPr>
            <w:tcW w:w="992" w:type="dxa"/>
            <w:tcBorders>
              <w:top w:val="nil"/>
              <w:left w:val="nil"/>
              <w:right w:val="nil"/>
            </w:tcBorders>
            <w:shd w:val="clear" w:color="auto" w:fill="auto"/>
            <w:noWrap/>
            <w:vAlign w:val="bottom"/>
            <w:hideMark/>
          </w:tcPr>
          <w:p w:rsidR="002604AC" w:rsidRPr="006F3EA5" w:rsidRDefault="002604AC">
            <w:pPr>
              <w:jc w:val="right"/>
              <w:rPr>
                <w:rFonts w:asciiTheme="minorHAnsi" w:hAnsiTheme="minorHAnsi" w:cstheme="minorHAnsi"/>
                <w:color w:val="000000"/>
                <w:sz w:val="20"/>
                <w:szCs w:val="20"/>
              </w:rPr>
            </w:pPr>
            <w:r w:rsidRPr="006F3EA5">
              <w:rPr>
                <w:rFonts w:asciiTheme="minorHAnsi" w:hAnsiTheme="minorHAnsi" w:cstheme="minorHAnsi"/>
                <w:color w:val="000000"/>
                <w:sz w:val="20"/>
                <w:szCs w:val="20"/>
              </w:rPr>
              <w:t>35</w:t>
            </w:r>
          </w:p>
        </w:tc>
        <w:tc>
          <w:tcPr>
            <w:tcW w:w="1559" w:type="dxa"/>
            <w:tcBorders>
              <w:top w:val="nil"/>
              <w:left w:val="nil"/>
              <w:bottom w:val="nil"/>
              <w:right w:val="nil"/>
            </w:tcBorders>
            <w:shd w:val="clear" w:color="auto" w:fill="auto"/>
            <w:noWrap/>
            <w:vAlign w:val="bottom"/>
            <w:hideMark/>
          </w:tcPr>
          <w:p w:rsidR="002604AC" w:rsidRPr="006F3EA5" w:rsidRDefault="002604AC">
            <w:pPr>
              <w:jc w:val="right"/>
              <w:rPr>
                <w:rFonts w:asciiTheme="minorHAnsi" w:hAnsiTheme="minorHAnsi" w:cstheme="minorHAnsi"/>
                <w:color w:val="000000"/>
                <w:sz w:val="20"/>
                <w:szCs w:val="20"/>
              </w:rPr>
            </w:pPr>
            <w:r w:rsidRPr="006F3EA5">
              <w:rPr>
                <w:rFonts w:asciiTheme="minorHAnsi" w:hAnsiTheme="minorHAnsi" w:cstheme="minorHAnsi"/>
                <w:color w:val="000000"/>
                <w:sz w:val="20"/>
                <w:szCs w:val="20"/>
              </w:rPr>
              <w:t>7.6</w:t>
            </w:r>
          </w:p>
        </w:tc>
        <w:tc>
          <w:tcPr>
            <w:tcW w:w="1276" w:type="dxa"/>
            <w:tcBorders>
              <w:top w:val="nil"/>
              <w:left w:val="nil"/>
              <w:bottom w:val="nil"/>
              <w:right w:val="nil"/>
            </w:tcBorders>
            <w:shd w:val="clear" w:color="auto" w:fill="auto"/>
            <w:noWrap/>
            <w:vAlign w:val="bottom"/>
            <w:hideMark/>
          </w:tcPr>
          <w:p w:rsidR="002604AC" w:rsidRPr="006F3EA5" w:rsidRDefault="002604AC">
            <w:pPr>
              <w:jc w:val="right"/>
              <w:rPr>
                <w:rFonts w:asciiTheme="minorHAnsi" w:hAnsiTheme="minorHAnsi" w:cstheme="minorHAnsi"/>
                <w:color w:val="000000"/>
                <w:sz w:val="20"/>
                <w:szCs w:val="20"/>
              </w:rPr>
            </w:pPr>
            <w:r w:rsidRPr="006F3EA5">
              <w:rPr>
                <w:rFonts w:asciiTheme="minorHAnsi" w:hAnsiTheme="minorHAnsi" w:cstheme="minorHAnsi"/>
                <w:color w:val="000000"/>
                <w:sz w:val="20"/>
                <w:szCs w:val="20"/>
              </w:rPr>
              <w:t>12</w:t>
            </w:r>
            <w:r w:rsidR="00BC1459" w:rsidRPr="006F3EA5">
              <w:rPr>
                <w:rFonts w:asciiTheme="minorHAnsi" w:hAnsiTheme="minorHAnsi" w:cstheme="minorHAnsi"/>
                <w:color w:val="000000"/>
                <w:sz w:val="20"/>
                <w:szCs w:val="20"/>
              </w:rPr>
              <w:t xml:space="preserve"> </w:t>
            </w:r>
            <w:r w:rsidRPr="006F3EA5">
              <w:rPr>
                <w:rFonts w:asciiTheme="minorHAnsi" w:hAnsiTheme="minorHAnsi" w:cstheme="minorHAnsi"/>
                <w:color w:val="000000"/>
                <w:sz w:val="20"/>
                <w:szCs w:val="20"/>
              </w:rPr>
              <w:t>200</w:t>
            </w:r>
          </w:p>
        </w:tc>
        <w:tc>
          <w:tcPr>
            <w:tcW w:w="1559" w:type="dxa"/>
            <w:tcBorders>
              <w:top w:val="nil"/>
              <w:left w:val="nil"/>
              <w:bottom w:val="nil"/>
              <w:right w:val="nil"/>
            </w:tcBorders>
            <w:shd w:val="clear" w:color="auto" w:fill="auto"/>
            <w:noWrap/>
            <w:vAlign w:val="bottom"/>
            <w:hideMark/>
          </w:tcPr>
          <w:p w:rsidR="002604AC" w:rsidRPr="006F3EA5" w:rsidRDefault="002604AC">
            <w:pPr>
              <w:jc w:val="right"/>
              <w:rPr>
                <w:rFonts w:asciiTheme="minorHAnsi" w:hAnsiTheme="minorHAnsi" w:cstheme="minorHAnsi"/>
                <w:color w:val="000000"/>
                <w:sz w:val="20"/>
                <w:szCs w:val="20"/>
              </w:rPr>
            </w:pPr>
            <w:r w:rsidRPr="006F3EA5">
              <w:rPr>
                <w:rFonts w:asciiTheme="minorHAnsi" w:hAnsiTheme="minorHAnsi" w:cstheme="minorHAnsi"/>
                <w:color w:val="000000"/>
                <w:sz w:val="20"/>
                <w:szCs w:val="20"/>
              </w:rPr>
              <w:t>0.3</w:t>
            </w:r>
          </w:p>
        </w:tc>
        <w:tc>
          <w:tcPr>
            <w:tcW w:w="1798" w:type="dxa"/>
            <w:tcBorders>
              <w:top w:val="nil"/>
              <w:left w:val="nil"/>
              <w:bottom w:val="nil"/>
              <w:right w:val="nil"/>
            </w:tcBorders>
            <w:shd w:val="clear" w:color="auto" w:fill="auto"/>
            <w:noWrap/>
            <w:vAlign w:val="bottom"/>
            <w:hideMark/>
          </w:tcPr>
          <w:p w:rsidR="002604AC" w:rsidRPr="006F3EA5" w:rsidRDefault="002604AC">
            <w:pPr>
              <w:jc w:val="right"/>
              <w:rPr>
                <w:rFonts w:asciiTheme="minorHAnsi" w:hAnsiTheme="minorHAnsi" w:cstheme="minorHAnsi"/>
                <w:color w:val="000000"/>
                <w:sz w:val="20"/>
                <w:szCs w:val="20"/>
              </w:rPr>
            </w:pPr>
            <w:r w:rsidRPr="006F3EA5">
              <w:rPr>
                <w:rFonts w:asciiTheme="minorHAnsi" w:hAnsiTheme="minorHAnsi" w:cstheme="minorHAnsi"/>
                <w:color w:val="000000"/>
                <w:sz w:val="20"/>
                <w:szCs w:val="20"/>
              </w:rPr>
              <w:t>0.0</w:t>
            </w:r>
          </w:p>
        </w:tc>
      </w:tr>
      <w:tr w:rsidR="003C19D5" w:rsidRPr="006F3EA5" w:rsidTr="00805E16">
        <w:trPr>
          <w:trHeight w:val="300"/>
        </w:trPr>
        <w:tc>
          <w:tcPr>
            <w:tcW w:w="3134" w:type="dxa"/>
            <w:tcBorders>
              <w:top w:val="nil"/>
              <w:left w:val="nil"/>
              <w:bottom w:val="nil"/>
              <w:right w:val="nil"/>
            </w:tcBorders>
            <w:shd w:val="clear" w:color="auto" w:fill="auto"/>
            <w:noWrap/>
            <w:vAlign w:val="bottom"/>
            <w:hideMark/>
          </w:tcPr>
          <w:p w:rsidR="003C19D5" w:rsidRPr="006F3EA5" w:rsidRDefault="003C19D5">
            <w:pPr>
              <w:rPr>
                <w:rFonts w:asciiTheme="minorHAnsi" w:hAnsiTheme="minorHAnsi" w:cstheme="minorHAnsi"/>
                <w:b/>
                <w:bCs/>
                <w:color w:val="000000"/>
                <w:sz w:val="20"/>
                <w:szCs w:val="20"/>
              </w:rPr>
            </w:pPr>
            <w:r w:rsidRPr="006F3EA5">
              <w:rPr>
                <w:rFonts w:asciiTheme="minorHAnsi" w:hAnsiTheme="minorHAnsi" w:cstheme="minorHAnsi"/>
                <w:b/>
                <w:bCs/>
                <w:color w:val="000000"/>
                <w:sz w:val="20"/>
                <w:szCs w:val="20"/>
              </w:rPr>
              <w:t>Total all mental stress</w:t>
            </w:r>
            <w:r w:rsidR="006F3EA5">
              <w:rPr>
                <w:rFonts w:asciiTheme="minorHAnsi" w:hAnsiTheme="minorHAnsi" w:cstheme="minorHAnsi"/>
                <w:b/>
                <w:bCs/>
                <w:color w:val="000000"/>
                <w:sz w:val="20"/>
                <w:szCs w:val="20"/>
              </w:rPr>
              <w:t>**</w:t>
            </w:r>
          </w:p>
        </w:tc>
        <w:tc>
          <w:tcPr>
            <w:tcW w:w="992" w:type="dxa"/>
            <w:tcBorders>
              <w:left w:val="nil"/>
              <w:bottom w:val="single" w:sz="4" w:space="0" w:color="auto"/>
              <w:right w:val="nil"/>
            </w:tcBorders>
            <w:shd w:val="clear" w:color="auto" w:fill="auto"/>
            <w:noWrap/>
            <w:vAlign w:val="bottom"/>
            <w:hideMark/>
          </w:tcPr>
          <w:p w:rsidR="003C19D5" w:rsidRPr="006F3EA5" w:rsidRDefault="003C19D5">
            <w:pPr>
              <w:jc w:val="right"/>
              <w:rPr>
                <w:rFonts w:asciiTheme="minorHAnsi" w:hAnsiTheme="minorHAnsi" w:cstheme="minorHAnsi"/>
                <w:b/>
                <w:color w:val="000000"/>
                <w:sz w:val="20"/>
                <w:szCs w:val="20"/>
              </w:rPr>
            </w:pPr>
            <w:r w:rsidRPr="006F3EA5">
              <w:rPr>
                <w:rFonts w:asciiTheme="minorHAnsi" w:hAnsiTheme="minorHAnsi" w:cstheme="minorHAnsi"/>
                <w:b/>
                <w:color w:val="000000"/>
                <w:sz w:val="20"/>
                <w:szCs w:val="20"/>
              </w:rPr>
              <w:t>7 845</w:t>
            </w:r>
          </w:p>
        </w:tc>
        <w:tc>
          <w:tcPr>
            <w:tcW w:w="1559" w:type="dxa"/>
            <w:tcBorders>
              <w:top w:val="nil"/>
              <w:left w:val="nil"/>
              <w:bottom w:val="nil"/>
              <w:right w:val="nil"/>
            </w:tcBorders>
            <w:shd w:val="clear" w:color="auto" w:fill="auto"/>
            <w:noWrap/>
            <w:vAlign w:val="bottom"/>
            <w:hideMark/>
          </w:tcPr>
          <w:p w:rsidR="003C19D5" w:rsidRPr="006F3EA5" w:rsidRDefault="003C19D5">
            <w:pPr>
              <w:jc w:val="right"/>
              <w:rPr>
                <w:rFonts w:asciiTheme="minorHAnsi" w:hAnsiTheme="minorHAnsi" w:cstheme="minorHAnsi"/>
                <w:b/>
                <w:color w:val="000000"/>
                <w:sz w:val="20"/>
                <w:szCs w:val="20"/>
              </w:rPr>
            </w:pPr>
            <w:r w:rsidRPr="006F3EA5">
              <w:rPr>
                <w:rFonts w:asciiTheme="minorHAnsi" w:hAnsiTheme="minorHAnsi" w:cstheme="minorHAnsi"/>
                <w:b/>
                <w:color w:val="000000"/>
                <w:sz w:val="20"/>
                <w:szCs w:val="20"/>
              </w:rPr>
              <w:t>9.4</w:t>
            </w:r>
          </w:p>
        </w:tc>
        <w:tc>
          <w:tcPr>
            <w:tcW w:w="1276" w:type="dxa"/>
            <w:tcBorders>
              <w:top w:val="nil"/>
              <w:left w:val="nil"/>
              <w:bottom w:val="nil"/>
              <w:right w:val="nil"/>
            </w:tcBorders>
            <w:shd w:val="clear" w:color="auto" w:fill="auto"/>
            <w:noWrap/>
            <w:vAlign w:val="bottom"/>
            <w:hideMark/>
          </w:tcPr>
          <w:p w:rsidR="003C19D5" w:rsidRPr="006F3EA5" w:rsidRDefault="003C19D5">
            <w:pPr>
              <w:jc w:val="right"/>
              <w:rPr>
                <w:rFonts w:asciiTheme="minorHAnsi" w:hAnsiTheme="minorHAnsi" w:cstheme="minorHAnsi"/>
                <w:b/>
                <w:color w:val="000000"/>
                <w:sz w:val="20"/>
                <w:szCs w:val="20"/>
              </w:rPr>
            </w:pPr>
            <w:r w:rsidRPr="006F3EA5">
              <w:rPr>
                <w:rFonts w:asciiTheme="minorHAnsi" w:hAnsiTheme="minorHAnsi" w:cstheme="minorHAnsi"/>
                <w:b/>
                <w:color w:val="000000"/>
                <w:sz w:val="20"/>
                <w:szCs w:val="20"/>
              </w:rPr>
              <w:t>18 600</w:t>
            </w:r>
          </w:p>
        </w:tc>
        <w:tc>
          <w:tcPr>
            <w:tcW w:w="1559" w:type="dxa"/>
            <w:tcBorders>
              <w:top w:val="nil"/>
              <w:left w:val="nil"/>
              <w:bottom w:val="nil"/>
              <w:right w:val="nil"/>
            </w:tcBorders>
            <w:shd w:val="clear" w:color="auto" w:fill="auto"/>
            <w:noWrap/>
            <w:vAlign w:val="bottom"/>
            <w:hideMark/>
          </w:tcPr>
          <w:p w:rsidR="003C19D5" w:rsidRPr="006F3EA5" w:rsidRDefault="003C19D5">
            <w:pPr>
              <w:jc w:val="right"/>
              <w:rPr>
                <w:rFonts w:asciiTheme="minorHAnsi" w:hAnsiTheme="minorHAnsi" w:cstheme="minorHAnsi"/>
                <w:b/>
                <w:color w:val="000000"/>
                <w:sz w:val="20"/>
                <w:szCs w:val="20"/>
              </w:rPr>
            </w:pPr>
            <w:r w:rsidRPr="006F3EA5">
              <w:rPr>
                <w:rFonts w:asciiTheme="minorHAnsi" w:hAnsiTheme="minorHAnsi" w:cstheme="minorHAnsi"/>
                <w:b/>
                <w:color w:val="000000"/>
                <w:sz w:val="20"/>
                <w:szCs w:val="20"/>
              </w:rPr>
              <w:t>43.4</w:t>
            </w:r>
          </w:p>
        </w:tc>
        <w:tc>
          <w:tcPr>
            <w:tcW w:w="1798" w:type="dxa"/>
            <w:tcBorders>
              <w:top w:val="nil"/>
              <w:left w:val="nil"/>
              <w:bottom w:val="nil"/>
              <w:right w:val="nil"/>
            </w:tcBorders>
            <w:shd w:val="clear" w:color="auto" w:fill="auto"/>
            <w:noWrap/>
            <w:vAlign w:val="bottom"/>
            <w:hideMark/>
          </w:tcPr>
          <w:p w:rsidR="003C19D5" w:rsidRPr="006F3EA5" w:rsidRDefault="003C19D5">
            <w:pPr>
              <w:jc w:val="right"/>
              <w:rPr>
                <w:rFonts w:asciiTheme="minorHAnsi" w:hAnsiTheme="minorHAnsi" w:cstheme="minorHAnsi"/>
                <w:b/>
                <w:color w:val="000000"/>
                <w:sz w:val="20"/>
                <w:szCs w:val="20"/>
              </w:rPr>
            </w:pPr>
            <w:r w:rsidRPr="006F3EA5">
              <w:rPr>
                <w:rFonts w:asciiTheme="minorHAnsi" w:hAnsiTheme="minorHAnsi" w:cstheme="minorHAnsi"/>
                <w:b/>
                <w:color w:val="000000"/>
                <w:sz w:val="20"/>
                <w:szCs w:val="20"/>
              </w:rPr>
              <w:t>7.2</w:t>
            </w:r>
          </w:p>
        </w:tc>
      </w:tr>
      <w:tr w:rsidR="003C19D5" w:rsidRPr="006F3EA5" w:rsidTr="00805E16">
        <w:trPr>
          <w:trHeight w:val="300"/>
        </w:trPr>
        <w:tc>
          <w:tcPr>
            <w:tcW w:w="3134" w:type="dxa"/>
            <w:tcBorders>
              <w:top w:val="single" w:sz="4" w:space="0" w:color="auto"/>
              <w:left w:val="nil"/>
              <w:bottom w:val="single" w:sz="4" w:space="0" w:color="auto"/>
              <w:right w:val="nil"/>
            </w:tcBorders>
            <w:shd w:val="clear" w:color="000000" w:fill="D9D9D9"/>
            <w:noWrap/>
            <w:vAlign w:val="bottom"/>
            <w:hideMark/>
          </w:tcPr>
          <w:p w:rsidR="003C19D5" w:rsidRPr="006F3EA5" w:rsidRDefault="003C19D5">
            <w:pPr>
              <w:rPr>
                <w:rFonts w:asciiTheme="minorHAnsi" w:hAnsiTheme="minorHAnsi" w:cstheme="minorHAnsi"/>
                <w:b/>
                <w:bCs/>
                <w:color w:val="000000"/>
                <w:sz w:val="20"/>
                <w:szCs w:val="20"/>
              </w:rPr>
            </w:pPr>
            <w:r w:rsidRPr="006F3EA5">
              <w:rPr>
                <w:rFonts w:asciiTheme="minorHAnsi" w:hAnsiTheme="minorHAnsi" w:cstheme="minorHAnsi"/>
                <w:b/>
                <w:bCs/>
                <w:color w:val="000000"/>
                <w:sz w:val="20"/>
                <w:szCs w:val="20"/>
              </w:rPr>
              <w:t>Total all accepted claims</w:t>
            </w:r>
          </w:p>
        </w:tc>
        <w:tc>
          <w:tcPr>
            <w:tcW w:w="992" w:type="dxa"/>
            <w:tcBorders>
              <w:top w:val="single" w:sz="4" w:space="0" w:color="auto"/>
              <w:left w:val="nil"/>
              <w:bottom w:val="single" w:sz="4" w:space="0" w:color="auto"/>
              <w:right w:val="nil"/>
            </w:tcBorders>
            <w:shd w:val="clear" w:color="000000" w:fill="D9D9D9"/>
            <w:noWrap/>
            <w:vAlign w:val="bottom"/>
            <w:hideMark/>
          </w:tcPr>
          <w:p w:rsidR="003C19D5" w:rsidRPr="006F3EA5" w:rsidRDefault="003C19D5">
            <w:pPr>
              <w:jc w:val="right"/>
              <w:rPr>
                <w:rFonts w:asciiTheme="minorHAnsi" w:hAnsiTheme="minorHAnsi" w:cstheme="minorHAnsi"/>
                <w:b/>
                <w:bCs/>
                <w:color w:val="000000"/>
                <w:sz w:val="20"/>
                <w:szCs w:val="20"/>
              </w:rPr>
            </w:pPr>
            <w:r w:rsidRPr="006F3EA5">
              <w:rPr>
                <w:rFonts w:asciiTheme="minorHAnsi" w:hAnsiTheme="minorHAnsi" w:cstheme="minorHAnsi"/>
                <w:b/>
                <w:bCs/>
                <w:color w:val="000000"/>
                <w:sz w:val="20"/>
                <w:szCs w:val="20"/>
              </w:rPr>
              <w:t>244 295</w:t>
            </w:r>
          </w:p>
        </w:tc>
        <w:tc>
          <w:tcPr>
            <w:tcW w:w="1559" w:type="dxa"/>
            <w:tcBorders>
              <w:top w:val="single" w:sz="4" w:space="0" w:color="auto"/>
              <w:left w:val="nil"/>
              <w:bottom w:val="single" w:sz="4" w:space="0" w:color="auto"/>
              <w:right w:val="nil"/>
            </w:tcBorders>
            <w:shd w:val="clear" w:color="000000" w:fill="D9D9D9"/>
            <w:noWrap/>
            <w:vAlign w:val="bottom"/>
            <w:hideMark/>
          </w:tcPr>
          <w:p w:rsidR="003C19D5" w:rsidRPr="006F3EA5" w:rsidRDefault="003C19D5">
            <w:pPr>
              <w:jc w:val="right"/>
              <w:rPr>
                <w:rFonts w:asciiTheme="minorHAnsi" w:hAnsiTheme="minorHAnsi" w:cstheme="minorHAnsi"/>
                <w:b/>
                <w:bCs/>
                <w:color w:val="000000"/>
                <w:sz w:val="20"/>
                <w:szCs w:val="20"/>
              </w:rPr>
            </w:pPr>
            <w:r w:rsidRPr="006F3EA5">
              <w:rPr>
                <w:rFonts w:asciiTheme="minorHAnsi" w:hAnsiTheme="minorHAnsi" w:cstheme="minorHAnsi"/>
                <w:b/>
                <w:bCs/>
                <w:color w:val="000000"/>
                <w:sz w:val="20"/>
                <w:szCs w:val="20"/>
              </w:rPr>
              <w:t>0.7</w:t>
            </w:r>
          </w:p>
        </w:tc>
        <w:tc>
          <w:tcPr>
            <w:tcW w:w="1276" w:type="dxa"/>
            <w:tcBorders>
              <w:top w:val="single" w:sz="4" w:space="0" w:color="auto"/>
              <w:left w:val="nil"/>
              <w:bottom w:val="single" w:sz="4" w:space="0" w:color="auto"/>
              <w:right w:val="nil"/>
            </w:tcBorders>
            <w:shd w:val="clear" w:color="000000" w:fill="D9D9D9"/>
            <w:noWrap/>
            <w:vAlign w:val="bottom"/>
            <w:hideMark/>
          </w:tcPr>
          <w:p w:rsidR="003C19D5" w:rsidRPr="006F3EA5" w:rsidRDefault="003C19D5">
            <w:pPr>
              <w:jc w:val="right"/>
              <w:rPr>
                <w:rFonts w:asciiTheme="minorHAnsi" w:hAnsiTheme="minorHAnsi" w:cstheme="minorHAnsi"/>
                <w:b/>
                <w:bCs/>
                <w:color w:val="000000"/>
                <w:sz w:val="20"/>
                <w:szCs w:val="20"/>
              </w:rPr>
            </w:pPr>
            <w:r w:rsidRPr="006F3EA5">
              <w:rPr>
                <w:rFonts w:asciiTheme="minorHAnsi" w:hAnsiTheme="minorHAnsi" w:cstheme="minorHAnsi"/>
                <w:b/>
                <w:bCs/>
                <w:color w:val="000000"/>
                <w:sz w:val="20"/>
                <w:szCs w:val="20"/>
              </w:rPr>
              <w:t>2 400</w:t>
            </w:r>
          </w:p>
        </w:tc>
        <w:tc>
          <w:tcPr>
            <w:tcW w:w="1559" w:type="dxa"/>
            <w:tcBorders>
              <w:top w:val="single" w:sz="4" w:space="0" w:color="auto"/>
              <w:left w:val="nil"/>
              <w:bottom w:val="single" w:sz="4" w:space="0" w:color="auto"/>
              <w:right w:val="nil"/>
            </w:tcBorders>
            <w:shd w:val="clear" w:color="000000" w:fill="D9D9D9"/>
            <w:noWrap/>
            <w:vAlign w:val="bottom"/>
            <w:hideMark/>
          </w:tcPr>
          <w:p w:rsidR="003C19D5" w:rsidRPr="006F3EA5" w:rsidRDefault="003C19D5">
            <w:pPr>
              <w:jc w:val="right"/>
              <w:rPr>
                <w:rFonts w:asciiTheme="minorHAnsi" w:hAnsiTheme="minorHAnsi" w:cstheme="minorHAnsi"/>
                <w:b/>
                <w:color w:val="000000"/>
                <w:sz w:val="20"/>
                <w:szCs w:val="20"/>
              </w:rPr>
            </w:pPr>
            <w:r w:rsidRPr="006F3EA5">
              <w:rPr>
                <w:rFonts w:asciiTheme="minorHAnsi" w:hAnsiTheme="minorHAnsi" w:cstheme="minorHAnsi"/>
                <w:b/>
                <w:color w:val="000000"/>
                <w:sz w:val="20"/>
                <w:szCs w:val="20"/>
              </w:rPr>
              <w:t>1350.2</w:t>
            </w:r>
          </w:p>
        </w:tc>
        <w:tc>
          <w:tcPr>
            <w:tcW w:w="1798" w:type="dxa"/>
            <w:tcBorders>
              <w:top w:val="single" w:sz="4" w:space="0" w:color="auto"/>
              <w:left w:val="nil"/>
              <w:bottom w:val="single" w:sz="4" w:space="0" w:color="auto"/>
              <w:right w:val="nil"/>
            </w:tcBorders>
            <w:shd w:val="clear" w:color="000000" w:fill="D9D9D9"/>
            <w:noWrap/>
            <w:vAlign w:val="bottom"/>
            <w:hideMark/>
          </w:tcPr>
          <w:p w:rsidR="003C19D5" w:rsidRPr="006F3EA5" w:rsidRDefault="003C19D5">
            <w:pPr>
              <w:jc w:val="right"/>
              <w:rPr>
                <w:rFonts w:asciiTheme="minorHAnsi" w:hAnsiTheme="minorHAnsi" w:cstheme="minorHAnsi"/>
                <w:b/>
                <w:color w:val="000000"/>
                <w:sz w:val="20"/>
                <w:szCs w:val="20"/>
              </w:rPr>
            </w:pPr>
            <w:r w:rsidRPr="006F3EA5">
              <w:rPr>
                <w:rFonts w:asciiTheme="minorHAnsi" w:hAnsiTheme="minorHAnsi" w:cstheme="minorHAnsi"/>
                <w:b/>
                <w:color w:val="000000"/>
                <w:sz w:val="20"/>
                <w:szCs w:val="20"/>
              </w:rPr>
              <w:t>225.7</w:t>
            </w:r>
          </w:p>
        </w:tc>
      </w:tr>
    </w:tbl>
    <w:p w:rsidR="00827308" w:rsidRDefault="00827308">
      <w:pPr>
        <w:rPr>
          <w:rFonts w:cs="Arial"/>
        </w:rPr>
      </w:pPr>
    </w:p>
    <w:p w:rsidR="00827308" w:rsidRPr="00747AAD" w:rsidRDefault="006F3EA5" w:rsidP="00827308">
      <w:pPr>
        <w:pStyle w:val="footnotes"/>
        <w:rPr>
          <w:rFonts w:asciiTheme="minorHAnsi" w:hAnsiTheme="minorHAnsi" w:cstheme="minorHAnsi"/>
          <w:position w:val="-2"/>
        </w:rPr>
      </w:pPr>
      <w:r w:rsidRPr="00747AAD">
        <w:rPr>
          <w:rFonts w:asciiTheme="minorHAnsi" w:hAnsiTheme="minorHAnsi" w:cstheme="minorHAnsi"/>
        </w:rPr>
        <w:t>*</w:t>
      </w:r>
      <w:r w:rsidR="00CD41C6" w:rsidRPr="00747AAD">
        <w:rPr>
          <w:rFonts w:asciiTheme="minorHAnsi" w:hAnsiTheme="minorHAnsi" w:cstheme="minorHAnsi"/>
        </w:rPr>
        <w:t>Data are presented for 2013–14 rather than 2014–15</w:t>
      </w:r>
      <w:r w:rsidR="00827308" w:rsidRPr="00747AAD">
        <w:rPr>
          <w:rFonts w:asciiTheme="minorHAnsi" w:hAnsiTheme="minorHAnsi" w:cstheme="minorHAnsi"/>
        </w:rPr>
        <w:t>p because the time lost from work and the direct cost associated with a compensation claim are generally not finalised until some time after the end of the financial year in which the claim was submitted. Note that workers’ compensation data reflect the year the claim was lodged, not the year in which the incident occurred. There may be a significant lag for mental stress claims.</w:t>
      </w:r>
    </w:p>
    <w:p w:rsidR="00827308" w:rsidRPr="00747AAD" w:rsidRDefault="00827308">
      <w:pPr>
        <w:rPr>
          <w:rFonts w:asciiTheme="minorHAnsi" w:hAnsiTheme="minorHAnsi" w:cstheme="minorHAnsi"/>
          <w:sz w:val="16"/>
          <w:szCs w:val="16"/>
        </w:rPr>
      </w:pPr>
      <w:r w:rsidRPr="00747AAD">
        <w:rPr>
          <w:rFonts w:asciiTheme="minorHAnsi" w:hAnsiTheme="minorHAnsi" w:cstheme="minorHAnsi"/>
          <w:spacing w:val="-2"/>
          <w:sz w:val="16"/>
          <w:szCs w:val="16"/>
          <w:lang w:val="en-US"/>
        </w:rPr>
        <w:t xml:space="preserve">**Mental stress subcategory data </w:t>
      </w:r>
      <w:r w:rsidR="006F3EA5" w:rsidRPr="00747AAD">
        <w:rPr>
          <w:rFonts w:asciiTheme="minorHAnsi" w:hAnsiTheme="minorHAnsi" w:cstheme="minorHAnsi"/>
          <w:spacing w:val="-2"/>
          <w:sz w:val="16"/>
          <w:szCs w:val="16"/>
          <w:lang w:val="en-US"/>
        </w:rPr>
        <w:t>excludes</w:t>
      </w:r>
      <w:r w:rsidRPr="00747AAD">
        <w:rPr>
          <w:rFonts w:asciiTheme="minorHAnsi" w:hAnsiTheme="minorHAnsi" w:cstheme="minorHAnsi"/>
          <w:spacing w:val="-2"/>
          <w:sz w:val="16"/>
          <w:szCs w:val="16"/>
          <w:lang w:val="en-US"/>
        </w:rPr>
        <w:t xml:space="preserve"> information from Victoria. However the total mental stress data do include Victorian information and are therefore national</w:t>
      </w:r>
      <w:r w:rsidRPr="00747AAD">
        <w:rPr>
          <w:rFonts w:asciiTheme="minorHAnsi" w:hAnsiTheme="minorHAnsi" w:cstheme="minorHAnsi"/>
          <w:spacing w:val="-2"/>
          <w:position w:val="8"/>
          <w:sz w:val="16"/>
          <w:szCs w:val="16"/>
          <w:lang w:val="en-US"/>
        </w:rPr>
        <w:t xml:space="preserve"> </w:t>
      </w:r>
      <w:r w:rsidRPr="00747AAD">
        <w:rPr>
          <w:rFonts w:asciiTheme="minorHAnsi" w:hAnsiTheme="minorHAnsi" w:cstheme="minorHAnsi"/>
          <w:spacing w:val="-2"/>
          <w:sz w:val="16"/>
          <w:szCs w:val="16"/>
          <w:lang w:val="en-US"/>
        </w:rPr>
        <w:t>figures</w:t>
      </w:r>
      <w:r w:rsidR="00FF07D3" w:rsidRPr="00747AAD">
        <w:rPr>
          <w:rFonts w:asciiTheme="minorHAnsi" w:hAnsiTheme="minorHAnsi" w:cstheme="minorHAnsi"/>
          <w:sz w:val="16"/>
          <w:szCs w:val="16"/>
        </w:rPr>
        <w:t>.</w:t>
      </w:r>
    </w:p>
    <w:p w:rsidR="00827308" w:rsidRDefault="00827308" w:rsidP="00FF07D3">
      <w:pPr>
        <w:pStyle w:val="Heading2"/>
      </w:pPr>
      <w:r>
        <w:t>MENTAL STRESS CATEGORIES BY SEX</w:t>
      </w:r>
    </w:p>
    <w:p w:rsidR="00827308" w:rsidRDefault="00827308">
      <w:pPr>
        <w:rPr>
          <w:rFonts w:cs="Arial"/>
        </w:rPr>
      </w:pPr>
    </w:p>
    <w:p w:rsidR="00827308" w:rsidRPr="006F3EA5" w:rsidRDefault="00827308" w:rsidP="00FF07D3">
      <w:pPr>
        <w:suppressAutoHyphens/>
        <w:autoSpaceDE w:val="0"/>
        <w:autoSpaceDN w:val="0"/>
        <w:adjustRightInd w:val="0"/>
        <w:spacing w:after="170" w:line="260" w:lineRule="atLeast"/>
        <w:textAlignment w:val="center"/>
        <w:rPr>
          <w:rFonts w:asciiTheme="minorHAnsi" w:hAnsiTheme="minorHAnsi" w:cstheme="minorHAnsi"/>
          <w:color w:val="000000"/>
          <w:szCs w:val="22"/>
          <w:lang w:val="en-GB"/>
        </w:rPr>
      </w:pPr>
      <w:r w:rsidRPr="006F3EA5">
        <w:rPr>
          <w:rFonts w:asciiTheme="minorHAnsi" w:hAnsiTheme="minorHAnsi" w:cstheme="minorHAnsi"/>
          <w:color w:val="000000"/>
          <w:szCs w:val="22"/>
          <w:lang w:val="en-GB"/>
        </w:rPr>
        <w:t>The frequency rate of workers’ compensation claims for harassment and/or bullying made by female employees was</w:t>
      </w:r>
      <w:r w:rsidR="00FD02B1">
        <w:rPr>
          <w:rFonts w:asciiTheme="minorHAnsi" w:hAnsiTheme="minorHAnsi" w:cstheme="minorHAnsi"/>
          <w:color w:val="000000"/>
          <w:szCs w:val="22"/>
          <w:lang w:val="en-GB"/>
        </w:rPr>
        <w:t xml:space="preserve"> almost</w:t>
      </w:r>
      <w:r w:rsidRPr="006F3EA5">
        <w:rPr>
          <w:rFonts w:asciiTheme="minorHAnsi" w:hAnsiTheme="minorHAnsi" w:cstheme="minorHAnsi"/>
          <w:color w:val="000000"/>
          <w:szCs w:val="22"/>
          <w:lang w:val="en-GB"/>
        </w:rPr>
        <w:t xml:space="preserve"> three times higher than the rate of these claims made by males. Similarly, the rate of claims made by females for exposure to workplace or occupational violence and work pressure were </w:t>
      </w:r>
      <w:r w:rsidR="002A60E0">
        <w:rPr>
          <w:rFonts w:asciiTheme="minorHAnsi" w:hAnsiTheme="minorHAnsi" w:cstheme="minorHAnsi"/>
          <w:color w:val="000000"/>
          <w:szCs w:val="22"/>
          <w:lang w:val="en-GB"/>
        </w:rPr>
        <w:t xml:space="preserve">more than </w:t>
      </w:r>
      <w:r w:rsidRPr="006F3EA5">
        <w:rPr>
          <w:rFonts w:asciiTheme="minorHAnsi" w:hAnsiTheme="minorHAnsi" w:cstheme="minorHAnsi"/>
          <w:color w:val="000000"/>
          <w:szCs w:val="22"/>
          <w:lang w:val="en-GB"/>
        </w:rPr>
        <w:t>twice the rate of similar claims made by males.</w:t>
      </w:r>
    </w:p>
    <w:p w:rsidR="00827308" w:rsidRPr="009C5140" w:rsidRDefault="00827308" w:rsidP="00827308">
      <w:pPr>
        <w:pStyle w:val="Figuretitle"/>
        <w:spacing w:before="57"/>
        <w:rPr>
          <w:rFonts w:asciiTheme="minorHAnsi" w:hAnsiTheme="minorHAnsi" w:cstheme="minorHAnsi"/>
          <w:spacing w:val="-6"/>
          <w:w w:val="97"/>
          <w:sz w:val="22"/>
          <w:szCs w:val="22"/>
        </w:rPr>
      </w:pPr>
      <w:r w:rsidRPr="009C5140">
        <w:rPr>
          <w:rFonts w:asciiTheme="minorHAnsi" w:hAnsiTheme="minorHAnsi" w:cstheme="minorHAnsi"/>
          <w:color w:val="000000"/>
          <w:position w:val="2"/>
          <w:sz w:val="22"/>
          <w:szCs w:val="22"/>
        </w:rPr>
        <w:t>Figure 2</w:t>
      </w:r>
      <w:r w:rsidR="007278B7">
        <w:rPr>
          <w:rFonts w:asciiTheme="minorHAnsi" w:hAnsiTheme="minorHAnsi" w:cstheme="minorHAnsi"/>
          <w:color w:val="000000"/>
          <w:position w:val="2"/>
          <w:sz w:val="22"/>
          <w:szCs w:val="22"/>
        </w:rPr>
        <w:t>:</w:t>
      </w:r>
      <w:r w:rsidRPr="009C5140">
        <w:rPr>
          <w:rFonts w:asciiTheme="minorHAnsi" w:hAnsiTheme="minorHAnsi" w:cstheme="minorHAnsi"/>
          <w:color w:val="000000"/>
          <w:position w:val="2"/>
          <w:sz w:val="22"/>
          <w:szCs w:val="22"/>
        </w:rPr>
        <w:t xml:space="preserve"> Frequency rates by sex and</w:t>
      </w:r>
      <w:r w:rsidR="00CD41C6" w:rsidRPr="009C5140">
        <w:rPr>
          <w:rFonts w:asciiTheme="minorHAnsi" w:hAnsiTheme="minorHAnsi" w:cstheme="minorHAnsi"/>
          <w:color w:val="000000"/>
          <w:position w:val="2"/>
          <w:sz w:val="22"/>
          <w:szCs w:val="22"/>
        </w:rPr>
        <w:t xml:space="preserve"> mental stress subcategory, 2012–13 to 2014–15</w:t>
      </w:r>
      <w:r w:rsidRPr="009C5140">
        <w:rPr>
          <w:rFonts w:asciiTheme="minorHAnsi" w:hAnsiTheme="minorHAnsi" w:cstheme="minorHAnsi"/>
          <w:color w:val="000000"/>
          <w:position w:val="2"/>
          <w:sz w:val="22"/>
          <w:szCs w:val="22"/>
        </w:rPr>
        <w:t>p combined</w:t>
      </w:r>
      <w:r w:rsidRPr="009C5140">
        <w:rPr>
          <w:rFonts w:asciiTheme="minorHAnsi" w:hAnsiTheme="minorHAnsi" w:cstheme="minorHAnsi"/>
          <w:spacing w:val="-6"/>
          <w:w w:val="97"/>
          <w:sz w:val="22"/>
          <w:szCs w:val="22"/>
        </w:rPr>
        <w:t xml:space="preserve">  </w:t>
      </w:r>
    </w:p>
    <w:p w:rsidR="00827308" w:rsidRDefault="00FD02B1" w:rsidP="00F2353D">
      <w:pPr>
        <w:jc w:val="center"/>
        <w:rPr>
          <w:rFonts w:cs="Arial"/>
        </w:rPr>
      </w:pPr>
      <w:r>
        <w:rPr>
          <w:rFonts w:cs="Arial"/>
          <w:noProof/>
        </w:rPr>
        <w:drawing>
          <wp:inline distT="0" distB="0" distL="0" distR="0" wp14:anchorId="25D36535" wp14:editId="39DE7640">
            <wp:extent cx="6038850" cy="2804410"/>
            <wp:effectExtent l="0" t="0" r="0" b="0"/>
            <wp:docPr id="4" name="Picture 4" descr="The frequency rate of workers’ compensation claims for harassment and/or bullying made by female employees was almost three times higher than the rate of these claims made by males" title="Frequency rates by sex and mental stress subcategory, 2012–13 to 2014–15p combin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9317" cy="2813915"/>
                    </a:xfrm>
                    <a:prstGeom prst="rect">
                      <a:avLst/>
                    </a:prstGeom>
                    <a:noFill/>
                  </pic:spPr>
                </pic:pic>
              </a:graphicData>
            </a:graphic>
          </wp:inline>
        </w:drawing>
      </w:r>
    </w:p>
    <w:p w:rsidR="00827308" w:rsidRDefault="00827308">
      <w:pPr>
        <w:rPr>
          <w:rFonts w:cs="Arial"/>
        </w:rPr>
      </w:pPr>
    </w:p>
    <w:p w:rsidR="00FF07D3" w:rsidRDefault="00FF07D3" w:rsidP="00FF07D3">
      <w:pPr>
        <w:pStyle w:val="Heading2"/>
      </w:pPr>
    </w:p>
    <w:p w:rsidR="00827308" w:rsidRPr="00FF07D3" w:rsidRDefault="00827308" w:rsidP="00FF07D3">
      <w:pPr>
        <w:pStyle w:val="Heading2"/>
      </w:pPr>
      <w:r w:rsidRPr="00FF07D3">
        <w:t>HARASSMENT</w:t>
      </w:r>
      <w:r w:rsidR="00805E16">
        <w:t xml:space="preserve"> AND/OR BULLYING BY OCCUPATION AND</w:t>
      </w:r>
      <w:r w:rsidRPr="00FF07D3">
        <w:t xml:space="preserve"> INDUSTRY</w:t>
      </w:r>
    </w:p>
    <w:p w:rsidR="00827308" w:rsidRDefault="00827308">
      <w:pPr>
        <w:rPr>
          <w:rFonts w:cs="Arial"/>
        </w:rPr>
      </w:pPr>
    </w:p>
    <w:p w:rsidR="00827308" w:rsidRPr="00FD02B1" w:rsidRDefault="00827308" w:rsidP="00827308">
      <w:pPr>
        <w:suppressAutoHyphens/>
        <w:autoSpaceDE w:val="0"/>
        <w:autoSpaceDN w:val="0"/>
        <w:adjustRightInd w:val="0"/>
        <w:spacing w:after="170" w:line="260" w:lineRule="atLeast"/>
        <w:textAlignment w:val="center"/>
        <w:rPr>
          <w:rFonts w:asciiTheme="minorHAnsi" w:hAnsiTheme="minorHAnsi" w:cstheme="minorHAnsi"/>
          <w:color w:val="000000"/>
          <w:szCs w:val="22"/>
          <w:lang w:val="en-GB"/>
        </w:rPr>
      </w:pPr>
      <w:r w:rsidRPr="00FD02B1">
        <w:rPr>
          <w:rFonts w:asciiTheme="minorHAnsi" w:hAnsiTheme="minorHAnsi" w:cstheme="minorHAnsi"/>
          <w:color w:val="000000"/>
          <w:szCs w:val="22"/>
          <w:lang w:val="en-GB"/>
        </w:rPr>
        <w:t>Occupations with a high risk of exposure to work</w:t>
      </w:r>
      <w:r w:rsidR="00805E16">
        <w:rPr>
          <w:rFonts w:asciiTheme="minorHAnsi" w:hAnsiTheme="minorHAnsi" w:cstheme="minorHAnsi"/>
          <w:color w:val="000000"/>
          <w:szCs w:val="22"/>
          <w:lang w:val="en-GB"/>
        </w:rPr>
        <w:t>-related harassment and/or work</w:t>
      </w:r>
      <w:r w:rsidRPr="00FD02B1">
        <w:rPr>
          <w:rFonts w:asciiTheme="minorHAnsi" w:hAnsiTheme="minorHAnsi" w:cstheme="minorHAnsi"/>
          <w:color w:val="000000"/>
          <w:szCs w:val="22"/>
          <w:lang w:val="en-GB"/>
        </w:rPr>
        <w:t xml:space="preserve">place bullying include </w:t>
      </w:r>
      <w:proofErr w:type="gramStart"/>
      <w:r w:rsidR="002A60E0">
        <w:rPr>
          <w:rFonts w:asciiTheme="minorHAnsi" w:hAnsiTheme="minorHAnsi" w:cstheme="minorHAnsi"/>
          <w:color w:val="000000"/>
          <w:szCs w:val="22"/>
          <w:lang w:val="en-GB"/>
        </w:rPr>
        <w:t>O</w:t>
      </w:r>
      <w:r w:rsidR="00A707F5">
        <w:rPr>
          <w:rFonts w:asciiTheme="minorHAnsi" w:hAnsiTheme="minorHAnsi" w:cstheme="minorHAnsi"/>
          <w:color w:val="000000"/>
          <w:szCs w:val="22"/>
          <w:lang w:val="en-GB"/>
        </w:rPr>
        <w:t>ther</w:t>
      </w:r>
      <w:proofErr w:type="gramEnd"/>
      <w:r w:rsidR="00A707F5">
        <w:rPr>
          <w:rFonts w:asciiTheme="minorHAnsi" w:hAnsiTheme="minorHAnsi" w:cstheme="minorHAnsi"/>
          <w:color w:val="000000"/>
          <w:szCs w:val="22"/>
          <w:lang w:val="en-GB"/>
        </w:rPr>
        <w:t xml:space="preserve"> miscellaneous</w:t>
      </w:r>
      <w:r w:rsidRPr="00FD02B1">
        <w:rPr>
          <w:rFonts w:asciiTheme="minorHAnsi" w:hAnsiTheme="minorHAnsi" w:cstheme="minorHAnsi"/>
          <w:color w:val="000000"/>
          <w:szCs w:val="22"/>
          <w:lang w:val="en-GB"/>
        </w:rPr>
        <w:t xml:space="preserve"> and administrative workers; </w:t>
      </w:r>
      <w:r w:rsidR="002A60E0">
        <w:rPr>
          <w:rFonts w:asciiTheme="minorHAnsi" w:hAnsiTheme="minorHAnsi" w:cstheme="minorHAnsi"/>
          <w:color w:val="000000"/>
          <w:szCs w:val="22"/>
          <w:lang w:val="en-GB"/>
        </w:rPr>
        <w:t>O</w:t>
      </w:r>
      <w:r w:rsidRPr="00FD02B1">
        <w:rPr>
          <w:rFonts w:asciiTheme="minorHAnsi" w:hAnsiTheme="minorHAnsi" w:cstheme="minorHAnsi"/>
          <w:color w:val="000000"/>
          <w:szCs w:val="22"/>
          <w:lang w:val="en-GB"/>
        </w:rPr>
        <w:t xml:space="preserve">ther </w:t>
      </w:r>
      <w:r w:rsidR="00A707F5">
        <w:rPr>
          <w:rFonts w:asciiTheme="minorHAnsi" w:hAnsiTheme="minorHAnsi" w:cstheme="minorHAnsi"/>
          <w:color w:val="000000"/>
          <w:szCs w:val="22"/>
          <w:lang w:val="en-GB"/>
        </w:rPr>
        <w:t>clerical</w:t>
      </w:r>
      <w:r w:rsidRPr="00FD02B1">
        <w:rPr>
          <w:rFonts w:asciiTheme="minorHAnsi" w:hAnsiTheme="minorHAnsi" w:cstheme="minorHAnsi"/>
          <w:color w:val="000000"/>
          <w:szCs w:val="22"/>
          <w:lang w:val="en-GB"/>
        </w:rPr>
        <w:t xml:space="preserve"> and </w:t>
      </w:r>
      <w:r w:rsidR="00A707F5">
        <w:rPr>
          <w:rFonts w:asciiTheme="minorHAnsi" w:hAnsiTheme="minorHAnsi" w:cstheme="minorHAnsi"/>
          <w:color w:val="000000"/>
          <w:szCs w:val="22"/>
          <w:lang w:val="en-GB"/>
        </w:rPr>
        <w:t>office support workers</w:t>
      </w:r>
      <w:r w:rsidRPr="00FD02B1">
        <w:rPr>
          <w:rFonts w:asciiTheme="minorHAnsi" w:hAnsiTheme="minorHAnsi" w:cstheme="minorHAnsi"/>
          <w:color w:val="000000"/>
          <w:szCs w:val="22"/>
          <w:lang w:val="en-GB"/>
        </w:rPr>
        <w:t xml:space="preserve">; and </w:t>
      </w:r>
      <w:r w:rsidR="002A60E0">
        <w:rPr>
          <w:rFonts w:asciiTheme="minorHAnsi" w:hAnsiTheme="minorHAnsi" w:cstheme="minorHAnsi"/>
          <w:color w:val="000000"/>
          <w:szCs w:val="22"/>
          <w:lang w:val="en-GB"/>
        </w:rPr>
        <w:t>P</w:t>
      </w:r>
      <w:r w:rsidRPr="00FD02B1">
        <w:rPr>
          <w:rFonts w:asciiTheme="minorHAnsi" w:hAnsiTheme="minorHAnsi" w:cstheme="minorHAnsi"/>
          <w:color w:val="000000"/>
          <w:szCs w:val="22"/>
          <w:lang w:val="en-GB"/>
        </w:rPr>
        <w:t xml:space="preserve">rison officers.  </w:t>
      </w:r>
    </w:p>
    <w:p w:rsidR="00827308" w:rsidRPr="009C5140" w:rsidRDefault="00827308" w:rsidP="005E5B12">
      <w:pPr>
        <w:pStyle w:val="Figuretitle"/>
        <w:rPr>
          <w:rFonts w:asciiTheme="minorHAnsi" w:hAnsiTheme="minorHAnsi" w:cstheme="minorHAnsi"/>
          <w:w w:val="90"/>
          <w:sz w:val="22"/>
          <w:szCs w:val="22"/>
        </w:rPr>
      </w:pPr>
      <w:r w:rsidRPr="009C5140">
        <w:rPr>
          <w:rFonts w:asciiTheme="minorHAnsi" w:hAnsiTheme="minorHAnsi" w:cstheme="minorHAnsi"/>
          <w:color w:val="000000"/>
          <w:sz w:val="22"/>
          <w:szCs w:val="22"/>
        </w:rPr>
        <w:t>Figure 3</w:t>
      </w:r>
      <w:r w:rsidR="007278B7">
        <w:rPr>
          <w:rFonts w:asciiTheme="minorHAnsi" w:hAnsiTheme="minorHAnsi" w:cstheme="minorHAnsi"/>
          <w:color w:val="000000"/>
          <w:sz w:val="22"/>
          <w:szCs w:val="22"/>
        </w:rPr>
        <w:t>:</w:t>
      </w:r>
      <w:r w:rsidRPr="009C5140">
        <w:rPr>
          <w:rFonts w:asciiTheme="minorHAnsi" w:hAnsiTheme="minorHAnsi" w:cstheme="minorHAnsi"/>
          <w:color w:val="000000"/>
          <w:sz w:val="22"/>
          <w:szCs w:val="22"/>
        </w:rPr>
        <w:t xml:space="preserve"> Top </w:t>
      </w:r>
      <w:r w:rsidR="00805E16">
        <w:rPr>
          <w:rFonts w:asciiTheme="minorHAnsi" w:hAnsiTheme="minorHAnsi" w:cstheme="minorHAnsi"/>
          <w:color w:val="000000"/>
          <w:sz w:val="22"/>
          <w:szCs w:val="22"/>
        </w:rPr>
        <w:t>10</w:t>
      </w:r>
      <w:r w:rsidRPr="009C5140">
        <w:rPr>
          <w:rFonts w:asciiTheme="minorHAnsi" w:hAnsiTheme="minorHAnsi" w:cstheme="minorHAnsi"/>
          <w:color w:val="000000"/>
          <w:sz w:val="22"/>
          <w:szCs w:val="22"/>
        </w:rPr>
        <w:t xml:space="preserve"> occupations for experiencing </w:t>
      </w:r>
      <w:r w:rsidR="00CD41C6" w:rsidRPr="009C5140">
        <w:rPr>
          <w:rFonts w:asciiTheme="minorHAnsi" w:hAnsiTheme="minorHAnsi" w:cstheme="minorHAnsi"/>
          <w:color w:val="000000"/>
          <w:sz w:val="22"/>
          <w:szCs w:val="22"/>
        </w:rPr>
        <w:t>harassment and/or bullying, 2012–13 to 2014–15</w:t>
      </w:r>
      <w:r w:rsidRPr="009C5140">
        <w:rPr>
          <w:rFonts w:asciiTheme="minorHAnsi" w:hAnsiTheme="minorHAnsi" w:cstheme="minorHAnsi"/>
          <w:color w:val="000000"/>
          <w:sz w:val="22"/>
          <w:szCs w:val="22"/>
        </w:rPr>
        <w:t>p combined</w:t>
      </w:r>
    </w:p>
    <w:p w:rsidR="00827308" w:rsidRDefault="00747AAD">
      <w:pPr>
        <w:rPr>
          <w:rFonts w:cs="Arial"/>
        </w:rPr>
      </w:pPr>
      <w:r>
        <w:rPr>
          <w:rFonts w:cs="Arial"/>
          <w:noProof/>
        </w:rPr>
        <w:drawing>
          <wp:inline distT="0" distB="0" distL="0" distR="0" wp14:anchorId="546DCC3E">
            <wp:extent cx="6529070" cy="2914015"/>
            <wp:effectExtent l="0" t="0" r="5080" b="635"/>
            <wp:docPr id="1" name="Picture 1" descr="Occupations with a high risk of exposure to work-related harassment and/or workplace bullying include Other miscellaneous and administrative workers; Other clerical and office support workers; and Prison officers" title="Top 10 occupations for experiencing harassment and/or bullying, 2012–13 to 2014–15p comb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29070" cy="2914015"/>
                    </a:xfrm>
                    <a:prstGeom prst="rect">
                      <a:avLst/>
                    </a:prstGeom>
                    <a:noFill/>
                  </pic:spPr>
                </pic:pic>
              </a:graphicData>
            </a:graphic>
          </wp:inline>
        </w:drawing>
      </w:r>
    </w:p>
    <w:p w:rsidR="00827308" w:rsidRPr="00747AAD" w:rsidRDefault="005E5B12" w:rsidP="00827308">
      <w:pPr>
        <w:pStyle w:val="footnotes"/>
        <w:spacing w:after="0"/>
        <w:rPr>
          <w:rFonts w:asciiTheme="minorHAnsi" w:hAnsiTheme="minorHAnsi" w:cstheme="minorHAnsi"/>
        </w:rPr>
      </w:pPr>
      <w:r w:rsidRPr="00747AAD">
        <w:rPr>
          <w:rFonts w:asciiTheme="minorHAnsi" w:hAnsiTheme="minorHAnsi" w:cstheme="minorHAnsi"/>
        </w:rPr>
        <w:t xml:space="preserve">Note: </w:t>
      </w:r>
      <w:r w:rsidR="00827308" w:rsidRPr="00747AAD">
        <w:rPr>
          <w:rFonts w:asciiTheme="minorHAnsi" w:hAnsiTheme="minorHAnsi" w:cstheme="minorHAnsi"/>
        </w:rPr>
        <w:t>Occupations are limited to those associated with more than 50 claims.</w:t>
      </w:r>
      <w:r w:rsidR="00827308" w:rsidRPr="00747AAD">
        <w:rPr>
          <w:rFonts w:asciiTheme="minorHAnsi" w:hAnsiTheme="minorHAnsi" w:cstheme="minorHAnsi"/>
        </w:rPr>
        <w:br/>
        <w:t xml:space="preserve">*This group includes </w:t>
      </w:r>
      <w:r w:rsidR="00A707F5" w:rsidRPr="00747AAD">
        <w:rPr>
          <w:rFonts w:asciiTheme="minorHAnsi" w:hAnsiTheme="minorHAnsi" w:cstheme="minorHAnsi"/>
        </w:rPr>
        <w:t xml:space="preserve">coding clerks, production assistants, proof readers, radio dispatchers </w:t>
      </w:r>
      <w:r w:rsidR="00484558">
        <w:rPr>
          <w:rFonts w:asciiTheme="minorHAnsi" w:hAnsiTheme="minorHAnsi" w:cstheme="minorHAnsi"/>
        </w:rPr>
        <w:t>and</w:t>
      </w:r>
      <w:r w:rsidR="00A707F5" w:rsidRPr="00747AAD">
        <w:rPr>
          <w:rFonts w:asciiTheme="minorHAnsi" w:hAnsiTheme="minorHAnsi" w:cstheme="minorHAnsi"/>
        </w:rPr>
        <w:t xml:space="preserve"> examination supervisors.</w:t>
      </w:r>
    </w:p>
    <w:p w:rsidR="005E5B12" w:rsidRPr="00747AAD" w:rsidRDefault="005E5B12" w:rsidP="00827308">
      <w:pPr>
        <w:pStyle w:val="footnotes"/>
        <w:spacing w:after="0"/>
        <w:rPr>
          <w:rFonts w:asciiTheme="minorHAnsi" w:hAnsiTheme="minorHAnsi" w:cstheme="minorHAnsi"/>
        </w:rPr>
      </w:pPr>
      <w:r w:rsidRPr="00747AAD">
        <w:rPr>
          <w:rFonts w:asciiTheme="minorHAnsi" w:hAnsiTheme="minorHAnsi" w:cstheme="minorHAnsi"/>
        </w:rPr>
        <w:t>**</w:t>
      </w:r>
      <w:r w:rsidR="00A707F5" w:rsidRPr="00747AAD">
        <w:rPr>
          <w:rFonts w:asciiTheme="minorHAnsi" w:hAnsiTheme="minorHAnsi" w:cstheme="minorHAnsi"/>
        </w:rPr>
        <w:t>This group includes classified advertising clerks, met</w:t>
      </w:r>
      <w:r w:rsidR="00805E16" w:rsidRPr="00747AAD">
        <w:rPr>
          <w:rFonts w:asciiTheme="minorHAnsi" w:hAnsiTheme="minorHAnsi" w:cstheme="minorHAnsi"/>
        </w:rPr>
        <w:t xml:space="preserve">er readers </w:t>
      </w:r>
      <w:r w:rsidR="00484558">
        <w:rPr>
          <w:rFonts w:asciiTheme="minorHAnsi" w:hAnsiTheme="minorHAnsi" w:cstheme="minorHAnsi"/>
        </w:rPr>
        <w:t>and</w:t>
      </w:r>
      <w:r w:rsidR="00805E16" w:rsidRPr="00747AAD">
        <w:rPr>
          <w:rFonts w:asciiTheme="minorHAnsi" w:hAnsiTheme="minorHAnsi" w:cstheme="minorHAnsi"/>
        </w:rPr>
        <w:t xml:space="preserve"> parking inspectors.</w:t>
      </w:r>
    </w:p>
    <w:p w:rsidR="00827308" w:rsidRPr="00747AAD" w:rsidRDefault="00827308" w:rsidP="00827308">
      <w:pPr>
        <w:pStyle w:val="footnotes"/>
        <w:rPr>
          <w:rFonts w:asciiTheme="minorHAnsi" w:hAnsiTheme="minorHAnsi" w:cstheme="minorHAnsi"/>
        </w:rPr>
      </w:pPr>
      <w:r w:rsidRPr="00747AAD">
        <w:rPr>
          <w:rFonts w:asciiTheme="minorHAnsi" w:hAnsiTheme="minorHAnsi" w:cstheme="minorHAnsi"/>
        </w:rPr>
        <w:t>**</w:t>
      </w:r>
      <w:r w:rsidR="005E5B12" w:rsidRPr="00747AAD">
        <w:rPr>
          <w:rFonts w:asciiTheme="minorHAnsi" w:hAnsiTheme="minorHAnsi" w:cstheme="minorHAnsi"/>
        </w:rPr>
        <w:t>*</w:t>
      </w:r>
      <w:r w:rsidRPr="00747AAD">
        <w:rPr>
          <w:rFonts w:asciiTheme="minorHAnsi" w:hAnsiTheme="minorHAnsi" w:cstheme="minorHAnsi"/>
        </w:rPr>
        <w:t>Excludes Western Australia</w:t>
      </w:r>
      <w:r w:rsidR="00747AAD" w:rsidRPr="00747AAD">
        <w:rPr>
          <w:rFonts w:asciiTheme="minorHAnsi" w:hAnsiTheme="minorHAnsi" w:cstheme="minorHAnsi"/>
        </w:rPr>
        <w:t>.</w:t>
      </w:r>
    </w:p>
    <w:p w:rsidR="00827308" w:rsidRDefault="00827308">
      <w:pPr>
        <w:rPr>
          <w:rFonts w:cs="Arial"/>
        </w:rPr>
      </w:pPr>
    </w:p>
    <w:p w:rsidR="00827308" w:rsidRPr="005E5B12" w:rsidRDefault="00827308" w:rsidP="00827308">
      <w:pPr>
        <w:suppressAutoHyphens/>
        <w:autoSpaceDE w:val="0"/>
        <w:autoSpaceDN w:val="0"/>
        <w:adjustRightInd w:val="0"/>
        <w:spacing w:after="113" w:line="260" w:lineRule="atLeast"/>
        <w:textAlignment w:val="center"/>
        <w:rPr>
          <w:rFonts w:asciiTheme="minorHAnsi" w:hAnsiTheme="minorHAnsi" w:cstheme="minorHAnsi"/>
          <w:color w:val="000000"/>
          <w:szCs w:val="22"/>
          <w:lang w:val="en-GB"/>
        </w:rPr>
      </w:pPr>
      <w:r w:rsidRPr="005E5B12">
        <w:rPr>
          <w:rFonts w:asciiTheme="minorHAnsi" w:hAnsiTheme="minorHAnsi" w:cstheme="minorHAnsi"/>
          <w:color w:val="000000"/>
          <w:szCs w:val="22"/>
          <w:lang w:val="en-GB"/>
        </w:rPr>
        <w:t>Industries with high rates of claims involving work</w:t>
      </w:r>
      <w:r w:rsidR="00805E16">
        <w:rPr>
          <w:rFonts w:asciiTheme="minorHAnsi" w:hAnsiTheme="minorHAnsi" w:cstheme="minorHAnsi"/>
          <w:color w:val="000000"/>
          <w:szCs w:val="22"/>
          <w:lang w:val="en-GB"/>
        </w:rPr>
        <w:t>-related harassment and/or work</w:t>
      </w:r>
      <w:r w:rsidRPr="005E5B12">
        <w:rPr>
          <w:rFonts w:asciiTheme="minorHAnsi" w:hAnsiTheme="minorHAnsi" w:cstheme="minorHAnsi"/>
          <w:color w:val="000000"/>
          <w:szCs w:val="22"/>
          <w:lang w:val="en-GB"/>
        </w:rPr>
        <w:t>place bullying include</w:t>
      </w:r>
      <w:r w:rsidR="005E5B12" w:rsidRPr="005E5B12">
        <w:rPr>
          <w:rFonts w:asciiTheme="minorHAnsi" w:hAnsiTheme="minorHAnsi" w:cstheme="minorHAnsi"/>
          <w:color w:val="000000"/>
          <w:szCs w:val="22"/>
          <w:lang w:val="en-GB"/>
        </w:rPr>
        <w:t xml:space="preserve"> </w:t>
      </w:r>
      <w:r w:rsidR="002A60E0">
        <w:rPr>
          <w:rFonts w:asciiTheme="minorHAnsi" w:hAnsiTheme="minorHAnsi" w:cstheme="minorHAnsi"/>
          <w:color w:val="000000"/>
          <w:szCs w:val="22"/>
          <w:lang w:val="en-GB"/>
        </w:rPr>
        <w:t>P</w:t>
      </w:r>
      <w:r w:rsidR="005E5B12" w:rsidRPr="005E5B12">
        <w:rPr>
          <w:rFonts w:asciiTheme="minorHAnsi" w:hAnsiTheme="minorHAnsi" w:cstheme="minorHAnsi"/>
          <w:color w:val="000000"/>
          <w:szCs w:val="22"/>
          <w:lang w:val="en-GB"/>
        </w:rPr>
        <w:t>ublic order and safety services</w:t>
      </w:r>
      <w:r w:rsidR="002A60E0">
        <w:rPr>
          <w:rFonts w:asciiTheme="minorHAnsi" w:hAnsiTheme="minorHAnsi" w:cstheme="minorHAnsi"/>
          <w:color w:val="000000"/>
          <w:szCs w:val="22"/>
          <w:lang w:val="en-GB"/>
        </w:rPr>
        <w:t>;</w:t>
      </w:r>
      <w:r w:rsidR="005E5B12">
        <w:rPr>
          <w:rFonts w:asciiTheme="minorHAnsi" w:hAnsiTheme="minorHAnsi" w:cstheme="minorHAnsi"/>
          <w:color w:val="000000"/>
          <w:szCs w:val="22"/>
          <w:lang w:val="en-GB"/>
        </w:rPr>
        <w:t xml:space="preserve"> </w:t>
      </w:r>
      <w:r w:rsidR="002A60E0">
        <w:rPr>
          <w:rFonts w:asciiTheme="minorHAnsi" w:hAnsiTheme="minorHAnsi" w:cstheme="minorHAnsi"/>
          <w:color w:val="000000"/>
          <w:szCs w:val="22"/>
          <w:lang w:val="en-GB"/>
        </w:rPr>
        <w:t>C</w:t>
      </w:r>
      <w:r w:rsidRPr="005E5B12">
        <w:rPr>
          <w:rFonts w:asciiTheme="minorHAnsi" w:hAnsiTheme="minorHAnsi" w:cstheme="minorHAnsi"/>
          <w:color w:val="000000"/>
          <w:szCs w:val="22"/>
          <w:lang w:val="en-GB"/>
        </w:rPr>
        <w:t>ivic, professio</w:t>
      </w:r>
      <w:r w:rsidR="005E5B12">
        <w:rPr>
          <w:rFonts w:asciiTheme="minorHAnsi" w:hAnsiTheme="minorHAnsi" w:cstheme="minorHAnsi"/>
          <w:color w:val="000000"/>
          <w:szCs w:val="22"/>
          <w:lang w:val="en-GB"/>
        </w:rPr>
        <w:t>nal and interest group services</w:t>
      </w:r>
      <w:r w:rsidR="002A60E0">
        <w:rPr>
          <w:rFonts w:asciiTheme="minorHAnsi" w:hAnsiTheme="minorHAnsi" w:cstheme="minorHAnsi"/>
          <w:color w:val="000000"/>
          <w:szCs w:val="22"/>
          <w:lang w:val="en-GB"/>
        </w:rPr>
        <w:t>;</w:t>
      </w:r>
      <w:r w:rsidRPr="005E5B12">
        <w:rPr>
          <w:rFonts w:asciiTheme="minorHAnsi" w:hAnsiTheme="minorHAnsi" w:cstheme="minorHAnsi"/>
          <w:color w:val="000000"/>
          <w:szCs w:val="22"/>
          <w:lang w:val="en-GB"/>
        </w:rPr>
        <w:t xml:space="preserve"> and</w:t>
      </w:r>
      <w:r w:rsidR="005E5B12">
        <w:rPr>
          <w:rFonts w:asciiTheme="minorHAnsi" w:hAnsiTheme="minorHAnsi" w:cstheme="minorHAnsi"/>
          <w:color w:val="000000"/>
          <w:szCs w:val="22"/>
          <w:lang w:val="en-GB"/>
        </w:rPr>
        <w:t xml:space="preserve"> </w:t>
      </w:r>
      <w:r w:rsidR="002A60E0">
        <w:rPr>
          <w:rFonts w:asciiTheme="minorHAnsi" w:hAnsiTheme="minorHAnsi" w:cstheme="minorHAnsi"/>
          <w:color w:val="000000"/>
          <w:szCs w:val="22"/>
          <w:lang w:val="en-GB"/>
        </w:rPr>
        <w:t>L</w:t>
      </w:r>
      <w:r w:rsidR="005E5B12">
        <w:rPr>
          <w:rFonts w:asciiTheme="minorHAnsi" w:hAnsiTheme="minorHAnsi" w:cstheme="minorHAnsi"/>
          <w:color w:val="000000"/>
          <w:szCs w:val="22"/>
          <w:lang w:val="en-GB"/>
        </w:rPr>
        <w:t>ocal government administration</w:t>
      </w:r>
      <w:r w:rsidRPr="005E5B12">
        <w:rPr>
          <w:rFonts w:asciiTheme="minorHAnsi" w:hAnsiTheme="minorHAnsi" w:cstheme="minorHAnsi"/>
          <w:color w:val="000000"/>
          <w:szCs w:val="22"/>
          <w:lang w:val="en-GB"/>
        </w:rPr>
        <w:t>.</w:t>
      </w:r>
    </w:p>
    <w:p w:rsidR="009D7E89" w:rsidRDefault="009D7E89" w:rsidP="00FF07D3">
      <w:pPr>
        <w:pStyle w:val="Figuretitle"/>
        <w:rPr>
          <w:rFonts w:asciiTheme="minorHAnsi" w:hAnsiTheme="minorHAnsi" w:cstheme="minorHAnsi"/>
          <w:color w:val="000000"/>
          <w:spacing w:val="-4"/>
          <w:sz w:val="22"/>
          <w:szCs w:val="22"/>
        </w:rPr>
      </w:pPr>
    </w:p>
    <w:p w:rsidR="00827308" w:rsidRPr="009C5140" w:rsidRDefault="00827308" w:rsidP="00FF07D3">
      <w:pPr>
        <w:pStyle w:val="Figuretitle"/>
        <w:rPr>
          <w:rFonts w:asciiTheme="minorHAnsi" w:hAnsiTheme="minorHAnsi" w:cstheme="minorHAnsi"/>
          <w:color w:val="000000"/>
          <w:spacing w:val="-4"/>
          <w:sz w:val="22"/>
          <w:szCs w:val="22"/>
        </w:rPr>
      </w:pPr>
      <w:r w:rsidRPr="009C5140">
        <w:rPr>
          <w:rFonts w:asciiTheme="minorHAnsi" w:hAnsiTheme="minorHAnsi" w:cstheme="minorHAnsi"/>
          <w:color w:val="000000"/>
          <w:spacing w:val="-4"/>
          <w:sz w:val="22"/>
          <w:szCs w:val="22"/>
        </w:rPr>
        <w:t>Figure 4</w:t>
      </w:r>
      <w:r w:rsidR="007278B7">
        <w:rPr>
          <w:rFonts w:asciiTheme="minorHAnsi" w:hAnsiTheme="minorHAnsi" w:cstheme="minorHAnsi"/>
          <w:color w:val="000000"/>
          <w:spacing w:val="-4"/>
          <w:sz w:val="22"/>
          <w:szCs w:val="22"/>
        </w:rPr>
        <w:t>:</w:t>
      </w:r>
      <w:r w:rsidRPr="009C5140">
        <w:rPr>
          <w:rFonts w:asciiTheme="minorHAnsi" w:hAnsiTheme="minorHAnsi" w:cstheme="minorHAnsi"/>
          <w:color w:val="000000"/>
          <w:spacing w:val="-4"/>
          <w:sz w:val="22"/>
          <w:szCs w:val="22"/>
        </w:rPr>
        <w:t xml:space="preserve"> Industries with high frequency rates of </w:t>
      </w:r>
      <w:r w:rsidR="00CD41C6" w:rsidRPr="009C5140">
        <w:rPr>
          <w:rFonts w:asciiTheme="minorHAnsi" w:hAnsiTheme="minorHAnsi" w:cstheme="minorHAnsi"/>
          <w:color w:val="000000"/>
          <w:spacing w:val="-4"/>
          <w:sz w:val="22"/>
          <w:szCs w:val="22"/>
        </w:rPr>
        <w:t>harassment and/or bullying, 2012–13 to 2014–15</w:t>
      </w:r>
      <w:r w:rsidRPr="009C5140">
        <w:rPr>
          <w:rFonts w:asciiTheme="minorHAnsi" w:hAnsiTheme="minorHAnsi" w:cstheme="minorHAnsi"/>
          <w:color w:val="000000"/>
          <w:spacing w:val="-4"/>
          <w:sz w:val="22"/>
          <w:szCs w:val="22"/>
        </w:rPr>
        <w:t xml:space="preserve">p combined </w:t>
      </w:r>
    </w:p>
    <w:p w:rsidR="00827308" w:rsidRDefault="00747AAD" w:rsidP="00FD4ADD">
      <w:pPr>
        <w:jc w:val="center"/>
        <w:rPr>
          <w:rFonts w:cs="Arial"/>
        </w:rPr>
      </w:pPr>
      <w:r>
        <w:rPr>
          <w:rFonts w:cs="Arial"/>
          <w:noProof/>
        </w:rPr>
        <w:drawing>
          <wp:inline distT="0" distB="0" distL="0" distR="0" wp14:anchorId="319F965E">
            <wp:extent cx="6743065" cy="2981325"/>
            <wp:effectExtent l="0" t="0" r="635" b="9525"/>
            <wp:docPr id="2" name="Picture 2" descr="Industries with high rates of claims involving work-related harassment and/or workplace bullying include Public order and safety services; Civic, professional and interest group services; and Local government administration." title="Industries with high frequency rates of harassment and/or bullying, 2012–13 to 2014–15p combin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43065" cy="2981325"/>
                    </a:xfrm>
                    <a:prstGeom prst="rect">
                      <a:avLst/>
                    </a:prstGeom>
                    <a:noFill/>
                  </pic:spPr>
                </pic:pic>
              </a:graphicData>
            </a:graphic>
          </wp:inline>
        </w:drawing>
      </w:r>
    </w:p>
    <w:p w:rsidR="00827308" w:rsidRPr="00747AAD" w:rsidRDefault="005E5B12" w:rsidP="00827308">
      <w:pPr>
        <w:pStyle w:val="footnotes"/>
        <w:spacing w:after="0"/>
        <w:rPr>
          <w:rFonts w:asciiTheme="minorHAnsi" w:hAnsiTheme="minorHAnsi" w:cstheme="minorHAnsi"/>
        </w:rPr>
      </w:pPr>
      <w:r w:rsidRPr="00747AAD">
        <w:rPr>
          <w:rFonts w:asciiTheme="minorHAnsi" w:hAnsiTheme="minorHAnsi" w:cstheme="minorHAnsi"/>
        </w:rPr>
        <w:t xml:space="preserve">Note: </w:t>
      </w:r>
      <w:r w:rsidR="00827308" w:rsidRPr="00747AAD">
        <w:rPr>
          <w:rFonts w:asciiTheme="minorHAnsi" w:hAnsiTheme="minorHAnsi" w:cstheme="minorHAnsi"/>
        </w:rPr>
        <w:t>Industries are limited to those associated with more than 50 claims.</w:t>
      </w:r>
      <w:r w:rsidR="00827308" w:rsidRPr="00747AAD">
        <w:rPr>
          <w:rFonts w:asciiTheme="minorHAnsi" w:hAnsiTheme="minorHAnsi" w:cstheme="minorHAnsi"/>
        </w:rPr>
        <w:br/>
        <w:t>*Excludes Western Australia</w:t>
      </w:r>
      <w:r w:rsidR="00805E16" w:rsidRPr="00747AAD">
        <w:rPr>
          <w:rFonts w:asciiTheme="minorHAnsi" w:hAnsiTheme="minorHAnsi" w:cstheme="minorHAnsi"/>
        </w:rPr>
        <w:t>.</w:t>
      </w:r>
    </w:p>
    <w:p w:rsidR="00827308" w:rsidRDefault="00827308">
      <w:pPr>
        <w:rPr>
          <w:rFonts w:cs="Arial"/>
        </w:rPr>
      </w:pPr>
    </w:p>
    <w:p w:rsidR="00324101" w:rsidRDefault="00324101">
      <w:pPr>
        <w:rPr>
          <w:rFonts w:asciiTheme="majorHAnsi" w:eastAsiaTheme="majorEastAsia" w:hAnsiTheme="majorHAnsi" w:cstheme="majorBidi"/>
          <w:b/>
          <w:bCs/>
          <w:color w:val="4F81BD" w:themeColor="accent1"/>
          <w:sz w:val="26"/>
          <w:szCs w:val="26"/>
        </w:rPr>
      </w:pPr>
      <w:r>
        <w:br w:type="page"/>
      </w:r>
    </w:p>
    <w:p w:rsidR="00827308" w:rsidRDefault="00827308" w:rsidP="00B70AA6">
      <w:pPr>
        <w:pStyle w:val="Heading2"/>
      </w:pPr>
      <w:r>
        <w:lastRenderedPageBreak/>
        <w:t>RESEARCH</w:t>
      </w:r>
    </w:p>
    <w:p w:rsidR="007D10E6" w:rsidRPr="00066CA9" w:rsidRDefault="007D10E6" w:rsidP="007D10E6">
      <w:pPr>
        <w:rPr>
          <w:rFonts w:asciiTheme="minorHAnsi" w:hAnsiTheme="minorHAnsi" w:cstheme="minorHAnsi"/>
          <w:sz w:val="18"/>
          <w:szCs w:val="16"/>
          <w:lang w:val="en-GB"/>
        </w:rPr>
      </w:pPr>
      <w:r w:rsidRPr="00066CA9">
        <w:rPr>
          <w:rFonts w:asciiTheme="minorHAnsi" w:hAnsiTheme="minorHAnsi" w:cstheme="minorHAnsi"/>
          <w:szCs w:val="20"/>
          <w:lang w:val="en-GB"/>
        </w:rPr>
        <w:t xml:space="preserve">The </w:t>
      </w:r>
      <w:r w:rsidRPr="00066CA9">
        <w:rPr>
          <w:rFonts w:asciiTheme="minorHAnsi" w:hAnsiTheme="minorHAnsi" w:cstheme="minorHAnsi"/>
          <w:i/>
          <w:szCs w:val="20"/>
          <w:lang w:val="en-GB"/>
        </w:rPr>
        <w:t>Bullying and Harassment in Australian Workplaces: Results from the Australian Workplace Barometer 2014-15</w:t>
      </w:r>
      <w:r w:rsidRPr="00066CA9">
        <w:rPr>
          <w:rFonts w:asciiTheme="minorHAnsi" w:hAnsiTheme="minorHAnsi" w:cstheme="minorHAnsi"/>
          <w:szCs w:val="20"/>
          <w:lang w:val="en-GB"/>
        </w:rPr>
        <w:t xml:space="preserve"> report shows that in 2014-15, using the national definition, 9.4 per cent of Australian workers participating in the survey reported they had been bullied at work in the previous six months. Using the international definition it was 9.7 per cent. The 2014-15 finding represents a 39 per cent increase in the prevalence of workplace bullying compared to that reported by participants in the 2009</w:t>
      </w:r>
      <w:r w:rsidRPr="00066CA9">
        <w:rPr>
          <w:rFonts w:asciiTheme="minorHAnsi" w:hAnsiTheme="minorHAnsi" w:cstheme="minorHAnsi"/>
          <w:szCs w:val="20"/>
          <w:lang w:val="en-GB"/>
        </w:rPr>
        <w:noBreakHyphen/>
        <w:t>11 iteration of the Australian Workplace Barometer, when seven per cent reported they were bullied.</w:t>
      </w:r>
    </w:p>
    <w:p w:rsidR="007D10E6" w:rsidRPr="00066CA9" w:rsidRDefault="007D10E6" w:rsidP="007D10E6">
      <w:pPr>
        <w:rPr>
          <w:rFonts w:asciiTheme="minorHAnsi" w:hAnsiTheme="minorHAnsi" w:cstheme="minorHAnsi"/>
          <w:sz w:val="18"/>
          <w:szCs w:val="16"/>
          <w:lang w:val="en-GB"/>
        </w:rPr>
      </w:pPr>
    </w:p>
    <w:p w:rsidR="007D10E6" w:rsidRPr="00066CA9" w:rsidRDefault="007D10E6" w:rsidP="007D10E6">
      <w:pPr>
        <w:rPr>
          <w:rFonts w:asciiTheme="minorHAnsi" w:hAnsiTheme="minorHAnsi" w:cstheme="minorHAnsi"/>
          <w:szCs w:val="20"/>
          <w:lang w:val="en-GB"/>
        </w:rPr>
      </w:pPr>
      <w:r w:rsidRPr="00066CA9">
        <w:rPr>
          <w:rFonts w:asciiTheme="minorHAnsi" w:hAnsiTheme="minorHAnsi" w:cstheme="minorHAnsi"/>
          <w:szCs w:val="20"/>
          <w:lang w:val="en-GB"/>
        </w:rPr>
        <w:t xml:space="preserve">The Australian Bureau of Statistics </w:t>
      </w:r>
      <w:r w:rsidRPr="00066CA9">
        <w:rPr>
          <w:rFonts w:asciiTheme="minorHAnsi" w:hAnsiTheme="minorHAnsi" w:cstheme="minorHAnsi"/>
          <w:i/>
          <w:iCs/>
          <w:szCs w:val="20"/>
          <w:lang w:val="en-GB"/>
        </w:rPr>
        <w:t>Work-related Injuries Survey 2013–14</w:t>
      </w:r>
      <w:r w:rsidRPr="00066CA9">
        <w:rPr>
          <w:rFonts w:asciiTheme="minorHAnsi" w:hAnsiTheme="minorHAnsi" w:cstheme="minorHAnsi"/>
          <w:szCs w:val="20"/>
          <w:lang w:val="en-GB"/>
        </w:rPr>
        <w:t xml:space="preserve"> showed that 60 per cent of employees eligible for workers’ compensation reported they experienced mental stress but did not apply for workers’ compensation (Australian Bureau of Statistics, 2014, Work Related Injuries, cat. no. 6324.0).</w:t>
      </w:r>
    </w:p>
    <w:p w:rsidR="00827308" w:rsidRPr="009D7E89" w:rsidRDefault="00AB586F" w:rsidP="009D7E89">
      <w:pPr>
        <w:pStyle w:val="Heading2"/>
      </w:pPr>
      <w:r>
        <w:t>OTHER INFORMATION</w:t>
      </w:r>
    </w:p>
    <w:p w:rsidR="00827308" w:rsidRPr="00066CA9" w:rsidRDefault="00827308" w:rsidP="00AB586F">
      <w:pPr>
        <w:rPr>
          <w:rFonts w:asciiTheme="minorHAnsi" w:hAnsiTheme="minorHAnsi" w:cstheme="minorHAnsi"/>
          <w:szCs w:val="22"/>
        </w:rPr>
      </w:pPr>
      <w:r w:rsidRPr="00066CA9">
        <w:rPr>
          <w:rFonts w:asciiTheme="minorHAnsi" w:hAnsiTheme="minorHAnsi" w:cstheme="minorHAnsi"/>
          <w:szCs w:val="22"/>
        </w:rPr>
        <w:t xml:space="preserve">The House of Representatives Standing Committee on Education and Employment report </w:t>
      </w:r>
      <w:r w:rsidRPr="00066CA9">
        <w:rPr>
          <w:rFonts w:asciiTheme="minorHAnsi" w:hAnsiTheme="minorHAnsi" w:cstheme="minorHAnsi"/>
          <w:i/>
          <w:iCs/>
          <w:szCs w:val="22"/>
        </w:rPr>
        <w:t xml:space="preserve">Workplace bullying: “We just want it to stop”, </w:t>
      </w:r>
      <w:r w:rsidRPr="00066CA9">
        <w:rPr>
          <w:rFonts w:asciiTheme="minorHAnsi" w:hAnsiTheme="minorHAnsi" w:cstheme="minorHAnsi"/>
          <w:szCs w:val="22"/>
        </w:rPr>
        <w:t>tabled on 26 November 2012, contained 23 recommendations that focus on:</w:t>
      </w:r>
    </w:p>
    <w:p w:rsidR="00827308" w:rsidRPr="00066CA9" w:rsidRDefault="00827308" w:rsidP="00AB586F">
      <w:pPr>
        <w:pStyle w:val="ListParagraph"/>
        <w:numPr>
          <w:ilvl w:val="0"/>
          <w:numId w:val="3"/>
        </w:numPr>
        <w:rPr>
          <w:rFonts w:asciiTheme="minorHAnsi" w:hAnsiTheme="minorHAnsi" w:cstheme="minorHAnsi"/>
          <w:szCs w:val="22"/>
        </w:rPr>
      </w:pPr>
      <w:r w:rsidRPr="00066CA9">
        <w:rPr>
          <w:rFonts w:asciiTheme="minorHAnsi" w:hAnsiTheme="minorHAnsi" w:cstheme="minorHAnsi"/>
          <w:szCs w:val="22"/>
        </w:rPr>
        <w:t>defining what bullying is and is not</w:t>
      </w:r>
    </w:p>
    <w:p w:rsidR="00827308" w:rsidRPr="00066CA9" w:rsidRDefault="00827308" w:rsidP="00AB586F">
      <w:pPr>
        <w:pStyle w:val="ListParagraph"/>
        <w:numPr>
          <w:ilvl w:val="0"/>
          <w:numId w:val="3"/>
        </w:numPr>
        <w:rPr>
          <w:rFonts w:asciiTheme="minorHAnsi" w:hAnsiTheme="minorHAnsi" w:cstheme="minorHAnsi"/>
          <w:szCs w:val="22"/>
        </w:rPr>
      </w:pPr>
      <w:r w:rsidRPr="00066CA9">
        <w:rPr>
          <w:rFonts w:asciiTheme="minorHAnsi" w:hAnsiTheme="minorHAnsi" w:cstheme="minorHAnsi"/>
          <w:szCs w:val="22"/>
        </w:rPr>
        <w:t>promoting and strengthening existing legislative and regulatory frameworks</w:t>
      </w:r>
    </w:p>
    <w:p w:rsidR="00827308" w:rsidRPr="00066CA9" w:rsidRDefault="00827308" w:rsidP="00AB586F">
      <w:pPr>
        <w:pStyle w:val="ListParagraph"/>
        <w:numPr>
          <w:ilvl w:val="0"/>
          <w:numId w:val="3"/>
        </w:numPr>
        <w:rPr>
          <w:rFonts w:asciiTheme="minorHAnsi" w:hAnsiTheme="minorHAnsi" w:cstheme="minorHAnsi"/>
          <w:szCs w:val="22"/>
        </w:rPr>
      </w:pPr>
      <w:r w:rsidRPr="00066CA9">
        <w:rPr>
          <w:rFonts w:asciiTheme="minorHAnsi" w:hAnsiTheme="minorHAnsi" w:cstheme="minorHAnsi"/>
          <w:szCs w:val="22"/>
        </w:rPr>
        <w:t>improving workplace cultures</w:t>
      </w:r>
    </w:p>
    <w:p w:rsidR="00827308" w:rsidRPr="00066CA9" w:rsidRDefault="00827308" w:rsidP="00AB586F">
      <w:pPr>
        <w:pStyle w:val="ListParagraph"/>
        <w:numPr>
          <w:ilvl w:val="0"/>
          <w:numId w:val="3"/>
        </w:numPr>
        <w:rPr>
          <w:rFonts w:asciiTheme="minorHAnsi" w:hAnsiTheme="minorHAnsi" w:cstheme="minorHAnsi"/>
          <w:szCs w:val="22"/>
        </w:rPr>
      </w:pPr>
      <w:r w:rsidRPr="00066CA9">
        <w:rPr>
          <w:rFonts w:asciiTheme="minorHAnsi" w:hAnsiTheme="minorHAnsi" w:cstheme="minorHAnsi"/>
          <w:szCs w:val="22"/>
        </w:rPr>
        <w:t>enhancing tools for the prevention and early resolution of workplace bullying incidences, and</w:t>
      </w:r>
    </w:p>
    <w:p w:rsidR="00827308" w:rsidRPr="00066CA9" w:rsidRDefault="00827308" w:rsidP="00AB586F">
      <w:pPr>
        <w:pStyle w:val="ListParagraph"/>
        <w:numPr>
          <w:ilvl w:val="0"/>
          <w:numId w:val="3"/>
        </w:numPr>
        <w:rPr>
          <w:rFonts w:asciiTheme="minorHAnsi" w:hAnsiTheme="minorHAnsi" w:cstheme="minorHAnsi"/>
          <w:szCs w:val="22"/>
        </w:rPr>
      </w:pPr>
      <w:proofErr w:type="gramStart"/>
      <w:r w:rsidRPr="00066CA9">
        <w:rPr>
          <w:rFonts w:asciiTheme="minorHAnsi" w:hAnsiTheme="minorHAnsi" w:cstheme="minorHAnsi"/>
          <w:szCs w:val="22"/>
        </w:rPr>
        <w:t>providing</w:t>
      </w:r>
      <w:proofErr w:type="gramEnd"/>
      <w:r w:rsidRPr="00066CA9">
        <w:rPr>
          <w:rFonts w:asciiTheme="minorHAnsi" w:hAnsiTheme="minorHAnsi" w:cstheme="minorHAnsi"/>
          <w:szCs w:val="22"/>
        </w:rPr>
        <w:t xml:space="preserve"> an individual right of recourse.</w:t>
      </w:r>
    </w:p>
    <w:p w:rsidR="00FF07D3" w:rsidRPr="00066CA9" w:rsidRDefault="00FF07D3" w:rsidP="00FF07D3">
      <w:pPr>
        <w:pStyle w:val="ListParagraph"/>
        <w:rPr>
          <w:rFonts w:asciiTheme="minorHAnsi" w:hAnsiTheme="minorHAnsi" w:cstheme="minorHAnsi"/>
          <w:szCs w:val="22"/>
        </w:rPr>
      </w:pPr>
    </w:p>
    <w:p w:rsidR="00805E16" w:rsidRPr="00066CA9" w:rsidRDefault="00827308" w:rsidP="00AB586F">
      <w:pPr>
        <w:rPr>
          <w:rFonts w:asciiTheme="minorHAnsi" w:hAnsiTheme="minorHAnsi" w:cstheme="minorHAnsi"/>
          <w:szCs w:val="22"/>
        </w:rPr>
      </w:pPr>
      <w:r w:rsidRPr="00066CA9">
        <w:rPr>
          <w:rFonts w:asciiTheme="minorHAnsi" w:hAnsiTheme="minorHAnsi" w:cstheme="minorHAnsi"/>
          <w:szCs w:val="22"/>
        </w:rPr>
        <w:t>Recommendation 18 of the report states “</w:t>
      </w:r>
      <w:r w:rsidRPr="00066CA9">
        <w:rPr>
          <w:rFonts w:asciiTheme="minorHAnsi" w:hAnsiTheme="minorHAnsi" w:cstheme="minorHAnsi"/>
          <w:i/>
          <w:iCs/>
          <w:szCs w:val="22"/>
        </w:rPr>
        <w:t>The Committee recommends that Safe Work Australia issues an annual national statement which updates any emerging trends of its collated data from each of the state and territory regulators, and the Commonwealth, with respect to psychosocial health and safety generally and workplace bullying specifically.</w:t>
      </w:r>
      <w:r w:rsidRPr="00066CA9">
        <w:rPr>
          <w:rFonts w:asciiTheme="minorHAnsi" w:hAnsiTheme="minorHAnsi" w:cstheme="minorHAnsi"/>
          <w:szCs w:val="22"/>
        </w:rPr>
        <w:t xml:space="preserve">” This statement is produced annually in </w:t>
      </w:r>
      <w:r w:rsidR="005A58E0" w:rsidRPr="00066CA9">
        <w:rPr>
          <w:rFonts w:asciiTheme="minorHAnsi" w:hAnsiTheme="minorHAnsi" w:cstheme="minorHAnsi"/>
          <w:szCs w:val="22"/>
        </w:rPr>
        <w:t>response</w:t>
      </w:r>
      <w:r w:rsidRPr="00066CA9">
        <w:rPr>
          <w:rFonts w:asciiTheme="minorHAnsi" w:hAnsiTheme="minorHAnsi" w:cstheme="minorHAnsi"/>
          <w:szCs w:val="22"/>
        </w:rPr>
        <w:t xml:space="preserve"> to this recommendation. </w:t>
      </w:r>
      <w:proofErr w:type="gramStart"/>
      <w:r w:rsidRPr="00066CA9">
        <w:rPr>
          <w:rFonts w:asciiTheme="minorHAnsi" w:hAnsiTheme="minorHAnsi" w:cstheme="minorHAnsi"/>
          <w:szCs w:val="22"/>
        </w:rPr>
        <w:t xml:space="preserve">For the full report go to </w:t>
      </w:r>
      <w:hyperlink r:id="rId11" w:history="1">
        <w:r w:rsidR="00805E16" w:rsidRPr="00066CA9">
          <w:rPr>
            <w:rStyle w:val="Hyperlink"/>
            <w:rFonts w:asciiTheme="minorHAnsi" w:hAnsiTheme="minorHAnsi" w:cstheme="minorHAnsi"/>
            <w:szCs w:val="22"/>
          </w:rPr>
          <w:t>aph.gov.au</w:t>
        </w:r>
      </w:hyperlink>
      <w:r w:rsidR="00A05185" w:rsidRPr="00066CA9">
        <w:rPr>
          <w:rStyle w:val="Hyperlink"/>
          <w:rFonts w:asciiTheme="minorHAnsi" w:hAnsiTheme="minorHAnsi" w:cstheme="minorHAnsi"/>
          <w:szCs w:val="22"/>
          <w:u w:val="none"/>
        </w:rPr>
        <w:t>.</w:t>
      </w:r>
      <w:proofErr w:type="gramEnd"/>
    </w:p>
    <w:p w:rsidR="00827308" w:rsidRPr="00D50C57" w:rsidRDefault="00D50C57" w:rsidP="00D50C57">
      <w:pPr>
        <w:pStyle w:val="Heading2"/>
      </w:pPr>
      <w:r w:rsidRPr="00D50C57">
        <w:t>THE FAIR WORK COMMISSION</w:t>
      </w:r>
    </w:p>
    <w:p w:rsidR="00827308" w:rsidRPr="00066CA9" w:rsidRDefault="00827308" w:rsidP="00AB586F">
      <w:pPr>
        <w:rPr>
          <w:rFonts w:asciiTheme="minorHAnsi" w:hAnsiTheme="minorHAnsi" w:cstheme="minorHAnsi"/>
          <w:szCs w:val="22"/>
        </w:rPr>
      </w:pPr>
      <w:r w:rsidRPr="00066CA9">
        <w:rPr>
          <w:rFonts w:asciiTheme="minorHAnsi" w:hAnsiTheme="minorHAnsi" w:cstheme="minorHAnsi"/>
          <w:szCs w:val="22"/>
        </w:rPr>
        <w:t xml:space="preserve">From 1 January 2014, a worker (including an employee, contractor, apprentice or volunteer) who is covered by the </w:t>
      </w:r>
      <w:r w:rsidRPr="00066CA9">
        <w:rPr>
          <w:rFonts w:asciiTheme="minorHAnsi" w:hAnsiTheme="minorHAnsi" w:cstheme="minorHAnsi"/>
          <w:i/>
          <w:szCs w:val="22"/>
        </w:rPr>
        <w:t>Fair Work Act 2009</w:t>
      </w:r>
      <w:r w:rsidRPr="00066CA9">
        <w:rPr>
          <w:rFonts w:asciiTheme="minorHAnsi" w:hAnsiTheme="minorHAnsi" w:cstheme="minorHAnsi"/>
          <w:szCs w:val="22"/>
        </w:rPr>
        <w:t xml:space="preserve"> and reasonably believes they have been bullied at work may apply to the Fair Work Commission for an order to stop the workplace bullying. More information is available at </w:t>
      </w:r>
      <w:hyperlink r:id="rId12" w:history="1">
        <w:r w:rsidR="00AB586F" w:rsidRPr="00066CA9">
          <w:rPr>
            <w:rStyle w:val="Hyperlink"/>
            <w:rFonts w:asciiTheme="minorHAnsi" w:hAnsiTheme="minorHAnsi" w:cstheme="minorHAnsi"/>
            <w:szCs w:val="22"/>
          </w:rPr>
          <w:t>www.fwc.gov.au</w:t>
        </w:r>
      </w:hyperlink>
      <w:r w:rsidRPr="00066CA9">
        <w:rPr>
          <w:rFonts w:asciiTheme="minorHAnsi" w:hAnsiTheme="minorHAnsi" w:cstheme="minorHAnsi"/>
          <w:szCs w:val="22"/>
        </w:rPr>
        <w:t>.</w:t>
      </w:r>
    </w:p>
    <w:p w:rsidR="00827308" w:rsidRPr="009D7E89" w:rsidRDefault="00D50C57" w:rsidP="009D7E89">
      <w:pPr>
        <w:pStyle w:val="Heading2"/>
      </w:pPr>
      <w:r w:rsidRPr="009D7E89">
        <w:t>OTHER RELATED SAFE WORK AUSTRALIA PUBLICATIONS</w:t>
      </w:r>
    </w:p>
    <w:p w:rsidR="00827308" w:rsidRPr="00066CA9" w:rsidRDefault="00827308" w:rsidP="00AB586F">
      <w:pPr>
        <w:rPr>
          <w:rFonts w:asciiTheme="minorHAnsi" w:hAnsiTheme="minorHAnsi" w:cstheme="minorHAnsi"/>
          <w:szCs w:val="20"/>
        </w:rPr>
      </w:pPr>
      <w:r w:rsidRPr="00066CA9">
        <w:rPr>
          <w:rFonts w:asciiTheme="minorHAnsi" w:hAnsiTheme="minorHAnsi" w:cstheme="minorHAnsi"/>
          <w:szCs w:val="20"/>
        </w:rPr>
        <w:t xml:space="preserve">These and other reports are available at </w:t>
      </w:r>
      <w:hyperlink r:id="rId13" w:history="1">
        <w:r w:rsidR="00805E16" w:rsidRPr="00066CA9">
          <w:rPr>
            <w:rStyle w:val="Hyperlink"/>
            <w:rFonts w:asciiTheme="minorHAnsi" w:hAnsiTheme="minorHAnsi" w:cstheme="minorHAnsi"/>
            <w:szCs w:val="20"/>
          </w:rPr>
          <w:t>safeworkaustralia.gov.au</w:t>
        </w:r>
      </w:hyperlink>
    </w:p>
    <w:p w:rsidR="00827308" w:rsidRPr="00066CA9" w:rsidRDefault="00827308" w:rsidP="00FF07D3">
      <w:pPr>
        <w:pStyle w:val="ListParagraph"/>
        <w:numPr>
          <w:ilvl w:val="0"/>
          <w:numId w:val="5"/>
        </w:numPr>
        <w:rPr>
          <w:rFonts w:asciiTheme="minorHAnsi" w:hAnsiTheme="minorHAnsi" w:cstheme="minorHAnsi"/>
          <w:szCs w:val="20"/>
        </w:rPr>
      </w:pPr>
      <w:r w:rsidRPr="00066CA9">
        <w:rPr>
          <w:rFonts w:asciiTheme="minorHAnsi" w:hAnsiTheme="minorHAnsi" w:cstheme="minorHAnsi"/>
          <w:szCs w:val="20"/>
        </w:rPr>
        <w:t>Guide for Preventing and Responding to Workplace Bullying,</w:t>
      </w:r>
      <w:r w:rsidRPr="00066CA9">
        <w:rPr>
          <w:rStyle w:val="publicationitalics"/>
          <w:rFonts w:asciiTheme="minorHAnsi" w:hAnsiTheme="minorHAnsi" w:cstheme="minorHAnsi"/>
          <w:i w:val="0"/>
          <w:iCs w:val="0"/>
          <w:sz w:val="22"/>
          <w:szCs w:val="20"/>
        </w:rPr>
        <w:t xml:space="preserve"> </w:t>
      </w:r>
      <w:r w:rsidR="00FC26CF" w:rsidRPr="00066CA9">
        <w:rPr>
          <w:rFonts w:asciiTheme="minorHAnsi" w:hAnsiTheme="minorHAnsi" w:cstheme="minorHAnsi"/>
          <w:szCs w:val="20"/>
        </w:rPr>
        <w:t>May 2016</w:t>
      </w:r>
    </w:p>
    <w:p w:rsidR="00827308" w:rsidRPr="00066CA9" w:rsidRDefault="00827308" w:rsidP="00FF07D3">
      <w:pPr>
        <w:pStyle w:val="ListParagraph"/>
        <w:numPr>
          <w:ilvl w:val="0"/>
          <w:numId w:val="5"/>
        </w:numPr>
        <w:rPr>
          <w:rStyle w:val="publicationitalics"/>
          <w:rFonts w:asciiTheme="minorHAnsi" w:hAnsiTheme="minorHAnsi" w:cstheme="minorHAnsi"/>
          <w:i w:val="0"/>
          <w:iCs w:val="0"/>
          <w:sz w:val="22"/>
          <w:szCs w:val="20"/>
        </w:rPr>
      </w:pPr>
      <w:r w:rsidRPr="00066CA9">
        <w:rPr>
          <w:rFonts w:asciiTheme="minorHAnsi" w:hAnsiTheme="minorHAnsi" w:cstheme="minorHAnsi"/>
          <w:szCs w:val="20"/>
        </w:rPr>
        <w:t>Dealing</w:t>
      </w:r>
      <w:r w:rsidRPr="00066CA9">
        <w:rPr>
          <w:rStyle w:val="publicationitalics"/>
          <w:rFonts w:asciiTheme="minorHAnsi" w:hAnsiTheme="minorHAnsi" w:cstheme="minorHAnsi"/>
          <w:i w:val="0"/>
          <w:iCs w:val="0"/>
          <w:sz w:val="22"/>
          <w:szCs w:val="20"/>
        </w:rPr>
        <w:t xml:space="preserve"> </w:t>
      </w:r>
      <w:r w:rsidRPr="00066CA9">
        <w:rPr>
          <w:rFonts w:asciiTheme="minorHAnsi" w:hAnsiTheme="minorHAnsi" w:cstheme="minorHAnsi"/>
          <w:szCs w:val="20"/>
        </w:rPr>
        <w:t xml:space="preserve">with Workplace Bullying - A Worker’s Guide, </w:t>
      </w:r>
      <w:r w:rsidR="00FC26CF" w:rsidRPr="00066CA9">
        <w:rPr>
          <w:rFonts w:asciiTheme="minorHAnsi" w:hAnsiTheme="minorHAnsi" w:cstheme="minorHAnsi"/>
          <w:szCs w:val="20"/>
        </w:rPr>
        <w:t>May 2016</w:t>
      </w:r>
    </w:p>
    <w:p w:rsidR="00827308" w:rsidRPr="00066CA9" w:rsidRDefault="00827308" w:rsidP="00FF07D3">
      <w:pPr>
        <w:pStyle w:val="ListParagraph"/>
        <w:numPr>
          <w:ilvl w:val="0"/>
          <w:numId w:val="5"/>
        </w:numPr>
        <w:rPr>
          <w:rFonts w:asciiTheme="minorHAnsi" w:hAnsiTheme="minorHAnsi" w:cstheme="minorHAnsi"/>
          <w:szCs w:val="20"/>
        </w:rPr>
      </w:pPr>
      <w:r w:rsidRPr="00066CA9">
        <w:rPr>
          <w:rFonts w:asciiTheme="minorHAnsi" w:hAnsiTheme="minorHAnsi" w:cstheme="minorHAnsi"/>
          <w:szCs w:val="20"/>
        </w:rPr>
        <w:t>The</w:t>
      </w:r>
      <w:r w:rsidRPr="00066CA9">
        <w:rPr>
          <w:rStyle w:val="publicationitalics"/>
          <w:rFonts w:asciiTheme="minorHAnsi" w:hAnsiTheme="minorHAnsi" w:cstheme="minorHAnsi"/>
          <w:i w:val="0"/>
          <w:iCs w:val="0"/>
          <w:sz w:val="22"/>
          <w:szCs w:val="20"/>
        </w:rPr>
        <w:t xml:space="preserve"> </w:t>
      </w:r>
      <w:r w:rsidRPr="00066CA9">
        <w:rPr>
          <w:rFonts w:asciiTheme="minorHAnsi" w:hAnsiTheme="minorHAnsi" w:cstheme="minorHAnsi"/>
          <w:szCs w:val="20"/>
        </w:rPr>
        <w:t>Incidence of Accepted Workers’ Compensation Claims for Mental Stress in Australia, April 2013</w:t>
      </w:r>
    </w:p>
    <w:p w:rsidR="00805E16" w:rsidRPr="00066CA9" w:rsidRDefault="00805E16" w:rsidP="00FF07D3">
      <w:pPr>
        <w:pStyle w:val="ListParagraph"/>
        <w:numPr>
          <w:ilvl w:val="0"/>
          <w:numId w:val="5"/>
        </w:numPr>
        <w:rPr>
          <w:rFonts w:asciiTheme="minorHAnsi" w:hAnsiTheme="minorHAnsi" w:cstheme="minorHAnsi"/>
          <w:szCs w:val="20"/>
        </w:rPr>
      </w:pPr>
      <w:r w:rsidRPr="00066CA9">
        <w:rPr>
          <w:rFonts w:asciiTheme="minorHAnsi" w:hAnsiTheme="minorHAnsi" w:cstheme="minorHAnsi"/>
          <w:szCs w:val="20"/>
        </w:rPr>
        <w:t>Work-related Mental Disorders profile, 2015</w:t>
      </w:r>
    </w:p>
    <w:p w:rsidR="00AB586F" w:rsidRPr="00EA6E74" w:rsidRDefault="00AB586F" w:rsidP="00AB586F">
      <w:pPr>
        <w:rPr>
          <w:rStyle w:val="publicationitalics"/>
        </w:rPr>
      </w:pPr>
    </w:p>
    <w:p w:rsidR="00827308" w:rsidRPr="00FF07D3" w:rsidRDefault="00D50C57" w:rsidP="00D50C57">
      <w:pPr>
        <w:pStyle w:val="Heading2"/>
        <w:rPr>
          <w:sz w:val="20"/>
          <w:szCs w:val="20"/>
        </w:rPr>
      </w:pPr>
      <w:r w:rsidRPr="00FF07D3">
        <w:t xml:space="preserve">DATA SOURCE </w:t>
      </w:r>
      <w:r>
        <w:t>AND EXPLANATORY NOTES</w:t>
      </w:r>
    </w:p>
    <w:p w:rsidR="00827308" w:rsidRPr="00066CA9" w:rsidRDefault="00827308" w:rsidP="00827308">
      <w:pPr>
        <w:rPr>
          <w:rFonts w:asciiTheme="minorHAnsi" w:hAnsiTheme="minorHAnsi" w:cstheme="minorHAnsi"/>
          <w:szCs w:val="20"/>
        </w:rPr>
      </w:pPr>
      <w:r w:rsidRPr="00066CA9">
        <w:rPr>
          <w:rFonts w:asciiTheme="minorHAnsi" w:hAnsiTheme="minorHAnsi" w:cstheme="minorHAnsi"/>
          <w:szCs w:val="20"/>
        </w:rPr>
        <w:t xml:space="preserve">Data are sourced from the National Dataset for Compensation-based Statistics (NDS) and include all accepted workers’ compensation claims for temporary incapacity, permanent incapacity and fatalities made under state, territory and Commonwealth Government workers’ compensation Acts. Claims are coded according to the Type of Occurrence Classification System 3rd Ed. Revision 1 (TOOCS). Industry </w:t>
      </w:r>
      <w:r w:rsidR="005D77E5" w:rsidRPr="00066CA9">
        <w:rPr>
          <w:rFonts w:asciiTheme="minorHAnsi" w:hAnsiTheme="minorHAnsi" w:cstheme="minorHAnsi"/>
          <w:szCs w:val="20"/>
        </w:rPr>
        <w:t xml:space="preserve">and occupation </w:t>
      </w:r>
      <w:r w:rsidRPr="00066CA9">
        <w:rPr>
          <w:rFonts w:asciiTheme="minorHAnsi" w:hAnsiTheme="minorHAnsi" w:cstheme="minorHAnsi"/>
          <w:szCs w:val="20"/>
        </w:rPr>
        <w:t>level data are presented using the Australian and New Zealand Standard Industrial Classification (</w:t>
      </w:r>
      <w:proofErr w:type="spellStart"/>
      <w:r w:rsidRPr="00066CA9">
        <w:rPr>
          <w:rFonts w:asciiTheme="minorHAnsi" w:hAnsiTheme="minorHAnsi" w:cstheme="minorHAnsi"/>
          <w:szCs w:val="20"/>
        </w:rPr>
        <w:t>ANZSIC</w:t>
      </w:r>
      <w:proofErr w:type="spellEnd"/>
      <w:r w:rsidRPr="00066CA9">
        <w:rPr>
          <w:rFonts w:asciiTheme="minorHAnsi" w:hAnsiTheme="minorHAnsi" w:cstheme="minorHAnsi"/>
          <w:szCs w:val="20"/>
        </w:rPr>
        <w:t>) 2006</w:t>
      </w:r>
      <w:r w:rsidR="005D77E5" w:rsidRPr="00066CA9">
        <w:rPr>
          <w:rFonts w:asciiTheme="minorHAnsi" w:hAnsiTheme="minorHAnsi" w:cstheme="minorHAnsi"/>
          <w:szCs w:val="20"/>
        </w:rPr>
        <w:t xml:space="preserve"> and Australian and New Zealand Standard Classification of Occupations (</w:t>
      </w:r>
      <w:proofErr w:type="spellStart"/>
      <w:r w:rsidR="005D77E5" w:rsidRPr="00066CA9">
        <w:rPr>
          <w:rFonts w:asciiTheme="minorHAnsi" w:hAnsiTheme="minorHAnsi" w:cstheme="minorHAnsi"/>
          <w:szCs w:val="20"/>
        </w:rPr>
        <w:t>ANZSCO</w:t>
      </w:r>
      <w:proofErr w:type="spellEnd"/>
      <w:r w:rsidR="005D77E5" w:rsidRPr="00066CA9">
        <w:rPr>
          <w:rFonts w:asciiTheme="minorHAnsi" w:hAnsiTheme="minorHAnsi" w:cstheme="minorHAnsi"/>
          <w:szCs w:val="20"/>
        </w:rPr>
        <w:t>) 2006</w:t>
      </w:r>
      <w:r w:rsidRPr="00066CA9">
        <w:rPr>
          <w:rFonts w:asciiTheme="minorHAnsi" w:hAnsiTheme="minorHAnsi" w:cstheme="minorHAnsi"/>
          <w:szCs w:val="20"/>
        </w:rPr>
        <w:t xml:space="preserve">. Data presented for mental stress are national figures but data for subcategories of mental stress exclude Victoria because </w:t>
      </w:r>
      <w:r w:rsidR="00805E16" w:rsidRPr="00066CA9">
        <w:rPr>
          <w:rFonts w:asciiTheme="minorHAnsi" w:hAnsiTheme="minorHAnsi" w:cstheme="minorHAnsi"/>
          <w:szCs w:val="20"/>
        </w:rPr>
        <w:t>its</w:t>
      </w:r>
      <w:r w:rsidRPr="00066CA9">
        <w:rPr>
          <w:rFonts w:asciiTheme="minorHAnsi" w:hAnsiTheme="minorHAnsi" w:cstheme="minorHAnsi"/>
          <w:szCs w:val="20"/>
        </w:rPr>
        <w:t xml:space="preserve"> data are not coded to that level of detail. Data for 201</w:t>
      </w:r>
      <w:r w:rsidR="00CD41C6" w:rsidRPr="00066CA9">
        <w:rPr>
          <w:rFonts w:asciiTheme="minorHAnsi" w:hAnsiTheme="minorHAnsi" w:cstheme="minorHAnsi"/>
          <w:szCs w:val="20"/>
        </w:rPr>
        <w:t>4-15</w:t>
      </w:r>
      <w:r w:rsidRPr="00066CA9">
        <w:rPr>
          <w:rFonts w:asciiTheme="minorHAnsi" w:hAnsiTheme="minorHAnsi" w:cstheme="minorHAnsi"/>
          <w:szCs w:val="20"/>
        </w:rPr>
        <w:t xml:space="preserve"> are preliminary (denoted by the letter ‘p’) and subject to future adjustment. Workers’ compensation statistics provide the only national administrative data indicators for psychosocial stressors in Australian workplaces. The hours worked data used to calculate frequency rates were provided by the Austral</w:t>
      </w:r>
      <w:r w:rsidR="00CD41C6" w:rsidRPr="00066CA9">
        <w:rPr>
          <w:rFonts w:asciiTheme="minorHAnsi" w:hAnsiTheme="minorHAnsi" w:cstheme="minorHAnsi"/>
          <w:szCs w:val="20"/>
        </w:rPr>
        <w:t>ian Bureau of Statistics in 2016</w:t>
      </w:r>
      <w:r w:rsidRPr="00066CA9">
        <w:rPr>
          <w:rFonts w:asciiTheme="minorHAnsi" w:hAnsiTheme="minorHAnsi" w:cstheme="minorHAnsi"/>
          <w:szCs w:val="20"/>
        </w:rPr>
        <w:t>.</w:t>
      </w:r>
    </w:p>
    <w:sectPr w:rsidR="00827308" w:rsidRPr="00066CA9" w:rsidSect="00805E16">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D617C"/>
    <w:multiLevelType w:val="hybridMultilevel"/>
    <w:tmpl w:val="36304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15E42D9"/>
    <w:multiLevelType w:val="hybridMultilevel"/>
    <w:tmpl w:val="908E1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AFC4B03"/>
    <w:multiLevelType w:val="hybridMultilevel"/>
    <w:tmpl w:val="CB46D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B150743"/>
    <w:multiLevelType w:val="hybridMultilevel"/>
    <w:tmpl w:val="6FF0D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B6E4DAD"/>
    <w:multiLevelType w:val="hybridMultilevel"/>
    <w:tmpl w:val="2C760DF2"/>
    <w:lvl w:ilvl="0" w:tplc="8DCC6A08">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nsid w:val="65E96FCB"/>
    <w:multiLevelType w:val="hybridMultilevel"/>
    <w:tmpl w:val="3D26278E"/>
    <w:lvl w:ilvl="0" w:tplc="E86AD51E">
      <w:start w:val="1"/>
      <w:numFmt w:val="bullet"/>
      <w:pStyle w:val="Style3"/>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nsid w:val="69FE124F"/>
    <w:multiLevelType w:val="hybridMultilevel"/>
    <w:tmpl w:val="0472E0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6"/>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34f7191d-171f-4d6e-8df8-56f8131793a3"/>
  </w:docVars>
  <w:rsids>
    <w:rsidRoot w:val="00A60913"/>
    <w:rsid w:val="00033509"/>
    <w:rsid w:val="00066CA9"/>
    <w:rsid w:val="00072CBE"/>
    <w:rsid w:val="00194B58"/>
    <w:rsid w:val="001F783D"/>
    <w:rsid w:val="00230B37"/>
    <w:rsid w:val="002604AC"/>
    <w:rsid w:val="002A60E0"/>
    <w:rsid w:val="002D3BD1"/>
    <w:rsid w:val="00324101"/>
    <w:rsid w:val="003313B1"/>
    <w:rsid w:val="003C19D5"/>
    <w:rsid w:val="0044203F"/>
    <w:rsid w:val="00484558"/>
    <w:rsid w:val="004D6097"/>
    <w:rsid w:val="00584E0F"/>
    <w:rsid w:val="005A58E0"/>
    <w:rsid w:val="005D77E5"/>
    <w:rsid w:val="005E5B12"/>
    <w:rsid w:val="006161CF"/>
    <w:rsid w:val="00665224"/>
    <w:rsid w:val="0069714E"/>
    <w:rsid w:val="006C0B42"/>
    <w:rsid w:val="006F3EA5"/>
    <w:rsid w:val="007278B7"/>
    <w:rsid w:val="00735D7B"/>
    <w:rsid w:val="00747AAD"/>
    <w:rsid w:val="00795F5E"/>
    <w:rsid w:val="007D10E6"/>
    <w:rsid w:val="00805E16"/>
    <w:rsid w:val="00827308"/>
    <w:rsid w:val="00904EFC"/>
    <w:rsid w:val="0090625A"/>
    <w:rsid w:val="009C5140"/>
    <w:rsid w:val="009D7782"/>
    <w:rsid w:val="009D7E89"/>
    <w:rsid w:val="00A05185"/>
    <w:rsid w:val="00A60913"/>
    <w:rsid w:val="00A707F5"/>
    <w:rsid w:val="00AB586F"/>
    <w:rsid w:val="00AF4E30"/>
    <w:rsid w:val="00B70AA6"/>
    <w:rsid w:val="00BC1459"/>
    <w:rsid w:val="00C63765"/>
    <w:rsid w:val="00CD41C6"/>
    <w:rsid w:val="00D16FCF"/>
    <w:rsid w:val="00D50C57"/>
    <w:rsid w:val="00EA6E74"/>
    <w:rsid w:val="00EE75A5"/>
    <w:rsid w:val="00F2353D"/>
    <w:rsid w:val="00F54003"/>
    <w:rsid w:val="00FC26CF"/>
    <w:rsid w:val="00FD02B1"/>
    <w:rsid w:val="00FD4ADD"/>
    <w:rsid w:val="00FF07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AA6"/>
    <w:rPr>
      <w:rFonts w:ascii="Arial" w:hAnsi="Arial"/>
      <w:sz w:val="22"/>
      <w:szCs w:val="24"/>
    </w:rPr>
  </w:style>
  <w:style w:type="paragraph" w:styleId="Heading1">
    <w:name w:val="heading 1"/>
    <w:basedOn w:val="Normal"/>
    <w:next w:val="Normal"/>
    <w:link w:val="Heading1Char"/>
    <w:uiPriority w:val="9"/>
    <w:qFormat/>
    <w:rsid w:val="00A609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82730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FF07D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 title"/>
    <w:basedOn w:val="Heading1"/>
    <w:uiPriority w:val="99"/>
    <w:rsid w:val="00A60913"/>
    <w:pPr>
      <w:keepNext w:val="0"/>
      <w:keepLines w:val="0"/>
      <w:suppressAutoHyphens/>
      <w:autoSpaceDE w:val="0"/>
      <w:autoSpaceDN w:val="0"/>
      <w:adjustRightInd w:val="0"/>
      <w:spacing w:before="0" w:after="57" w:line="480" w:lineRule="atLeast"/>
      <w:textAlignment w:val="center"/>
      <w:outlineLvl w:val="9"/>
    </w:pPr>
    <w:rPr>
      <w:rFonts w:ascii="Arial" w:eastAsia="Times New Roman" w:hAnsi="Arial" w:cs="Arial"/>
      <w:caps/>
      <w:color w:val="FFFFFF"/>
      <w:sz w:val="46"/>
      <w:szCs w:val="46"/>
      <w:lang w:val="en-GB"/>
    </w:rPr>
  </w:style>
  <w:style w:type="character" w:customStyle="1" w:styleId="Heading1Char">
    <w:name w:val="Heading 1 Char"/>
    <w:basedOn w:val="DefaultParagraphFont"/>
    <w:link w:val="Heading1"/>
    <w:uiPriority w:val="9"/>
    <w:rsid w:val="00A6091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rsid w:val="00A60913"/>
    <w:pPr>
      <w:suppressAutoHyphens/>
      <w:autoSpaceDE w:val="0"/>
      <w:autoSpaceDN w:val="0"/>
      <w:adjustRightInd w:val="0"/>
      <w:spacing w:after="113" w:line="260" w:lineRule="atLeast"/>
      <w:textAlignment w:val="center"/>
    </w:pPr>
    <w:rPr>
      <w:rFonts w:cs="Arial"/>
      <w:color w:val="000000"/>
      <w:szCs w:val="22"/>
      <w:lang w:val="en-GB"/>
    </w:rPr>
  </w:style>
  <w:style w:type="character" w:customStyle="1" w:styleId="BodyTextChar">
    <w:name w:val="Body Text Char"/>
    <w:basedOn w:val="DefaultParagraphFont"/>
    <w:link w:val="BodyText"/>
    <w:uiPriority w:val="99"/>
    <w:rsid w:val="00A60913"/>
    <w:rPr>
      <w:rFonts w:ascii="Arial" w:hAnsi="Arial" w:cs="Arial"/>
      <w:color w:val="000000"/>
      <w:sz w:val="22"/>
      <w:szCs w:val="22"/>
      <w:lang w:val="en-GB"/>
    </w:rPr>
  </w:style>
  <w:style w:type="paragraph" w:styleId="BalloonText">
    <w:name w:val="Balloon Text"/>
    <w:basedOn w:val="Normal"/>
    <w:link w:val="BalloonTextChar"/>
    <w:uiPriority w:val="99"/>
    <w:semiHidden/>
    <w:unhideWhenUsed/>
    <w:rsid w:val="00827308"/>
    <w:rPr>
      <w:rFonts w:ascii="Tahoma" w:hAnsi="Tahoma" w:cs="Tahoma"/>
      <w:sz w:val="16"/>
      <w:szCs w:val="16"/>
    </w:rPr>
  </w:style>
  <w:style w:type="character" w:customStyle="1" w:styleId="BalloonTextChar">
    <w:name w:val="Balloon Text Char"/>
    <w:basedOn w:val="DefaultParagraphFont"/>
    <w:link w:val="BalloonText"/>
    <w:uiPriority w:val="99"/>
    <w:semiHidden/>
    <w:rsid w:val="00827308"/>
    <w:rPr>
      <w:rFonts w:ascii="Tahoma" w:hAnsi="Tahoma" w:cs="Tahoma"/>
      <w:sz w:val="16"/>
      <w:szCs w:val="16"/>
    </w:rPr>
  </w:style>
  <w:style w:type="paragraph" w:customStyle="1" w:styleId="Figuretitle">
    <w:name w:val="Figure title"/>
    <w:basedOn w:val="Heading2"/>
    <w:uiPriority w:val="99"/>
    <w:rsid w:val="00827308"/>
    <w:pPr>
      <w:keepNext w:val="0"/>
      <w:keepLines w:val="0"/>
      <w:suppressAutoHyphens/>
      <w:autoSpaceDE w:val="0"/>
      <w:autoSpaceDN w:val="0"/>
      <w:adjustRightInd w:val="0"/>
      <w:spacing w:before="0" w:line="240" w:lineRule="atLeast"/>
      <w:ind w:left="850" w:hanging="850"/>
      <w:textAlignment w:val="center"/>
      <w:outlineLvl w:val="9"/>
    </w:pPr>
    <w:rPr>
      <w:rFonts w:ascii="Arial" w:eastAsia="Times New Roman" w:hAnsi="Arial" w:cs="Arial"/>
      <w:color w:val="003A4A"/>
      <w:sz w:val="20"/>
      <w:szCs w:val="20"/>
      <w:lang w:val="en-GB"/>
    </w:rPr>
  </w:style>
  <w:style w:type="character" w:customStyle="1" w:styleId="Heading2Char">
    <w:name w:val="Heading 2 Char"/>
    <w:basedOn w:val="DefaultParagraphFont"/>
    <w:link w:val="Heading2"/>
    <w:uiPriority w:val="9"/>
    <w:rsid w:val="00B70AA6"/>
    <w:rPr>
      <w:rFonts w:asciiTheme="majorHAnsi" w:eastAsiaTheme="majorEastAsia" w:hAnsiTheme="majorHAnsi" w:cstheme="majorBidi"/>
      <w:b/>
      <w:bCs/>
      <w:color w:val="4F81BD" w:themeColor="accent1"/>
      <w:sz w:val="26"/>
      <w:szCs w:val="26"/>
    </w:rPr>
  </w:style>
  <w:style w:type="paragraph" w:customStyle="1" w:styleId="footnotes">
    <w:name w:val="footnotes"/>
    <w:basedOn w:val="BodyText"/>
    <w:uiPriority w:val="99"/>
    <w:rsid w:val="00827308"/>
    <w:pPr>
      <w:spacing w:line="200" w:lineRule="atLeast"/>
    </w:pPr>
    <w:rPr>
      <w:sz w:val="16"/>
      <w:szCs w:val="16"/>
    </w:rPr>
  </w:style>
  <w:style w:type="character" w:customStyle="1" w:styleId="bodyitalics">
    <w:name w:val="body : italics"/>
    <w:uiPriority w:val="99"/>
    <w:rsid w:val="00827308"/>
    <w:rPr>
      <w:rFonts w:ascii="Arial" w:hAnsi="Arial" w:cs="Arial"/>
      <w:i/>
      <w:iCs/>
      <w:sz w:val="22"/>
      <w:szCs w:val="22"/>
    </w:rPr>
  </w:style>
  <w:style w:type="character" w:customStyle="1" w:styleId="publicationitalics">
    <w:name w:val="publication italics"/>
    <w:uiPriority w:val="99"/>
    <w:rsid w:val="00827308"/>
    <w:rPr>
      <w:rFonts w:ascii="Arial" w:hAnsi="Arial" w:cs="Arial"/>
      <w:i/>
      <w:iCs/>
      <w:sz w:val="16"/>
      <w:szCs w:val="16"/>
    </w:rPr>
  </w:style>
  <w:style w:type="paragraph" w:styleId="Title">
    <w:name w:val="Title"/>
    <w:basedOn w:val="Normal"/>
    <w:next w:val="Normal"/>
    <w:link w:val="TitleChar"/>
    <w:uiPriority w:val="10"/>
    <w:qFormat/>
    <w:rsid w:val="00AB586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B586F"/>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AB586F"/>
    <w:pPr>
      <w:ind w:left="720"/>
      <w:contextualSpacing/>
    </w:pPr>
  </w:style>
  <w:style w:type="paragraph" w:styleId="Subtitle">
    <w:name w:val="Subtitle"/>
    <w:basedOn w:val="Normal"/>
    <w:next w:val="Normal"/>
    <w:link w:val="SubtitleChar"/>
    <w:uiPriority w:val="11"/>
    <w:qFormat/>
    <w:rsid w:val="00AB586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B586F"/>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AB586F"/>
    <w:rPr>
      <w:sz w:val="24"/>
      <w:szCs w:val="24"/>
    </w:rPr>
  </w:style>
  <w:style w:type="character" w:styleId="Hyperlink">
    <w:name w:val="Hyperlink"/>
    <w:basedOn w:val="DefaultParagraphFont"/>
    <w:uiPriority w:val="99"/>
    <w:unhideWhenUsed/>
    <w:rsid w:val="00AB586F"/>
    <w:rPr>
      <w:color w:val="0000FF" w:themeColor="hyperlink"/>
      <w:u w:val="single"/>
    </w:rPr>
  </w:style>
  <w:style w:type="character" w:customStyle="1" w:styleId="Heading3Char">
    <w:name w:val="Heading 3 Char"/>
    <w:basedOn w:val="DefaultParagraphFont"/>
    <w:link w:val="Heading3"/>
    <w:uiPriority w:val="9"/>
    <w:rsid w:val="00FF07D3"/>
    <w:rPr>
      <w:rFonts w:asciiTheme="majorHAnsi" w:eastAsiaTheme="majorEastAsia" w:hAnsiTheme="majorHAnsi" w:cstheme="majorBidi"/>
      <w:b/>
      <w:bCs/>
      <w:color w:val="4F81BD" w:themeColor="accent1"/>
      <w:sz w:val="22"/>
      <w:szCs w:val="24"/>
    </w:rPr>
  </w:style>
  <w:style w:type="character" w:customStyle="1" w:styleId="Style3Char">
    <w:name w:val="Style3 Char"/>
    <w:basedOn w:val="DefaultParagraphFont"/>
    <w:link w:val="Style3"/>
    <w:locked/>
    <w:rsid w:val="00EA6E74"/>
    <w:rPr>
      <w:rFonts w:ascii="Calibri" w:hAnsi="Calibri" w:cs="Calibri"/>
      <w:color w:val="000000"/>
      <w:lang w:eastAsia="en-US"/>
    </w:rPr>
  </w:style>
  <w:style w:type="paragraph" w:customStyle="1" w:styleId="Style3">
    <w:name w:val="Style3"/>
    <w:basedOn w:val="Normal"/>
    <w:link w:val="Style3Char"/>
    <w:rsid w:val="00EA6E74"/>
    <w:pPr>
      <w:numPr>
        <w:numId w:val="6"/>
      </w:numPr>
      <w:overflowPunct w:val="0"/>
      <w:autoSpaceDE w:val="0"/>
      <w:autoSpaceDN w:val="0"/>
      <w:spacing w:after="57" w:line="264" w:lineRule="atLeast"/>
      <w:ind w:right="89"/>
      <w:jc w:val="both"/>
    </w:pPr>
    <w:rPr>
      <w:rFonts w:ascii="Calibri" w:hAnsi="Calibri" w:cs="Calibri"/>
      <w:color w:val="00000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AA6"/>
    <w:rPr>
      <w:rFonts w:ascii="Arial" w:hAnsi="Arial"/>
      <w:sz w:val="22"/>
      <w:szCs w:val="24"/>
    </w:rPr>
  </w:style>
  <w:style w:type="paragraph" w:styleId="Heading1">
    <w:name w:val="heading 1"/>
    <w:basedOn w:val="Normal"/>
    <w:next w:val="Normal"/>
    <w:link w:val="Heading1Char"/>
    <w:uiPriority w:val="9"/>
    <w:qFormat/>
    <w:rsid w:val="00A609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82730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FF07D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 title"/>
    <w:basedOn w:val="Heading1"/>
    <w:uiPriority w:val="99"/>
    <w:rsid w:val="00A60913"/>
    <w:pPr>
      <w:keepNext w:val="0"/>
      <w:keepLines w:val="0"/>
      <w:suppressAutoHyphens/>
      <w:autoSpaceDE w:val="0"/>
      <w:autoSpaceDN w:val="0"/>
      <w:adjustRightInd w:val="0"/>
      <w:spacing w:before="0" w:after="57" w:line="480" w:lineRule="atLeast"/>
      <w:textAlignment w:val="center"/>
      <w:outlineLvl w:val="9"/>
    </w:pPr>
    <w:rPr>
      <w:rFonts w:ascii="Arial" w:eastAsia="Times New Roman" w:hAnsi="Arial" w:cs="Arial"/>
      <w:caps/>
      <w:color w:val="FFFFFF"/>
      <w:sz w:val="46"/>
      <w:szCs w:val="46"/>
      <w:lang w:val="en-GB"/>
    </w:rPr>
  </w:style>
  <w:style w:type="character" w:customStyle="1" w:styleId="Heading1Char">
    <w:name w:val="Heading 1 Char"/>
    <w:basedOn w:val="DefaultParagraphFont"/>
    <w:link w:val="Heading1"/>
    <w:uiPriority w:val="9"/>
    <w:rsid w:val="00A6091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rsid w:val="00A60913"/>
    <w:pPr>
      <w:suppressAutoHyphens/>
      <w:autoSpaceDE w:val="0"/>
      <w:autoSpaceDN w:val="0"/>
      <w:adjustRightInd w:val="0"/>
      <w:spacing w:after="113" w:line="260" w:lineRule="atLeast"/>
      <w:textAlignment w:val="center"/>
    </w:pPr>
    <w:rPr>
      <w:rFonts w:cs="Arial"/>
      <w:color w:val="000000"/>
      <w:szCs w:val="22"/>
      <w:lang w:val="en-GB"/>
    </w:rPr>
  </w:style>
  <w:style w:type="character" w:customStyle="1" w:styleId="BodyTextChar">
    <w:name w:val="Body Text Char"/>
    <w:basedOn w:val="DefaultParagraphFont"/>
    <w:link w:val="BodyText"/>
    <w:uiPriority w:val="99"/>
    <w:rsid w:val="00A60913"/>
    <w:rPr>
      <w:rFonts w:ascii="Arial" w:hAnsi="Arial" w:cs="Arial"/>
      <w:color w:val="000000"/>
      <w:sz w:val="22"/>
      <w:szCs w:val="22"/>
      <w:lang w:val="en-GB"/>
    </w:rPr>
  </w:style>
  <w:style w:type="paragraph" w:styleId="BalloonText">
    <w:name w:val="Balloon Text"/>
    <w:basedOn w:val="Normal"/>
    <w:link w:val="BalloonTextChar"/>
    <w:uiPriority w:val="99"/>
    <w:semiHidden/>
    <w:unhideWhenUsed/>
    <w:rsid w:val="00827308"/>
    <w:rPr>
      <w:rFonts w:ascii="Tahoma" w:hAnsi="Tahoma" w:cs="Tahoma"/>
      <w:sz w:val="16"/>
      <w:szCs w:val="16"/>
    </w:rPr>
  </w:style>
  <w:style w:type="character" w:customStyle="1" w:styleId="BalloonTextChar">
    <w:name w:val="Balloon Text Char"/>
    <w:basedOn w:val="DefaultParagraphFont"/>
    <w:link w:val="BalloonText"/>
    <w:uiPriority w:val="99"/>
    <w:semiHidden/>
    <w:rsid w:val="00827308"/>
    <w:rPr>
      <w:rFonts w:ascii="Tahoma" w:hAnsi="Tahoma" w:cs="Tahoma"/>
      <w:sz w:val="16"/>
      <w:szCs w:val="16"/>
    </w:rPr>
  </w:style>
  <w:style w:type="paragraph" w:customStyle="1" w:styleId="Figuretitle">
    <w:name w:val="Figure title"/>
    <w:basedOn w:val="Heading2"/>
    <w:uiPriority w:val="99"/>
    <w:rsid w:val="00827308"/>
    <w:pPr>
      <w:keepNext w:val="0"/>
      <w:keepLines w:val="0"/>
      <w:suppressAutoHyphens/>
      <w:autoSpaceDE w:val="0"/>
      <w:autoSpaceDN w:val="0"/>
      <w:adjustRightInd w:val="0"/>
      <w:spacing w:before="0" w:line="240" w:lineRule="atLeast"/>
      <w:ind w:left="850" w:hanging="850"/>
      <w:textAlignment w:val="center"/>
      <w:outlineLvl w:val="9"/>
    </w:pPr>
    <w:rPr>
      <w:rFonts w:ascii="Arial" w:eastAsia="Times New Roman" w:hAnsi="Arial" w:cs="Arial"/>
      <w:color w:val="003A4A"/>
      <w:sz w:val="20"/>
      <w:szCs w:val="20"/>
      <w:lang w:val="en-GB"/>
    </w:rPr>
  </w:style>
  <w:style w:type="character" w:customStyle="1" w:styleId="Heading2Char">
    <w:name w:val="Heading 2 Char"/>
    <w:basedOn w:val="DefaultParagraphFont"/>
    <w:link w:val="Heading2"/>
    <w:uiPriority w:val="9"/>
    <w:rsid w:val="00B70AA6"/>
    <w:rPr>
      <w:rFonts w:asciiTheme="majorHAnsi" w:eastAsiaTheme="majorEastAsia" w:hAnsiTheme="majorHAnsi" w:cstheme="majorBidi"/>
      <w:b/>
      <w:bCs/>
      <w:color w:val="4F81BD" w:themeColor="accent1"/>
      <w:sz w:val="26"/>
      <w:szCs w:val="26"/>
    </w:rPr>
  </w:style>
  <w:style w:type="paragraph" w:customStyle="1" w:styleId="footnotes">
    <w:name w:val="footnotes"/>
    <w:basedOn w:val="BodyText"/>
    <w:uiPriority w:val="99"/>
    <w:rsid w:val="00827308"/>
    <w:pPr>
      <w:spacing w:line="200" w:lineRule="atLeast"/>
    </w:pPr>
    <w:rPr>
      <w:sz w:val="16"/>
      <w:szCs w:val="16"/>
    </w:rPr>
  </w:style>
  <w:style w:type="character" w:customStyle="1" w:styleId="bodyitalics">
    <w:name w:val="body : italics"/>
    <w:uiPriority w:val="99"/>
    <w:rsid w:val="00827308"/>
    <w:rPr>
      <w:rFonts w:ascii="Arial" w:hAnsi="Arial" w:cs="Arial"/>
      <w:i/>
      <w:iCs/>
      <w:sz w:val="22"/>
      <w:szCs w:val="22"/>
    </w:rPr>
  </w:style>
  <w:style w:type="character" w:customStyle="1" w:styleId="publicationitalics">
    <w:name w:val="publication italics"/>
    <w:uiPriority w:val="99"/>
    <w:rsid w:val="00827308"/>
    <w:rPr>
      <w:rFonts w:ascii="Arial" w:hAnsi="Arial" w:cs="Arial"/>
      <w:i/>
      <w:iCs/>
      <w:sz w:val="16"/>
      <w:szCs w:val="16"/>
    </w:rPr>
  </w:style>
  <w:style w:type="paragraph" w:styleId="Title">
    <w:name w:val="Title"/>
    <w:basedOn w:val="Normal"/>
    <w:next w:val="Normal"/>
    <w:link w:val="TitleChar"/>
    <w:uiPriority w:val="10"/>
    <w:qFormat/>
    <w:rsid w:val="00AB586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B586F"/>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AB586F"/>
    <w:pPr>
      <w:ind w:left="720"/>
      <w:contextualSpacing/>
    </w:pPr>
  </w:style>
  <w:style w:type="paragraph" w:styleId="Subtitle">
    <w:name w:val="Subtitle"/>
    <w:basedOn w:val="Normal"/>
    <w:next w:val="Normal"/>
    <w:link w:val="SubtitleChar"/>
    <w:uiPriority w:val="11"/>
    <w:qFormat/>
    <w:rsid w:val="00AB586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B586F"/>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AB586F"/>
    <w:rPr>
      <w:sz w:val="24"/>
      <w:szCs w:val="24"/>
    </w:rPr>
  </w:style>
  <w:style w:type="character" w:styleId="Hyperlink">
    <w:name w:val="Hyperlink"/>
    <w:basedOn w:val="DefaultParagraphFont"/>
    <w:uiPriority w:val="99"/>
    <w:unhideWhenUsed/>
    <w:rsid w:val="00AB586F"/>
    <w:rPr>
      <w:color w:val="0000FF" w:themeColor="hyperlink"/>
      <w:u w:val="single"/>
    </w:rPr>
  </w:style>
  <w:style w:type="character" w:customStyle="1" w:styleId="Heading3Char">
    <w:name w:val="Heading 3 Char"/>
    <w:basedOn w:val="DefaultParagraphFont"/>
    <w:link w:val="Heading3"/>
    <w:uiPriority w:val="9"/>
    <w:rsid w:val="00FF07D3"/>
    <w:rPr>
      <w:rFonts w:asciiTheme="majorHAnsi" w:eastAsiaTheme="majorEastAsia" w:hAnsiTheme="majorHAnsi" w:cstheme="majorBidi"/>
      <w:b/>
      <w:bCs/>
      <w:color w:val="4F81BD" w:themeColor="accent1"/>
      <w:sz w:val="22"/>
      <w:szCs w:val="24"/>
    </w:rPr>
  </w:style>
  <w:style w:type="character" w:customStyle="1" w:styleId="Style3Char">
    <w:name w:val="Style3 Char"/>
    <w:basedOn w:val="DefaultParagraphFont"/>
    <w:link w:val="Style3"/>
    <w:locked/>
    <w:rsid w:val="00EA6E74"/>
    <w:rPr>
      <w:rFonts w:ascii="Calibri" w:hAnsi="Calibri" w:cs="Calibri"/>
      <w:color w:val="000000"/>
      <w:lang w:eastAsia="en-US"/>
    </w:rPr>
  </w:style>
  <w:style w:type="paragraph" w:customStyle="1" w:styleId="Style3">
    <w:name w:val="Style3"/>
    <w:basedOn w:val="Normal"/>
    <w:link w:val="Style3Char"/>
    <w:rsid w:val="00EA6E74"/>
    <w:pPr>
      <w:numPr>
        <w:numId w:val="6"/>
      </w:numPr>
      <w:overflowPunct w:val="0"/>
      <w:autoSpaceDE w:val="0"/>
      <w:autoSpaceDN w:val="0"/>
      <w:spacing w:after="57" w:line="264" w:lineRule="atLeast"/>
      <w:ind w:right="89"/>
      <w:jc w:val="both"/>
    </w:pPr>
    <w:rPr>
      <w:rFonts w:ascii="Calibri" w:hAnsi="Calibri" w:cs="Calibri"/>
      <w:color w:val="00000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736245">
      <w:bodyDiv w:val="1"/>
      <w:marLeft w:val="0"/>
      <w:marRight w:val="0"/>
      <w:marTop w:val="0"/>
      <w:marBottom w:val="0"/>
      <w:divBdr>
        <w:top w:val="none" w:sz="0" w:space="0" w:color="auto"/>
        <w:left w:val="none" w:sz="0" w:space="0" w:color="auto"/>
        <w:bottom w:val="none" w:sz="0" w:space="0" w:color="auto"/>
        <w:right w:val="none" w:sz="0" w:space="0" w:color="auto"/>
      </w:divBdr>
    </w:div>
    <w:div w:id="1511412088">
      <w:bodyDiv w:val="1"/>
      <w:marLeft w:val="0"/>
      <w:marRight w:val="0"/>
      <w:marTop w:val="0"/>
      <w:marBottom w:val="0"/>
      <w:divBdr>
        <w:top w:val="none" w:sz="0" w:space="0" w:color="auto"/>
        <w:left w:val="none" w:sz="0" w:space="0" w:color="auto"/>
        <w:bottom w:val="none" w:sz="0" w:space="0" w:color="auto"/>
        <w:right w:val="none" w:sz="0" w:space="0" w:color="auto"/>
      </w:divBdr>
    </w:div>
    <w:div w:id="173678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safeworkaustralia.gov.au/sites/SWA"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fwc.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ph.gov.a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AE4DA-AAE0-4E99-B6DA-018EDAC86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F5236B85.dotm</Template>
  <TotalTime>0</TotalTime>
  <Pages>4</Pages>
  <Words>1460</Words>
  <Characters>8474</Characters>
  <Application>Microsoft Office Word</Application>
  <DocSecurity>0</DocSecurity>
  <Lines>70</Lines>
  <Paragraphs>19</Paragraphs>
  <ScaleCrop>false</ScaleCrop>
  <Company/>
  <LinksUpToDate>false</LinksUpToDate>
  <CharactersWithSpaces>9915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2018-01-16T00:24:00Z</dcterms:created>
  <dcterms:modified xsi:type="dcterms:W3CDTF">2018-01-16T00:24:00Z</dcterms:modified>
</cp:coreProperties>
</file>