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19.xml" ContentType="application/vnd.openxmlformats-officedocument.themeOverride+xml"/>
  <Override PartName="/word/charts/chart21.xml" ContentType="application/vnd.openxmlformats-officedocument.drawingml.chart+xml"/>
  <Override PartName="/word/theme/themeOverride20.xml" ContentType="application/vnd.openxmlformats-officedocument.themeOverride+xml"/>
  <Override PartName="/word/charts/chart22.xml" ContentType="application/vnd.openxmlformats-officedocument.drawingml.chart+xml"/>
  <Override PartName="/word/theme/themeOverride21.xml" ContentType="application/vnd.openxmlformats-officedocument.themeOverride+xml"/>
  <Override PartName="/word/charts/chart23.xml" ContentType="application/vnd.openxmlformats-officedocument.drawingml.chart+xml"/>
  <Override PartName="/word/theme/themeOverride22.xml" ContentType="application/vnd.openxmlformats-officedocument.themeOverride+xml"/>
  <Override PartName="/word/charts/chart24.xml" ContentType="application/vnd.openxmlformats-officedocument.drawingml.chart+xml"/>
  <Override PartName="/word/theme/themeOverride23.xml" ContentType="application/vnd.openxmlformats-officedocument.themeOverride+xml"/>
  <Override PartName="/word/charts/chart25.xml" ContentType="application/vnd.openxmlformats-officedocument.drawingml.chart+xml"/>
  <Override PartName="/word/theme/themeOverride24.xml" ContentType="application/vnd.openxmlformats-officedocument.themeOverride+xml"/>
  <Override PartName="/word/charts/chart26.xml" ContentType="application/vnd.openxmlformats-officedocument.drawingml.chart+xml"/>
  <Override PartName="/word/theme/themeOverride25.xml" ContentType="application/vnd.openxmlformats-officedocument.themeOverride+xml"/>
  <Override PartName="/word/charts/chart27.xml" ContentType="application/vnd.openxmlformats-officedocument.drawingml.chart+xml"/>
  <Override PartName="/word/theme/themeOverride26.xml" ContentType="application/vnd.openxmlformats-officedocument.themeOverride+xml"/>
  <Override PartName="/word/charts/chart28.xml" ContentType="application/vnd.openxmlformats-officedocument.drawingml.chart+xml"/>
  <Override PartName="/word/theme/themeOverride27.xml" ContentType="application/vnd.openxmlformats-officedocument.themeOverride+xml"/>
  <Override PartName="/word/charts/chart29.xml" ContentType="application/vnd.openxmlformats-officedocument.drawingml.chart+xml"/>
  <Override PartName="/word/theme/themeOverride28.xml" ContentType="application/vnd.openxmlformats-officedocument.themeOverride+xml"/>
  <Override PartName="/word/charts/chart30.xml" ContentType="application/vnd.openxmlformats-officedocument.drawingml.chart+xml"/>
  <Override PartName="/word/theme/themeOverride29.xml" ContentType="application/vnd.openxmlformats-officedocument.themeOverride+xml"/>
  <Override PartName="/word/charts/chart31.xml" ContentType="application/vnd.openxmlformats-officedocument.drawingml.chart+xml"/>
  <Override PartName="/word/theme/themeOverride30.xml" ContentType="application/vnd.openxmlformats-officedocument.themeOverride+xml"/>
  <Override PartName="/word/charts/chart32.xml" ContentType="application/vnd.openxmlformats-officedocument.drawingml.chart+xml"/>
  <Override PartName="/word/theme/themeOverride31.xml" ContentType="application/vnd.openxmlformats-officedocument.themeOverride+xml"/>
  <Override PartName="/word/charts/chart33.xml" ContentType="application/vnd.openxmlformats-officedocument.drawingml.chart+xml"/>
  <Override PartName="/word/theme/themeOverride32.xml" ContentType="application/vnd.openxmlformats-officedocument.themeOverride+xml"/>
  <Override PartName="/word/charts/chart34.xml" ContentType="application/vnd.openxmlformats-officedocument.drawingml.chart+xml"/>
  <Override PartName="/word/theme/themeOverride33.xml" ContentType="application/vnd.openxmlformats-officedocument.themeOverride+xml"/>
  <Override PartName="/word/charts/chart35.xml" ContentType="application/vnd.openxmlformats-officedocument.drawingml.chart+xml"/>
  <Override PartName="/word/theme/themeOverride34.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E72BC" w14:textId="75C2AFC7" w:rsidR="004704F2" w:rsidRPr="001A3E6E" w:rsidRDefault="004704F2" w:rsidP="00D5475E">
      <w:pPr>
        <w:pStyle w:val="SWACoverHeader"/>
        <w:outlineLvl w:val="9"/>
        <w:rPr>
          <w:sz w:val="82"/>
        </w:rPr>
      </w:pPr>
      <w:bookmarkStart w:id="0" w:name="_Toc481076148"/>
      <w:r w:rsidRPr="001A3E6E">
        <w:rPr>
          <w:noProof/>
          <w:sz w:val="82"/>
          <w:szCs w:val="80"/>
          <w:lang w:eastAsia="en-AU"/>
        </w:rPr>
        <w:drawing>
          <wp:anchor distT="0" distB="0" distL="114300" distR="114300" simplePos="0" relativeHeight="251659264" behindDoc="1" locked="0" layoutInCell="1" allowOverlap="1" wp14:anchorId="18585546" wp14:editId="0D9E1607">
            <wp:simplePos x="0" y="0"/>
            <wp:positionH relativeFrom="column">
              <wp:posOffset>-974090</wp:posOffset>
            </wp:positionH>
            <wp:positionV relativeFrom="paragraph">
              <wp:posOffset>2663512</wp:posOffset>
            </wp:positionV>
            <wp:extent cx="9476735" cy="3404177"/>
            <wp:effectExtent l="0" t="0" r="0" b="6350"/>
            <wp:wrapNone/>
            <wp:docPr id="6" name="Picture 6" descr="Blue and grey banner graphic showing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476735" cy="340417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1A3E6E">
        <w:rPr>
          <w:sz w:val="82"/>
          <w:szCs w:val="80"/>
        </w:rPr>
        <w:t>R</w:t>
      </w:r>
      <w:r w:rsidRPr="001A3E6E">
        <w:rPr>
          <w:sz w:val="82"/>
        </w:rPr>
        <w:t>eturn to work</w:t>
      </w:r>
      <w:r w:rsidR="001A3E6E" w:rsidRPr="001A3E6E">
        <w:rPr>
          <w:sz w:val="82"/>
        </w:rPr>
        <w:t xml:space="preserve"> in </w:t>
      </w:r>
      <w:r w:rsidRPr="001A3E6E">
        <w:rPr>
          <w:sz w:val="82"/>
        </w:rPr>
        <w:t xml:space="preserve">psychological </w:t>
      </w:r>
      <w:r w:rsidR="001A3E6E">
        <w:rPr>
          <w:sz w:val="82"/>
        </w:rPr>
        <w:br/>
      </w:r>
      <w:r w:rsidRPr="001A3E6E">
        <w:rPr>
          <w:sz w:val="82"/>
        </w:rPr>
        <w:t>injury</w:t>
      </w:r>
      <w:r w:rsidR="001A3E6E" w:rsidRPr="001A3E6E">
        <w:rPr>
          <w:sz w:val="82"/>
        </w:rPr>
        <w:t xml:space="preserve"> claims</w:t>
      </w:r>
    </w:p>
    <w:p w14:paraId="66D45DA0" w14:textId="351EE4DD" w:rsidR="004704F2" w:rsidRPr="008C6C6A" w:rsidRDefault="008C6C6A" w:rsidP="001A3E6E">
      <w:pPr>
        <w:pStyle w:val="SWACoverSubhead1"/>
        <w:spacing w:before="240" w:after="240"/>
        <w:rPr>
          <w:sz w:val="36"/>
        </w:rPr>
      </w:pPr>
      <w:r w:rsidRPr="008C6C6A">
        <w:rPr>
          <w:sz w:val="36"/>
        </w:rPr>
        <w:t>Analysis of the Return to Work Survey results</w:t>
      </w:r>
    </w:p>
    <w:p w14:paraId="7C18C054" w14:textId="4DA1AFFB" w:rsidR="004704F2" w:rsidRPr="005D0128" w:rsidRDefault="004704F2" w:rsidP="004704F2">
      <w:pPr>
        <w:pStyle w:val="SWACovernames"/>
      </w:pPr>
    </w:p>
    <w:p w14:paraId="3673925A" w14:textId="77777777" w:rsidR="008C6C6A" w:rsidRDefault="008C6C6A" w:rsidP="004704F2">
      <w:pPr>
        <w:pStyle w:val="SWACovernames"/>
      </w:pPr>
    </w:p>
    <w:p w14:paraId="7FBAC34E" w14:textId="77777777" w:rsidR="008C6C6A" w:rsidRDefault="008C6C6A" w:rsidP="001A3E6E">
      <w:pPr>
        <w:pStyle w:val="SWACovernames"/>
        <w:spacing w:before="120"/>
      </w:pPr>
      <w:r>
        <w:t>Dr Mary Wyatt</w:t>
      </w:r>
    </w:p>
    <w:p w14:paraId="413664C2" w14:textId="77777777" w:rsidR="008C6C6A" w:rsidRDefault="008C6C6A" w:rsidP="001A3E6E">
      <w:pPr>
        <w:pStyle w:val="SWACovernames"/>
        <w:spacing w:before="120"/>
      </w:pPr>
      <w:r>
        <w:t>Dr Peter Cotton</w:t>
      </w:r>
    </w:p>
    <w:p w14:paraId="36D80583" w14:textId="17199088" w:rsidR="004704F2" w:rsidRDefault="008C6C6A" w:rsidP="001A3E6E">
      <w:pPr>
        <w:pStyle w:val="SWACovernames"/>
        <w:spacing w:before="120"/>
      </w:pPr>
      <w:r w:rsidRPr="008C6C6A">
        <w:t>Dr Tyler Lane</w:t>
      </w:r>
    </w:p>
    <w:p w14:paraId="5767AD4E" w14:textId="1F65E88C" w:rsidR="008C6C6A" w:rsidRDefault="008C6C6A" w:rsidP="008C6C6A">
      <w:pPr>
        <w:pStyle w:val="SWACovernames"/>
      </w:pPr>
      <w:r>
        <w:rPr>
          <w:caps/>
          <w:noProof/>
          <w:lang w:val="en-AU" w:eastAsia="en-AU"/>
        </w:rPr>
        <w:drawing>
          <wp:anchor distT="0" distB="0" distL="114300" distR="114300" simplePos="0" relativeHeight="251660288" behindDoc="0" locked="0" layoutInCell="1" allowOverlap="1" wp14:anchorId="10A4FB0E" wp14:editId="0A95F72A">
            <wp:simplePos x="0" y="0"/>
            <wp:positionH relativeFrom="column">
              <wp:posOffset>3148330</wp:posOffset>
            </wp:positionH>
            <wp:positionV relativeFrom="paragraph">
              <wp:posOffset>711835</wp:posOffset>
            </wp:positionV>
            <wp:extent cx="2934970" cy="586740"/>
            <wp:effectExtent l="0" t="0" r="0" b="3810"/>
            <wp:wrapSquare wrapText="bothSides"/>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319C0" w14:textId="77777777" w:rsidR="008C6C6A" w:rsidRDefault="008C6C6A" w:rsidP="008C6C6A">
      <w:pPr>
        <w:pStyle w:val="SWACovernames"/>
        <w:sectPr w:rsidR="008C6C6A" w:rsidSect="004704F2">
          <w:footerReference w:type="default" r:id="rId14"/>
          <w:headerReference w:type="first" r:id="rId15"/>
          <w:footerReference w:type="first" r:id="rId16"/>
          <w:pgSz w:w="11906" w:h="16838"/>
          <w:pgMar w:top="993" w:right="1800" w:bottom="1440" w:left="1276" w:header="708" w:footer="708" w:gutter="0"/>
          <w:cols w:space="242"/>
          <w:titlePg/>
          <w:docGrid w:linePitch="360"/>
        </w:sectPr>
      </w:pPr>
    </w:p>
    <w:p w14:paraId="22A38D87" w14:textId="77777777" w:rsidR="001E255B" w:rsidRDefault="001E255B" w:rsidP="00C066B8">
      <w:pPr>
        <w:pStyle w:val="SWADisclaimerheading"/>
      </w:pPr>
      <w:r>
        <w:lastRenderedPageBreak/>
        <w:t>Authors</w:t>
      </w:r>
    </w:p>
    <w:p w14:paraId="28289FF2" w14:textId="7A3218E0" w:rsidR="008C6C6A" w:rsidRPr="008C6C6A" w:rsidRDefault="008C6C6A" w:rsidP="008C6C6A">
      <w:pPr>
        <w:pStyle w:val="SWACoverintroparagraph"/>
        <w:rPr>
          <w:rFonts w:eastAsia="Times New Roman" w:cs="Times New Roman"/>
          <w:color w:val="auto"/>
          <w:sz w:val="14"/>
          <w:szCs w:val="14"/>
          <w:lang w:val="en-AU" w:eastAsia="en-AU"/>
        </w:rPr>
      </w:pPr>
      <w:r w:rsidRPr="008C6C6A">
        <w:rPr>
          <w:rFonts w:eastAsia="Times New Roman" w:cs="Times New Roman"/>
          <w:color w:val="auto"/>
          <w:sz w:val="14"/>
          <w:szCs w:val="14"/>
          <w:lang w:val="en-AU" w:eastAsia="en-AU"/>
        </w:rPr>
        <w:t>This report was prepared for Safe Work Australia by:</w:t>
      </w:r>
    </w:p>
    <w:p w14:paraId="4D8E89A4" w14:textId="01693D0B" w:rsidR="001E255B" w:rsidRPr="001E255B" w:rsidRDefault="00112FD7" w:rsidP="001E255B">
      <w:pPr>
        <w:pStyle w:val="SWADisclaimerbodytext"/>
      </w:pPr>
      <w:r>
        <w:t xml:space="preserve">Dr </w:t>
      </w:r>
      <w:r w:rsidR="001E255B" w:rsidRPr="001E255B">
        <w:t xml:space="preserve">Mary Wyatt, Occupational Physician, carried out the data analysis and is the principal author. </w:t>
      </w:r>
    </w:p>
    <w:p w14:paraId="70433902" w14:textId="3D5772D0" w:rsidR="001E255B" w:rsidRPr="001E255B" w:rsidRDefault="00112FD7" w:rsidP="001E255B">
      <w:pPr>
        <w:pStyle w:val="SWADisclaimerbodytext"/>
      </w:pPr>
      <w:r>
        <w:t xml:space="preserve">Dr </w:t>
      </w:r>
      <w:r w:rsidR="001E255B" w:rsidRPr="001E255B">
        <w:t xml:space="preserve">Peter Cotton, Clinical &amp; Organisational Psychologist, completed the literature review. </w:t>
      </w:r>
    </w:p>
    <w:p w14:paraId="75C77A51" w14:textId="5EDC68A8" w:rsidR="001E255B" w:rsidRPr="001E255B" w:rsidRDefault="00112FD7" w:rsidP="001E255B">
      <w:pPr>
        <w:pStyle w:val="SWADisclaimerbodytext"/>
      </w:pPr>
      <w:r>
        <w:t xml:space="preserve">Dr </w:t>
      </w:r>
      <w:r w:rsidR="001E255B" w:rsidRPr="001E255B">
        <w:t>Tyler Lane, Research Data Analyst at the Institute for Safety, Compensation and Recovery Research, provided advice on data analysis</w:t>
      </w:r>
      <w:r w:rsidR="001E255B">
        <w:t>.</w:t>
      </w:r>
    </w:p>
    <w:p w14:paraId="34C15A66" w14:textId="77777777" w:rsidR="007F03B6" w:rsidRPr="008530EB" w:rsidRDefault="007F03B6" w:rsidP="00C066B8">
      <w:pPr>
        <w:pStyle w:val="SWADisclaimerheading"/>
      </w:pPr>
      <w:r w:rsidRPr="008530EB">
        <w:t>Disclaimer</w:t>
      </w:r>
    </w:p>
    <w:p w14:paraId="34C15A67" w14:textId="1FF20426" w:rsidR="00F81B48" w:rsidRPr="00F81B48" w:rsidRDefault="00F81B48" w:rsidP="00485F65">
      <w:pPr>
        <w:pStyle w:val="SWADisclaimerbodytext"/>
      </w:pPr>
      <w:r w:rsidRPr="00F81B48">
        <w:t>Safe Work Australia provides the information in this publication to raise awareness of work health and safety. This information is general guidance only and does not replace any statutory requirement contained in any relevant state, territory or Commonwealth legislation. It is not a substitute for independent professional advice. Users should exercise their own skill and care to evaluate the accuracy, currency, completeness and relevance for their purposes of any information contained in the publication. Users should obtain appropriate advice relevant to th</w:t>
      </w:r>
      <w:r w:rsidR="00FE5D7D">
        <w:t xml:space="preserve">eir particular circumstances. </w:t>
      </w:r>
    </w:p>
    <w:p w14:paraId="34C15A68" w14:textId="77777777" w:rsidR="00F81B48" w:rsidRPr="00F81B48" w:rsidRDefault="00F81B48" w:rsidP="00485F65">
      <w:pPr>
        <w:pStyle w:val="SWADisclaimerbodytext"/>
      </w:pPr>
      <w:r w:rsidRPr="00F81B48">
        <w:t>While Safe Work Australia makes every effort to ensure information is accurate and up-to-date, Safe Work Australia does not provide any warranty regarding the accuracy, currency or completeness of the information contained in this publication and will not be held liable for any loss, damage, cost or expense incurred or arising by reason of any person using or relying on the in</w:t>
      </w:r>
      <w:r>
        <w:t xml:space="preserve">formation in this publication. </w:t>
      </w:r>
    </w:p>
    <w:p w14:paraId="34C15A69" w14:textId="77777777" w:rsidR="007F03B6" w:rsidRPr="001D7C48" w:rsidRDefault="00F81B48" w:rsidP="00485F65">
      <w:pPr>
        <w:pStyle w:val="SWADisclaimerbodytext"/>
      </w:pPr>
      <w:r w:rsidRPr="00F81B48">
        <w:t>This publication may incorporate views or information from third parties, which do not necessarily reflect the views of Safe Work Australia. The inclusion of such material does not indicate an endorsement of that material or a commitment to any particular course of action. The views in this publication should not be taken to represent the views of Safe Work Australia unless otherwise expressly stated.</w:t>
      </w:r>
    </w:p>
    <w:p w14:paraId="34C15A6A" w14:textId="1F7971F9" w:rsidR="007F03B6" w:rsidRPr="001D7C48" w:rsidRDefault="007F03B6" w:rsidP="00485F65">
      <w:pPr>
        <w:pStyle w:val="SWADisclaimerbodytext"/>
      </w:pPr>
      <w:r w:rsidRPr="001D7C48">
        <w:t xml:space="preserve">ISBN </w:t>
      </w:r>
      <w:r w:rsidR="00FF52E9" w:rsidRPr="00FF52E9">
        <w:t>978-1-76051-305-4</w:t>
      </w:r>
      <w:r w:rsidRPr="001D7C48">
        <w:t xml:space="preserve"> (</w:t>
      </w:r>
      <w:r w:rsidR="001B14FA">
        <w:t>DOCX</w:t>
      </w:r>
      <w:r w:rsidRPr="001D7C48">
        <w:t>)</w:t>
      </w:r>
    </w:p>
    <w:p w14:paraId="34C15A6B" w14:textId="20E5457D" w:rsidR="007F03B6" w:rsidRPr="001D7C48" w:rsidRDefault="007F03B6" w:rsidP="00485F65">
      <w:pPr>
        <w:pStyle w:val="SWADisclaimerbodytext"/>
      </w:pPr>
      <w:r w:rsidRPr="001D7C48">
        <w:t xml:space="preserve">ISBN </w:t>
      </w:r>
      <w:r w:rsidR="00FF52E9" w:rsidRPr="00FF52E9">
        <w:t>978-1-76051-304-7</w:t>
      </w:r>
      <w:r w:rsidRPr="001D7C48">
        <w:t xml:space="preserve"> (</w:t>
      </w:r>
      <w:r w:rsidR="001B14FA">
        <w:t>PDF</w:t>
      </w:r>
      <w:r w:rsidRPr="001D7C48">
        <w:t>)</w:t>
      </w:r>
    </w:p>
    <w:p w14:paraId="34C15A6C" w14:textId="77777777" w:rsidR="007F03B6" w:rsidRPr="001D7C48" w:rsidRDefault="007F03B6" w:rsidP="00485F65">
      <w:pPr>
        <w:pStyle w:val="SWADisclaimerbodytext"/>
        <w:rPr>
          <w:vertAlign w:val="subscript"/>
        </w:rPr>
      </w:pPr>
      <w:r w:rsidRPr="001D7C48">
        <w:rPr>
          <w:noProof/>
        </w:rPr>
        <w:drawing>
          <wp:inline distT="0" distB="0" distL="0" distR="0" wp14:anchorId="34C15B0D" wp14:editId="34C15B0E">
            <wp:extent cx="1513205" cy="53594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3205" cy="535940"/>
                    </a:xfrm>
                    <a:prstGeom prst="rect">
                      <a:avLst/>
                    </a:prstGeom>
                    <a:noFill/>
                    <a:ln>
                      <a:noFill/>
                    </a:ln>
                  </pic:spPr>
                </pic:pic>
              </a:graphicData>
            </a:graphic>
          </wp:inline>
        </w:drawing>
      </w:r>
    </w:p>
    <w:p w14:paraId="34C15A6D" w14:textId="77777777" w:rsidR="007F03B6" w:rsidRPr="001D7C48" w:rsidRDefault="007F03B6" w:rsidP="00C066B8">
      <w:pPr>
        <w:pStyle w:val="SWADisclaimerheading"/>
      </w:pPr>
      <w:r w:rsidRPr="001D7C48">
        <w:t>Creative Commons</w:t>
      </w:r>
    </w:p>
    <w:p w14:paraId="34C15A6E" w14:textId="77777777" w:rsidR="007F03B6" w:rsidRPr="00485F65" w:rsidRDefault="007F03B6" w:rsidP="00485F65">
      <w:pPr>
        <w:pStyle w:val="SWADisclaimerbodytext"/>
      </w:pPr>
      <w:r w:rsidRPr="00485F65">
        <w:t xml:space="preserve">With the exception of the Safe Work Australia logo, this report is licensed by Safe Work Australia under a Creative Commons 3.0 Australia Licence. To view a copy of this licence, visit </w:t>
      </w:r>
    </w:p>
    <w:p w14:paraId="34C15A6F" w14:textId="3374E3FB" w:rsidR="007F03B6" w:rsidRPr="00485F65" w:rsidRDefault="005D6308" w:rsidP="00485F65">
      <w:pPr>
        <w:pStyle w:val="SWADisclaimerbodytext"/>
      </w:pPr>
      <w:hyperlink r:id="rId18" w:tooltip="Link to Creative Commons website" w:history="1">
        <w:r w:rsidR="007F03B6" w:rsidRPr="00485F65">
          <w:rPr>
            <w:rStyle w:val="Hyperlink"/>
            <w:rFonts w:eastAsiaTheme="majorEastAsia"/>
          </w:rPr>
          <w:t>http://creativecommons.org/licenses/by/3.0/au/deed.en</w:t>
        </w:r>
      </w:hyperlink>
    </w:p>
    <w:p w14:paraId="34C15A70" w14:textId="455B1325" w:rsidR="007F03B6" w:rsidRPr="00485F65" w:rsidRDefault="007F03B6" w:rsidP="00485F65">
      <w:pPr>
        <w:pStyle w:val="SWADisclaimerbodytext"/>
      </w:pPr>
      <w:r w:rsidRPr="00485F65">
        <w:t>In essence, you are free to copy, communicate and adapt the work, as long as you attribute the work to Safe Work Australia and abide by the other licensing terms. The report should be attributed as the</w:t>
      </w:r>
      <w:r w:rsidR="00112FD7">
        <w:t xml:space="preserve"> Return to work in psychological injury claims</w:t>
      </w:r>
      <w:r w:rsidRPr="00485F65">
        <w:t>.</w:t>
      </w:r>
    </w:p>
    <w:p w14:paraId="34C15A71" w14:textId="77777777" w:rsidR="007F03B6" w:rsidRPr="00485F65" w:rsidRDefault="007F03B6" w:rsidP="00485F65">
      <w:pPr>
        <w:pStyle w:val="SWADisclaimerbodytext"/>
      </w:pPr>
      <w:r w:rsidRPr="00485F65">
        <w:t>Enquiries regarding the licence and any use of the report are welcome at:</w:t>
      </w:r>
    </w:p>
    <w:p w14:paraId="34C15A72" w14:textId="77777777" w:rsidR="007F03B6" w:rsidRPr="00485F65" w:rsidRDefault="007F03B6" w:rsidP="00485F65">
      <w:pPr>
        <w:pStyle w:val="SWADisclaimerbodytext"/>
      </w:pPr>
      <w:r w:rsidRPr="00485F65">
        <w:t>Copyright Officer</w:t>
      </w:r>
      <w:r w:rsidRPr="00485F65">
        <w:br/>
        <w:t xml:space="preserve">Safe Work Australia </w:t>
      </w:r>
      <w:r w:rsidRPr="00485F65">
        <w:br/>
        <w:t>GPO Box 641 Canberra ACT 2601</w:t>
      </w:r>
    </w:p>
    <w:p w14:paraId="34C15A73" w14:textId="37A178D4" w:rsidR="007F03B6" w:rsidRPr="00485F65" w:rsidRDefault="007F03B6" w:rsidP="00485F65">
      <w:pPr>
        <w:pStyle w:val="SWADisclaimerbodytext"/>
      </w:pPr>
      <w:r w:rsidRPr="00485F65">
        <w:t xml:space="preserve">Email: </w:t>
      </w:r>
      <w:hyperlink r:id="rId19" w:history="1">
        <w:r w:rsidR="008C6C6A" w:rsidRPr="00757682">
          <w:rPr>
            <w:rStyle w:val="Hyperlink"/>
            <w:rFonts w:eastAsiaTheme="majorEastAsia"/>
          </w:rPr>
          <w:t>info@swa.gov.au</w:t>
        </w:r>
      </w:hyperlink>
    </w:p>
    <w:p w14:paraId="34C15A74" w14:textId="77777777" w:rsidR="007F03B6" w:rsidRPr="001D7C48" w:rsidRDefault="007F03B6" w:rsidP="00C066B8">
      <w:pPr>
        <w:pStyle w:val="SWADisclaimerheading"/>
      </w:pPr>
      <w:r w:rsidRPr="001D7C48">
        <w:t>Important Notice</w:t>
      </w:r>
    </w:p>
    <w:p w14:paraId="34C15A75" w14:textId="77777777" w:rsidR="00D60313" w:rsidRDefault="007F03B6" w:rsidP="00485F65">
      <w:pPr>
        <w:pStyle w:val="SWADisclaimerbodytext"/>
      </w:pPr>
      <w:r w:rsidRPr="001D7C48">
        <w:t>Safe Work Australia provides the information given in this document to improve public access to information about work health and safety information generally. The vision of Safe Work Australia is Australian workplaces free from injury and disease. Its mission is to lead and coordinate national efforts to prevent workplace death, injury and disease in Australia.</w:t>
      </w:r>
    </w:p>
    <w:p w14:paraId="5744BF7D" w14:textId="77777777" w:rsidR="008505F4" w:rsidRDefault="008505F4" w:rsidP="00485F65">
      <w:pPr>
        <w:pStyle w:val="SWADisclaimerbodytext"/>
      </w:pPr>
    </w:p>
    <w:p w14:paraId="03730A50" w14:textId="77777777" w:rsidR="008505F4" w:rsidRPr="00D60313" w:rsidRDefault="008505F4" w:rsidP="00485F65">
      <w:pPr>
        <w:pStyle w:val="SWADisclaimerbodytext"/>
        <w:sectPr w:rsidR="008505F4" w:rsidRPr="00D60313" w:rsidSect="001D7C48">
          <w:footerReference w:type="default" r:id="rId20"/>
          <w:headerReference w:type="first" r:id="rId21"/>
          <w:pgSz w:w="11906" w:h="16838" w:code="9"/>
          <w:pgMar w:top="992" w:right="1797" w:bottom="1440" w:left="1276" w:header="709" w:footer="709" w:gutter="0"/>
          <w:cols w:space="242"/>
          <w:vAlign w:val="bottom"/>
          <w:titlePg/>
          <w:docGrid w:linePitch="360"/>
        </w:sectPr>
      </w:pPr>
    </w:p>
    <w:sdt>
      <w:sdtPr>
        <w:rPr>
          <w:rFonts w:eastAsia="Times New Roman" w:cs="Times New Roman"/>
          <w:b w:val="0"/>
          <w:bCs w:val="0"/>
          <w:color w:val="auto"/>
          <w:sz w:val="20"/>
          <w:szCs w:val="24"/>
          <w:lang w:val="en-AU" w:eastAsia="en-AU"/>
        </w:rPr>
        <w:id w:val="-2034717502"/>
        <w:docPartObj>
          <w:docPartGallery w:val="Table of Contents"/>
          <w:docPartUnique/>
        </w:docPartObj>
      </w:sdtPr>
      <w:sdtEndPr>
        <w:rPr>
          <w:noProof/>
        </w:rPr>
      </w:sdtEndPr>
      <w:sdtContent>
        <w:p w14:paraId="34C15A76" w14:textId="77777777" w:rsidR="00D60313" w:rsidRPr="008530EB" w:rsidRDefault="00D60313" w:rsidP="005275C5">
          <w:pPr>
            <w:pStyle w:val="TOCHeading"/>
          </w:pPr>
          <w:r w:rsidRPr="008530EB">
            <w:t>Contents</w:t>
          </w:r>
        </w:p>
        <w:p w14:paraId="1D4BED17" w14:textId="77777777" w:rsidR="001C72F3" w:rsidRDefault="00D60313">
          <w:pPr>
            <w:pStyle w:val="TOC1"/>
            <w:rPr>
              <w:rFonts w:asciiTheme="minorHAnsi" w:eastAsiaTheme="minorEastAsia" w:hAnsiTheme="minorHAnsi" w:cstheme="minorBidi"/>
              <w:noProof/>
              <w:sz w:val="22"/>
              <w:szCs w:val="22"/>
            </w:rPr>
          </w:pPr>
          <w:r>
            <w:fldChar w:fldCharType="begin"/>
          </w:r>
          <w:r>
            <w:instrText xml:space="preserve"> TOC \o "1-</w:instrText>
          </w:r>
          <w:r w:rsidR="000B33C0">
            <w:instrText>2</w:instrText>
          </w:r>
          <w:r>
            <w:instrText xml:space="preserve">" \h \z \u </w:instrText>
          </w:r>
          <w:r>
            <w:fldChar w:fldCharType="separate"/>
          </w:r>
          <w:hyperlink w:anchor="_Toc497141011" w:history="1">
            <w:r w:rsidR="001C72F3" w:rsidRPr="00034E9B">
              <w:rPr>
                <w:rStyle w:val="Hyperlink"/>
                <w:noProof/>
              </w:rPr>
              <w:t>Return to work after psychological claims</w:t>
            </w:r>
            <w:r w:rsidR="001C72F3">
              <w:rPr>
                <w:noProof/>
                <w:webHidden/>
              </w:rPr>
              <w:tab/>
            </w:r>
            <w:r w:rsidR="001C72F3">
              <w:rPr>
                <w:noProof/>
                <w:webHidden/>
              </w:rPr>
              <w:fldChar w:fldCharType="begin"/>
            </w:r>
            <w:r w:rsidR="001C72F3">
              <w:rPr>
                <w:noProof/>
                <w:webHidden/>
              </w:rPr>
              <w:instrText xml:space="preserve"> PAGEREF _Toc497141011 \h </w:instrText>
            </w:r>
            <w:r w:rsidR="001C72F3">
              <w:rPr>
                <w:noProof/>
                <w:webHidden/>
              </w:rPr>
            </w:r>
            <w:r w:rsidR="001C72F3">
              <w:rPr>
                <w:noProof/>
                <w:webHidden/>
              </w:rPr>
              <w:fldChar w:fldCharType="separate"/>
            </w:r>
            <w:r w:rsidR="005D6308">
              <w:rPr>
                <w:noProof/>
                <w:webHidden/>
              </w:rPr>
              <w:t>6</w:t>
            </w:r>
            <w:r w:rsidR="001C72F3">
              <w:rPr>
                <w:noProof/>
                <w:webHidden/>
              </w:rPr>
              <w:fldChar w:fldCharType="end"/>
            </w:r>
          </w:hyperlink>
        </w:p>
        <w:p w14:paraId="04D34128" w14:textId="77777777" w:rsidR="001C72F3" w:rsidRDefault="005D6308">
          <w:pPr>
            <w:pStyle w:val="TOC1"/>
            <w:tabs>
              <w:tab w:val="left" w:pos="400"/>
            </w:tabs>
            <w:rPr>
              <w:rFonts w:asciiTheme="minorHAnsi" w:eastAsiaTheme="minorEastAsia" w:hAnsiTheme="minorHAnsi" w:cstheme="minorBidi"/>
              <w:noProof/>
              <w:sz w:val="22"/>
              <w:szCs w:val="22"/>
            </w:rPr>
          </w:pPr>
          <w:hyperlink w:anchor="_Toc497141012" w:history="1">
            <w:r w:rsidR="001C72F3" w:rsidRPr="00034E9B">
              <w:rPr>
                <w:rStyle w:val="Hyperlink"/>
                <w:noProof/>
              </w:rPr>
              <w:t>1.</w:t>
            </w:r>
            <w:r w:rsidR="001C72F3">
              <w:rPr>
                <w:rFonts w:asciiTheme="minorHAnsi" w:eastAsiaTheme="minorEastAsia" w:hAnsiTheme="minorHAnsi" w:cstheme="minorBidi"/>
                <w:noProof/>
                <w:sz w:val="22"/>
                <w:szCs w:val="22"/>
              </w:rPr>
              <w:tab/>
            </w:r>
            <w:r w:rsidR="001C72F3" w:rsidRPr="00034E9B">
              <w:rPr>
                <w:rStyle w:val="Hyperlink"/>
                <w:noProof/>
              </w:rPr>
              <w:t>Introduction</w:t>
            </w:r>
            <w:r w:rsidR="001C72F3">
              <w:rPr>
                <w:noProof/>
                <w:webHidden/>
              </w:rPr>
              <w:tab/>
            </w:r>
            <w:r w:rsidR="001C72F3">
              <w:rPr>
                <w:noProof/>
                <w:webHidden/>
              </w:rPr>
              <w:fldChar w:fldCharType="begin"/>
            </w:r>
            <w:r w:rsidR="001C72F3">
              <w:rPr>
                <w:noProof/>
                <w:webHidden/>
              </w:rPr>
              <w:instrText xml:space="preserve"> PAGEREF _Toc497141012 \h </w:instrText>
            </w:r>
            <w:r w:rsidR="001C72F3">
              <w:rPr>
                <w:noProof/>
                <w:webHidden/>
              </w:rPr>
            </w:r>
            <w:r w:rsidR="001C72F3">
              <w:rPr>
                <w:noProof/>
                <w:webHidden/>
              </w:rPr>
              <w:fldChar w:fldCharType="separate"/>
            </w:r>
            <w:r>
              <w:rPr>
                <w:noProof/>
                <w:webHidden/>
              </w:rPr>
              <w:t>6</w:t>
            </w:r>
            <w:r w:rsidR="001C72F3">
              <w:rPr>
                <w:noProof/>
                <w:webHidden/>
              </w:rPr>
              <w:fldChar w:fldCharType="end"/>
            </w:r>
          </w:hyperlink>
        </w:p>
        <w:p w14:paraId="37775F0B" w14:textId="77777777" w:rsidR="001C72F3" w:rsidRDefault="005D6308">
          <w:pPr>
            <w:pStyle w:val="TOC2"/>
            <w:tabs>
              <w:tab w:val="left" w:pos="880"/>
              <w:tab w:val="right" w:leader="dot" w:pos="8820"/>
            </w:tabs>
            <w:rPr>
              <w:rFonts w:asciiTheme="minorHAnsi" w:eastAsiaTheme="minorEastAsia" w:hAnsiTheme="minorHAnsi" w:cstheme="minorBidi"/>
              <w:noProof/>
              <w:sz w:val="22"/>
              <w:szCs w:val="22"/>
            </w:rPr>
          </w:pPr>
          <w:hyperlink w:anchor="_Toc497141013" w:history="1">
            <w:r w:rsidR="001C72F3" w:rsidRPr="00034E9B">
              <w:rPr>
                <w:rStyle w:val="Hyperlink"/>
                <w:noProof/>
              </w:rPr>
              <w:t>1.1.</w:t>
            </w:r>
            <w:r w:rsidR="001C72F3">
              <w:rPr>
                <w:rFonts w:asciiTheme="minorHAnsi" w:eastAsiaTheme="minorEastAsia" w:hAnsiTheme="minorHAnsi" w:cstheme="minorBidi"/>
                <w:noProof/>
                <w:sz w:val="22"/>
                <w:szCs w:val="22"/>
              </w:rPr>
              <w:tab/>
            </w:r>
            <w:r w:rsidR="001C72F3" w:rsidRPr="00034E9B">
              <w:rPr>
                <w:rStyle w:val="Hyperlink"/>
                <w:noProof/>
              </w:rPr>
              <w:t>Presentation of results</w:t>
            </w:r>
            <w:r w:rsidR="001C72F3">
              <w:rPr>
                <w:noProof/>
                <w:webHidden/>
              </w:rPr>
              <w:tab/>
            </w:r>
            <w:r w:rsidR="001C72F3">
              <w:rPr>
                <w:noProof/>
                <w:webHidden/>
              </w:rPr>
              <w:fldChar w:fldCharType="begin"/>
            </w:r>
            <w:r w:rsidR="001C72F3">
              <w:rPr>
                <w:noProof/>
                <w:webHidden/>
              </w:rPr>
              <w:instrText xml:space="preserve"> PAGEREF _Toc497141013 \h </w:instrText>
            </w:r>
            <w:r w:rsidR="001C72F3">
              <w:rPr>
                <w:noProof/>
                <w:webHidden/>
              </w:rPr>
            </w:r>
            <w:r w:rsidR="001C72F3">
              <w:rPr>
                <w:noProof/>
                <w:webHidden/>
              </w:rPr>
              <w:fldChar w:fldCharType="separate"/>
            </w:r>
            <w:r>
              <w:rPr>
                <w:noProof/>
                <w:webHidden/>
              </w:rPr>
              <w:t>6</w:t>
            </w:r>
            <w:r w:rsidR="001C72F3">
              <w:rPr>
                <w:noProof/>
                <w:webHidden/>
              </w:rPr>
              <w:fldChar w:fldCharType="end"/>
            </w:r>
          </w:hyperlink>
        </w:p>
        <w:p w14:paraId="7985F5B8" w14:textId="77777777" w:rsidR="001C72F3" w:rsidRDefault="005D6308">
          <w:pPr>
            <w:pStyle w:val="TOC2"/>
            <w:tabs>
              <w:tab w:val="left" w:pos="880"/>
              <w:tab w:val="right" w:leader="dot" w:pos="8820"/>
            </w:tabs>
            <w:rPr>
              <w:rFonts w:asciiTheme="minorHAnsi" w:eastAsiaTheme="minorEastAsia" w:hAnsiTheme="minorHAnsi" w:cstheme="minorBidi"/>
              <w:noProof/>
              <w:sz w:val="22"/>
              <w:szCs w:val="22"/>
            </w:rPr>
          </w:pPr>
          <w:hyperlink w:anchor="_Toc497141014" w:history="1">
            <w:r w:rsidR="001C72F3" w:rsidRPr="00034E9B">
              <w:rPr>
                <w:rStyle w:val="Hyperlink"/>
                <w:noProof/>
              </w:rPr>
              <w:t>1.2.</w:t>
            </w:r>
            <w:r w:rsidR="001C72F3">
              <w:rPr>
                <w:rFonts w:asciiTheme="minorHAnsi" w:eastAsiaTheme="minorEastAsia" w:hAnsiTheme="minorHAnsi" w:cstheme="minorBidi"/>
                <w:noProof/>
                <w:sz w:val="22"/>
                <w:szCs w:val="22"/>
              </w:rPr>
              <w:tab/>
            </w:r>
            <w:r w:rsidR="001C72F3" w:rsidRPr="00034E9B">
              <w:rPr>
                <w:rStyle w:val="Hyperlink"/>
                <w:noProof/>
              </w:rPr>
              <w:t>Information analysed for this project</w:t>
            </w:r>
            <w:r w:rsidR="001C72F3">
              <w:rPr>
                <w:noProof/>
                <w:webHidden/>
              </w:rPr>
              <w:tab/>
            </w:r>
            <w:r w:rsidR="001C72F3">
              <w:rPr>
                <w:noProof/>
                <w:webHidden/>
              </w:rPr>
              <w:fldChar w:fldCharType="begin"/>
            </w:r>
            <w:r w:rsidR="001C72F3">
              <w:rPr>
                <w:noProof/>
                <w:webHidden/>
              </w:rPr>
              <w:instrText xml:space="preserve"> PAGEREF _Toc497141014 \h </w:instrText>
            </w:r>
            <w:r w:rsidR="001C72F3">
              <w:rPr>
                <w:noProof/>
                <w:webHidden/>
              </w:rPr>
            </w:r>
            <w:r w:rsidR="001C72F3">
              <w:rPr>
                <w:noProof/>
                <w:webHidden/>
              </w:rPr>
              <w:fldChar w:fldCharType="separate"/>
            </w:r>
            <w:r>
              <w:rPr>
                <w:noProof/>
                <w:webHidden/>
              </w:rPr>
              <w:t>6</w:t>
            </w:r>
            <w:r w:rsidR="001C72F3">
              <w:rPr>
                <w:noProof/>
                <w:webHidden/>
              </w:rPr>
              <w:fldChar w:fldCharType="end"/>
            </w:r>
          </w:hyperlink>
        </w:p>
        <w:p w14:paraId="2330940C" w14:textId="77777777" w:rsidR="001C72F3" w:rsidRDefault="005D6308">
          <w:pPr>
            <w:pStyle w:val="TOC2"/>
            <w:tabs>
              <w:tab w:val="left" w:pos="880"/>
              <w:tab w:val="right" w:leader="dot" w:pos="8820"/>
            </w:tabs>
            <w:rPr>
              <w:rFonts w:asciiTheme="minorHAnsi" w:eastAsiaTheme="minorEastAsia" w:hAnsiTheme="minorHAnsi" w:cstheme="minorBidi"/>
              <w:noProof/>
              <w:sz w:val="22"/>
              <w:szCs w:val="22"/>
            </w:rPr>
          </w:pPr>
          <w:hyperlink w:anchor="_Toc497141015" w:history="1">
            <w:r w:rsidR="001C72F3" w:rsidRPr="00034E9B">
              <w:rPr>
                <w:rStyle w:val="Hyperlink"/>
                <w:noProof/>
              </w:rPr>
              <w:t>1.3.</w:t>
            </w:r>
            <w:r w:rsidR="001C72F3">
              <w:rPr>
                <w:rFonts w:asciiTheme="minorHAnsi" w:eastAsiaTheme="minorEastAsia" w:hAnsiTheme="minorHAnsi" w:cstheme="minorBidi"/>
                <w:noProof/>
                <w:sz w:val="22"/>
                <w:szCs w:val="22"/>
              </w:rPr>
              <w:tab/>
            </w:r>
            <w:r w:rsidR="001C72F3" w:rsidRPr="00034E9B">
              <w:rPr>
                <w:rStyle w:val="Hyperlink"/>
                <w:noProof/>
              </w:rPr>
              <w:t>Strengths and limitations of the RTW Survey data</w:t>
            </w:r>
            <w:r w:rsidR="001C72F3">
              <w:rPr>
                <w:noProof/>
                <w:webHidden/>
              </w:rPr>
              <w:tab/>
            </w:r>
            <w:r w:rsidR="001C72F3">
              <w:rPr>
                <w:noProof/>
                <w:webHidden/>
              </w:rPr>
              <w:fldChar w:fldCharType="begin"/>
            </w:r>
            <w:r w:rsidR="001C72F3">
              <w:rPr>
                <w:noProof/>
                <w:webHidden/>
              </w:rPr>
              <w:instrText xml:space="preserve"> PAGEREF _Toc497141015 \h </w:instrText>
            </w:r>
            <w:r w:rsidR="001C72F3">
              <w:rPr>
                <w:noProof/>
                <w:webHidden/>
              </w:rPr>
            </w:r>
            <w:r w:rsidR="001C72F3">
              <w:rPr>
                <w:noProof/>
                <w:webHidden/>
              </w:rPr>
              <w:fldChar w:fldCharType="separate"/>
            </w:r>
            <w:r>
              <w:rPr>
                <w:noProof/>
                <w:webHidden/>
              </w:rPr>
              <w:t>7</w:t>
            </w:r>
            <w:r w:rsidR="001C72F3">
              <w:rPr>
                <w:noProof/>
                <w:webHidden/>
              </w:rPr>
              <w:fldChar w:fldCharType="end"/>
            </w:r>
          </w:hyperlink>
        </w:p>
        <w:p w14:paraId="19AC621C" w14:textId="77777777" w:rsidR="001C72F3" w:rsidRDefault="005D6308">
          <w:pPr>
            <w:pStyle w:val="TOC2"/>
            <w:tabs>
              <w:tab w:val="left" w:pos="880"/>
              <w:tab w:val="right" w:leader="dot" w:pos="8820"/>
            </w:tabs>
            <w:rPr>
              <w:rFonts w:asciiTheme="minorHAnsi" w:eastAsiaTheme="minorEastAsia" w:hAnsiTheme="minorHAnsi" w:cstheme="minorBidi"/>
              <w:noProof/>
              <w:sz w:val="22"/>
              <w:szCs w:val="22"/>
            </w:rPr>
          </w:pPr>
          <w:hyperlink w:anchor="_Toc497141016" w:history="1">
            <w:r w:rsidR="001C72F3" w:rsidRPr="00034E9B">
              <w:rPr>
                <w:rStyle w:val="Hyperlink"/>
                <w:noProof/>
              </w:rPr>
              <w:t>1.4.</w:t>
            </w:r>
            <w:r w:rsidR="001C72F3">
              <w:rPr>
                <w:rFonts w:asciiTheme="minorHAnsi" w:eastAsiaTheme="minorEastAsia" w:hAnsiTheme="minorHAnsi" w:cstheme="minorBidi"/>
                <w:noProof/>
                <w:sz w:val="22"/>
                <w:szCs w:val="22"/>
              </w:rPr>
              <w:tab/>
            </w:r>
            <w:r w:rsidR="001C72F3" w:rsidRPr="00034E9B">
              <w:rPr>
                <w:rStyle w:val="Hyperlink"/>
                <w:noProof/>
              </w:rPr>
              <w:t>How to interpret the results shown in this report</w:t>
            </w:r>
            <w:r w:rsidR="001C72F3">
              <w:rPr>
                <w:noProof/>
                <w:webHidden/>
              </w:rPr>
              <w:tab/>
            </w:r>
            <w:r w:rsidR="001C72F3">
              <w:rPr>
                <w:noProof/>
                <w:webHidden/>
              </w:rPr>
              <w:fldChar w:fldCharType="begin"/>
            </w:r>
            <w:r w:rsidR="001C72F3">
              <w:rPr>
                <w:noProof/>
                <w:webHidden/>
              </w:rPr>
              <w:instrText xml:space="preserve"> PAGEREF _Toc497141016 \h </w:instrText>
            </w:r>
            <w:r w:rsidR="001C72F3">
              <w:rPr>
                <w:noProof/>
                <w:webHidden/>
              </w:rPr>
            </w:r>
            <w:r w:rsidR="001C72F3">
              <w:rPr>
                <w:noProof/>
                <w:webHidden/>
              </w:rPr>
              <w:fldChar w:fldCharType="separate"/>
            </w:r>
            <w:r>
              <w:rPr>
                <w:noProof/>
                <w:webHidden/>
              </w:rPr>
              <w:t>8</w:t>
            </w:r>
            <w:r w:rsidR="001C72F3">
              <w:rPr>
                <w:noProof/>
                <w:webHidden/>
              </w:rPr>
              <w:fldChar w:fldCharType="end"/>
            </w:r>
          </w:hyperlink>
        </w:p>
        <w:p w14:paraId="053C862C" w14:textId="77777777" w:rsidR="001C72F3" w:rsidRDefault="005D6308">
          <w:pPr>
            <w:pStyle w:val="TOC1"/>
            <w:tabs>
              <w:tab w:val="left" w:pos="400"/>
            </w:tabs>
            <w:rPr>
              <w:rFonts w:asciiTheme="minorHAnsi" w:eastAsiaTheme="minorEastAsia" w:hAnsiTheme="minorHAnsi" w:cstheme="minorBidi"/>
              <w:noProof/>
              <w:sz w:val="22"/>
              <w:szCs w:val="22"/>
            </w:rPr>
          </w:pPr>
          <w:hyperlink w:anchor="_Toc497141017" w:history="1">
            <w:r w:rsidR="001C72F3" w:rsidRPr="00034E9B">
              <w:rPr>
                <w:rStyle w:val="Hyperlink"/>
                <w:noProof/>
              </w:rPr>
              <w:t>2.</w:t>
            </w:r>
            <w:r w:rsidR="001C72F3">
              <w:rPr>
                <w:rFonts w:asciiTheme="minorHAnsi" w:eastAsiaTheme="minorEastAsia" w:hAnsiTheme="minorHAnsi" w:cstheme="minorBidi"/>
                <w:noProof/>
                <w:sz w:val="22"/>
                <w:szCs w:val="22"/>
              </w:rPr>
              <w:tab/>
            </w:r>
            <w:r w:rsidR="001C72F3" w:rsidRPr="00034E9B">
              <w:rPr>
                <w:rStyle w:val="Hyperlink"/>
                <w:noProof/>
              </w:rPr>
              <w:t>Summary of results</w:t>
            </w:r>
            <w:r w:rsidR="001C72F3">
              <w:rPr>
                <w:noProof/>
                <w:webHidden/>
              </w:rPr>
              <w:tab/>
            </w:r>
            <w:r w:rsidR="001C72F3">
              <w:rPr>
                <w:noProof/>
                <w:webHidden/>
              </w:rPr>
              <w:fldChar w:fldCharType="begin"/>
            </w:r>
            <w:r w:rsidR="001C72F3">
              <w:rPr>
                <w:noProof/>
                <w:webHidden/>
              </w:rPr>
              <w:instrText xml:space="preserve"> PAGEREF _Toc497141017 \h </w:instrText>
            </w:r>
            <w:r w:rsidR="001C72F3">
              <w:rPr>
                <w:noProof/>
                <w:webHidden/>
              </w:rPr>
            </w:r>
            <w:r w:rsidR="001C72F3">
              <w:rPr>
                <w:noProof/>
                <w:webHidden/>
              </w:rPr>
              <w:fldChar w:fldCharType="separate"/>
            </w:r>
            <w:r>
              <w:rPr>
                <w:noProof/>
                <w:webHidden/>
              </w:rPr>
              <w:t>10</w:t>
            </w:r>
            <w:r w:rsidR="001C72F3">
              <w:rPr>
                <w:noProof/>
                <w:webHidden/>
              </w:rPr>
              <w:fldChar w:fldCharType="end"/>
            </w:r>
          </w:hyperlink>
        </w:p>
        <w:p w14:paraId="7DF3E9B9" w14:textId="77777777" w:rsidR="001C72F3" w:rsidRDefault="005D6308">
          <w:pPr>
            <w:pStyle w:val="TOC1"/>
            <w:tabs>
              <w:tab w:val="left" w:pos="400"/>
            </w:tabs>
            <w:rPr>
              <w:rFonts w:asciiTheme="minorHAnsi" w:eastAsiaTheme="minorEastAsia" w:hAnsiTheme="minorHAnsi" w:cstheme="minorBidi"/>
              <w:noProof/>
              <w:sz w:val="22"/>
              <w:szCs w:val="22"/>
            </w:rPr>
          </w:pPr>
          <w:hyperlink w:anchor="_Toc497141018" w:history="1">
            <w:r w:rsidR="001C72F3" w:rsidRPr="00034E9B">
              <w:rPr>
                <w:rStyle w:val="Hyperlink"/>
                <w:noProof/>
              </w:rPr>
              <w:t>3.</w:t>
            </w:r>
            <w:r w:rsidR="001C72F3">
              <w:rPr>
                <w:rFonts w:asciiTheme="minorHAnsi" w:eastAsiaTheme="minorEastAsia" w:hAnsiTheme="minorHAnsi" w:cstheme="minorBidi"/>
                <w:noProof/>
                <w:sz w:val="22"/>
                <w:szCs w:val="22"/>
              </w:rPr>
              <w:tab/>
            </w:r>
            <w:r w:rsidR="001C72F3" w:rsidRPr="00034E9B">
              <w:rPr>
                <w:rStyle w:val="Hyperlink"/>
                <w:noProof/>
              </w:rPr>
              <w:t>Results</w:t>
            </w:r>
            <w:r w:rsidR="001C72F3">
              <w:rPr>
                <w:noProof/>
                <w:webHidden/>
              </w:rPr>
              <w:tab/>
            </w:r>
            <w:r w:rsidR="001C72F3">
              <w:rPr>
                <w:noProof/>
                <w:webHidden/>
              </w:rPr>
              <w:fldChar w:fldCharType="begin"/>
            </w:r>
            <w:r w:rsidR="001C72F3">
              <w:rPr>
                <w:noProof/>
                <w:webHidden/>
              </w:rPr>
              <w:instrText xml:space="preserve"> PAGEREF _Toc497141018 \h </w:instrText>
            </w:r>
            <w:r w:rsidR="001C72F3">
              <w:rPr>
                <w:noProof/>
                <w:webHidden/>
              </w:rPr>
            </w:r>
            <w:r w:rsidR="001C72F3">
              <w:rPr>
                <w:noProof/>
                <w:webHidden/>
              </w:rPr>
              <w:fldChar w:fldCharType="separate"/>
            </w:r>
            <w:r>
              <w:rPr>
                <w:noProof/>
                <w:webHidden/>
              </w:rPr>
              <w:t>13</w:t>
            </w:r>
            <w:r w:rsidR="001C72F3">
              <w:rPr>
                <w:noProof/>
                <w:webHidden/>
              </w:rPr>
              <w:fldChar w:fldCharType="end"/>
            </w:r>
          </w:hyperlink>
        </w:p>
        <w:p w14:paraId="115A50B3" w14:textId="77777777" w:rsidR="001C72F3" w:rsidRDefault="005D6308">
          <w:pPr>
            <w:pStyle w:val="TOC2"/>
            <w:tabs>
              <w:tab w:val="left" w:pos="880"/>
              <w:tab w:val="right" w:leader="dot" w:pos="8820"/>
            </w:tabs>
            <w:rPr>
              <w:rFonts w:asciiTheme="minorHAnsi" w:eastAsiaTheme="minorEastAsia" w:hAnsiTheme="minorHAnsi" w:cstheme="minorBidi"/>
              <w:noProof/>
              <w:sz w:val="22"/>
              <w:szCs w:val="22"/>
            </w:rPr>
          </w:pPr>
          <w:hyperlink w:anchor="_Toc497141019" w:history="1">
            <w:r w:rsidR="001C72F3" w:rsidRPr="00034E9B">
              <w:rPr>
                <w:rStyle w:val="Hyperlink"/>
                <w:noProof/>
              </w:rPr>
              <w:t>3.1.</w:t>
            </w:r>
            <w:r w:rsidR="001C72F3">
              <w:rPr>
                <w:rFonts w:asciiTheme="minorHAnsi" w:eastAsiaTheme="minorEastAsia" w:hAnsiTheme="minorHAnsi" w:cstheme="minorBidi"/>
                <w:noProof/>
                <w:sz w:val="22"/>
                <w:szCs w:val="22"/>
              </w:rPr>
              <w:tab/>
            </w:r>
            <w:r w:rsidR="001C72F3" w:rsidRPr="00034E9B">
              <w:rPr>
                <w:rStyle w:val="Hyperlink"/>
                <w:noProof/>
              </w:rPr>
              <w:t>Employer response to injury</w:t>
            </w:r>
            <w:r w:rsidR="001C72F3">
              <w:rPr>
                <w:noProof/>
                <w:webHidden/>
              </w:rPr>
              <w:tab/>
            </w:r>
            <w:r w:rsidR="001C72F3">
              <w:rPr>
                <w:noProof/>
                <w:webHidden/>
              </w:rPr>
              <w:fldChar w:fldCharType="begin"/>
            </w:r>
            <w:r w:rsidR="001C72F3">
              <w:rPr>
                <w:noProof/>
                <w:webHidden/>
              </w:rPr>
              <w:instrText xml:space="preserve"> PAGEREF _Toc497141019 \h </w:instrText>
            </w:r>
            <w:r w:rsidR="001C72F3">
              <w:rPr>
                <w:noProof/>
                <w:webHidden/>
              </w:rPr>
            </w:r>
            <w:r w:rsidR="001C72F3">
              <w:rPr>
                <w:noProof/>
                <w:webHidden/>
              </w:rPr>
              <w:fldChar w:fldCharType="separate"/>
            </w:r>
            <w:r>
              <w:rPr>
                <w:noProof/>
                <w:webHidden/>
              </w:rPr>
              <w:t>13</w:t>
            </w:r>
            <w:r w:rsidR="001C72F3">
              <w:rPr>
                <w:noProof/>
                <w:webHidden/>
              </w:rPr>
              <w:fldChar w:fldCharType="end"/>
            </w:r>
          </w:hyperlink>
        </w:p>
        <w:p w14:paraId="50D6AB7B" w14:textId="77777777" w:rsidR="001C72F3" w:rsidRDefault="005D6308">
          <w:pPr>
            <w:pStyle w:val="TOC2"/>
            <w:tabs>
              <w:tab w:val="left" w:pos="880"/>
              <w:tab w:val="right" w:leader="dot" w:pos="8820"/>
            </w:tabs>
            <w:rPr>
              <w:rFonts w:asciiTheme="minorHAnsi" w:eastAsiaTheme="minorEastAsia" w:hAnsiTheme="minorHAnsi" w:cstheme="minorBidi"/>
              <w:noProof/>
              <w:sz w:val="22"/>
              <w:szCs w:val="22"/>
            </w:rPr>
          </w:pPr>
          <w:hyperlink w:anchor="_Toc497141020" w:history="1">
            <w:r w:rsidR="001C72F3" w:rsidRPr="00034E9B">
              <w:rPr>
                <w:rStyle w:val="Hyperlink"/>
                <w:noProof/>
              </w:rPr>
              <w:t>3.2.</w:t>
            </w:r>
            <w:r w:rsidR="001C72F3">
              <w:rPr>
                <w:rFonts w:asciiTheme="minorHAnsi" w:eastAsiaTheme="minorEastAsia" w:hAnsiTheme="minorHAnsi" w:cstheme="minorBidi"/>
                <w:noProof/>
                <w:sz w:val="22"/>
                <w:szCs w:val="22"/>
              </w:rPr>
              <w:tab/>
            </w:r>
            <w:r w:rsidR="001C72F3" w:rsidRPr="00034E9B">
              <w:rPr>
                <w:rStyle w:val="Hyperlink"/>
                <w:noProof/>
              </w:rPr>
              <w:t>Early intervention</w:t>
            </w:r>
            <w:r w:rsidR="001C72F3">
              <w:rPr>
                <w:noProof/>
                <w:webHidden/>
              </w:rPr>
              <w:tab/>
            </w:r>
            <w:r w:rsidR="001C72F3">
              <w:rPr>
                <w:noProof/>
                <w:webHidden/>
              </w:rPr>
              <w:fldChar w:fldCharType="begin"/>
            </w:r>
            <w:r w:rsidR="001C72F3">
              <w:rPr>
                <w:noProof/>
                <w:webHidden/>
              </w:rPr>
              <w:instrText xml:space="preserve"> PAGEREF _Toc497141020 \h </w:instrText>
            </w:r>
            <w:r w:rsidR="001C72F3">
              <w:rPr>
                <w:noProof/>
                <w:webHidden/>
              </w:rPr>
            </w:r>
            <w:r w:rsidR="001C72F3">
              <w:rPr>
                <w:noProof/>
                <w:webHidden/>
              </w:rPr>
              <w:fldChar w:fldCharType="separate"/>
            </w:r>
            <w:r>
              <w:rPr>
                <w:noProof/>
                <w:webHidden/>
              </w:rPr>
              <w:t>15</w:t>
            </w:r>
            <w:r w:rsidR="001C72F3">
              <w:rPr>
                <w:noProof/>
                <w:webHidden/>
              </w:rPr>
              <w:fldChar w:fldCharType="end"/>
            </w:r>
          </w:hyperlink>
        </w:p>
        <w:p w14:paraId="567D8053" w14:textId="77777777" w:rsidR="001C72F3" w:rsidRDefault="005D6308">
          <w:pPr>
            <w:pStyle w:val="TOC2"/>
            <w:tabs>
              <w:tab w:val="left" w:pos="880"/>
              <w:tab w:val="right" w:leader="dot" w:pos="8820"/>
            </w:tabs>
            <w:rPr>
              <w:rFonts w:asciiTheme="minorHAnsi" w:eastAsiaTheme="minorEastAsia" w:hAnsiTheme="minorHAnsi" w:cstheme="minorBidi"/>
              <w:noProof/>
              <w:sz w:val="22"/>
              <w:szCs w:val="22"/>
            </w:rPr>
          </w:pPr>
          <w:hyperlink w:anchor="_Toc497141021" w:history="1">
            <w:r w:rsidR="001C72F3" w:rsidRPr="00034E9B">
              <w:rPr>
                <w:rStyle w:val="Hyperlink"/>
                <w:noProof/>
              </w:rPr>
              <w:t>3.3.</w:t>
            </w:r>
            <w:r w:rsidR="001C72F3">
              <w:rPr>
                <w:rFonts w:asciiTheme="minorHAnsi" w:eastAsiaTheme="minorEastAsia" w:hAnsiTheme="minorHAnsi" w:cstheme="minorBidi"/>
                <w:noProof/>
                <w:sz w:val="22"/>
                <w:szCs w:val="22"/>
              </w:rPr>
              <w:tab/>
            </w:r>
            <w:r w:rsidR="001C72F3" w:rsidRPr="00034E9B">
              <w:rPr>
                <w:rStyle w:val="Hyperlink"/>
                <w:noProof/>
              </w:rPr>
              <w:t>Concern about claim lodgement</w:t>
            </w:r>
            <w:r w:rsidR="001C72F3">
              <w:rPr>
                <w:noProof/>
                <w:webHidden/>
              </w:rPr>
              <w:tab/>
            </w:r>
            <w:r w:rsidR="001C72F3">
              <w:rPr>
                <w:noProof/>
                <w:webHidden/>
              </w:rPr>
              <w:fldChar w:fldCharType="begin"/>
            </w:r>
            <w:r w:rsidR="001C72F3">
              <w:rPr>
                <w:noProof/>
                <w:webHidden/>
              </w:rPr>
              <w:instrText xml:space="preserve"> PAGEREF _Toc497141021 \h </w:instrText>
            </w:r>
            <w:r w:rsidR="001C72F3">
              <w:rPr>
                <w:noProof/>
                <w:webHidden/>
              </w:rPr>
            </w:r>
            <w:r w:rsidR="001C72F3">
              <w:rPr>
                <w:noProof/>
                <w:webHidden/>
              </w:rPr>
              <w:fldChar w:fldCharType="separate"/>
            </w:r>
            <w:r>
              <w:rPr>
                <w:noProof/>
                <w:webHidden/>
              </w:rPr>
              <w:t>18</w:t>
            </w:r>
            <w:r w:rsidR="001C72F3">
              <w:rPr>
                <w:noProof/>
                <w:webHidden/>
              </w:rPr>
              <w:fldChar w:fldCharType="end"/>
            </w:r>
          </w:hyperlink>
        </w:p>
        <w:p w14:paraId="27B0C68C" w14:textId="77777777" w:rsidR="001C72F3" w:rsidRDefault="005D6308">
          <w:pPr>
            <w:pStyle w:val="TOC2"/>
            <w:tabs>
              <w:tab w:val="left" w:pos="880"/>
              <w:tab w:val="right" w:leader="dot" w:pos="8820"/>
            </w:tabs>
            <w:rPr>
              <w:rFonts w:asciiTheme="minorHAnsi" w:eastAsiaTheme="minorEastAsia" w:hAnsiTheme="minorHAnsi" w:cstheme="minorBidi"/>
              <w:noProof/>
              <w:sz w:val="22"/>
              <w:szCs w:val="22"/>
            </w:rPr>
          </w:pPr>
          <w:hyperlink w:anchor="_Toc497141022" w:history="1">
            <w:r w:rsidR="001C72F3" w:rsidRPr="00034E9B">
              <w:rPr>
                <w:rStyle w:val="Hyperlink"/>
                <w:noProof/>
              </w:rPr>
              <w:t>3.4.</w:t>
            </w:r>
            <w:r w:rsidR="001C72F3">
              <w:rPr>
                <w:rFonts w:asciiTheme="minorHAnsi" w:eastAsiaTheme="minorEastAsia" w:hAnsiTheme="minorHAnsi" w:cstheme="minorBidi"/>
                <w:noProof/>
                <w:sz w:val="22"/>
                <w:szCs w:val="22"/>
              </w:rPr>
              <w:tab/>
            </w:r>
            <w:r w:rsidR="001C72F3" w:rsidRPr="00034E9B">
              <w:rPr>
                <w:rStyle w:val="Hyperlink"/>
                <w:noProof/>
              </w:rPr>
              <w:t>Workers’ view of the workplace culture prior to injury</w:t>
            </w:r>
            <w:r w:rsidR="001C72F3">
              <w:rPr>
                <w:noProof/>
                <w:webHidden/>
              </w:rPr>
              <w:tab/>
            </w:r>
            <w:r w:rsidR="001C72F3">
              <w:rPr>
                <w:noProof/>
                <w:webHidden/>
              </w:rPr>
              <w:fldChar w:fldCharType="begin"/>
            </w:r>
            <w:r w:rsidR="001C72F3">
              <w:rPr>
                <w:noProof/>
                <w:webHidden/>
              </w:rPr>
              <w:instrText xml:space="preserve"> PAGEREF _Toc497141022 \h </w:instrText>
            </w:r>
            <w:r w:rsidR="001C72F3">
              <w:rPr>
                <w:noProof/>
                <w:webHidden/>
              </w:rPr>
            </w:r>
            <w:r w:rsidR="001C72F3">
              <w:rPr>
                <w:noProof/>
                <w:webHidden/>
              </w:rPr>
              <w:fldChar w:fldCharType="separate"/>
            </w:r>
            <w:r>
              <w:rPr>
                <w:noProof/>
                <w:webHidden/>
              </w:rPr>
              <w:t>20</w:t>
            </w:r>
            <w:r w:rsidR="001C72F3">
              <w:rPr>
                <w:noProof/>
                <w:webHidden/>
              </w:rPr>
              <w:fldChar w:fldCharType="end"/>
            </w:r>
          </w:hyperlink>
        </w:p>
        <w:p w14:paraId="43BDACE5" w14:textId="77777777" w:rsidR="001C72F3" w:rsidRDefault="005D6308">
          <w:pPr>
            <w:pStyle w:val="TOC2"/>
            <w:tabs>
              <w:tab w:val="left" w:pos="880"/>
              <w:tab w:val="right" w:leader="dot" w:pos="8820"/>
            </w:tabs>
            <w:rPr>
              <w:rFonts w:asciiTheme="minorHAnsi" w:eastAsiaTheme="minorEastAsia" w:hAnsiTheme="minorHAnsi" w:cstheme="minorBidi"/>
              <w:noProof/>
              <w:sz w:val="22"/>
              <w:szCs w:val="22"/>
            </w:rPr>
          </w:pPr>
          <w:hyperlink w:anchor="_Toc497141023" w:history="1">
            <w:r w:rsidR="001C72F3" w:rsidRPr="00034E9B">
              <w:rPr>
                <w:rStyle w:val="Hyperlink"/>
                <w:noProof/>
              </w:rPr>
              <w:t>3.5.</w:t>
            </w:r>
            <w:r w:rsidR="001C72F3">
              <w:rPr>
                <w:rFonts w:asciiTheme="minorHAnsi" w:eastAsiaTheme="minorEastAsia" w:hAnsiTheme="minorHAnsi" w:cstheme="minorBidi"/>
                <w:noProof/>
                <w:sz w:val="22"/>
                <w:szCs w:val="22"/>
              </w:rPr>
              <w:tab/>
            </w:r>
            <w:r w:rsidR="001C72F3" w:rsidRPr="00034E9B">
              <w:rPr>
                <w:rStyle w:val="Hyperlink"/>
                <w:noProof/>
              </w:rPr>
              <w:t>System/Insurer quality</w:t>
            </w:r>
            <w:r w:rsidR="001C72F3">
              <w:rPr>
                <w:noProof/>
                <w:webHidden/>
              </w:rPr>
              <w:tab/>
            </w:r>
            <w:r w:rsidR="001C72F3">
              <w:rPr>
                <w:noProof/>
                <w:webHidden/>
              </w:rPr>
              <w:fldChar w:fldCharType="begin"/>
            </w:r>
            <w:r w:rsidR="001C72F3">
              <w:rPr>
                <w:noProof/>
                <w:webHidden/>
              </w:rPr>
              <w:instrText xml:space="preserve"> PAGEREF _Toc497141023 \h </w:instrText>
            </w:r>
            <w:r w:rsidR="001C72F3">
              <w:rPr>
                <w:noProof/>
                <w:webHidden/>
              </w:rPr>
            </w:r>
            <w:r w:rsidR="001C72F3">
              <w:rPr>
                <w:noProof/>
                <w:webHidden/>
              </w:rPr>
              <w:fldChar w:fldCharType="separate"/>
            </w:r>
            <w:r>
              <w:rPr>
                <w:noProof/>
                <w:webHidden/>
              </w:rPr>
              <w:t>22</w:t>
            </w:r>
            <w:r w:rsidR="001C72F3">
              <w:rPr>
                <w:noProof/>
                <w:webHidden/>
              </w:rPr>
              <w:fldChar w:fldCharType="end"/>
            </w:r>
          </w:hyperlink>
        </w:p>
        <w:p w14:paraId="5E9EA455" w14:textId="77777777" w:rsidR="001C72F3" w:rsidRDefault="005D6308">
          <w:pPr>
            <w:pStyle w:val="TOC2"/>
            <w:tabs>
              <w:tab w:val="left" w:pos="880"/>
              <w:tab w:val="right" w:leader="dot" w:pos="8820"/>
            </w:tabs>
            <w:rPr>
              <w:rFonts w:asciiTheme="minorHAnsi" w:eastAsiaTheme="minorEastAsia" w:hAnsiTheme="minorHAnsi" w:cstheme="minorBidi"/>
              <w:noProof/>
              <w:sz w:val="22"/>
              <w:szCs w:val="22"/>
            </w:rPr>
          </w:pPr>
          <w:hyperlink w:anchor="_Toc497141024" w:history="1">
            <w:r w:rsidR="001C72F3" w:rsidRPr="00034E9B">
              <w:rPr>
                <w:rStyle w:val="Hyperlink"/>
                <w:noProof/>
              </w:rPr>
              <w:t>3.6.</w:t>
            </w:r>
            <w:r w:rsidR="001C72F3">
              <w:rPr>
                <w:rFonts w:asciiTheme="minorHAnsi" w:eastAsiaTheme="minorEastAsia" w:hAnsiTheme="minorHAnsi" w:cstheme="minorBidi"/>
                <w:noProof/>
                <w:sz w:val="22"/>
                <w:szCs w:val="22"/>
              </w:rPr>
              <w:tab/>
            </w:r>
            <w:r w:rsidR="001C72F3" w:rsidRPr="00034E9B">
              <w:rPr>
                <w:rStyle w:val="Hyperlink"/>
                <w:noProof/>
              </w:rPr>
              <w:t>Disputes</w:t>
            </w:r>
            <w:r w:rsidR="001C72F3">
              <w:rPr>
                <w:noProof/>
                <w:webHidden/>
              </w:rPr>
              <w:tab/>
            </w:r>
            <w:r w:rsidR="001C72F3">
              <w:rPr>
                <w:noProof/>
                <w:webHidden/>
              </w:rPr>
              <w:fldChar w:fldCharType="begin"/>
            </w:r>
            <w:r w:rsidR="001C72F3">
              <w:rPr>
                <w:noProof/>
                <w:webHidden/>
              </w:rPr>
              <w:instrText xml:space="preserve"> PAGEREF _Toc497141024 \h </w:instrText>
            </w:r>
            <w:r w:rsidR="001C72F3">
              <w:rPr>
                <w:noProof/>
                <w:webHidden/>
              </w:rPr>
            </w:r>
            <w:r w:rsidR="001C72F3">
              <w:rPr>
                <w:noProof/>
                <w:webHidden/>
              </w:rPr>
              <w:fldChar w:fldCharType="separate"/>
            </w:r>
            <w:r>
              <w:rPr>
                <w:noProof/>
                <w:webHidden/>
              </w:rPr>
              <w:t>24</w:t>
            </w:r>
            <w:r w:rsidR="001C72F3">
              <w:rPr>
                <w:noProof/>
                <w:webHidden/>
              </w:rPr>
              <w:fldChar w:fldCharType="end"/>
            </w:r>
          </w:hyperlink>
        </w:p>
        <w:p w14:paraId="0713343D" w14:textId="77777777" w:rsidR="001C72F3" w:rsidRDefault="005D6308">
          <w:pPr>
            <w:pStyle w:val="TOC2"/>
            <w:tabs>
              <w:tab w:val="left" w:pos="880"/>
              <w:tab w:val="right" w:leader="dot" w:pos="8820"/>
            </w:tabs>
            <w:rPr>
              <w:rFonts w:asciiTheme="minorHAnsi" w:eastAsiaTheme="minorEastAsia" w:hAnsiTheme="minorHAnsi" w:cstheme="minorBidi"/>
              <w:noProof/>
              <w:sz w:val="22"/>
              <w:szCs w:val="22"/>
            </w:rPr>
          </w:pPr>
          <w:hyperlink w:anchor="_Toc497141025" w:history="1">
            <w:r w:rsidR="001C72F3" w:rsidRPr="00034E9B">
              <w:rPr>
                <w:rStyle w:val="Hyperlink"/>
                <w:noProof/>
              </w:rPr>
              <w:t>3.7.</w:t>
            </w:r>
            <w:r w:rsidR="001C72F3">
              <w:rPr>
                <w:rFonts w:asciiTheme="minorHAnsi" w:eastAsiaTheme="minorEastAsia" w:hAnsiTheme="minorHAnsi" w:cstheme="minorBidi"/>
                <w:noProof/>
                <w:sz w:val="22"/>
                <w:szCs w:val="22"/>
              </w:rPr>
              <w:tab/>
            </w:r>
            <w:r w:rsidR="001C72F3" w:rsidRPr="00034E9B">
              <w:rPr>
                <w:rStyle w:val="Hyperlink"/>
                <w:noProof/>
              </w:rPr>
              <w:t>Resilience</w:t>
            </w:r>
            <w:r w:rsidR="001C72F3">
              <w:rPr>
                <w:noProof/>
                <w:webHidden/>
              </w:rPr>
              <w:tab/>
            </w:r>
            <w:r w:rsidR="001C72F3">
              <w:rPr>
                <w:noProof/>
                <w:webHidden/>
              </w:rPr>
              <w:fldChar w:fldCharType="begin"/>
            </w:r>
            <w:r w:rsidR="001C72F3">
              <w:rPr>
                <w:noProof/>
                <w:webHidden/>
              </w:rPr>
              <w:instrText xml:space="preserve"> PAGEREF _Toc497141025 \h </w:instrText>
            </w:r>
            <w:r w:rsidR="001C72F3">
              <w:rPr>
                <w:noProof/>
                <w:webHidden/>
              </w:rPr>
            </w:r>
            <w:r w:rsidR="001C72F3">
              <w:rPr>
                <w:noProof/>
                <w:webHidden/>
              </w:rPr>
              <w:fldChar w:fldCharType="separate"/>
            </w:r>
            <w:r>
              <w:rPr>
                <w:noProof/>
                <w:webHidden/>
              </w:rPr>
              <w:t>25</w:t>
            </w:r>
            <w:r w:rsidR="001C72F3">
              <w:rPr>
                <w:noProof/>
                <w:webHidden/>
              </w:rPr>
              <w:fldChar w:fldCharType="end"/>
            </w:r>
          </w:hyperlink>
        </w:p>
        <w:p w14:paraId="06C7B618" w14:textId="77777777" w:rsidR="001C72F3" w:rsidRDefault="005D6308">
          <w:pPr>
            <w:pStyle w:val="TOC2"/>
            <w:tabs>
              <w:tab w:val="left" w:pos="880"/>
              <w:tab w:val="right" w:leader="dot" w:pos="8820"/>
            </w:tabs>
            <w:rPr>
              <w:rFonts w:asciiTheme="minorHAnsi" w:eastAsiaTheme="minorEastAsia" w:hAnsiTheme="minorHAnsi" w:cstheme="minorBidi"/>
              <w:noProof/>
              <w:sz w:val="22"/>
              <w:szCs w:val="22"/>
            </w:rPr>
          </w:pPr>
          <w:hyperlink w:anchor="_Toc497141026" w:history="1">
            <w:r w:rsidR="001C72F3" w:rsidRPr="00034E9B">
              <w:rPr>
                <w:rStyle w:val="Hyperlink"/>
                <w:noProof/>
              </w:rPr>
              <w:t>3.8.</w:t>
            </w:r>
            <w:r w:rsidR="001C72F3">
              <w:rPr>
                <w:rFonts w:asciiTheme="minorHAnsi" w:eastAsiaTheme="minorEastAsia" w:hAnsiTheme="minorHAnsi" w:cstheme="minorBidi"/>
                <w:noProof/>
                <w:sz w:val="22"/>
                <w:szCs w:val="22"/>
              </w:rPr>
              <w:tab/>
            </w:r>
            <w:r w:rsidR="001C72F3" w:rsidRPr="00034E9B">
              <w:rPr>
                <w:rStyle w:val="Hyperlink"/>
                <w:noProof/>
              </w:rPr>
              <w:t>Medical care focus on RTW</w:t>
            </w:r>
            <w:r w:rsidR="001C72F3">
              <w:rPr>
                <w:noProof/>
                <w:webHidden/>
              </w:rPr>
              <w:tab/>
            </w:r>
            <w:r w:rsidR="001C72F3">
              <w:rPr>
                <w:noProof/>
                <w:webHidden/>
              </w:rPr>
              <w:fldChar w:fldCharType="begin"/>
            </w:r>
            <w:r w:rsidR="001C72F3">
              <w:rPr>
                <w:noProof/>
                <w:webHidden/>
              </w:rPr>
              <w:instrText xml:space="preserve"> PAGEREF _Toc497141026 \h </w:instrText>
            </w:r>
            <w:r w:rsidR="001C72F3">
              <w:rPr>
                <w:noProof/>
                <w:webHidden/>
              </w:rPr>
            </w:r>
            <w:r w:rsidR="001C72F3">
              <w:rPr>
                <w:noProof/>
                <w:webHidden/>
              </w:rPr>
              <w:fldChar w:fldCharType="separate"/>
            </w:r>
            <w:r>
              <w:rPr>
                <w:noProof/>
                <w:webHidden/>
              </w:rPr>
              <w:t>28</w:t>
            </w:r>
            <w:r w:rsidR="001C72F3">
              <w:rPr>
                <w:noProof/>
                <w:webHidden/>
              </w:rPr>
              <w:fldChar w:fldCharType="end"/>
            </w:r>
          </w:hyperlink>
        </w:p>
        <w:p w14:paraId="36A17775" w14:textId="77777777" w:rsidR="001C72F3" w:rsidRDefault="005D6308">
          <w:pPr>
            <w:pStyle w:val="TOC2"/>
            <w:tabs>
              <w:tab w:val="left" w:pos="880"/>
              <w:tab w:val="right" w:leader="dot" w:pos="8820"/>
            </w:tabs>
            <w:rPr>
              <w:rFonts w:asciiTheme="minorHAnsi" w:eastAsiaTheme="minorEastAsia" w:hAnsiTheme="minorHAnsi" w:cstheme="minorBidi"/>
              <w:noProof/>
              <w:sz w:val="22"/>
              <w:szCs w:val="22"/>
            </w:rPr>
          </w:pPr>
          <w:hyperlink w:anchor="_Toc497141027" w:history="1">
            <w:r w:rsidR="001C72F3" w:rsidRPr="00034E9B">
              <w:rPr>
                <w:rStyle w:val="Hyperlink"/>
                <w:noProof/>
              </w:rPr>
              <w:t>3.9.</w:t>
            </w:r>
            <w:r w:rsidR="001C72F3">
              <w:rPr>
                <w:rFonts w:asciiTheme="minorHAnsi" w:eastAsiaTheme="minorEastAsia" w:hAnsiTheme="minorHAnsi" w:cstheme="minorBidi"/>
                <w:noProof/>
                <w:sz w:val="22"/>
                <w:szCs w:val="22"/>
              </w:rPr>
              <w:tab/>
            </w:r>
            <w:r w:rsidR="001C72F3" w:rsidRPr="00034E9B">
              <w:rPr>
                <w:rStyle w:val="Hyperlink"/>
                <w:noProof/>
              </w:rPr>
              <w:t>Return to work plans</w:t>
            </w:r>
            <w:r w:rsidR="001C72F3">
              <w:rPr>
                <w:noProof/>
                <w:webHidden/>
              </w:rPr>
              <w:tab/>
            </w:r>
            <w:r w:rsidR="001C72F3">
              <w:rPr>
                <w:noProof/>
                <w:webHidden/>
              </w:rPr>
              <w:fldChar w:fldCharType="begin"/>
            </w:r>
            <w:r w:rsidR="001C72F3">
              <w:rPr>
                <w:noProof/>
                <w:webHidden/>
              </w:rPr>
              <w:instrText xml:space="preserve"> PAGEREF _Toc497141027 \h </w:instrText>
            </w:r>
            <w:r w:rsidR="001C72F3">
              <w:rPr>
                <w:noProof/>
                <w:webHidden/>
              </w:rPr>
            </w:r>
            <w:r w:rsidR="001C72F3">
              <w:rPr>
                <w:noProof/>
                <w:webHidden/>
              </w:rPr>
              <w:fldChar w:fldCharType="separate"/>
            </w:r>
            <w:r>
              <w:rPr>
                <w:noProof/>
                <w:webHidden/>
              </w:rPr>
              <w:t>28</w:t>
            </w:r>
            <w:r w:rsidR="001C72F3">
              <w:rPr>
                <w:noProof/>
                <w:webHidden/>
              </w:rPr>
              <w:fldChar w:fldCharType="end"/>
            </w:r>
          </w:hyperlink>
        </w:p>
        <w:p w14:paraId="6B709AF1" w14:textId="77777777" w:rsidR="001C72F3" w:rsidRDefault="005D6308">
          <w:pPr>
            <w:pStyle w:val="TOC2"/>
            <w:tabs>
              <w:tab w:val="left" w:pos="880"/>
              <w:tab w:val="right" w:leader="dot" w:pos="8820"/>
            </w:tabs>
            <w:rPr>
              <w:rFonts w:asciiTheme="minorHAnsi" w:eastAsiaTheme="minorEastAsia" w:hAnsiTheme="minorHAnsi" w:cstheme="minorBidi"/>
              <w:noProof/>
              <w:sz w:val="22"/>
              <w:szCs w:val="22"/>
            </w:rPr>
          </w:pPr>
          <w:hyperlink w:anchor="_Toc497141028" w:history="1">
            <w:r w:rsidR="001C72F3" w:rsidRPr="00034E9B">
              <w:rPr>
                <w:rStyle w:val="Hyperlink"/>
                <w:noProof/>
              </w:rPr>
              <w:t>3.10.</w:t>
            </w:r>
            <w:r w:rsidR="001C72F3">
              <w:rPr>
                <w:rFonts w:asciiTheme="minorHAnsi" w:eastAsiaTheme="minorEastAsia" w:hAnsiTheme="minorHAnsi" w:cstheme="minorBidi"/>
                <w:noProof/>
                <w:sz w:val="22"/>
                <w:szCs w:val="22"/>
              </w:rPr>
              <w:tab/>
            </w:r>
            <w:r w:rsidR="001C72F3" w:rsidRPr="00034E9B">
              <w:rPr>
                <w:rStyle w:val="Hyperlink"/>
                <w:noProof/>
              </w:rPr>
              <w:t>Return to work results and demographic factors</w:t>
            </w:r>
            <w:r w:rsidR="001C72F3">
              <w:rPr>
                <w:noProof/>
                <w:webHidden/>
              </w:rPr>
              <w:tab/>
            </w:r>
            <w:r w:rsidR="001C72F3">
              <w:rPr>
                <w:noProof/>
                <w:webHidden/>
              </w:rPr>
              <w:fldChar w:fldCharType="begin"/>
            </w:r>
            <w:r w:rsidR="001C72F3">
              <w:rPr>
                <w:noProof/>
                <w:webHidden/>
              </w:rPr>
              <w:instrText xml:space="preserve"> PAGEREF _Toc497141028 \h </w:instrText>
            </w:r>
            <w:r w:rsidR="001C72F3">
              <w:rPr>
                <w:noProof/>
                <w:webHidden/>
              </w:rPr>
            </w:r>
            <w:r w:rsidR="001C72F3">
              <w:rPr>
                <w:noProof/>
                <w:webHidden/>
              </w:rPr>
              <w:fldChar w:fldCharType="separate"/>
            </w:r>
            <w:r>
              <w:rPr>
                <w:noProof/>
                <w:webHidden/>
              </w:rPr>
              <w:t>29</w:t>
            </w:r>
            <w:r w:rsidR="001C72F3">
              <w:rPr>
                <w:noProof/>
                <w:webHidden/>
              </w:rPr>
              <w:fldChar w:fldCharType="end"/>
            </w:r>
          </w:hyperlink>
        </w:p>
        <w:p w14:paraId="59F50EC7" w14:textId="77777777" w:rsidR="001C72F3" w:rsidRDefault="005D6308">
          <w:pPr>
            <w:pStyle w:val="TOC1"/>
            <w:tabs>
              <w:tab w:val="left" w:pos="400"/>
            </w:tabs>
            <w:rPr>
              <w:rFonts w:asciiTheme="minorHAnsi" w:eastAsiaTheme="minorEastAsia" w:hAnsiTheme="minorHAnsi" w:cstheme="minorBidi"/>
              <w:noProof/>
              <w:sz w:val="22"/>
              <w:szCs w:val="22"/>
            </w:rPr>
          </w:pPr>
          <w:hyperlink w:anchor="_Toc497141029" w:history="1">
            <w:r w:rsidR="001C72F3" w:rsidRPr="00034E9B">
              <w:rPr>
                <w:rStyle w:val="Hyperlink"/>
                <w:noProof/>
              </w:rPr>
              <w:t>4.</w:t>
            </w:r>
            <w:r w:rsidR="001C72F3">
              <w:rPr>
                <w:rFonts w:asciiTheme="minorHAnsi" w:eastAsiaTheme="minorEastAsia" w:hAnsiTheme="minorHAnsi" w:cstheme="minorBidi"/>
                <w:noProof/>
                <w:sz w:val="22"/>
                <w:szCs w:val="22"/>
              </w:rPr>
              <w:tab/>
            </w:r>
            <w:r w:rsidR="001C72F3" w:rsidRPr="00034E9B">
              <w:rPr>
                <w:rStyle w:val="Hyperlink"/>
                <w:noProof/>
              </w:rPr>
              <w:t>Literature review – Workplace factors facilitating and hindering return to work of employees with psychological injuries</w:t>
            </w:r>
            <w:r w:rsidR="001C72F3">
              <w:rPr>
                <w:noProof/>
                <w:webHidden/>
              </w:rPr>
              <w:tab/>
            </w:r>
            <w:r w:rsidR="001C72F3">
              <w:rPr>
                <w:noProof/>
                <w:webHidden/>
              </w:rPr>
              <w:fldChar w:fldCharType="begin"/>
            </w:r>
            <w:r w:rsidR="001C72F3">
              <w:rPr>
                <w:noProof/>
                <w:webHidden/>
              </w:rPr>
              <w:instrText xml:space="preserve"> PAGEREF _Toc497141029 \h </w:instrText>
            </w:r>
            <w:r w:rsidR="001C72F3">
              <w:rPr>
                <w:noProof/>
                <w:webHidden/>
              </w:rPr>
            </w:r>
            <w:r w:rsidR="001C72F3">
              <w:rPr>
                <w:noProof/>
                <w:webHidden/>
              </w:rPr>
              <w:fldChar w:fldCharType="separate"/>
            </w:r>
            <w:r>
              <w:rPr>
                <w:noProof/>
                <w:webHidden/>
              </w:rPr>
              <w:t>31</w:t>
            </w:r>
            <w:r w:rsidR="001C72F3">
              <w:rPr>
                <w:noProof/>
                <w:webHidden/>
              </w:rPr>
              <w:fldChar w:fldCharType="end"/>
            </w:r>
          </w:hyperlink>
        </w:p>
        <w:p w14:paraId="2944D278" w14:textId="77777777" w:rsidR="001C72F3" w:rsidRDefault="005D6308">
          <w:pPr>
            <w:pStyle w:val="TOC2"/>
            <w:tabs>
              <w:tab w:val="left" w:pos="880"/>
              <w:tab w:val="right" w:leader="dot" w:pos="8820"/>
            </w:tabs>
            <w:rPr>
              <w:rFonts w:asciiTheme="minorHAnsi" w:eastAsiaTheme="minorEastAsia" w:hAnsiTheme="minorHAnsi" w:cstheme="minorBidi"/>
              <w:noProof/>
              <w:sz w:val="22"/>
              <w:szCs w:val="22"/>
            </w:rPr>
          </w:pPr>
          <w:hyperlink w:anchor="_Toc497141030" w:history="1">
            <w:r w:rsidR="001C72F3" w:rsidRPr="00034E9B">
              <w:rPr>
                <w:rStyle w:val="Hyperlink"/>
                <w:noProof/>
              </w:rPr>
              <w:t>4.1.</w:t>
            </w:r>
            <w:r w:rsidR="001C72F3">
              <w:rPr>
                <w:rFonts w:asciiTheme="minorHAnsi" w:eastAsiaTheme="minorEastAsia" w:hAnsiTheme="minorHAnsi" w:cstheme="minorBidi"/>
                <w:noProof/>
                <w:sz w:val="22"/>
                <w:szCs w:val="22"/>
              </w:rPr>
              <w:tab/>
            </w:r>
            <w:r w:rsidR="001C72F3" w:rsidRPr="00034E9B">
              <w:rPr>
                <w:rStyle w:val="Hyperlink"/>
                <w:noProof/>
              </w:rPr>
              <w:t>Key points</w:t>
            </w:r>
            <w:r w:rsidR="001C72F3">
              <w:rPr>
                <w:noProof/>
                <w:webHidden/>
              </w:rPr>
              <w:tab/>
            </w:r>
            <w:r w:rsidR="001C72F3">
              <w:rPr>
                <w:noProof/>
                <w:webHidden/>
              </w:rPr>
              <w:fldChar w:fldCharType="begin"/>
            </w:r>
            <w:r w:rsidR="001C72F3">
              <w:rPr>
                <w:noProof/>
                <w:webHidden/>
              </w:rPr>
              <w:instrText xml:space="preserve"> PAGEREF _Toc497141030 \h </w:instrText>
            </w:r>
            <w:r w:rsidR="001C72F3">
              <w:rPr>
                <w:noProof/>
                <w:webHidden/>
              </w:rPr>
            </w:r>
            <w:r w:rsidR="001C72F3">
              <w:rPr>
                <w:noProof/>
                <w:webHidden/>
              </w:rPr>
              <w:fldChar w:fldCharType="separate"/>
            </w:r>
            <w:r>
              <w:rPr>
                <w:noProof/>
                <w:webHidden/>
              </w:rPr>
              <w:t>31</w:t>
            </w:r>
            <w:r w:rsidR="001C72F3">
              <w:rPr>
                <w:noProof/>
                <w:webHidden/>
              </w:rPr>
              <w:fldChar w:fldCharType="end"/>
            </w:r>
          </w:hyperlink>
        </w:p>
        <w:p w14:paraId="504B07D4" w14:textId="77777777" w:rsidR="001C72F3" w:rsidRDefault="005D6308">
          <w:pPr>
            <w:pStyle w:val="TOC2"/>
            <w:tabs>
              <w:tab w:val="left" w:pos="880"/>
              <w:tab w:val="right" w:leader="dot" w:pos="8820"/>
            </w:tabs>
            <w:rPr>
              <w:rFonts w:asciiTheme="minorHAnsi" w:eastAsiaTheme="minorEastAsia" w:hAnsiTheme="minorHAnsi" w:cstheme="minorBidi"/>
              <w:noProof/>
              <w:sz w:val="22"/>
              <w:szCs w:val="22"/>
            </w:rPr>
          </w:pPr>
          <w:hyperlink w:anchor="_Toc497141031" w:history="1">
            <w:r w:rsidR="001C72F3" w:rsidRPr="00034E9B">
              <w:rPr>
                <w:rStyle w:val="Hyperlink"/>
                <w:noProof/>
              </w:rPr>
              <w:t>4.2.</w:t>
            </w:r>
            <w:r w:rsidR="001C72F3">
              <w:rPr>
                <w:rFonts w:asciiTheme="minorHAnsi" w:eastAsiaTheme="minorEastAsia" w:hAnsiTheme="minorHAnsi" w:cstheme="minorBidi"/>
                <w:noProof/>
                <w:sz w:val="22"/>
                <w:szCs w:val="22"/>
              </w:rPr>
              <w:tab/>
            </w:r>
            <w:r w:rsidR="001C72F3" w:rsidRPr="00034E9B">
              <w:rPr>
                <w:rStyle w:val="Hyperlink"/>
                <w:noProof/>
              </w:rPr>
              <w:t>Context</w:t>
            </w:r>
            <w:r w:rsidR="001C72F3">
              <w:rPr>
                <w:noProof/>
                <w:webHidden/>
              </w:rPr>
              <w:tab/>
            </w:r>
            <w:r w:rsidR="001C72F3">
              <w:rPr>
                <w:noProof/>
                <w:webHidden/>
              </w:rPr>
              <w:fldChar w:fldCharType="begin"/>
            </w:r>
            <w:r w:rsidR="001C72F3">
              <w:rPr>
                <w:noProof/>
                <w:webHidden/>
              </w:rPr>
              <w:instrText xml:space="preserve"> PAGEREF _Toc497141031 \h </w:instrText>
            </w:r>
            <w:r w:rsidR="001C72F3">
              <w:rPr>
                <w:noProof/>
                <w:webHidden/>
              </w:rPr>
            </w:r>
            <w:r w:rsidR="001C72F3">
              <w:rPr>
                <w:noProof/>
                <w:webHidden/>
              </w:rPr>
              <w:fldChar w:fldCharType="separate"/>
            </w:r>
            <w:r>
              <w:rPr>
                <w:noProof/>
                <w:webHidden/>
              </w:rPr>
              <w:t>31</w:t>
            </w:r>
            <w:r w:rsidR="001C72F3">
              <w:rPr>
                <w:noProof/>
                <w:webHidden/>
              </w:rPr>
              <w:fldChar w:fldCharType="end"/>
            </w:r>
          </w:hyperlink>
        </w:p>
        <w:p w14:paraId="69783FBB" w14:textId="77777777" w:rsidR="001C72F3" w:rsidRDefault="005D6308">
          <w:pPr>
            <w:pStyle w:val="TOC2"/>
            <w:tabs>
              <w:tab w:val="left" w:pos="880"/>
              <w:tab w:val="right" w:leader="dot" w:pos="8820"/>
            </w:tabs>
            <w:rPr>
              <w:rFonts w:asciiTheme="minorHAnsi" w:eastAsiaTheme="minorEastAsia" w:hAnsiTheme="minorHAnsi" w:cstheme="minorBidi"/>
              <w:noProof/>
              <w:sz w:val="22"/>
              <w:szCs w:val="22"/>
            </w:rPr>
          </w:pPr>
          <w:hyperlink w:anchor="_Toc497141032" w:history="1">
            <w:r w:rsidR="001C72F3" w:rsidRPr="00034E9B">
              <w:rPr>
                <w:rStyle w:val="Hyperlink"/>
                <w:noProof/>
              </w:rPr>
              <w:t>4.3.</w:t>
            </w:r>
            <w:r w:rsidR="001C72F3">
              <w:rPr>
                <w:rFonts w:asciiTheme="minorHAnsi" w:eastAsiaTheme="minorEastAsia" w:hAnsiTheme="minorHAnsi" w:cstheme="minorBidi"/>
                <w:noProof/>
                <w:sz w:val="22"/>
                <w:szCs w:val="22"/>
              </w:rPr>
              <w:tab/>
            </w:r>
            <w:r w:rsidR="001C72F3" w:rsidRPr="00034E9B">
              <w:rPr>
                <w:rStyle w:val="Hyperlink"/>
                <w:noProof/>
              </w:rPr>
              <w:t>Preliminary considerations and contextual factors</w:t>
            </w:r>
            <w:r w:rsidR="001C72F3">
              <w:rPr>
                <w:noProof/>
                <w:webHidden/>
              </w:rPr>
              <w:tab/>
            </w:r>
            <w:r w:rsidR="001C72F3">
              <w:rPr>
                <w:noProof/>
                <w:webHidden/>
              </w:rPr>
              <w:fldChar w:fldCharType="begin"/>
            </w:r>
            <w:r w:rsidR="001C72F3">
              <w:rPr>
                <w:noProof/>
                <w:webHidden/>
              </w:rPr>
              <w:instrText xml:space="preserve"> PAGEREF _Toc497141032 \h </w:instrText>
            </w:r>
            <w:r w:rsidR="001C72F3">
              <w:rPr>
                <w:noProof/>
                <w:webHidden/>
              </w:rPr>
            </w:r>
            <w:r w:rsidR="001C72F3">
              <w:rPr>
                <w:noProof/>
                <w:webHidden/>
              </w:rPr>
              <w:fldChar w:fldCharType="separate"/>
            </w:r>
            <w:r>
              <w:rPr>
                <w:noProof/>
                <w:webHidden/>
              </w:rPr>
              <w:t>32</w:t>
            </w:r>
            <w:r w:rsidR="001C72F3">
              <w:rPr>
                <w:noProof/>
                <w:webHidden/>
              </w:rPr>
              <w:fldChar w:fldCharType="end"/>
            </w:r>
          </w:hyperlink>
        </w:p>
        <w:p w14:paraId="4531E278" w14:textId="77777777" w:rsidR="001C72F3" w:rsidRDefault="005D6308">
          <w:pPr>
            <w:pStyle w:val="TOC2"/>
            <w:tabs>
              <w:tab w:val="left" w:pos="880"/>
              <w:tab w:val="right" w:leader="dot" w:pos="8820"/>
            </w:tabs>
            <w:rPr>
              <w:rFonts w:asciiTheme="minorHAnsi" w:eastAsiaTheme="minorEastAsia" w:hAnsiTheme="minorHAnsi" w:cstheme="minorBidi"/>
              <w:noProof/>
              <w:sz w:val="22"/>
              <w:szCs w:val="22"/>
            </w:rPr>
          </w:pPr>
          <w:hyperlink w:anchor="_Toc497141033" w:history="1">
            <w:r w:rsidR="001C72F3" w:rsidRPr="00034E9B">
              <w:rPr>
                <w:rStyle w:val="Hyperlink"/>
                <w:noProof/>
              </w:rPr>
              <w:t>4.4.</w:t>
            </w:r>
            <w:r w:rsidR="001C72F3">
              <w:rPr>
                <w:rFonts w:asciiTheme="minorHAnsi" w:eastAsiaTheme="minorEastAsia" w:hAnsiTheme="minorHAnsi" w:cstheme="minorBidi"/>
                <w:noProof/>
                <w:sz w:val="22"/>
                <w:szCs w:val="22"/>
              </w:rPr>
              <w:tab/>
            </w:r>
            <w:r w:rsidR="001C72F3" w:rsidRPr="00034E9B">
              <w:rPr>
                <w:rStyle w:val="Hyperlink"/>
                <w:noProof/>
              </w:rPr>
              <w:t>Key workplace factors that facilitate or hinder return to work of employees with psychological injuries</w:t>
            </w:r>
            <w:r w:rsidR="001C72F3">
              <w:rPr>
                <w:noProof/>
                <w:webHidden/>
              </w:rPr>
              <w:tab/>
            </w:r>
            <w:r w:rsidR="001C72F3">
              <w:rPr>
                <w:noProof/>
                <w:webHidden/>
              </w:rPr>
              <w:fldChar w:fldCharType="begin"/>
            </w:r>
            <w:r w:rsidR="001C72F3">
              <w:rPr>
                <w:noProof/>
                <w:webHidden/>
              </w:rPr>
              <w:instrText xml:space="preserve"> PAGEREF _Toc497141033 \h </w:instrText>
            </w:r>
            <w:r w:rsidR="001C72F3">
              <w:rPr>
                <w:noProof/>
                <w:webHidden/>
              </w:rPr>
            </w:r>
            <w:r w:rsidR="001C72F3">
              <w:rPr>
                <w:noProof/>
                <w:webHidden/>
              </w:rPr>
              <w:fldChar w:fldCharType="separate"/>
            </w:r>
            <w:r>
              <w:rPr>
                <w:noProof/>
                <w:webHidden/>
              </w:rPr>
              <w:t>34</w:t>
            </w:r>
            <w:r w:rsidR="001C72F3">
              <w:rPr>
                <w:noProof/>
                <w:webHidden/>
              </w:rPr>
              <w:fldChar w:fldCharType="end"/>
            </w:r>
          </w:hyperlink>
        </w:p>
        <w:p w14:paraId="25C9E0E6" w14:textId="77777777" w:rsidR="001C72F3" w:rsidRDefault="005D6308">
          <w:pPr>
            <w:pStyle w:val="TOC2"/>
            <w:tabs>
              <w:tab w:val="left" w:pos="880"/>
              <w:tab w:val="right" w:leader="dot" w:pos="8820"/>
            </w:tabs>
            <w:rPr>
              <w:rFonts w:asciiTheme="minorHAnsi" w:eastAsiaTheme="minorEastAsia" w:hAnsiTheme="minorHAnsi" w:cstheme="minorBidi"/>
              <w:noProof/>
              <w:sz w:val="22"/>
              <w:szCs w:val="22"/>
            </w:rPr>
          </w:pPr>
          <w:hyperlink w:anchor="_Toc497141034" w:history="1">
            <w:r w:rsidR="001C72F3" w:rsidRPr="00034E9B">
              <w:rPr>
                <w:rStyle w:val="Hyperlink"/>
                <w:noProof/>
              </w:rPr>
              <w:t>4.5.</w:t>
            </w:r>
            <w:r w:rsidR="001C72F3">
              <w:rPr>
                <w:rFonts w:asciiTheme="minorHAnsi" w:eastAsiaTheme="minorEastAsia" w:hAnsiTheme="minorHAnsi" w:cstheme="minorBidi"/>
                <w:noProof/>
                <w:sz w:val="22"/>
                <w:szCs w:val="22"/>
              </w:rPr>
              <w:tab/>
            </w:r>
            <w:r w:rsidR="001C72F3" w:rsidRPr="00034E9B">
              <w:rPr>
                <w:rStyle w:val="Hyperlink"/>
                <w:noProof/>
              </w:rPr>
              <w:t>Literature review conclusion</w:t>
            </w:r>
            <w:r w:rsidR="001C72F3">
              <w:rPr>
                <w:noProof/>
                <w:webHidden/>
              </w:rPr>
              <w:tab/>
            </w:r>
            <w:r w:rsidR="001C72F3">
              <w:rPr>
                <w:noProof/>
                <w:webHidden/>
              </w:rPr>
              <w:fldChar w:fldCharType="begin"/>
            </w:r>
            <w:r w:rsidR="001C72F3">
              <w:rPr>
                <w:noProof/>
                <w:webHidden/>
              </w:rPr>
              <w:instrText xml:space="preserve"> PAGEREF _Toc497141034 \h </w:instrText>
            </w:r>
            <w:r w:rsidR="001C72F3">
              <w:rPr>
                <w:noProof/>
                <w:webHidden/>
              </w:rPr>
            </w:r>
            <w:r w:rsidR="001C72F3">
              <w:rPr>
                <w:noProof/>
                <w:webHidden/>
              </w:rPr>
              <w:fldChar w:fldCharType="separate"/>
            </w:r>
            <w:r>
              <w:rPr>
                <w:noProof/>
                <w:webHidden/>
              </w:rPr>
              <w:t>35</w:t>
            </w:r>
            <w:r w:rsidR="001C72F3">
              <w:rPr>
                <w:noProof/>
                <w:webHidden/>
              </w:rPr>
              <w:fldChar w:fldCharType="end"/>
            </w:r>
          </w:hyperlink>
        </w:p>
        <w:p w14:paraId="4CC5A016" w14:textId="77777777" w:rsidR="001C72F3" w:rsidRDefault="005D6308">
          <w:pPr>
            <w:pStyle w:val="TOC1"/>
            <w:rPr>
              <w:rFonts w:asciiTheme="minorHAnsi" w:eastAsiaTheme="minorEastAsia" w:hAnsiTheme="minorHAnsi" w:cstheme="minorBidi"/>
              <w:noProof/>
              <w:sz w:val="22"/>
              <w:szCs w:val="22"/>
            </w:rPr>
          </w:pPr>
          <w:hyperlink w:anchor="_Toc497141035" w:history="1">
            <w:r w:rsidR="001C72F3" w:rsidRPr="00034E9B">
              <w:rPr>
                <w:rStyle w:val="Hyperlink"/>
                <w:noProof/>
              </w:rPr>
              <w:t>Appendix – Survey methodology</w:t>
            </w:r>
            <w:r w:rsidR="001C72F3">
              <w:rPr>
                <w:noProof/>
                <w:webHidden/>
              </w:rPr>
              <w:tab/>
            </w:r>
            <w:r w:rsidR="001C72F3">
              <w:rPr>
                <w:noProof/>
                <w:webHidden/>
              </w:rPr>
              <w:fldChar w:fldCharType="begin"/>
            </w:r>
            <w:r w:rsidR="001C72F3">
              <w:rPr>
                <w:noProof/>
                <w:webHidden/>
              </w:rPr>
              <w:instrText xml:space="preserve"> PAGEREF _Toc497141035 \h </w:instrText>
            </w:r>
            <w:r w:rsidR="001C72F3">
              <w:rPr>
                <w:noProof/>
                <w:webHidden/>
              </w:rPr>
            </w:r>
            <w:r w:rsidR="001C72F3">
              <w:rPr>
                <w:noProof/>
                <w:webHidden/>
              </w:rPr>
              <w:fldChar w:fldCharType="separate"/>
            </w:r>
            <w:r>
              <w:rPr>
                <w:noProof/>
                <w:webHidden/>
              </w:rPr>
              <w:t>36</w:t>
            </w:r>
            <w:r w:rsidR="001C72F3">
              <w:rPr>
                <w:noProof/>
                <w:webHidden/>
              </w:rPr>
              <w:fldChar w:fldCharType="end"/>
            </w:r>
          </w:hyperlink>
        </w:p>
        <w:p w14:paraId="549B3F3D" w14:textId="77777777" w:rsidR="001C72F3" w:rsidRDefault="005D6308">
          <w:pPr>
            <w:pStyle w:val="TOC1"/>
            <w:rPr>
              <w:rFonts w:asciiTheme="minorHAnsi" w:eastAsiaTheme="minorEastAsia" w:hAnsiTheme="minorHAnsi" w:cstheme="minorBidi"/>
              <w:noProof/>
              <w:sz w:val="22"/>
              <w:szCs w:val="22"/>
            </w:rPr>
          </w:pPr>
          <w:hyperlink w:anchor="_Toc497141036" w:history="1">
            <w:r w:rsidR="001C72F3" w:rsidRPr="00034E9B">
              <w:rPr>
                <w:rStyle w:val="Hyperlink"/>
                <w:noProof/>
              </w:rPr>
              <w:t>References</w:t>
            </w:r>
            <w:r w:rsidR="001C72F3">
              <w:rPr>
                <w:noProof/>
                <w:webHidden/>
              </w:rPr>
              <w:tab/>
            </w:r>
            <w:r w:rsidR="001C72F3">
              <w:rPr>
                <w:noProof/>
                <w:webHidden/>
              </w:rPr>
              <w:fldChar w:fldCharType="begin"/>
            </w:r>
            <w:r w:rsidR="001C72F3">
              <w:rPr>
                <w:noProof/>
                <w:webHidden/>
              </w:rPr>
              <w:instrText xml:space="preserve"> PAGEREF _Toc497141036 \h </w:instrText>
            </w:r>
            <w:r w:rsidR="001C72F3">
              <w:rPr>
                <w:noProof/>
                <w:webHidden/>
              </w:rPr>
            </w:r>
            <w:r w:rsidR="001C72F3">
              <w:rPr>
                <w:noProof/>
                <w:webHidden/>
              </w:rPr>
              <w:fldChar w:fldCharType="separate"/>
            </w:r>
            <w:r>
              <w:rPr>
                <w:noProof/>
                <w:webHidden/>
              </w:rPr>
              <w:t>38</w:t>
            </w:r>
            <w:r w:rsidR="001C72F3">
              <w:rPr>
                <w:noProof/>
                <w:webHidden/>
              </w:rPr>
              <w:fldChar w:fldCharType="end"/>
            </w:r>
          </w:hyperlink>
        </w:p>
        <w:p w14:paraId="34C15A80" w14:textId="77777777" w:rsidR="00D60313" w:rsidRDefault="00D60313">
          <w:r>
            <w:rPr>
              <w:b/>
              <w:bCs/>
              <w:noProof/>
            </w:rPr>
            <w:fldChar w:fldCharType="end"/>
          </w:r>
        </w:p>
      </w:sdtContent>
    </w:sdt>
    <w:p w14:paraId="16EAD094" w14:textId="2FC735AB" w:rsidR="00D50227" w:rsidRDefault="00D50227" w:rsidP="00D50227">
      <w:r>
        <w:br w:type="page"/>
      </w:r>
    </w:p>
    <w:p w14:paraId="1C3E8851" w14:textId="0018D0C2" w:rsidR="00CC5526" w:rsidRDefault="00CC5526" w:rsidP="005275C5">
      <w:pPr>
        <w:pStyle w:val="TOCHeading"/>
      </w:pPr>
      <w:r w:rsidRPr="00CC5526">
        <w:lastRenderedPageBreak/>
        <w:t xml:space="preserve">List of </w:t>
      </w:r>
      <w:r w:rsidR="006C55DF">
        <w:t>f</w:t>
      </w:r>
      <w:r w:rsidRPr="00CC5526">
        <w:t>igures</w:t>
      </w:r>
    </w:p>
    <w:p w14:paraId="4C977E50" w14:textId="77777777" w:rsidR="001C72F3" w:rsidRDefault="00CC14A7">
      <w:pPr>
        <w:pStyle w:val="TableofFigures"/>
        <w:tabs>
          <w:tab w:val="right" w:leader="dot" w:pos="8820"/>
        </w:tabs>
        <w:rPr>
          <w:rFonts w:asciiTheme="minorHAnsi" w:eastAsiaTheme="minorEastAsia" w:hAnsiTheme="minorHAnsi"/>
          <w:noProof/>
          <w:sz w:val="22"/>
          <w:szCs w:val="22"/>
          <w:lang w:eastAsia="en-AU"/>
        </w:rPr>
      </w:pPr>
      <w:r w:rsidRPr="00361807">
        <w:rPr>
          <w:rFonts w:cs="Arial"/>
        </w:rPr>
        <w:fldChar w:fldCharType="begin"/>
      </w:r>
      <w:r w:rsidRPr="00361807">
        <w:rPr>
          <w:rFonts w:cs="Arial"/>
        </w:rPr>
        <w:instrText xml:space="preserve"> TOC \h \z \c "Figure" </w:instrText>
      </w:r>
      <w:r w:rsidRPr="00361807">
        <w:rPr>
          <w:rFonts w:cs="Arial"/>
        </w:rPr>
        <w:fldChar w:fldCharType="separate"/>
      </w:r>
      <w:hyperlink w:anchor="_Toc497141037" w:history="1">
        <w:r w:rsidR="001C72F3" w:rsidRPr="00170206">
          <w:rPr>
            <w:rStyle w:val="Hyperlink"/>
            <w:noProof/>
          </w:rPr>
          <w:t>Figure 1 – RTW results psychological versus physical cases</w:t>
        </w:r>
        <w:r w:rsidR="001C72F3">
          <w:rPr>
            <w:noProof/>
            <w:webHidden/>
          </w:rPr>
          <w:tab/>
        </w:r>
        <w:r w:rsidR="001C72F3">
          <w:rPr>
            <w:noProof/>
            <w:webHidden/>
          </w:rPr>
          <w:fldChar w:fldCharType="begin"/>
        </w:r>
        <w:r w:rsidR="001C72F3">
          <w:rPr>
            <w:noProof/>
            <w:webHidden/>
          </w:rPr>
          <w:instrText xml:space="preserve"> PAGEREF _Toc497141037 \h </w:instrText>
        </w:r>
        <w:r w:rsidR="001C72F3">
          <w:rPr>
            <w:noProof/>
            <w:webHidden/>
          </w:rPr>
        </w:r>
        <w:r w:rsidR="001C72F3">
          <w:rPr>
            <w:noProof/>
            <w:webHidden/>
          </w:rPr>
          <w:fldChar w:fldCharType="separate"/>
        </w:r>
        <w:r w:rsidR="005D6308">
          <w:rPr>
            <w:noProof/>
            <w:webHidden/>
          </w:rPr>
          <w:t>10</w:t>
        </w:r>
        <w:r w:rsidR="001C72F3">
          <w:rPr>
            <w:noProof/>
            <w:webHidden/>
          </w:rPr>
          <w:fldChar w:fldCharType="end"/>
        </w:r>
      </w:hyperlink>
    </w:p>
    <w:p w14:paraId="6AD5B374" w14:textId="77777777" w:rsidR="001C72F3" w:rsidRDefault="005D6308">
      <w:pPr>
        <w:pStyle w:val="TableofFigures"/>
        <w:tabs>
          <w:tab w:val="right" w:leader="dot" w:pos="8820"/>
        </w:tabs>
        <w:rPr>
          <w:rFonts w:asciiTheme="minorHAnsi" w:eastAsiaTheme="minorEastAsia" w:hAnsiTheme="minorHAnsi"/>
          <w:noProof/>
          <w:sz w:val="22"/>
          <w:szCs w:val="22"/>
          <w:lang w:eastAsia="en-AU"/>
        </w:rPr>
      </w:pPr>
      <w:hyperlink w:anchor="_Toc497141038" w:history="1">
        <w:r w:rsidR="001C72F3" w:rsidRPr="00170206">
          <w:rPr>
            <w:rStyle w:val="Hyperlink"/>
            <w:noProof/>
          </w:rPr>
          <w:t>Figure 2 – Proportion of employees at work at the time of the Return to Work Survey by influencing factors</w:t>
        </w:r>
        <w:r w:rsidR="001C72F3">
          <w:rPr>
            <w:noProof/>
            <w:webHidden/>
          </w:rPr>
          <w:tab/>
        </w:r>
        <w:r w:rsidR="001C72F3">
          <w:rPr>
            <w:noProof/>
            <w:webHidden/>
          </w:rPr>
          <w:fldChar w:fldCharType="begin"/>
        </w:r>
        <w:r w:rsidR="001C72F3">
          <w:rPr>
            <w:noProof/>
            <w:webHidden/>
          </w:rPr>
          <w:instrText xml:space="preserve"> PAGEREF _Toc497141038 \h </w:instrText>
        </w:r>
        <w:r w:rsidR="001C72F3">
          <w:rPr>
            <w:noProof/>
            <w:webHidden/>
          </w:rPr>
        </w:r>
        <w:r w:rsidR="001C72F3">
          <w:rPr>
            <w:noProof/>
            <w:webHidden/>
          </w:rPr>
          <w:fldChar w:fldCharType="separate"/>
        </w:r>
        <w:r>
          <w:rPr>
            <w:noProof/>
            <w:webHidden/>
          </w:rPr>
          <w:t>12</w:t>
        </w:r>
        <w:r w:rsidR="001C72F3">
          <w:rPr>
            <w:noProof/>
            <w:webHidden/>
          </w:rPr>
          <w:fldChar w:fldCharType="end"/>
        </w:r>
      </w:hyperlink>
    </w:p>
    <w:p w14:paraId="235254AA" w14:textId="77777777" w:rsidR="001C72F3" w:rsidRDefault="005D6308">
      <w:pPr>
        <w:pStyle w:val="TableofFigures"/>
        <w:tabs>
          <w:tab w:val="right" w:leader="dot" w:pos="8820"/>
        </w:tabs>
        <w:rPr>
          <w:rFonts w:asciiTheme="minorHAnsi" w:eastAsiaTheme="minorEastAsia" w:hAnsiTheme="minorHAnsi"/>
          <w:noProof/>
          <w:sz w:val="22"/>
          <w:szCs w:val="22"/>
          <w:lang w:eastAsia="en-AU"/>
        </w:rPr>
      </w:pPr>
      <w:hyperlink w:anchor="_Toc497141039" w:history="1">
        <w:r w:rsidR="001C72F3" w:rsidRPr="00170206">
          <w:rPr>
            <w:rStyle w:val="Hyperlink"/>
            <w:noProof/>
          </w:rPr>
          <w:t>Figure 3 – Percentage RTW by employer response to injury</w:t>
        </w:r>
        <w:r w:rsidR="001C72F3">
          <w:rPr>
            <w:noProof/>
            <w:webHidden/>
          </w:rPr>
          <w:tab/>
        </w:r>
        <w:r w:rsidR="001C72F3">
          <w:rPr>
            <w:noProof/>
            <w:webHidden/>
          </w:rPr>
          <w:fldChar w:fldCharType="begin"/>
        </w:r>
        <w:r w:rsidR="001C72F3">
          <w:rPr>
            <w:noProof/>
            <w:webHidden/>
          </w:rPr>
          <w:instrText xml:space="preserve"> PAGEREF _Toc497141039 \h </w:instrText>
        </w:r>
        <w:r w:rsidR="001C72F3">
          <w:rPr>
            <w:noProof/>
            <w:webHidden/>
          </w:rPr>
        </w:r>
        <w:r w:rsidR="001C72F3">
          <w:rPr>
            <w:noProof/>
            <w:webHidden/>
          </w:rPr>
          <w:fldChar w:fldCharType="separate"/>
        </w:r>
        <w:r>
          <w:rPr>
            <w:noProof/>
            <w:webHidden/>
          </w:rPr>
          <w:t>13</w:t>
        </w:r>
        <w:r w:rsidR="001C72F3">
          <w:rPr>
            <w:noProof/>
            <w:webHidden/>
          </w:rPr>
          <w:fldChar w:fldCharType="end"/>
        </w:r>
      </w:hyperlink>
    </w:p>
    <w:p w14:paraId="2886CA69" w14:textId="77777777" w:rsidR="001C72F3" w:rsidRDefault="005D6308">
      <w:pPr>
        <w:pStyle w:val="TableofFigures"/>
        <w:tabs>
          <w:tab w:val="right" w:leader="dot" w:pos="8820"/>
        </w:tabs>
        <w:rPr>
          <w:rFonts w:asciiTheme="minorHAnsi" w:eastAsiaTheme="minorEastAsia" w:hAnsiTheme="minorHAnsi"/>
          <w:noProof/>
          <w:sz w:val="22"/>
          <w:szCs w:val="22"/>
          <w:lang w:eastAsia="en-AU"/>
        </w:rPr>
      </w:pPr>
      <w:hyperlink w:anchor="_Toc497141040" w:history="1">
        <w:r w:rsidR="001C72F3" w:rsidRPr="00170206">
          <w:rPr>
            <w:rStyle w:val="Hyperlink"/>
            <w:noProof/>
          </w:rPr>
          <w:t>Figure 4 – Percentage RTW by contact from the workplace</w:t>
        </w:r>
        <w:r w:rsidR="001C72F3">
          <w:rPr>
            <w:noProof/>
            <w:webHidden/>
          </w:rPr>
          <w:tab/>
        </w:r>
        <w:r w:rsidR="001C72F3">
          <w:rPr>
            <w:noProof/>
            <w:webHidden/>
          </w:rPr>
          <w:fldChar w:fldCharType="begin"/>
        </w:r>
        <w:r w:rsidR="001C72F3">
          <w:rPr>
            <w:noProof/>
            <w:webHidden/>
          </w:rPr>
          <w:instrText xml:space="preserve"> PAGEREF _Toc497141040 \h </w:instrText>
        </w:r>
        <w:r w:rsidR="001C72F3">
          <w:rPr>
            <w:noProof/>
            <w:webHidden/>
          </w:rPr>
        </w:r>
        <w:r w:rsidR="001C72F3">
          <w:rPr>
            <w:noProof/>
            <w:webHidden/>
          </w:rPr>
          <w:fldChar w:fldCharType="separate"/>
        </w:r>
        <w:r>
          <w:rPr>
            <w:noProof/>
            <w:webHidden/>
          </w:rPr>
          <w:t>15</w:t>
        </w:r>
        <w:r w:rsidR="001C72F3">
          <w:rPr>
            <w:noProof/>
            <w:webHidden/>
          </w:rPr>
          <w:fldChar w:fldCharType="end"/>
        </w:r>
      </w:hyperlink>
    </w:p>
    <w:p w14:paraId="560FF104" w14:textId="77777777" w:rsidR="001C72F3" w:rsidRDefault="005D6308">
      <w:pPr>
        <w:pStyle w:val="TableofFigures"/>
        <w:tabs>
          <w:tab w:val="right" w:leader="dot" w:pos="8820"/>
        </w:tabs>
        <w:rPr>
          <w:rFonts w:asciiTheme="minorHAnsi" w:eastAsiaTheme="minorEastAsia" w:hAnsiTheme="minorHAnsi"/>
          <w:noProof/>
          <w:sz w:val="22"/>
          <w:szCs w:val="22"/>
          <w:lang w:eastAsia="en-AU"/>
        </w:rPr>
      </w:pPr>
      <w:hyperlink w:anchor="_Toc497141041" w:history="1">
        <w:r w:rsidR="001C72F3" w:rsidRPr="00170206">
          <w:rPr>
            <w:rStyle w:val="Hyperlink"/>
            <w:noProof/>
          </w:rPr>
          <w:t>Figure 5 – Percentage RTW by pre-claim discussion with employer</w:t>
        </w:r>
        <w:r w:rsidR="001C72F3">
          <w:rPr>
            <w:noProof/>
            <w:webHidden/>
          </w:rPr>
          <w:tab/>
        </w:r>
        <w:r w:rsidR="001C72F3">
          <w:rPr>
            <w:noProof/>
            <w:webHidden/>
          </w:rPr>
          <w:fldChar w:fldCharType="begin"/>
        </w:r>
        <w:r w:rsidR="001C72F3">
          <w:rPr>
            <w:noProof/>
            <w:webHidden/>
          </w:rPr>
          <w:instrText xml:space="preserve"> PAGEREF _Toc497141041 \h </w:instrText>
        </w:r>
        <w:r w:rsidR="001C72F3">
          <w:rPr>
            <w:noProof/>
            <w:webHidden/>
          </w:rPr>
        </w:r>
        <w:r w:rsidR="001C72F3">
          <w:rPr>
            <w:noProof/>
            <w:webHidden/>
          </w:rPr>
          <w:fldChar w:fldCharType="separate"/>
        </w:r>
        <w:r>
          <w:rPr>
            <w:noProof/>
            <w:webHidden/>
          </w:rPr>
          <w:t>16</w:t>
        </w:r>
        <w:r w:rsidR="001C72F3">
          <w:rPr>
            <w:noProof/>
            <w:webHidden/>
          </w:rPr>
          <w:fldChar w:fldCharType="end"/>
        </w:r>
      </w:hyperlink>
    </w:p>
    <w:p w14:paraId="3C9DFC3F" w14:textId="77777777" w:rsidR="001C72F3" w:rsidRDefault="005D6308">
      <w:pPr>
        <w:pStyle w:val="TableofFigures"/>
        <w:tabs>
          <w:tab w:val="right" w:leader="dot" w:pos="8820"/>
        </w:tabs>
        <w:rPr>
          <w:rFonts w:asciiTheme="minorHAnsi" w:eastAsiaTheme="minorEastAsia" w:hAnsiTheme="minorHAnsi"/>
          <w:noProof/>
          <w:sz w:val="22"/>
          <w:szCs w:val="22"/>
          <w:lang w:eastAsia="en-AU"/>
        </w:rPr>
      </w:pPr>
      <w:hyperlink w:anchor="_Toc497141042" w:history="1">
        <w:r w:rsidR="001C72F3" w:rsidRPr="00170206">
          <w:rPr>
            <w:rStyle w:val="Hyperlink"/>
            <w:noProof/>
          </w:rPr>
          <w:t>Figure 6 – Percentage RTW by employer pre-claim assistance with injury</w:t>
        </w:r>
        <w:r w:rsidR="001C72F3">
          <w:rPr>
            <w:noProof/>
            <w:webHidden/>
          </w:rPr>
          <w:tab/>
        </w:r>
        <w:r w:rsidR="001C72F3">
          <w:rPr>
            <w:noProof/>
            <w:webHidden/>
          </w:rPr>
          <w:fldChar w:fldCharType="begin"/>
        </w:r>
        <w:r w:rsidR="001C72F3">
          <w:rPr>
            <w:noProof/>
            <w:webHidden/>
          </w:rPr>
          <w:instrText xml:space="preserve"> PAGEREF _Toc497141042 \h </w:instrText>
        </w:r>
        <w:r w:rsidR="001C72F3">
          <w:rPr>
            <w:noProof/>
            <w:webHidden/>
          </w:rPr>
        </w:r>
        <w:r w:rsidR="001C72F3">
          <w:rPr>
            <w:noProof/>
            <w:webHidden/>
          </w:rPr>
          <w:fldChar w:fldCharType="separate"/>
        </w:r>
        <w:r>
          <w:rPr>
            <w:noProof/>
            <w:webHidden/>
          </w:rPr>
          <w:t>16</w:t>
        </w:r>
        <w:r w:rsidR="001C72F3">
          <w:rPr>
            <w:noProof/>
            <w:webHidden/>
          </w:rPr>
          <w:fldChar w:fldCharType="end"/>
        </w:r>
      </w:hyperlink>
    </w:p>
    <w:p w14:paraId="13E2D5E8" w14:textId="77777777" w:rsidR="001C72F3" w:rsidRDefault="005D6308">
      <w:pPr>
        <w:pStyle w:val="TableofFigures"/>
        <w:tabs>
          <w:tab w:val="right" w:leader="dot" w:pos="8820"/>
        </w:tabs>
        <w:rPr>
          <w:rFonts w:asciiTheme="minorHAnsi" w:eastAsiaTheme="minorEastAsia" w:hAnsiTheme="minorHAnsi"/>
          <w:noProof/>
          <w:sz w:val="22"/>
          <w:szCs w:val="22"/>
          <w:lang w:eastAsia="en-AU"/>
        </w:rPr>
      </w:pPr>
      <w:hyperlink w:anchor="_Toc497141043" w:history="1">
        <w:r w:rsidR="001C72F3" w:rsidRPr="00170206">
          <w:rPr>
            <w:rStyle w:val="Hyperlink"/>
            <w:noProof/>
          </w:rPr>
          <w:t>Figure 7 – Percentage RTW by time from injury to claim lodgement</w:t>
        </w:r>
        <w:r w:rsidR="001C72F3">
          <w:rPr>
            <w:noProof/>
            <w:webHidden/>
          </w:rPr>
          <w:tab/>
        </w:r>
        <w:r w:rsidR="001C72F3">
          <w:rPr>
            <w:noProof/>
            <w:webHidden/>
          </w:rPr>
          <w:fldChar w:fldCharType="begin"/>
        </w:r>
        <w:r w:rsidR="001C72F3">
          <w:rPr>
            <w:noProof/>
            <w:webHidden/>
          </w:rPr>
          <w:instrText xml:space="preserve"> PAGEREF _Toc497141043 \h </w:instrText>
        </w:r>
        <w:r w:rsidR="001C72F3">
          <w:rPr>
            <w:noProof/>
            <w:webHidden/>
          </w:rPr>
        </w:r>
        <w:r w:rsidR="001C72F3">
          <w:rPr>
            <w:noProof/>
            <w:webHidden/>
          </w:rPr>
          <w:fldChar w:fldCharType="separate"/>
        </w:r>
        <w:r>
          <w:rPr>
            <w:noProof/>
            <w:webHidden/>
          </w:rPr>
          <w:t>17</w:t>
        </w:r>
        <w:r w:rsidR="001C72F3">
          <w:rPr>
            <w:noProof/>
            <w:webHidden/>
          </w:rPr>
          <w:fldChar w:fldCharType="end"/>
        </w:r>
      </w:hyperlink>
    </w:p>
    <w:p w14:paraId="0034D0AB" w14:textId="77777777" w:rsidR="001C72F3" w:rsidRDefault="005D6308">
      <w:pPr>
        <w:pStyle w:val="TableofFigures"/>
        <w:tabs>
          <w:tab w:val="right" w:leader="dot" w:pos="8820"/>
        </w:tabs>
        <w:rPr>
          <w:rFonts w:asciiTheme="minorHAnsi" w:eastAsiaTheme="minorEastAsia" w:hAnsiTheme="minorHAnsi"/>
          <w:noProof/>
          <w:sz w:val="22"/>
          <w:szCs w:val="22"/>
          <w:lang w:eastAsia="en-AU"/>
        </w:rPr>
      </w:pPr>
      <w:hyperlink w:anchor="_Toc497141044" w:history="1">
        <w:r w:rsidR="001C72F3" w:rsidRPr="00170206">
          <w:rPr>
            <w:rStyle w:val="Hyperlink"/>
            <w:noProof/>
          </w:rPr>
          <w:t>Figure 8 – Percentage RTW by time from injury to first employee contact</w:t>
        </w:r>
        <w:r w:rsidR="001C72F3">
          <w:rPr>
            <w:noProof/>
            <w:webHidden/>
          </w:rPr>
          <w:tab/>
        </w:r>
        <w:r w:rsidR="001C72F3">
          <w:rPr>
            <w:noProof/>
            <w:webHidden/>
          </w:rPr>
          <w:fldChar w:fldCharType="begin"/>
        </w:r>
        <w:r w:rsidR="001C72F3">
          <w:rPr>
            <w:noProof/>
            <w:webHidden/>
          </w:rPr>
          <w:instrText xml:space="preserve"> PAGEREF _Toc497141044 \h </w:instrText>
        </w:r>
        <w:r w:rsidR="001C72F3">
          <w:rPr>
            <w:noProof/>
            <w:webHidden/>
          </w:rPr>
        </w:r>
        <w:r w:rsidR="001C72F3">
          <w:rPr>
            <w:noProof/>
            <w:webHidden/>
          </w:rPr>
          <w:fldChar w:fldCharType="separate"/>
        </w:r>
        <w:r>
          <w:rPr>
            <w:noProof/>
            <w:webHidden/>
          </w:rPr>
          <w:t>17</w:t>
        </w:r>
        <w:r w:rsidR="001C72F3">
          <w:rPr>
            <w:noProof/>
            <w:webHidden/>
          </w:rPr>
          <w:fldChar w:fldCharType="end"/>
        </w:r>
      </w:hyperlink>
    </w:p>
    <w:p w14:paraId="0535EA1F" w14:textId="77777777" w:rsidR="001C72F3" w:rsidRDefault="005D6308">
      <w:pPr>
        <w:pStyle w:val="TableofFigures"/>
        <w:tabs>
          <w:tab w:val="right" w:leader="dot" w:pos="8820"/>
        </w:tabs>
        <w:rPr>
          <w:rFonts w:asciiTheme="minorHAnsi" w:eastAsiaTheme="minorEastAsia" w:hAnsiTheme="minorHAnsi"/>
          <w:noProof/>
          <w:sz w:val="22"/>
          <w:szCs w:val="22"/>
          <w:lang w:eastAsia="en-AU"/>
        </w:rPr>
      </w:pPr>
      <w:hyperlink w:anchor="_Toc497141045" w:history="1">
        <w:r w:rsidR="001C72F3" w:rsidRPr="00170206">
          <w:rPr>
            <w:rStyle w:val="Hyperlink"/>
            <w:noProof/>
          </w:rPr>
          <w:t>Figure 9 – Percentage RTW by concern about lodging a claim</w:t>
        </w:r>
        <w:r w:rsidR="001C72F3">
          <w:rPr>
            <w:noProof/>
            <w:webHidden/>
          </w:rPr>
          <w:tab/>
        </w:r>
        <w:r w:rsidR="001C72F3">
          <w:rPr>
            <w:noProof/>
            <w:webHidden/>
          </w:rPr>
          <w:fldChar w:fldCharType="begin"/>
        </w:r>
        <w:r w:rsidR="001C72F3">
          <w:rPr>
            <w:noProof/>
            <w:webHidden/>
          </w:rPr>
          <w:instrText xml:space="preserve"> PAGEREF _Toc497141045 \h </w:instrText>
        </w:r>
        <w:r w:rsidR="001C72F3">
          <w:rPr>
            <w:noProof/>
            <w:webHidden/>
          </w:rPr>
        </w:r>
        <w:r w:rsidR="001C72F3">
          <w:rPr>
            <w:noProof/>
            <w:webHidden/>
          </w:rPr>
          <w:fldChar w:fldCharType="separate"/>
        </w:r>
        <w:r>
          <w:rPr>
            <w:noProof/>
            <w:webHidden/>
          </w:rPr>
          <w:t>18</w:t>
        </w:r>
        <w:r w:rsidR="001C72F3">
          <w:rPr>
            <w:noProof/>
            <w:webHidden/>
          </w:rPr>
          <w:fldChar w:fldCharType="end"/>
        </w:r>
      </w:hyperlink>
    </w:p>
    <w:p w14:paraId="00634B02" w14:textId="77777777" w:rsidR="001C72F3" w:rsidRDefault="005D6308">
      <w:pPr>
        <w:pStyle w:val="TableofFigures"/>
        <w:tabs>
          <w:tab w:val="right" w:leader="dot" w:pos="8820"/>
        </w:tabs>
        <w:rPr>
          <w:rFonts w:asciiTheme="minorHAnsi" w:eastAsiaTheme="minorEastAsia" w:hAnsiTheme="minorHAnsi"/>
          <w:noProof/>
          <w:sz w:val="22"/>
          <w:szCs w:val="22"/>
          <w:lang w:eastAsia="en-AU"/>
        </w:rPr>
      </w:pPr>
      <w:hyperlink w:anchor="_Toc497141046" w:history="1">
        <w:r w:rsidR="001C72F3" w:rsidRPr="00170206">
          <w:rPr>
            <w:rStyle w:val="Hyperlink"/>
            <w:noProof/>
          </w:rPr>
          <w:t>Figure 10 – Percentage RTW by workers’ view of workplace culture prior to injury</w:t>
        </w:r>
        <w:r w:rsidR="001C72F3">
          <w:rPr>
            <w:noProof/>
            <w:webHidden/>
          </w:rPr>
          <w:tab/>
        </w:r>
        <w:r w:rsidR="001C72F3">
          <w:rPr>
            <w:noProof/>
            <w:webHidden/>
          </w:rPr>
          <w:fldChar w:fldCharType="begin"/>
        </w:r>
        <w:r w:rsidR="001C72F3">
          <w:rPr>
            <w:noProof/>
            <w:webHidden/>
          </w:rPr>
          <w:instrText xml:space="preserve"> PAGEREF _Toc497141046 \h </w:instrText>
        </w:r>
        <w:r w:rsidR="001C72F3">
          <w:rPr>
            <w:noProof/>
            <w:webHidden/>
          </w:rPr>
        </w:r>
        <w:r w:rsidR="001C72F3">
          <w:rPr>
            <w:noProof/>
            <w:webHidden/>
          </w:rPr>
          <w:fldChar w:fldCharType="separate"/>
        </w:r>
        <w:r>
          <w:rPr>
            <w:noProof/>
            <w:webHidden/>
          </w:rPr>
          <w:t>20</w:t>
        </w:r>
        <w:r w:rsidR="001C72F3">
          <w:rPr>
            <w:noProof/>
            <w:webHidden/>
          </w:rPr>
          <w:fldChar w:fldCharType="end"/>
        </w:r>
      </w:hyperlink>
    </w:p>
    <w:p w14:paraId="7C413FDC" w14:textId="77777777" w:rsidR="001C72F3" w:rsidRDefault="005D6308">
      <w:pPr>
        <w:pStyle w:val="TableofFigures"/>
        <w:tabs>
          <w:tab w:val="right" w:leader="dot" w:pos="8820"/>
        </w:tabs>
        <w:rPr>
          <w:rFonts w:asciiTheme="minorHAnsi" w:eastAsiaTheme="minorEastAsia" w:hAnsiTheme="minorHAnsi"/>
          <w:noProof/>
          <w:sz w:val="22"/>
          <w:szCs w:val="22"/>
          <w:lang w:eastAsia="en-AU"/>
        </w:rPr>
      </w:pPr>
      <w:hyperlink w:anchor="_Toc497141047" w:history="1">
        <w:r w:rsidR="001C72F3" w:rsidRPr="00170206">
          <w:rPr>
            <w:rStyle w:val="Hyperlink"/>
            <w:noProof/>
          </w:rPr>
          <w:t>Figure 11 – Percentage RTW by Interaction with the scheme/claims organisation</w:t>
        </w:r>
        <w:r w:rsidR="001C72F3">
          <w:rPr>
            <w:noProof/>
            <w:webHidden/>
          </w:rPr>
          <w:tab/>
        </w:r>
        <w:r w:rsidR="001C72F3">
          <w:rPr>
            <w:noProof/>
            <w:webHidden/>
          </w:rPr>
          <w:fldChar w:fldCharType="begin"/>
        </w:r>
        <w:r w:rsidR="001C72F3">
          <w:rPr>
            <w:noProof/>
            <w:webHidden/>
          </w:rPr>
          <w:instrText xml:space="preserve"> PAGEREF _Toc497141047 \h </w:instrText>
        </w:r>
        <w:r w:rsidR="001C72F3">
          <w:rPr>
            <w:noProof/>
            <w:webHidden/>
          </w:rPr>
        </w:r>
        <w:r w:rsidR="001C72F3">
          <w:rPr>
            <w:noProof/>
            <w:webHidden/>
          </w:rPr>
          <w:fldChar w:fldCharType="separate"/>
        </w:r>
        <w:r>
          <w:rPr>
            <w:noProof/>
            <w:webHidden/>
          </w:rPr>
          <w:t>22</w:t>
        </w:r>
        <w:r w:rsidR="001C72F3">
          <w:rPr>
            <w:noProof/>
            <w:webHidden/>
          </w:rPr>
          <w:fldChar w:fldCharType="end"/>
        </w:r>
      </w:hyperlink>
    </w:p>
    <w:p w14:paraId="6E3BD46C" w14:textId="77777777" w:rsidR="001C72F3" w:rsidRDefault="005D6308">
      <w:pPr>
        <w:pStyle w:val="TableofFigures"/>
        <w:tabs>
          <w:tab w:val="right" w:leader="dot" w:pos="8820"/>
        </w:tabs>
        <w:rPr>
          <w:rFonts w:asciiTheme="minorHAnsi" w:eastAsiaTheme="minorEastAsia" w:hAnsiTheme="minorHAnsi"/>
          <w:noProof/>
          <w:sz w:val="22"/>
          <w:szCs w:val="22"/>
          <w:lang w:eastAsia="en-AU"/>
        </w:rPr>
      </w:pPr>
      <w:hyperlink w:anchor="_Toc497141048" w:history="1">
        <w:r w:rsidR="001C72F3" w:rsidRPr="00170206">
          <w:rPr>
            <w:rStyle w:val="Hyperlink"/>
            <w:noProof/>
          </w:rPr>
          <w:t>Figure 12 – Percentage RTW by difference of opinion</w:t>
        </w:r>
        <w:r w:rsidR="001C72F3">
          <w:rPr>
            <w:noProof/>
            <w:webHidden/>
          </w:rPr>
          <w:tab/>
        </w:r>
        <w:r w:rsidR="001C72F3">
          <w:rPr>
            <w:noProof/>
            <w:webHidden/>
          </w:rPr>
          <w:fldChar w:fldCharType="begin"/>
        </w:r>
        <w:r w:rsidR="001C72F3">
          <w:rPr>
            <w:noProof/>
            <w:webHidden/>
          </w:rPr>
          <w:instrText xml:space="preserve"> PAGEREF _Toc497141048 \h </w:instrText>
        </w:r>
        <w:r w:rsidR="001C72F3">
          <w:rPr>
            <w:noProof/>
            <w:webHidden/>
          </w:rPr>
        </w:r>
        <w:r w:rsidR="001C72F3">
          <w:rPr>
            <w:noProof/>
            <w:webHidden/>
          </w:rPr>
          <w:fldChar w:fldCharType="separate"/>
        </w:r>
        <w:r>
          <w:rPr>
            <w:noProof/>
            <w:webHidden/>
          </w:rPr>
          <w:t>24</w:t>
        </w:r>
        <w:r w:rsidR="001C72F3">
          <w:rPr>
            <w:noProof/>
            <w:webHidden/>
          </w:rPr>
          <w:fldChar w:fldCharType="end"/>
        </w:r>
      </w:hyperlink>
    </w:p>
    <w:p w14:paraId="0851244E" w14:textId="77777777" w:rsidR="001C72F3" w:rsidRDefault="005D6308">
      <w:pPr>
        <w:pStyle w:val="TableofFigures"/>
        <w:tabs>
          <w:tab w:val="right" w:leader="dot" w:pos="8820"/>
        </w:tabs>
        <w:rPr>
          <w:rFonts w:asciiTheme="minorHAnsi" w:eastAsiaTheme="minorEastAsia" w:hAnsiTheme="minorHAnsi"/>
          <w:noProof/>
          <w:sz w:val="22"/>
          <w:szCs w:val="22"/>
          <w:lang w:eastAsia="en-AU"/>
        </w:rPr>
      </w:pPr>
      <w:hyperlink w:anchor="_Toc497141049" w:history="1">
        <w:r w:rsidR="001C72F3" w:rsidRPr="00170206">
          <w:rPr>
            <w:rStyle w:val="Hyperlink"/>
            <w:noProof/>
          </w:rPr>
          <w:t>Figure 13 – Percentage RTW by needed assistance to resolve disputes</w:t>
        </w:r>
        <w:r w:rsidR="001C72F3">
          <w:rPr>
            <w:noProof/>
            <w:webHidden/>
          </w:rPr>
          <w:tab/>
        </w:r>
        <w:r w:rsidR="001C72F3">
          <w:rPr>
            <w:noProof/>
            <w:webHidden/>
          </w:rPr>
          <w:fldChar w:fldCharType="begin"/>
        </w:r>
        <w:r w:rsidR="001C72F3">
          <w:rPr>
            <w:noProof/>
            <w:webHidden/>
          </w:rPr>
          <w:instrText xml:space="preserve"> PAGEREF _Toc497141049 \h </w:instrText>
        </w:r>
        <w:r w:rsidR="001C72F3">
          <w:rPr>
            <w:noProof/>
            <w:webHidden/>
          </w:rPr>
        </w:r>
        <w:r w:rsidR="001C72F3">
          <w:rPr>
            <w:noProof/>
            <w:webHidden/>
          </w:rPr>
          <w:fldChar w:fldCharType="separate"/>
        </w:r>
        <w:r>
          <w:rPr>
            <w:noProof/>
            <w:webHidden/>
          </w:rPr>
          <w:t>24</w:t>
        </w:r>
        <w:r w:rsidR="001C72F3">
          <w:rPr>
            <w:noProof/>
            <w:webHidden/>
          </w:rPr>
          <w:fldChar w:fldCharType="end"/>
        </w:r>
      </w:hyperlink>
    </w:p>
    <w:p w14:paraId="2BEA7B8F" w14:textId="77777777" w:rsidR="001C72F3" w:rsidRDefault="005D6308">
      <w:pPr>
        <w:pStyle w:val="TableofFigures"/>
        <w:tabs>
          <w:tab w:val="right" w:leader="dot" w:pos="8820"/>
        </w:tabs>
        <w:rPr>
          <w:rFonts w:asciiTheme="minorHAnsi" w:eastAsiaTheme="minorEastAsia" w:hAnsiTheme="minorHAnsi"/>
          <w:noProof/>
          <w:sz w:val="22"/>
          <w:szCs w:val="22"/>
          <w:lang w:eastAsia="en-AU"/>
        </w:rPr>
      </w:pPr>
      <w:hyperlink w:anchor="_Toc497141050" w:history="1">
        <w:r w:rsidR="001C72F3" w:rsidRPr="00170206">
          <w:rPr>
            <w:rStyle w:val="Hyperlink"/>
            <w:noProof/>
          </w:rPr>
          <w:t>Figure 14 – Percentage RTW by levels of resilience</w:t>
        </w:r>
        <w:r w:rsidR="001C72F3">
          <w:rPr>
            <w:noProof/>
            <w:webHidden/>
          </w:rPr>
          <w:tab/>
        </w:r>
        <w:r w:rsidR="001C72F3">
          <w:rPr>
            <w:noProof/>
            <w:webHidden/>
          </w:rPr>
          <w:fldChar w:fldCharType="begin"/>
        </w:r>
        <w:r w:rsidR="001C72F3">
          <w:rPr>
            <w:noProof/>
            <w:webHidden/>
          </w:rPr>
          <w:instrText xml:space="preserve"> PAGEREF _Toc497141050 \h </w:instrText>
        </w:r>
        <w:r w:rsidR="001C72F3">
          <w:rPr>
            <w:noProof/>
            <w:webHidden/>
          </w:rPr>
        </w:r>
        <w:r w:rsidR="001C72F3">
          <w:rPr>
            <w:noProof/>
            <w:webHidden/>
          </w:rPr>
          <w:fldChar w:fldCharType="separate"/>
        </w:r>
        <w:r>
          <w:rPr>
            <w:noProof/>
            <w:webHidden/>
          </w:rPr>
          <w:t>25</w:t>
        </w:r>
        <w:r w:rsidR="001C72F3">
          <w:rPr>
            <w:noProof/>
            <w:webHidden/>
          </w:rPr>
          <w:fldChar w:fldCharType="end"/>
        </w:r>
      </w:hyperlink>
    </w:p>
    <w:p w14:paraId="5D92F1C4" w14:textId="77777777" w:rsidR="001C72F3" w:rsidRDefault="005D6308">
      <w:pPr>
        <w:pStyle w:val="TableofFigures"/>
        <w:tabs>
          <w:tab w:val="right" w:leader="dot" w:pos="8820"/>
        </w:tabs>
        <w:rPr>
          <w:rFonts w:asciiTheme="minorHAnsi" w:eastAsiaTheme="minorEastAsia" w:hAnsiTheme="minorHAnsi"/>
          <w:noProof/>
          <w:sz w:val="22"/>
          <w:szCs w:val="22"/>
          <w:lang w:eastAsia="en-AU"/>
        </w:rPr>
      </w:pPr>
      <w:hyperlink w:anchor="_Toc497141051" w:history="1">
        <w:r w:rsidR="001C72F3" w:rsidRPr="00170206">
          <w:rPr>
            <w:rStyle w:val="Hyperlink"/>
            <w:noProof/>
          </w:rPr>
          <w:t>Figure 15 – Percentage RTW by Levels of resilience as measured by postively frame questions only</w:t>
        </w:r>
        <w:r w:rsidR="001C72F3">
          <w:rPr>
            <w:noProof/>
            <w:webHidden/>
          </w:rPr>
          <w:tab/>
        </w:r>
        <w:r w:rsidR="001C72F3">
          <w:rPr>
            <w:noProof/>
            <w:webHidden/>
          </w:rPr>
          <w:fldChar w:fldCharType="begin"/>
        </w:r>
        <w:r w:rsidR="001C72F3">
          <w:rPr>
            <w:noProof/>
            <w:webHidden/>
          </w:rPr>
          <w:instrText xml:space="preserve"> PAGEREF _Toc497141051 \h </w:instrText>
        </w:r>
        <w:r w:rsidR="001C72F3">
          <w:rPr>
            <w:noProof/>
            <w:webHidden/>
          </w:rPr>
        </w:r>
        <w:r w:rsidR="001C72F3">
          <w:rPr>
            <w:noProof/>
            <w:webHidden/>
          </w:rPr>
          <w:fldChar w:fldCharType="separate"/>
        </w:r>
        <w:r>
          <w:rPr>
            <w:noProof/>
            <w:webHidden/>
          </w:rPr>
          <w:t>27</w:t>
        </w:r>
        <w:r w:rsidR="001C72F3">
          <w:rPr>
            <w:noProof/>
            <w:webHidden/>
          </w:rPr>
          <w:fldChar w:fldCharType="end"/>
        </w:r>
      </w:hyperlink>
    </w:p>
    <w:p w14:paraId="6951DDB8" w14:textId="77777777" w:rsidR="001C72F3" w:rsidRDefault="005D6308">
      <w:pPr>
        <w:pStyle w:val="TableofFigures"/>
        <w:tabs>
          <w:tab w:val="right" w:leader="dot" w:pos="8820"/>
        </w:tabs>
        <w:rPr>
          <w:rFonts w:asciiTheme="minorHAnsi" w:eastAsiaTheme="minorEastAsia" w:hAnsiTheme="minorHAnsi"/>
          <w:noProof/>
          <w:sz w:val="22"/>
          <w:szCs w:val="22"/>
          <w:lang w:eastAsia="en-AU"/>
        </w:rPr>
      </w:pPr>
      <w:hyperlink w:anchor="_Toc497141052" w:history="1">
        <w:r w:rsidR="001C72F3" w:rsidRPr="00170206">
          <w:rPr>
            <w:rStyle w:val="Hyperlink"/>
            <w:noProof/>
          </w:rPr>
          <w:t xml:space="preserve">Figure 16 – </w:t>
        </w:r>
        <w:r w:rsidR="001C72F3" w:rsidRPr="00170206">
          <w:rPr>
            <w:rStyle w:val="Hyperlink"/>
            <w:bCs/>
            <w:noProof/>
          </w:rPr>
          <w:t>RTW results psychological claims</w:t>
        </w:r>
        <w:r w:rsidR="001C72F3">
          <w:rPr>
            <w:noProof/>
            <w:webHidden/>
          </w:rPr>
          <w:tab/>
        </w:r>
        <w:r w:rsidR="001C72F3">
          <w:rPr>
            <w:noProof/>
            <w:webHidden/>
          </w:rPr>
          <w:fldChar w:fldCharType="begin"/>
        </w:r>
        <w:r w:rsidR="001C72F3">
          <w:rPr>
            <w:noProof/>
            <w:webHidden/>
          </w:rPr>
          <w:instrText xml:space="preserve"> PAGEREF _Toc497141052 \h </w:instrText>
        </w:r>
        <w:r w:rsidR="001C72F3">
          <w:rPr>
            <w:noProof/>
            <w:webHidden/>
          </w:rPr>
        </w:r>
        <w:r w:rsidR="001C72F3">
          <w:rPr>
            <w:noProof/>
            <w:webHidden/>
          </w:rPr>
          <w:fldChar w:fldCharType="separate"/>
        </w:r>
        <w:r>
          <w:rPr>
            <w:noProof/>
            <w:webHidden/>
          </w:rPr>
          <w:t>29</w:t>
        </w:r>
        <w:r w:rsidR="001C72F3">
          <w:rPr>
            <w:noProof/>
            <w:webHidden/>
          </w:rPr>
          <w:fldChar w:fldCharType="end"/>
        </w:r>
      </w:hyperlink>
    </w:p>
    <w:p w14:paraId="04B3BCCE" w14:textId="77777777" w:rsidR="001C72F3" w:rsidRDefault="005D6308">
      <w:pPr>
        <w:pStyle w:val="TableofFigures"/>
        <w:tabs>
          <w:tab w:val="right" w:leader="dot" w:pos="8820"/>
        </w:tabs>
        <w:rPr>
          <w:rFonts w:asciiTheme="minorHAnsi" w:eastAsiaTheme="minorEastAsia" w:hAnsiTheme="minorHAnsi"/>
          <w:noProof/>
          <w:sz w:val="22"/>
          <w:szCs w:val="22"/>
          <w:lang w:eastAsia="en-AU"/>
        </w:rPr>
      </w:pPr>
      <w:hyperlink w:anchor="_Toc497141053" w:history="1">
        <w:r w:rsidR="001C72F3" w:rsidRPr="00170206">
          <w:rPr>
            <w:rStyle w:val="Hyperlink"/>
            <w:noProof/>
          </w:rPr>
          <w:t>Figure 17 – Percentage RTW results by gender</w:t>
        </w:r>
        <w:r w:rsidR="001C72F3">
          <w:rPr>
            <w:noProof/>
            <w:webHidden/>
          </w:rPr>
          <w:tab/>
        </w:r>
        <w:r w:rsidR="001C72F3">
          <w:rPr>
            <w:noProof/>
            <w:webHidden/>
          </w:rPr>
          <w:fldChar w:fldCharType="begin"/>
        </w:r>
        <w:r w:rsidR="001C72F3">
          <w:rPr>
            <w:noProof/>
            <w:webHidden/>
          </w:rPr>
          <w:instrText xml:space="preserve"> PAGEREF _Toc497141053 \h </w:instrText>
        </w:r>
        <w:r w:rsidR="001C72F3">
          <w:rPr>
            <w:noProof/>
            <w:webHidden/>
          </w:rPr>
        </w:r>
        <w:r w:rsidR="001C72F3">
          <w:rPr>
            <w:noProof/>
            <w:webHidden/>
          </w:rPr>
          <w:fldChar w:fldCharType="separate"/>
        </w:r>
        <w:r>
          <w:rPr>
            <w:noProof/>
            <w:webHidden/>
          </w:rPr>
          <w:t>29</w:t>
        </w:r>
        <w:r w:rsidR="001C72F3">
          <w:rPr>
            <w:noProof/>
            <w:webHidden/>
          </w:rPr>
          <w:fldChar w:fldCharType="end"/>
        </w:r>
      </w:hyperlink>
    </w:p>
    <w:p w14:paraId="7E5EDFF5" w14:textId="77777777" w:rsidR="001C72F3" w:rsidRDefault="005D6308">
      <w:pPr>
        <w:pStyle w:val="TableofFigures"/>
        <w:tabs>
          <w:tab w:val="right" w:leader="dot" w:pos="8820"/>
        </w:tabs>
        <w:rPr>
          <w:rFonts w:asciiTheme="minorHAnsi" w:eastAsiaTheme="minorEastAsia" w:hAnsiTheme="minorHAnsi"/>
          <w:noProof/>
          <w:sz w:val="22"/>
          <w:szCs w:val="22"/>
          <w:lang w:eastAsia="en-AU"/>
        </w:rPr>
      </w:pPr>
      <w:hyperlink w:anchor="_Toc497141054" w:history="1">
        <w:r w:rsidR="001C72F3" w:rsidRPr="00170206">
          <w:rPr>
            <w:rStyle w:val="Hyperlink"/>
            <w:noProof/>
          </w:rPr>
          <w:t>Figure 18 – Percentage RTW results by employer size</w:t>
        </w:r>
        <w:r w:rsidR="001C72F3">
          <w:rPr>
            <w:noProof/>
            <w:webHidden/>
          </w:rPr>
          <w:tab/>
        </w:r>
        <w:r w:rsidR="001C72F3">
          <w:rPr>
            <w:noProof/>
            <w:webHidden/>
          </w:rPr>
          <w:fldChar w:fldCharType="begin"/>
        </w:r>
        <w:r w:rsidR="001C72F3">
          <w:rPr>
            <w:noProof/>
            <w:webHidden/>
          </w:rPr>
          <w:instrText xml:space="preserve"> PAGEREF _Toc497141054 \h </w:instrText>
        </w:r>
        <w:r w:rsidR="001C72F3">
          <w:rPr>
            <w:noProof/>
            <w:webHidden/>
          </w:rPr>
        </w:r>
        <w:r w:rsidR="001C72F3">
          <w:rPr>
            <w:noProof/>
            <w:webHidden/>
          </w:rPr>
          <w:fldChar w:fldCharType="separate"/>
        </w:r>
        <w:r>
          <w:rPr>
            <w:noProof/>
            <w:webHidden/>
          </w:rPr>
          <w:t>30</w:t>
        </w:r>
        <w:r w:rsidR="001C72F3">
          <w:rPr>
            <w:noProof/>
            <w:webHidden/>
          </w:rPr>
          <w:fldChar w:fldCharType="end"/>
        </w:r>
      </w:hyperlink>
    </w:p>
    <w:p w14:paraId="44FDF736" w14:textId="582FBD08" w:rsidR="00D50227" w:rsidRPr="00361807" w:rsidRDefault="00CC14A7" w:rsidP="00F13812">
      <w:pPr>
        <w:pStyle w:val="TOC1"/>
        <w:rPr>
          <w:rFonts w:eastAsiaTheme="minorHAnsi" w:cs="Arial"/>
          <w:szCs w:val="20"/>
          <w:lang w:eastAsia="en-US"/>
        </w:rPr>
      </w:pPr>
      <w:r w:rsidRPr="00361807">
        <w:rPr>
          <w:rFonts w:eastAsiaTheme="minorHAnsi" w:cs="Arial"/>
          <w:szCs w:val="20"/>
          <w:lang w:eastAsia="en-US"/>
        </w:rPr>
        <w:fldChar w:fldCharType="end"/>
      </w:r>
      <w:r w:rsidR="00D50227" w:rsidRPr="00361807">
        <w:rPr>
          <w:rFonts w:eastAsiaTheme="minorHAnsi" w:cs="Arial"/>
          <w:szCs w:val="20"/>
          <w:lang w:eastAsia="en-US"/>
        </w:rPr>
        <w:br w:type="page"/>
      </w:r>
    </w:p>
    <w:p w14:paraId="5E01A44A" w14:textId="48310D03" w:rsidR="00CC5526" w:rsidRPr="00CC5526" w:rsidRDefault="006C55DF" w:rsidP="005275C5">
      <w:pPr>
        <w:pStyle w:val="TOCHeading"/>
      </w:pPr>
      <w:r>
        <w:lastRenderedPageBreak/>
        <w:t>List of t</w:t>
      </w:r>
      <w:r w:rsidR="00CC5526" w:rsidRPr="00CC5526">
        <w:t>ables</w:t>
      </w:r>
    </w:p>
    <w:p w14:paraId="00088447" w14:textId="77777777" w:rsidR="00CC5526" w:rsidRPr="00FC2E18" w:rsidRDefault="00CC5526" w:rsidP="00CC5526">
      <w:pPr>
        <w:rPr>
          <w:sz w:val="2"/>
        </w:rPr>
      </w:pPr>
    </w:p>
    <w:p w14:paraId="068DA29F" w14:textId="77777777" w:rsidR="00E733F3" w:rsidRDefault="00CC5526">
      <w:pPr>
        <w:pStyle w:val="TableofFigures"/>
        <w:tabs>
          <w:tab w:val="right" w:leader="dot" w:pos="8820"/>
        </w:tabs>
        <w:rPr>
          <w:rFonts w:asciiTheme="minorHAnsi" w:eastAsiaTheme="minorEastAsia" w:hAnsiTheme="minorHAnsi"/>
          <w:noProof/>
          <w:sz w:val="22"/>
          <w:szCs w:val="22"/>
          <w:lang w:eastAsia="en-AU"/>
        </w:rPr>
      </w:pPr>
      <w:r w:rsidRPr="00361807">
        <w:rPr>
          <w:rFonts w:cs="Arial"/>
        </w:rPr>
        <w:fldChar w:fldCharType="begin"/>
      </w:r>
      <w:r w:rsidRPr="00361807">
        <w:rPr>
          <w:rFonts w:cs="Arial"/>
        </w:rPr>
        <w:instrText xml:space="preserve"> TOC \h \z \c "Table" </w:instrText>
      </w:r>
      <w:r w:rsidRPr="00361807">
        <w:rPr>
          <w:rFonts w:cs="Arial"/>
        </w:rPr>
        <w:fldChar w:fldCharType="separate"/>
      </w:r>
      <w:hyperlink w:anchor="_Toc494358565" w:history="1">
        <w:r w:rsidR="00E733F3" w:rsidRPr="00933846">
          <w:rPr>
            <w:rStyle w:val="Hyperlink"/>
            <w:noProof/>
          </w:rPr>
          <w:t>Table 1 – Proportion of employees at work at the time of the Return to Work Survey by influencing factor</w:t>
        </w:r>
        <w:r w:rsidR="00E733F3">
          <w:rPr>
            <w:noProof/>
            <w:webHidden/>
          </w:rPr>
          <w:tab/>
        </w:r>
        <w:r w:rsidR="00E733F3">
          <w:rPr>
            <w:noProof/>
            <w:webHidden/>
          </w:rPr>
          <w:fldChar w:fldCharType="begin"/>
        </w:r>
        <w:r w:rsidR="00E733F3">
          <w:rPr>
            <w:noProof/>
            <w:webHidden/>
          </w:rPr>
          <w:instrText xml:space="preserve"> PAGEREF _Toc494358565 \h </w:instrText>
        </w:r>
        <w:r w:rsidR="00E733F3">
          <w:rPr>
            <w:noProof/>
            <w:webHidden/>
          </w:rPr>
        </w:r>
        <w:r w:rsidR="00E733F3">
          <w:rPr>
            <w:noProof/>
            <w:webHidden/>
          </w:rPr>
          <w:fldChar w:fldCharType="separate"/>
        </w:r>
        <w:r w:rsidR="005D6308">
          <w:rPr>
            <w:noProof/>
            <w:webHidden/>
          </w:rPr>
          <w:t>11</w:t>
        </w:r>
        <w:r w:rsidR="00E733F3">
          <w:rPr>
            <w:noProof/>
            <w:webHidden/>
          </w:rPr>
          <w:fldChar w:fldCharType="end"/>
        </w:r>
      </w:hyperlink>
    </w:p>
    <w:p w14:paraId="02A4619E" w14:textId="77777777" w:rsidR="00E733F3" w:rsidRDefault="005D6308">
      <w:pPr>
        <w:pStyle w:val="TableofFigures"/>
        <w:tabs>
          <w:tab w:val="right" w:leader="dot" w:pos="8820"/>
        </w:tabs>
        <w:rPr>
          <w:rFonts w:asciiTheme="minorHAnsi" w:eastAsiaTheme="minorEastAsia" w:hAnsiTheme="minorHAnsi"/>
          <w:noProof/>
          <w:sz w:val="22"/>
          <w:szCs w:val="22"/>
          <w:lang w:eastAsia="en-AU"/>
        </w:rPr>
      </w:pPr>
      <w:hyperlink w:anchor="_Toc494358566" w:history="1">
        <w:r w:rsidR="00E733F3" w:rsidRPr="00933846">
          <w:rPr>
            <w:rStyle w:val="Hyperlink"/>
            <w:noProof/>
          </w:rPr>
          <w:t>Table 2 – Percentage at work at time of interview by response to employer support questions</w:t>
        </w:r>
        <w:r w:rsidR="00E733F3">
          <w:rPr>
            <w:noProof/>
            <w:webHidden/>
          </w:rPr>
          <w:tab/>
        </w:r>
        <w:r w:rsidR="00E733F3">
          <w:rPr>
            <w:noProof/>
            <w:webHidden/>
          </w:rPr>
          <w:fldChar w:fldCharType="begin"/>
        </w:r>
        <w:r w:rsidR="00E733F3">
          <w:rPr>
            <w:noProof/>
            <w:webHidden/>
          </w:rPr>
          <w:instrText xml:space="preserve"> PAGEREF _Toc494358566 \h </w:instrText>
        </w:r>
        <w:r w:rsidR="00E733F3">
          <w:rPr>
            <w:noProof/>
            <w:webHidden/>
          </w:rPr>
        </w:r>
        <w:r w:rsidR="00E733F3">
          <w:rPr>
            <w:noProof/>
            <w:webHidden/>
          </w:rPr>
          <w:fldChar w:fldCharType="separate"/>
        </w:r>
        <w:r>
          <w:rPr>
            <w:noProof/>
            <w:webHidden/>
          </w:rPr>
          <w:t>13</w:t>
        </w:r>
        <w:r w:rsidR="00E733F3">
          <w:rPr>
            <w:noProof/>
            <w:webHidden/>
          </w:rPr>
          <w:fldChar w:fldCharType="end"/>
        </w:r>
      </w:hyperlink>
    </w:p>
    <w:p w14:paraId="7741922F" w14:textId="77777777" w:rsidR="00E733F3" w:rsidRDefault="005D6308">
      <w:pPr>
        <w:pStyle w:val="TableofFigures"/>
        <w:tabs>
          <w:tab w:val="right" w:leader="dot" w:pos="8820"/>
        </w:tabs>
        <w:rPr>
          <w:rFonts w:asciiTheme="minorHAnsi" w:eastAsiaTheme="minorEastAsia" w:hAnsiTheme="minorHAnsi"/>
          <w:noProof/>
          <w:sz w:val="22"/>
          <w:szCs w:val="22"/>
          <w:lang w:eastAsia="en-AU"/>
        </w:rPr>
      </w:pPr>
      <w:hyperlink w:anchor="_Toc494358567" w:history="1">
        <w:r w:rsidR="00E733F3" w:rsidRPr="00933846">
          <w:rPr>
            <w:rStyle w:val="Hyperlink"/>
            <w:noProof/>
          </w:rPr>
          <w:t>Table 3 – Percentage RTW for three months or more at time of interview by response to employer support questions</w:t>
        </w:r>
        <w:r w:rsidR="00E733F3">
          <w:rPr>
            <w:noProof/>
            <w:webHidden/>
          </w:rPr>
          <w:tab/>
        </w:r>
        <w:r w:rsidR="00E733F3">
          <w:rPr>
            <w:noProof/>
            <w:webHidden/>
          </w:rPr>
          <w:fldChar w:fldCharType="begin"/>
        </w:r>
        <w:r w:rsidR="00E733F3">
          <w:rPr>
            <w:noProof/>
            <w:webHidden/>
          </w:rPr>
          <w:instrText xml:space="preserve"> PAGEREF _Toc494358567 \h </w:instrText>
        </w:r>
        <w:r w:rsidR="00E733F3">
          <w:rPr>
            <w:noProof/>
            <w:webHidden/>
          </w:rPr>
        </w:r>
        <w:r w:rsidR="00E733F3">
          <w:rPr>
            <w:noProof/>
            <w:webHidden/>
          </w:rPr>
          <w:fldChar w:fldCharType="separate"/>
        </w:r>
        <w:r>
          <w:rPr>
            <w:noProof/>
            <w:webHidden/>
          </w:rPr>
          <w:t>14</w:t>
        </w:r>
        <w:r w:rsidR="00E733F3">
          <w:rPr>
            <w:noProof/>
            <w:webHidden/>
          </w:rPr>
          <w:fldChar w:fldCharType="end"/>
        </w:r>
      </w:hyperlink>
    </w:p>
    <w:p w14:paraId="2992003A" w14:textId="77777777" w:rsidR="00E733F3" w:rsidRDefault="005D6308">
      <w:pPr>
        <w:pStyle w:val="TableofFigures"/>
        <w:tabs>
          <w:tab w:val="right" w:leader="dot" w:pos="8820"/>
        </w:tabs>
        <w:rPr>
          <w:rFonts w:asciiTheme="minorHAnsi" w:eastAsiaTheme="minorEastAsia" w:hAnsiTheme="minorHAnsi"/>
          <w:noProof/>
          <w:sz w:val="22"/>
          <w:szCs w:val="22"/>
          <w:lang w:eastAsia="en-AU"/>
        </w:rPr>
      </w:pPr>
      <w:hyperlink w:anchor="_Toc494358568" w:history="1">
        <w:r w:rsidR="00E733F3" w:rsidRPr="00933846">
          <w:rPr>
            <w:rStyle w:val="Hyperlink"/>
            <w:noProof/>
          </w:rPr>
          <w:t>Table 4 – Percentage who agreed with individual questions about employer response to their injury</w:t>
        </w:r>
        <w:r w:rsidR="00E733F3">
          <w:rPr>
            <w:noProof/>
            <w:webHidden/>
          </w:rPr>
          <w:tab/>
        </w:r>
        <w:r w:rsidR="00E733F3">
          <w:rPr>
            <w:noProof/>
            <w:webHidden/>
          </w:rPr>
          <w:fldChar w:fldCharType="begin"/>
        </w:r>
        <w:r w:rsidR="00E733F3">
          <w:rPr>
            <w:noProof/>
            <w:webHidden/>
          </w:rPr>
          <w:instrText xml:space="preserve"> PAGEREF _Toc494358568 \h </w:instrText>
        </w:r>
        <w:r w:rsidR="00E733F3">
          <w:rPr>
            <w:noProof/>
            <w:webHidden/>
          </w:rPr>
        </w:r>
        <w:r w:rsidR="00E733F3">
          <w:rPr>
            <w:noProof/>
            <w:webHidden/>
          </w:rPr>
          <w:fldChar w:fldCharType="separate"/>
        </w:r>
        <w:r>
          <w:rPr>
            <w:noProof/>
            <w:webHidden/>
          </w:rPr>
          <w:t>14</w:t>
        </w:r>
        <w:r w:rsidR="00E733F3">
          <w:rPr>
            <w:noProof/>
            <w:webHidden/>
          </w:rPr>
          <w:fldChar w:fldCharType="end"/>
        </w:r>
      </w:hyperlink>
    </w:p>
    <w:p w14:paraId="611F71BB" w14:textId="77777777" w:rsidR="00E733F3" w:rsidRDefault="005D6308">
      <w:pPr>
        <w:pStyle w:val="TableofFigures"/>
        <w:tabs>
          <w:tab w:val="right" w:leader="dot" w:pos="8820"/>
        </w:tabs>
        <w:rPr>
          <w:rFonts w:asciiTheme="minorHAnsi" w:eastAsiaTheme="minorEastAsia" w:hAnsiTheme="minorHAnsi"/>
          <w:noProof/>
          <w:sz w:val="22"/>
          <w:szCs w:val="22"/>
          <w:lang w:eastAsia="en-AU"/>
        </w:rPr>
      </w:pPr>
      <w:hyperlink w:anchor="_Toc494358569" w:history="1">
        <w:r w:rsidR="00E733F3" w:rsidRPr="00933846">
          <w:rPr>
            <w:rStyle w:val="Hyperlink"/>
            <w:noProof/>
          </w:rPr>
          <w:t>Table 5 – Percentage who had pre claim discussion with employer</w:t>
        </w:r>
        <w:r w:rsidR="00E733F3">
          <w:rPr>
            <w:noProof/>
            <w:webHidden/>
          </w:rPr>
          <w:tab/>
        </w:r>
        <w:r w:rsidR="00E733F3">
          <w:rPr>
            <w:noProof/>
            <w:webHidden/>
          </w:rPr>
          <w:fldChar w:fldCharType="begin"/>
        </w:r>
        <w:r w:rsidR="00E733F3">
          <w:rPr>
            <w:noProof/>
            <w:webHidden/>
          </w:rPr>
          <w:instrText xml:space="preserve"> PAGEREF _Toc494358569 \h </w:instrText>
        </w:r>
        <w:r w:rsidR="00E733F3">
          <w:rPr>
            <w:noProof/>
            <w:webHidden/>
          </w:rPr>
        </w:r>
        <w:r w:rsidR="00E733F3">
          <w:rPr>
            <w:noProof/>
            <w:webHidden/>
          </w:rPr>
          <w:fldChar w:fldCharType="separate"/>
        </w:r>
        <w:r>
          <w:rPr>
            <w:noProof/>
            <w:webHidden/>
          </w:rPr>
          <w:t>16</w:t>
        </w:r>
        <w:r w:rsidR="00E733F3">
          <w:rPr>
            <w:noProof/>
            <w:webHidden/>
          </w:rPr>
          <w:fldChar w:fldCharType="end"/>
        </w:r>
      </w:hyperlink>
    </w:p>
    <w:p w14:paraId="0E5B09C6" w14:textId="77777777" w:rsidR="00E733F3" w:rsidRDefault="005D6308">
      <w:pPr>
        <w:pStyle w:val="TableofFigures"/>
        <w:tabs>
          <w:tab w:val="right" w:leader="dot" w:pos="8820"/>
        </w:tabs>
        <w:rPr>
          <w:rFonts w:asciiTheme="minorHAnsi" w:eastAsiaTheme="minorEastAsia" w:hAnsiTheme="minorHAnsi"/>
          <w:noProof/>
          <w:sz w:val="22"/>
          <w:szCs w:val="22"/>
          <w:lang w:eastAsia="en-AU"/>
        </w:rPr>
      </w:pPr>
      <w:hyperlink w:anchor="_Toc494358570" w:history="1">
        <w:r w:rsidR="00E733F3" w:rsidRPr="00933846">
          <w:rPr>
            <w:rStyle w:val="Hyperlink"/>
            <w:noProof/>
          </w:rPr>
          <w:t>Table 6 – Percentage contacted within relevant time frames</w:t>
        </w:r>
        <w:r w:rsidR="00E733F3">
          <w:rPr>
            <w:noProof/>
            <w:webHidden/>
          </w:rPr>
          <w:tab/>
        </w:r>
        <w:r w:rsidR="00E733F3">
          <w:rPr>
            <w:noProof/>
            <w:webHidden/>
          </w:rPr>
          <w:fldChar w:fldCharType="begin"/>
        </w:r>
        <w:r w:rsidR="00E733F3">
          <w:rPr>
            <w:noProof/>
            <w:webHidden/>
          </w:rPr>
          <w:instrText xml:space="preserve"> PAGEREF _Toc494358570 \h </w:instrText>
        </w:r>
        <w:r w:rsidR="00E733F3">
          <w:rPr>
            <w:noProof/>
            <w:webHidden/>
          </w:rPr>
        </w:r>
        <w:r w:rsidR="00E733F3">
          <w:rPr>
            <w:noProof/>
            <w:webHidden/>
          </w:rPr>
          <w:fldChar w:fldCharType="separate"/>
        </w:r>
        <w:r>
          <w:rPr>
            <w:noProof/>
            <w:webHidden/>
          </w:rPr>
          <w:t>18</w:t>
        </w:r>
        <w:r w:rsidR="00E733F3">
          <w:rPr>
            <w:noProof/>
            <w:webHidden/>
          </w:rPr>
          <w:fldChar w:fldCharType="end"/>
        </w:r>
      </w:hyperlink>
    </w:p>
    <w:p w14:paraId="5592A78D" w14:textId="77777777" w:rsidR="00E733F3" w:rsidRDefault="005D6308">
      <w:pPr>
        <w:pStyle w:val="TableofFigures"/>
        <w:tabs>
          <w:tab w:val="right" w:leader="dot" w:pos="8820"/>
        </w:tabs>
        <w:rPr>
          <w:rFonts w:asciiTheme="minorHAnsi" w:eastAsiaTheme="minorEastAsia" w:hAnsiTheme="minorHAnsi"/>
          <w:noProof/>
          <w:sz w:val="22"/>
          <w:szCs w:val="22"/>
          <w:lang w:eastAsia="en-AU"/>
        </w:rPr>
      </w:pPr>
      <w:hyperlink w:anchor="_Toc494358571" w:history="1">
        <w:r w:rsidR="00E733F3" w:rsidRPr="00933846">
          <w:rPr>
            <w:rStyle w:val="Hyperlink"/>
            <w:noProof/>
          </w:rPr>
          <w:t>Table 7 – Percentage at work at time of interview by response to concern about claim lodgement questions</w:t>
        </w:r>
        <w:r w:rsidR="00E733F3">
          <w:rPr>
            <w:noProof/>
            <w:webHidden/>
          </w:rPr>
          <w:tab/>
        </w:r>
        <w:r w:rsidR="00E733F3">
          <w:rPr>
            <w:noProof/>
            <w:webHidden/>
          </w:rPr>
          <w:fldChar w:fldCharType="begin"/>
        </w:r>
        <w:r w:rsidR="00E733F3">
          <w:rPr>
            <w:noProof/>
            <w:webHidden/>
          </w:rPr>
          <w:instrText xml:space="preserve"> PAGEREF _Toc494358571 \h </w:instrText>
        </w:r>
        <w:r w:rsidR="00E733F3">
          <w:rPr>
            <w:noProof/>
            <w:webHidden/>
          </w:rPr>
        </w:r>
        <w:r w:rsidR="00E733F3">
          <w:rPr>
            <w:noProof/>
            <w:webHidden/>
          </w:rPr>
          <w:fldChar w:fldCharType="separate"/>
        </w:r>
        <w:r>
          <w:rPr>
            <w:noProof/>
            <w:webHidden/>
          </w:rPr>
          <w:t>19</w:t>
        </w:r>
        <w:r w:rsidR="00E733F3">
          <w:rPr>
            <w:noProof/>
            <w:webHidden/>
          </w:rPr>
          <w:fldChar w:fldCharType="end"/>
        </w:r>
      </w:hyperlink>
    </w:p>
    <w:p w14:paraId="7632B605" w14:textId="77777777" w:rsidR="00E733F3" w:rsidRDefault="005D6308">
      <w:pPr>
        <w:pStyle w:val="TableofFigures"/>
        <w:tabs>
          <w:tab w:val="right" w:leader="dot" w:pos="8820"/>
        </w:tabs>
        <w:rPr>
          <w:rFonts w:asciiTheme="minorHAnsi" w:eastAsiaTheme="minorEastAsia" w:hAnsiTheme="minorHAnsi"/>
          <w:noProof/>
          <w:sz w:val="22"/>
          <w:szCs w:val="22"/>
          <w:lang w:eastAsia="en-AU"/>
        </w:rPr>
      </w:pPr>
      <w:hyperlink w:anchor="_Toc494358572" w:history="1">
        <w:r w:rsidR="00E733F3" w:rsidRPr="00933846">
          <w:rPr>
            <w:rStyle w:val="Hyperlink"/>
            <w:noProof/>
          </w:rPr>
          <w:t>Table 8 – Percentage RTW for three months or more at time of interview by response to concern about claim lodgement questions</w:t>
        </w:r>
        <w:r w:rsidR="00E733F3">
          <w:rPr>
            <w:noProof/>
            <w:webHidden/>
          </w:rPr>
          <w:tab/>
        </w:r>
        <w:r w:rsidR="00E733F3">
          <w:rPr>
            <w:noProof/>
            <w:webHidden/>
          </w:rPr>
          <w:fldChar w:fldCharType="begin"/>
        </w:r>
        <w:r w:rsidR="00E733F3">
          <w:rPr>
            <w:noProof/>
            <w:webHidden/>
          </w:rPr>
          <w:instrText xml:space="preserve"> PAGEREF _Toc494358572 \h </w:instrText>
        </w:r>
        <w:r w:rsidR="00E733F3">
          <w:rPr>
            <w:noProof/>
            <w:webHidden/>
          </w:rPr>
        </w:r>
        <w:r w:rsidR="00E733F3">
          <w:rPr>
            <w:noProof/>
            <w:webHidden/>
          </w:rPr>
          <w:fldChar w:fldCharType="separate"/>
        </w:r>
        <w:r>
          <w:rPr>
            <w:noProof/>
            <w:webHidden/>
          </w:rPr>
          <w:t>19</w:t>
        </w:r>
        <w:r w:rsidR="00E733F3">
          <w:rPr>
            <w:noProof/>
            <w:webHidden/>
          </w:rPr>
          <w:fldChar w:fldCharType="end"/>
        </w:r>
      </w:hyperlink>
    </w:p>
    <w:p w14:paraId="127DC9F1" w14:textId="77777777" w:rsidR="00E733F3" w:rsidRDefault="005D6308">
      <w:pPr>
        <w:pStyle w:val="TableofFigures"/>
        <w:tabs>
          <w:tab w:val="right" w:leader="dot" w:pos="8820"/>
        </w:tabs>
        <w:rPr>
          <w:rFonts w:asciiTheme="minorHAnsi" w:eastAsiaTheme="minorEastAsia" w:hAnsiTheme="minorHAnsi"/>
          <w:noProof/>
          <w:sz w:val="22"/>
          <w:szCs w:val="22"/>
          <w:lang w:eastAsia="en-AU"/>
        </w:rPr>
      </w:pPr>
      <w:hyperlink w:anchor="_Toc494358573" w:history="1">
        <w:r w:rsidR="00E733F3" w:rsidRPr="00933846">
          <w:rPr>
            <w:rStyle w:val="Hyperlink"/>
            <w:noProof/>
          </w:rPr>
          <w:t>Table 9 – Percentage who agreed with individual questions about claim lodgement concerns</w:t>
        </w:r>
        <w:r w:rsidR="00E733F3">
          <w:rPr>
            <w:noProof/>
            <w:webHidden/>
          </w:rPr>
          <w:tab/>
        </w:r>
        <w:r w:rsidR="00E733F3">
          <w:rPr>
            <w:noProof/>
            <w:webHidden/>
          </w:rPr>
          <w:fldChar w:fldCharType="begin"/>
        </w:r>
        <w:r w:rsidR="00E733F3">
          <w:rPr>
            <w:noProof/>
            <w:webHidden/>
          </w:rPr>
          <w:instrText xml:space="preserve"> PAGEREF _Toc494358573 \h </w:instrText>
        </w:r>
        <w:r w:rsidR="00E733F3">
          <w:rPr>
            <w:noProof/>
            <w:webHidden/>
          </w:rPr>
        </w:r>
        <w:r w:rsidR="00E733F3">
          <w:rPr>
            <w:noProof/>
            <w:webHidden/>
          </w:rPr>
          <w:fldChar w:fldCharType="separate"/>
        </w:r>
        <w:r>
          <w:rPr>
            <w:noProof/>
            <w:webHidden/>
          </w:rPr>
          <w:t>20</w:t>
        </w:r>
        <w:r w:rsidR="00E733F3">
          <w:rPr>
            <w:noProof/>
            <w:webHidden/>
          </w:rPr>
          <w:fldChar w:fldCharType="end"/>
        </w:r>
      </w:hyperlink>
    </w:p>
    <w:p w14:paraId="7EB8DA38" w14:textId="77777777" w:rsidR="00E733F3" w:rsidRDefault="005D6308">
      <w:pPr>
        <w:pStyle w:val="TableofFigures"/>
        <w:tabs>
          <w:tab w:val="right" w:leader="dot" w:pos="8820"/>
        </w:tabs>
        <w:rPr>
          <w:rFonts w:asciiTheme="minorHAnsi" w:eastAsiaTheme="minorEastAsia" w:hAnsiTheme="minorHAnsi"/>
          <w:noProof/>
          <w:sz w:val="22"/>
          <w:szCs w:val="22"/>
          <w:lang w:eastAsia="en-AU"/>
        </w:rPr>
      </w:pPr>
      <w:hyperlink w:anchor="_Toc494358574" w:history="1">
        <w:r w:rsidR="00E733F3" w:rsidRPr="00933846">
          <w:rPr>
            <w:rStyle w:val="Hyperlink"/>
            <w:noProof/>
          </w:rPr>
          <w:t>Table 10 – Percentage RTW at time of interview by response to workplace culture individual questions</w:t>
        </w:r>
        <w:r w:rsidR="00E733F3">
          <w:rPr>
            <w:noProof/>
            <w:webHidden/>
          </w:rPr>
          <w:tab/>
        </w:r>
        <w:r w:rsidR="00E733F3">
          <w:rPr>
            <w:noProof/>
            <w:webHidden/>
          </w:rPr>
          <w:fldChar w:fldCharType="begin"/>
        </w:r>
        <w:r w:rsidR="00E733F3">
          <w:rPr>
            <w:noProof/>
            <w:webHidden/>
          </w:rPr>
          <w:instrText xml:space="preserve"> PAGEREF _Toc494358574 \h </w:instrText>
        </w:r>
        <w:r w:rsidR="00E733F3">
          <w:rPr>
            <w:noProof/>
            <w:webHidden/>
          </w:rPr>
        </w:r>
        <w:r w:rsidR="00E733F3">
          <w:rPr>
            <w:noProof/>
            <w:webHidden/>
          </w:rPr>
          <w:fldChar w:fldCharType="separate"/>
        </w:r>
        <w:r>
          <w:rPr>
            <w:noProof/>
            <w:webHidden/>
          </w:rPr>
          <w:t>21</w:t>
        </w:r>
        <w:r w:rsidR="00E733F3">
          <w:rPr>
            <w:noProof/>
            <w:webHidden/>
          </w:rPr>
          <w:fldChar w:fldCharType="end"/>
        </w:r>
      </w:hyperlink>
    </w:p>
    <w:p w14:paraId="149894FA" w14:textId="77777777" w:rsidR="00E733F3" w:rsidRDefault="005D6308">
      <w:pPr>
        <w:pStyle w:val="TableofFigures"/>
        <w:tabs>
          <w:tab w:val="right" w:leader="dot" w:pos="8820"/>
        </w:tabs>
        <w:rPr>
          <w:rFonts w:asciiTheme="minorHAnsi" w:eastAsiaTheme="minorEastAsia" w:hAnsiTheme="minorHAnsi"/>
          <w:noProof/>
          <w:sz w:val="22"/>
          <w:szCs w:val="22"/>
          <w:lang w:eastAsia="en-AU"/>
        </w:rPr>
      </w:pPr>
      <w:hyperlink w:anchor="_Toc494358575" w:history="1">
        <w:r w:rsidR="00E733F3" w:rsidRPr="00933846">
          <w:rPr>
            <w:rStyle w:val="Hyperlink"/>
            <w:noProof/>
          </w:rPr>
          <w:t>Table 11 – Percentage RTW for three months or more at time of interview by response to workplace culture individual questions</w:t>
        </w:r>
        <w:r w:rsidR="00E733F3">
          <w:rPr>
            <w:noProof/>
            <w:webHidden/>
          </w:rPr>
          <w:tab/>
        </w:r>
        <w:r w:rsidR="00E733F3">
          <w:rPr>
            <w:noProof/>
            <w:webHidden/>
          </w:rPr>
          <w:fldChar w:fldCharType="begin"/>
        </w:r>
        <w:r w:rsidR="00E733F3">
          <w:rPr>
            <w:noProof/>
            <w:webHidden/>
          </w:rPr>
          <w:instrText xml:space="preserve"> PAGEREF _Toc494358575 \h </w:instrText>
        </w:r>
        <w:r w:rsidR="00E733F3">
          <w:rPr>
            <w:noProof/>
            <w:webHidden/>
          </w:rPr>
        </w:r>
        <w:r w:rsidR="00E733F3">
          <w:rPr>
            <w:noProof/>
            <w:webHidden/>
          </w:rPr>
          <w:fldChar w:fldCharType="separate"/>
        </w:r>
        <w:r>
          <w:rPr>
            <w:noProof/>
            <w:webHidden/>
          </w:rPr>
          <w:t>21</w:t>
        </w:r>
        <w:r w:rsidR="00E733F3">
          <w:rPr>
            <w:noProof/>
            <w:webHidden/>
          </w:rPr>
          <w:fldChar w:fldCharType="end"/>
        </w:r>
      </w:hyperlink>
    </w:p>
    <w:p w14:paraId="3C97ED3F" w14:textId="77777777" w:rsidR="00E733F3" w:rsidRDefault="005D6308">
      <w:pPr>
        <w:pStyle w:val="TableofFigures"/>
        <w:tabs>
          <w:tab w:val="right" w:leader="dot" w:pos="8820"/>
        </w:tabs>
        <w:rPr>
          <w:rFonts w:asciiTheme="minorHAnsi" w:eastAsiaTheme="minorEastAsia" w:hAnsiTheme="minorHAnsi"/>
          <w:noProof/>
          <w:sz w:val="22"/>
          <w:szCs w:val="22"/>
          <w:lang w:eastAsia="en-AU"/>
        </w:rPr>
      </w:pPr>
      <w:hyperlink w:anchor="_Toc494358576" w:history="1">
        <w:r w:rsidR="00E733F3" w:rsidRPr="00933846">
          <w:rPr>
            <w:rStyle w:val="Hyperlink"/>
            <w:noProof/>
          </w:rPr>
          <w:t>Table 12 – Percentage who agreed with individual questions about workplace culture prior to their injury</w:t>
        </w:r>
        <w:r w:rsidR="00E733F3">
          <w:rPr>
            <w:noProof/>
            <w:webHidden/>
          </w:rPr>
          <w:tab/>
        </w:r>
        <w:r w:rsidR="00E733F3">
          <w:rPr>
            <w:noProof/>
            <w:webHidden/>
          </w:rPr>
          <w:fldChar w:fldCharType="begin"/>
        </w:r>
        <w:r w:rsidR="00E733F3">
          <w:rPr>
            <w:noProof/>
            <w:webHidden/>
          </w:rPr>
          <w:instrText xml:space="preserve"> PAGEREF _Toc494358576 \h </w:instrText>
        </w:r>
        <w:r w:rsidR="00E733F3">
          <w:rPr>
            <w:noProof/>
            <w:webHidden/>
          </w:rPr>
        </w:r>
        <w:r w:rsidR="00E733F3">
          <w:rPr>
            <w:noProof/>
            <w:webHidden/>
          </w:rPr>
          <w:fldChar w:fldCharType="separate"/>
        </w:r>
        <w:r>
          <w:rPr>
            <w:noProof/>
            <w:webHidden/>
          </w:rPr>
          <w:t>22</w:t>
        </w:r>
        <w:r w:rsidR="00E733F3">
          <w:rPr>
            <w:noProof/>
            <w:webHidden/>
          </w:rPr>
          <w:fldChar w:fldCharType="end"/>
        </w:r>
      </w:hyperlink>
    </w:p>
    <w:p w14:paraId="2B756D18" w14:textId="77777777" w:rsidR="00E733F3" w:rsidRDefault="005D6308">
      <w:pPr>
        <w:pStyle w:val="TableofFigures"/>
        <w:tabs>
          <w:tab w:val="right" w:leader="dot" w:pos="8820"/>
        </w:tabs>
        <w:rPr>
          <w:rFonts w:asciiTheme="minorHAnsi" w:eastAsiaTheme="minorEastAsia" w:hAnsiTheme="minorHAnsi"/>
          <w:noProof/>
          <w:sz w:val="22"/>
          <w:szCs w:val="22"/>
          <w:lang w:eastAsia="en-AU"/>
        </w:rPr>
      </w:pPr>
      <w:hyperlink w:anchor="_Toc494358577" w:history="1">
        <w:r w:rsidR="00E733F3" w:rsidRPr="00933846">
          <w:rPr>
            <w:rStyle w:val="Hyperlink"/>
            <w:noProof/>
          </w:rPr>
          <w:t>Table 13 – Percentage at work at time of interview by response to Interaction with the scheme/claims organisation individual questions</w:t>
        </w:r>
        <w:r w:rsidR="00E733F3">
          <w:rPr>
            <w:noProof/>
            <w:webHidden/>
          </w:rPr>
          <w:tab/>
        </w:r>
        <w:r w:rsidR="00E733F3">
          <w:rPr>
            <w:noProof/>
            <w:webHidden/>
          </w:rPr>
          <w:fldChar w:fldCharType="begin"/>
        </w:r>
        <w:r w:rsidR="00E733F3">
          <w:rPr>
            <w:noProof/>
            <w:webHidden/>
          </w:rPr>
          <w:instrText xml:space="preserve"> PAGEREF _Toc494358577 \h </w:instrText>
        </w:r>
        <w:r w:rsidR="00E733F3">
          <w:rPr>
            <w:noProof/>
            <w:webHidden/>
          </w:rPr>
        </w:r>
        <w:r w:rsidR="00E733F3">
          <w:rPr>
            <w:noProof/>
            <w:webHidden/>
          </w:rPr>
          <w:fldChar w:fldCharType="separate"/>
        </w:r>
        <w:r>
          <w:rPr>
            <w:noProof/>
            <w:webHidden/>
          </w:rPr>
          <w:t>23</w:t>
        </w:r>
        <w:r w:rsidR="00E733F3">
          <w:rPr>
            <w:noProof/>
            <w:webHidden/>
          </w:rPr>
          <w:fldChar w:fldCharType="end"/>
        </w:r>
      </w:hyperlink>
    </w:p>
    <w:p w14:paraId="52E6F813" w14:textId="77777777" w:rsidR="00E733F3" w:rsidRDefault="005D6308">
      <w:pPr>
        <w:pStyle w:val="TableofFigures"/>
        <w:tabs>
          <w:tab w:val="right" w:leader="dot" w:pos="8820"/>
        </w:tabs>
        <w:rPr>
          <w:rFonts w:asciiTheme="minorHAnsi" w:eastAsiaTheme="minorEastAsia" w:hAnsiTheme="minorHAnsi"/>
          <w:noProof/>
          <w:sz w:val="22"/>
          <w:szCs w:val="22"/>
          <w:lang w:eastAsia="en-AU"/>
        </w:rPr>
      </w:pPr>
      <w:hyperlink w:anchor="_Toc494358578" w:history="1">
        <w:r w:rsidR="00E733F3" w:rsidRPr="00933846">
          <w:rPr>
            <w:rStyle w:val="Hyperlink"/>
            <w:noProof/>
          </w:rPr>
          <w:t>Table 14 – Percentage RTW for three months or more at time of interview by response to interaction with the scheme/claims organisation individual questions</w:t>
        </w:r>
        <w:r w:rsidR="00E733F3">
          <w:rPr>
            <w:noProof/>
            <w:webHidden/>
          </w:rPr>
          <w:tab/>
        </w:r>
        <w:r w:rsidR="00E733F3">
          <w:rPr>
            <w:noProof/>
            <w:webHidden/>
          </w:rPr>
          <w:fldChar w:fldCharType="begin"/>
        </w:r>
        <w:r w:rsidR="00E733F3">
          <w:rPr>
            <w:noProof/>
            <w:webHidden/>
          </w:rPr>
          <w:instrText xml:space="preserve"> PAGEREF _Toc494358578 \h </w:instrText>
        </w:r>
        <w:r w:rsidR="00E733F3">
          <w:rPr>
            <w:noProof/>
            <w:webHidden/>
          </w:rPr>
        </w:r>
        <w:r w:rsidR="00E733F3">
          <w:rPr>
            <w:noProof/>
            <w:webHidden/>
          </w:rPr>
          <w:fldChar w:fldCharType="separate"/>
        </w:r>
        <w:r>
          <w:rPr>
            <w:noProof/>
            <w:webHidden/>
          </w:rPr>
          <w:t>23</w:t>
        </w:r>
        <w:r w:rsidR="00E733F3">
          <w:rPr>
            <w:noProof/>
            <w:webHidden/>
          </w:rPr>
          <w:fldChar w:fldCharType="end"/>
        </w:r>
      </w:hyperlink>
    </w:p>
    <w:p w14:paraId="01C7E040" w14:textId="77777777" w:rsidR="00E733F3" w:rsidRDefault="005D6308">
      <w:pPr>
        <w:pStyle w:val="TableofFigures"/>
        <w:tabs>
          <w:tab w:val="right" w:leader="dot" w:pos="8820"/>
        </w:tabs>
        <w:rPr>
          <w:rFonts w:asciiTheme="minorHAnsi" w:eastAsiaTheme="minorEastAsia" w:hAnsiTheme="minorHAnsi"/>
          <w:noProof/>
          <w:sz w:val="22"/>
          <w:szCs w:val="22"/>
          <w:lang w:eastAsia="en-AU"/>
        </w:rPr>
      </w:pPr>
      <w:hyperlink w:anchor="_Toc494358579" w:history="1">
        <w:r w:rsidR="00E733F3" w:rsidRPr="00933846">
          <w:rPr>
            <w:rStyle w:val="Hyperlink"/>
            <w:noProof/>
          </w:rPr>
          <w:t>Table 15 – Percentage who agreed with individual questions about their interaction with the scheme/claims organisation</w:t>
        </w:r>
        <w:r w:rsidR="00E733F3">
          <w:rPr>
            <w:noProof/>
            <w:webHidden/>
          </w:rPr>
          <w:tab/>
        </w:r>
        <w:r w:rsidR="00E733F3">
          <w:rPr>
            <w:noProof/>
            <w:webHidden/>
          </w:rPr>
          <w:fldChar w:fldCharType="begin"/>
        </w:r>
        <w:r w:rsidR="00E733F3">
          <w:rPr>
            <w:noProof/>
            <w:webHidden/>
          </w:rPr>
          <w:instrText xml:space="preserve"> PAGEREF _Toc494358579 \h </w:instrText>
        </w:r>
        <w:r w:rsidR="00E733F3">
          <w:rPr>
            <w:noProof/>
            <w:webHidden/>
          </w:rPr>
        </w:r>
        <w:r w:rsidR="00E733F3">
          <w:rPr>
            <w:noProof/>
            <w:webHidden/>
          </w:rPr>
          <w:fldChar w:fldCharType="separate"/>
        </w:r>
        <w:r>
          <w:rPr>
            <w:noProof/>
            <w:webHidden/>
          </w:rPr>
          <w:t>23</w:t>
        </w:r>
        <w:r w:rsidR="00E733F3">
          <w:rPr>
            <w:noProof/>
            <w:webHidden/>
          </w:rPr>
          <w:fldChar w:fldCharType="end"/>
        </w:r>
      </w:hyperlink>
    </w:p>
    <w:p w14:paraId="6BF2A794" w14:textId="77777777" w:rsidR="00E733F3" w:rsidRDefault="005D6308">
      <w:pPr>
        <w:pStyle w:val="TableofFigures"/>
        <w:tabs>
          <w:tab w:val="right" w:leader="dot" w:pos="8820"/>
        </w:tabs>
        <w:rPr>
          <w:rFonts w:asciiTheme="minorHAnsi" w:eastAsiaTheme="minorEastAsia" w:hAnsiTheme="minorHAnsi"/>
          <w:noProof/>
          <w:sz w:val="22"/>
          <w:szCs w:val="22"/>
          <w:lang w:eastAsia="en-AU"/>
        </w:rPr>
      </w:pPr>
      <w:hyperlink w:anchor="_Toc494358580" w:history="1">
        <w:r w:rsidR="00E733F3" w:rsidRPr="00933846">
          <w:rPr>
            <w:rStyle w:val="Hyperlink"/>
            <w:noProof/>
          </w:rPr>
          <w:t>Table 16 – Percentage at work at time of interview by response to resilience individual questions</w:t>
        </w:r>
        <w:r w:rsidR="00E733F3">
          <w:rPr>
            <w:noProof/>
            <w:webHidden/>
          </w:rPr>
          <w:tab/>
        </w:r>
        <w:r w:rsidR="00E733F3">
          <w:rPr>
            <w:noProof/>
            <w:webHidden/>
          </w:rPr>
          <w:fldChar w:fldCharType="begin"/>
        </w:r>
        <w:r w:rsidR="00E733F3">
          <w:rPr>
            <w:noProof/>
            <w:webHidden/>
          </w:rPr>
          <w:instrText xml:space="preserve"> PAGEREF _Toc494358580 \h </w:instrText>
        </w:r>
        <w:r w:rsidR="00E733F3">
          <w:rPr>
            <w:noProof/>
            <w:webHidden/>
          </w:rPr>
        </w:r>
        <w:r w:rsidR="00E733F3">
          <w:rPr>
            <w:noProof/>
            <w:webHidden/>
          </w:rPr>
          <w:fldChar w:fldCharType="separate"/>
        </w:r>
        <w:r>
          <w:rPr>
            <w:noProof/>
            <w:webHidden/>
          </w:rPr>
          <w:t>26</w:t>
        </w:r>
        <w:r w:rsidR="00E733F3">
          <w:rPr>
            <w:noProof/>
            <w:webHidden/>
          </w:rPr>
          <w:fldChar w:fldCharType="end"/>
        </w:r>
      </w:hyperlink>
    </w:p>
    <w:p w14:paraId="5713B8AD" w14:textId="77777777" w:rsidR="00E733F3" w:rsidRDefault="005D6308">
      <w:pPr>
        <w:pStyle w:val="TableofFigures"/>
        <w:tabs>
          <w:tab w:val="right" w:leader="dot" w:pos="8820"/>
        </w:tabs>
        <w:rPr>
          <w:rFonts w:asciiTheme="minorHAnsi" w:eastAsiaTheme="minorEastAsia" w:hAnsiTheme="minorHAnsi"/>
          <w:noProof/>
          <w:sz w:val="22"/>
          <w:szCs w:val="22"/>
          <w:lang w:eastAsia="en-AU"/>
        </w:rPr>
      </w:pPr>
      <w:hyperlink w:anchor="_Toc494358581" w:history="1">
        <w:r w:rsidR="00E733F3" w:rsidRPr="00933846">
          <w:rPr>
            <w:rStyle w:val="Hyperlink"/>
            <w:noProof/>
          </w:rPr>
          <w:t>Table 17 – Percentage RTW for three months or more at time of interview by response to resilience individual questions</w:t>
        </w:r>
        <w:r w:rsidR="00E733F3">
          <w:rPr>
            <w:noProof/>
            <w:webHidden/>
          </w:rPr>
          <w:tab/>
        </w:r>
        <w:r w:rsidR="00E733F3">
          <w:rPr>
            <w:noProof/>
            <w:webHidden/>
          </w:rPr>
          <w:fldChar w:fldCharType="begin"/>
        </w:r>
        <w:r w:rsidR="00E733F3">
          <w:rPr>
            <w:noProof/>
            <w:webHidden/>
          </w:rPr>
          <w:instrText xml:space="preserve"> PAGEREF _Toc494358581 \h </w:instrText>
        </w:r>
        <w:r w:rsidR="00E733F3">
          <w:rPr>
            <w:noProof/>
            <w:webHidden/>
          </w:rPr>
        </w:r>
        <w:r w:rsidR="00E733F3">
          <w:rPr>
            <w:noProof/>
            <w:webHidden/>
          </w:rPr>
          <w:fldChar w:fldCharType="separate"/>
        </w:r>
        <w:r>
          <w:rPr>
            <w:noProof/>
            <w:webHidden/>
          </w:rPr>
          <w:t>26</w:t>
        </w:r>
        <w:r w:rsidR="00E733F3">
          <w:rPr>
            <w:noProof/>
            <w:webHidden/>
          </w:rPr>
          <w:fldChar w:fldCharType="end"/>
        </w:r>
      </w:hyperlink>
    </w:p>
    <w:p w14:paraId="2AA0A26F" w14:textId="77777777" w:rsidR="00E733F3" w:rsidRDefault="005D6308">
      <w:pPr>
        <w:pStyle w:val="TableofFigures"/>
        <w:tabs>
          <w:tab w:val="right" w:leader="dot" w:pos="8820"/>
        </w:tabs>
        <w:rPr>
          <w:rFonts w:asciiTheme="minorHAnsi" w:eastAsiaTheme="minorEastAsia" w:hAnsiTheme="minorHAnsi"/>
          <w:noProof/>
          <w:sz w:val="22"/>
          <w:szCs w:val="22"/>
          <w:lang w:eastAsia="en-AU"/>
        </w:rPr>
      </w:pPr>
      <w:hyperlink w:anchor="_Toc494358582" w:history="1">
        <w:r w:rsidR="00E733F3" w:rsidRPr="00933846">
          <w:rPr>
            <w:rStyle w:val="Hyperlink"/>
            <w:noProof/>
          </w:rPr>
          <w:t>Table 18 – Percentage who agreed with individual questions about their level of resilience</w:t>
        </w:r>
        <w:r w:rsidR="00E733F3">
          <w:rPr>
            <w:noProof/>
            <w:webHidden/>
          </w:rPr>
          <w:tab/>
        </w:r>
        <w:r w:rsidR="00E733F3">
          <w:rPr>
            <w:noProof/>
            <w:webHidden/>
          </w:rPr>
          <w:fldChar w:fldCharType="begin"/>
        </w:r>
        <w:r w:rsidR="00E733F3">
          <w:rPr>
            <w:noProof/>
            <w:webHidden/>
          </w:rPr>
          <w:instrText xml:space="preserve"> PAGEREF _Toc494358582 \h </w:instrText>
        </w:r>
        <w:r w:rsidR="00E733F3">
          <w:rPr>
            <w:noProof/>
            <w:webHidden/>
          </w:rPr>
        </w:r>
        <w:r w:rsidR="00E733F3">
          <w:rPr>
            <w:noProof/>
            <w:webHidden/>
          </w:rPr>
          <w:fldChar w:fldCharType="separate"/>
        </w:r>
        <w:r>
          <w:rPr>
            <w:noProof/>
            <w:webHidden/>
          </w:rPr>
          <w:t>27</w:t>
        </w:r>
        <w:r w:rsidR="00E733F3">
          <w:rPr>
            <w:noProof/>
            <w:webHidden/>
          </w:rPr>
          <w:fldChar w:fldCharType="end"/>
        </w:r>
      </w:hyperlink>
    </w:p>
    <w:p w14:paraId="6F845124" w14:textId="77777777" w:rsidR="00E733F3" w:rsidRDefault="005D6308">
      <w:pPr>
        <w:pStyle w:val="TableofFigures"/>
        <w:tabs>
          <w:tab w:val="right" w:leader="dot" w:pos="8820"/>
        </w:tabs>
        <w:rPr>
          <w:rFonts w:asciiTheme="minorHAnsi" w:eastAsiaTheme="minorEastAsia" w:hAnsiTheme="minorHAnsi"/>
          <w:noProof/>
          <w:sz w:val="22"/>
          <w:szCs w:val="22"/>
          <w:lang w:eastAsia="en-AU"/>
        </w:rPr>
      </w:pPr>
      <w:hyperlink w:anchor="_Toc494358583" w:history="1">
        <w:r w:rsidR="00E733F3" w:rsidRPr="00933846">
          <w:rPr>
            <w:rStyle w:val="Hyperlink"/>
            <w:noProof/>
          </w:rPr>
          <w:t>Table 19 – Percentage RTW by helpfulness of return to work plan</w:t>
        </w:r>
        <w:r w:rsidR="00E733F3">
          <w:rPr>
            <w:noProof/>
            <w:webHidden/>
          </w:rPr>
          <w:tab/>
        </w:r>
        <w:r w:rsidR="00E733F3">
          <w:rPr>
            <w:noProof/>
            <w:webHidden/>
          </w:rPr>
          <w:fldChar w:fldCharType="begin"/>
        </w:r>
        <w:r w:rsidR="00E733F3">
          <w:rPr>
            <w:noProof/>
            <w:webHidden/>
          </w:rPr>
          <w:instrText xml:space="preserve"> PAGEREF _Toc494358583 \h </w:instrText>
        </w:r>
        <w:r w:rsidR="00E733F3">
          <w:rPr>
            <w:noProof/>
            <w:webHidden/>
          </w:rPr>
        </w:r>
        <w:r w:rsidR="00E733F3">
          <w:rPr>
            <w:noProof/>
            <w:webHidden/>
          </w:rPr>
          <w:fldChar w:fldCharType="separate"/>
        </w:r>
        <w:r>
          <w:rPr>
            <w:noProof/>
            <w:webHidden/>
          </w:rPr>
          <w:t>28</w:t>
        </w:r>
        <w:r w:rsidR="00E733F3">
          <w:rPr>
            <w:noProof/>
            <w:webHidden/>
          </w:rPr>
          <w:fldChar w:fldCharType="end"/>
        </w:r>
      </w:hyperlink>
    </w:p>
    <w:p w14:paraId="4229C398" w14:textId="77777777" w:rsidR="00E733F3" w:rsidRDefault="005D6308">
      <w:pPr>
        <w:pStyle w:val="TableofFigures"/>
        <w:tabs>
          <w:tab w:val="right" w:leader="dot" w:pos="8820"/>
        </w:tabs>
        <w:rPr>
          <w:rFonts w:asciiTheme="minorHAnsi" w:eastAsiaTheme="minorEastAsia" w:hAnsiTheme="minorHAnsi"/>
          <w:noProof/>
          <w:sz w:val="22"/>
          <w:szCs w:val="22"/>
          <w:lang w:eastAsia="en-AU"/>
        </w:rPr>
      </w:pPr>
      <w:hyperlink w:anchor="_Toc494358584" w:history="1">
        <w:r w:rsidR="00E733F3" w:rsidRPr="00933846">
          <w:rPr>
            <w:rStyle w:val="Hyperlink"/>
            <w:noProof/>
          </w:rPr>
          <w:t>Table 20 – Percentage RTW by whether views were considered during RTW</w:t>
        </w:r>
        <w:r w:rsidR="00E733F3">
          <w:rPr>
            <w:noProof/>
            <w:webHidden/>
          </w:rPr>
          <w:tab/>
        </w:r>
        <w:r w:rsidR="00E733F3">
          <w:rPr>
            <w:noProof/>
            <w:webHidden/>
          </w:rPr>
          <w:fldChar w:fldCharType="begin"/>
        </w:r>
        <w:r w:rsidR="00E733F3">
          <w:rPr>
            <w:noProof/>
            <w:webHidden/>
          </w:rPr>
          <w:instrText xml:space="preserve"> PAGEREF _Toc494358584 \h </w:instrText>
        </w:r>
        <w:r w:rsidR="00E733F3">
          <w:rPr>
            <w:noProof/>
            <w:webHidden/>
          </w:rPr>
        </w:r>
        <w:r w:rsidR="00E733F3">
          <w:rPr>
            <w:noProof/>
            <w:webHidden/>
          </w:rPr>
          <w:fldChar w:fldCharType="separate"/>
        </w:r>
        <w:r>
          <w:rPr>
            <w:noProof/>
            <w:webHidden/>
          </w:rPr>
          <w:t>28</w:t>
        </w:r>
        <w:r w:rsidR="00E733F3">
          <w:rPr>
            <w:noProof/>
            <w:webHidden/>
          </w:rPr>
          <w:fldChar w:fldCharType="end"/>
        </w:r>
      </w:hyperlink>
    </w:p>
    <w:p w14:paraId="34C15A81" w14:textId="7A4712D0" w:rsidR="00D60313" w:rsidRPr="00361807" w:rsidRDefault="00CC5526" w:rsidP="00F13812">
      <w:pPr>
        <w:pStyle w:val="TOC1"/>
        <w:rPr>
          <w:rFonts w:cs="Arial"/>
        </w:rPr>
      </w:pPr>
      <w:r w:rsidRPr="00361807">
        <w:rPr>
          <w:rFonts w:cs="Arial"/>
        </w:rPr>
        <w:fldChar w:fldCharType="end"/>
      </w:r>
    </w:p>
    <w:p w14:paraId="50768AB5" w14:textId="77777777" w:rsidR="00E83B7F" w:rsidRPr="008A1C94" w:rsidRDefault="00E83B7F" w:rsidP="008A1C94">
      <w:pPr>
        <w:pStyle w:val="SWA1stHeading"/>
        <w:numPr>
          <w:ilvl w:val="0"/>
          <w:numId w:val="0"/>
        </w:numPr>
      </w:pPr>
      <w:bookmarkStart w:id="1" w:name="_Toc497141011"/>
      <w:r w:rsidRPr="008A1C94">
        <w:lastRenderedPageBreak/>
        <w:t>Return to work after psychological claims</w:t>
      </w:r>
      <w:bookmarkEnd w:id="1"/>
    </w:p>
    <w:p w14:paraId="6EB42E53" w14:textId="77777777" w:rsidR="00E83B7F" w:rsidRPr="00C066B8" w:rsidRDefault="00E83B7F" w:rsidP="00C066B8">
      <w:pPr>
        <w:pStyle w:val="SWATableheader"/>
      </w:pPr>
      <w:r w:rsidRPr="00C066B8">
        <w:t>An analysis of the Return to Work Survey results</w:t>
      </w:r>
    </w:p>
    <w:p w14:paraId="11620790" w14:textId="77777777" w:rsidR="00E83B7F" w:rsidRPr="005275C5" w:rsidRDefault="00E83B7F" w:rsidP="007903D2">
      <w:pPr>
        <w:pStyle w:val="Heading1"/>
        <w:pageBreakBefore w:val="0"/>
      </w:pPr>
      <w:bookmarkStart w:id="2" w:name="_Toc473101886"/>
      <w:bookmarkStart w:id="3" w:name="_Toc497141012"/>
      <w:r w:rsidRPr="005275C5">
        <w:t>Introduction</w:t>
      </w:r>
      <w:bookmarkEnd w:id="2"/>
      <w:bookmarkEnd w:id="3"/>
    </w:p>
    <w:p w14:paraId="78C8D7E1" w14:textId="77777777" w:rsidR="00E83B7F" w:rsidRPr="00E83B7F" w:rsidRDefault="00E83B7F" w:rsidP="00E83B7F">
      <w:r w:rsidRPr="00E83B7F">
        <w:t>Psychological claims (sometimes called ‘psychiatric claims’ or ‘mental health claims’) are less frequent than physical injury claims but they can be more complex, with longer periods of time off work and lower chances of eventual return to work (RTW). They can substantially affect the well-being of the employee with the injury, the employer, and ultimately the community.</w:t>
      </w:r>
    </w:p>
    <w:p w14:paraId="4C0ED843" w14:textId="77777777" w:rsidR="00E83B7F" w:rsidRPr="00E83B7F" w:rsidRDefault="00E83B7F" w:rsidP="00E83B7F">
      <w:r w:rsidRPr="00E83B7F">
        <w:t xml:space="preserve">The aim of this project is to explore the factors which influence RTW in psychological claims. This project focuses on barriers and facilitators to RTW which can be influenced by policymakers. For example, policy makers may be able to influence the employer response to injury but will not be able to influence the duration of employment at the workplace prior to the injury. </w:t>
      </w:r>
    </w:p>
    <w:p w14:paraId="708B500A" w14:textId="77777777" w:rsidR="00E83B7F" w:rsidRPr="001A004E" w:rsidRDefault="00E83B7F" w:rsidP="001A004E">
      <w:pPr>
        <w:pStyle w:val="Heading2"/>
      </w:pPr>
      <w:bookmarkStart w:id="4" w:name="_Toc473101887"/>
      <w:bookmarkStart w:id="5" w:name="_Toc497141013"/>
      <w:r w:rsidRPr="001A004E">
        <w:t>Presentation of results</w:t>
      </w:r>
      <w:bookmarkEnd w:id="4"/>
      <w:bookmarkEnd w:id="5"/>
    </w:p>
    <w:p w14:paraId="2B8A7756" w14:textId="77777777" w:rsidR="00E83B7F" w:rsidRPr="00E83B7F" w:rsidRDefault="00E83B7F" w:rsidP="00E83B7F">
      <w:r w:rsidRPr="00AA0FAC">
        <w:t xml:space="preserve">This first report, </w:t>
      </w:r>
      <w:r w:rsidRPr="00AA0FAC">
        <w:rPr>
          <w:i/>
        </w:rPr>
        <w:t>Return to work in psychological injury claims</w:t>
      </w:r>
      <w:r w:rsidRPr="00AA0FAC">
        <w:t>, explores RTW and potential</w:t>
      </w:r>
      <w:r w:rsidRPr="00E83B7F">
        <w:t xml:space="preserve"> influencing factors through an analysis of data from the National Return to Work Survey. Two measures of RTW are used: the percentage of employees (workers) at work at the time of the survey interview, and the percentage back at work for at least three months at the time of the survey interview. The definitions of these measures are provided below. RTW results are compared by potential influencing factors. This first report includes a review of the literature on RTW after psychological injury, and highlights the survey results’ consistency with the available literature on psychological injury RTW influences. </w:t>
      </w:r>
    </w:p>
    <w:p w14:paraId="7A10E0B3" w14:textId="77777777" w:rsidR="00E83B7F" w:rsidRPr="00E83B7F" w:rsidRDefault="00E83B7F" w:rsidP="00E83B7F">
      <w:r w:rsidRPr="00E83B7F">
        <w:t xml:space="preserve">The second report, </w:t>
      </w:r>
      <w:r w:rsidRPr="00AA0FAC">
        <w:rPr>
          <w:i/>
        </w:rPr>
        <w:t>Return to work: a comparison of psychological and physical injury claims</w:t>
      </w:r>
      <w:r w:rsidRPr="00E83B7F">
        <w:t xml:space="preserve">, explores the similarities and differences between the two types of claims. Two aspects are examined: RTW by influencing factors, and the differing views of employees with physical and psychological injury claims about their RTW experiences. </w:t>
      </w:r>
    </w:p>
    <w:p w14:paraId="748937A6" w14:textId="77777777" w:rsidR="00E83B7F" w:rsidRPr="00DC1480" w:rsidRDefault="00E83B7F" w:rsidP="001A004E">
      <w:pPr>
        <w:pStyle w:val="Heading2"/>
      </w:pPr>
      <w:bookmarkStart w:id="6" w:name="_Toc473101888"/>
      <w:bookmarkStart w:id="7" w:name="_Toc497141014"/>
      <w:r w:rsidRPr="00DC1480">
        <w:t>Information analysed for this project</w:t>
      </w:r>
      <w:bookmarkEnd w:id="6"/>
      <w:bookmarkEnd w:id="7"/>
    </w:p>
    <w:p w14:paraId="4F28C87A" w14:textId="77777777" w:rsidR="00E83B7F" w:rsidRPr="00E83B7F" w:rsidRDefault="00E83B7F" w:rsidP="00E83B7F">
      <w:r w:rsidRPr="00E83B7F">
        <w:t>The data used in this report are from the National Return to Work Survey. The Survey is administered by the Social Research Centre</w:t>
      </w:r>
      <w:r w:rsidRPr="00E83B7F" w:rsidDel="007A670B">
        <w:t xml:space="preserve"> </w:t>
      </w:r>
      <w:r w:rsidRPr="00E83B7F">
        <w:t>using Computer Aided Telephone Interviewing.</w:t>
      </w:r>
      <w:r w:rsidRPr="00A20EE9">
        <w:rPr>
          <w:rStyle w:val="EndnoteReference"/>
        </w:rPr>
        <w:endnoteReference w:id="1"/>
      </w:r>
      <w:r w:rsidRPr="00E83B7F">
        <w:t xml:space="preserve"> This report includes the combined results from the 2013 and 2014 surveys. The response rate was approximately 80% of those who could be contacted.</w:t>
      </w:r>
    </w:p>
    <w:p w14:paraId="6A9FBCD2" w14:textId="60C9DAED" w:rsidR="00E83B7F" w:rsidRPr="00E83B7F" w:rsidRDefault="00112FD7" w:rsidP="00E83B7F">
      <w:r>
        <w:t>The S</w:t>
      </w:r>
      <w:r w:rsidR="00E83B7F" w:rsidRPr="00E83B7F">
        <w:t>urvey questions employees who have experienced an injury and have an accepted claim about their RTW experience. They are asked about their RTW status and their views on their interactions with their employer, treating practitioners, and the insurer or claims administrator. They are also asked about their health, barriers and facilitators to RTW, and about RTW initiatives.</w:t>
      </w:r>
    </w:p>
    <w:p w14:paraId="0D1BAF97" w14:textId="2D864E48" w:rsidR="00E83B7F" w:rsidRPr="00E83B7F" w:rsidRDefault="00112FD7" w:rsidP="00E83B7F">
      <w:r>
        <w:t>The S</w:t>
      </w:r>
      <w:r w:rsidR="00E83B7F" w:rsidRPr="00E83B7F">
        <w:t>urvey is undertaken with a sample of injured workers who:</w:t>
      </w:r>
    </w:p>
    <w:p w14:paraId="7A2BEB86" w14:textId="128D88E4" w:rsidR="00E83B7F" w:rsidRPr="00E83B7F" w:rsidRDefault="00E83B7F" w:rsidP="008C5DA6">
      <w:pPr>
        <w:pStyle w:val="SWABullets"/>
      </w:pPr>
      <w:r w:rsidRPr="00E83B7F">
        <w:t xml:space="preserve">have had </w:t>
      </w:r>
      <w:r w:rsidR="006D5163">
        <w:t>at least one day away from work</w:t>
      </w:r>
    </w:p>
    <w:p w14:paraId="01F77250" w14:textId="7A32C69F" w:rsidR="00E83B7F" w:rsidRPr="00E83B7F" w:rsidRDefault="00E83B7F" w:rsidP="008C5DA6">
      <w:pPr>
        <w:pStyle w:val="SWABullets"/>
      </w:pPr>
      <w:r w:rsidRPr="00E83B7F">
        <w:t>submitted a claim in the two years prior to the interview period</w:t>
      </w:r>
      <w:r w:rsidR="006D5163">
        <w:t>,</w:t>
      </w:r>
      <w:r w:rsidRPr="00E83B7F">
        <w:t xml:space="preserve"> and</w:t>
      </w:r>
    </w:p>
    <w:p w14:paraId="0CE9197E" w14:textId="77777777" w:rsidR="00E83B7F" w:rsidRPr="00E83B7F" w:rsidRDefault="00E83B7F" w:rsidP="008C5DA6">
      <w:pPr>
        <w:pStyle w:val="SWABullets"/>
      </w:pPr>
      <w:proofErr w:type="gramStart"/>
      <w:r w:rsidRPr="00E83B7F">
        <w:t>worked</w:t>
      </w:r>
      <w:proofErr w:type="gramEnd"/>
      <w:r w:rsidRPr="00E83B7F">
        <w:t xml:space="preserve"> in either premium-paying or self-insured organisations.</w:t>
      </w:r>
    </w:p>
    <w:p w14:paraId="6583B39E" w14:textId="3F9A808F" w:rsidR="00E83B7F" w:rsidRPr="00E83B7F" w:rsidRDefault="00E83B7F" w:rsidP="00E83B7F">
      <w:r w:rsidRPr="00454F7A">
        <w:t xml:space="preserve">Details of the </w:t>
      </w:r>
      <w:r w:rsidR="008F5F12">
        <w:t>Survey</w:t>
      </w:r>
      <w:r w:rsidRPr="00454F7A">
        <w:t xml:space="preserve"> can be found on the </w:t>
      </w:r>
      <w:hyperlink r:id="rId22" w:history="1">
        <w:r w:rsidRPr="00454F7A">
          <w:rPr>
            <w:rStyle w:val="Hyperlink"/>
          </w:rPr>
          <w:t>National Return to Work Survey</w:t>
        </w:r>
      </w:hyperlink>
      <w:r w:rsidRPr="00454F7A">
        <w:t xml:space="preserve"> page of the Safe Work Australia website. Approximately 9300 workers were surveyed</w:t>
      </w:r>
      <w:r w:rsidRPr="00E83B7F">
        <w:t xml:space="preserve"> over the two years. Seacare results have not been included in this analysis because of the unique nature of the Seacare system. </w:t>
      </w:r>
      <w:proofErr w:type="gramStart"/>
      <w:r w:rsidRPr="00E83B7F">
        <w:t>Of the 9377 results included in this analysis: 6.1% (575) had psychological claims and 93.2% (8736) physical claims.</w:t>
      </w:r>
      <w:proofErr w:type="gramEnd"/>
      <w:r w:rsidRPr="00E83B7F">
        <w:t xml:space="preserve"> 66 cases were missing an injury</w:t>
      </w:r>
      <w:r w:rsidR="00D05EC2">
        <w:t> </w:t>
      </w:r>
      <w:r w:rsidRPr="00E83B7F">
        <w:t xml:space="preserve">classification. </w:t>
      </w:r>
    </w:p>
    <w:p w14:paraId="088E91C1" w14:textId="76E4C1E0" w:rsidR="00E83B7F" w:rsidRPr="00E83B7F" w:rsidRDefault="00E83B7F" w:rsidP="00E83B7F">
      <w:r w:rsidRPr="00E83B7F">
        <w:t>Not all questions w</w:t>
      </w:r>
      <w:r w:rsidR="00112FD7">
        <w:t>ere asked in both years of the S</w:t>
      </w:r>
      <w:r w:rsidRPr="00E83B7F">
        <w:t xml:space="preserve">urvey, and not all questions were asked of workers in each jurisdiction (in this context, ‘jurisdiction’ refers to the varying systems of workers compensation in Australia, each regulated by a different government entity. These include, for example, WorkSafe Victoria, Comcare, WorkCover NSW, </w:t>
      </w:r>
      <w:proofErr w:type="gramStart"/>
      <w:r w:rsidRPr="00E83B7F">
        <w:t>ReturnToWorkSA</w:t>
      </w:r>
      <w:proofErr w:type="gramEnd"/>
      <w:r w:rsidRPr="00E83B7F">
        <w:t xml:space="preserve">). Not all jurisdictions were included in both years of the Survey, and not all jurisdictions included psychological cases in both sample years. </w:t>
      </w:r>
    </w:p>
    <w:p w14:paraId="607A49BD" w14:textId="0D20F6C8" w:rsidR="00E83B7F" w:rsidRPr="00E83B7F" w:rsidRDefault="00E83B7F" w:rsidP="00D50227">
      <w:pPr>
        <w:keepNext/>
        <w:keepLines/>
      </w:pPr>
      <w:r w:rsidRPr="00E83B7F">
        <w:lastRenderedPageBreak/>
        <w:t>Psychological claims were identified through the Type of Occurrence Classification System used by schemes and claim</w:t>
      </w:r>
      <w:r w:rsidR="008F5F12">
        <w:t>s administration</w:t>
      </w:r>
      <w:r w:rsidRPr="00E83B7F">
        <w:t xml:space="preserve"> organisations in Australia. Psychological claims assessed in these reports are those lodged as a primary psychological claim. This analysis does not include claims from employees who lodge a physical injury claim and subsequently develop psychological conditions, such as secondary depression. </w:t>
      </w:r>
    </w:p>
    <w:p w14:paraId="4E6BD371" w14:textId="7D6B8E17" w:rsidR="00E83B7F" w:rsidRPr="00E83B7F" w:rsidRDefault="00E83B7F" w:rsidP="00E83B7F">
      <w:r w:rsidRPr="00E83B7F">
        <w:t xml:space="preserve">Note that </w:t>
      </w:r>
      <w:r w:rsidR="008F5F12">
        <w:t xml:space="preserve">the </w:t>
      </w:r>
      <w:r w:rsidRPr="00E83B7F">
        <w:t>Survey data was analysed to examine the relationship between RTW and potential influencing factors. The results show association, which does not equate to</w:t>
      </w:r>
      <w:r w:rsidR="002263C3">
        <w:t> </w:t>
      </w:r>
      <w:r w:rsidRPr="00E83B7F">
        <w:t xml:space="preserve">causation. </w:t>
      </w:r>
    </w:p>
    <w:p w14:paraId="199B7297" w14:textId="77777777" w:rsidR="00E83B7F" w:rsidRPr="0000744A" w:rsidRDefault="00E83B7F" w:rsidP="0000744A">
      <w:r w:rsidRPr="0000744A">
        <w:t>RTW</w:t>
      </w:r>
      <w:r w:rsidRPr="0000744A" w:rsidDel="003429B9">
        <w:t xml:space="preserve"> </w:t>
      </w:r>
      <w:r w:rsidRPr="0000744A">
        <w:t>measures</w:t>
      </w:r>
      <w:r w:rsidRPr="0000744A" w:rsidDel="003429B9">
        <w:t xml:space="preserve"> used in this report </w:t>
      </w:r>
      <w:r w:rsidRPr="0000744A">
        <w:t>are</w:t>
      </w:r>
      <w:r w:rsidRPr="0000744A" w:rsidDel="003429B9">
        <w:t>:</w:t>
      </w:r>
    </w:p>
    <w:p w14:paraId="7B87CAD7" w14:textId="77777777" w:rsidR="00E83B7F" w:rsidRPr="0000744A" w:rsidRDefault="00E83B7F" w:rsidP="0000744A">
      <w:pPr>
        <w:pStyle w:val="SWABullets"/>
      </w:pPr>
      <w:r w:rsidRPr="0000744A">
        <w:rPr>
          <w:rStyle w:val="Strong"/>
        </w:rPr>
        <w:t>Current RTW proportion</w:t>
      </w:r>
      <w:r w:rsidRPr="0000744A">
        <w:t>: the proportion of injured workers who had returned to work and were working in a paid job at the time of the interview. This includes return to the employee’s normal job, other work, and includes normal or reduced hours of work.</w:t>
      </w:r>
    </w:p>
    <w:p w14:paraId="237D9EF5" w14:textId="2788B28C" w:rsidR="00E83B7F" w:rsidRPr="0000744A" w:rsidRDefault="00E83B7F" w:rsidP="0000744A">
      <w:pPr>
        <w:pStyle w:val="SWABullets"/>
      </w:pPr>
      <w:r w:rsidRPr="0000744A">
        <w:rPr>
          <w:rStyle w:val="Strong"/>
        </w:rPr>
        <w:t>3-month stable RTW proportion</w:t>
      </w:r>
      <w:r w:rsidRPr="0000744A">
        <w:t>: the proportion of injured workers who had returned to work and been back at work for at least three consecutive months at the time of the</w:t>
      </w:r>
      <w:r w:rsidR="002263C3">
        <w:t> </w:t>
      </w:r>
      <w:r w:rsidRPr="0000744A">
        <w:t xml:space="preserve">interview. </w:t>
      </w:r>
    </w:p>
    <w:p w14:paraId="2547D26E" w14:textId="680B0C93" w:rsidR="00E83B7F" w:rsidRPr="0000744A" w:rsidRDefault="00E83B7F" w:rsidP="0000744A">
      <w:r w:rsidRPr="0000744A">
        <w:t>Many of the Survey questions require answers to be provided on a Likert Scale (strongly agree, agree, neither agree/nor disagree, disagree or strongly disagree). For clarity and ease of understanding, most questions using those levels of agreement were transformed into ‘agree’ or ‘do not agree’. ‘Do not agree’ includes ‘neither agree nor disagree’, ‘disagree’ and ‘strongly disagree’. Participants who answered ‘Refused’ or ‘Don’t know/</w:t>
      </w:r>
      <w:proofErr w:type="gramStart"/>
      <w:r w:rsidRPr="0000744A">
        <w:t>Can’t</w:t>
      </w:r>
      <w:proofErr w:type="gramEnd"/>
      <w:r w:rsidRPr="0000744A">
        <w:t xml:space="preserve"> say’ have been excluded from the</w:t>
      </w:r>
      <w:r w:rsidR="003879FC">
        <w:t> </w:t>
      </w:r>
      <w:r w:rsidRPr="0000744A">
        <w:t>analysis.</w:t>
      </w:r>
    </w:p>
    <w:p w14:paraId="4F608CFE" w14:textId="52A281DF" w:rsidR="00E83B7F" w:rsidRPr="0000744A" w:rsidRDefault="00E83B7F" w:rsidP="0000744A">
      <w:r w:rsidRPr="0000744A">
        <w:t>About 270 questions could have been included in this report – too many to meaningfully</w:t>
      </w:r>
      <w:r w:rsidR="00112FD7">
        <w:t xml:space="preserve"> digest. Many questions in the S</w:t>
      </w:r>
      <w:r w:rsidRPr="0000744A">
        <w:t>urvey were therefore grouped into themes, representing employees’ views</w:t>
      </w:r>
      <w:r w:rsidR="00896694">
        <w:t> </w:t>
      </w:r>
      <w:r w:rsidRPr="0000744A">
        <w:t xml:space="preserve">on: </w:t>
      </w:r>
    </w:p>
    <w:p w14:paraId="460DCD9B" w14:textId="6FD2510C" w:rsidR="00E83B7F" w:rsidRPr="0000744A" w:rsidRDefault="00E83B7F" w:rsidP="0000744A">
      <w:pPr>
        <w:pStyle w:val="SWABullets"/>
      </w:pPr>
      <w:r w:rsidRPr="0000744A">
        <w:t>their emp</w:t>
      </w:r>
      <w:r w:rsidR="00BF3E70">
        <w:t>loyer’s response to the injury</w:t>
      </w:r>
    </w:p>
    <w:p w14:paraId="1A958B47" w14:textId="49274F33" w:rsidR="00E83B7F" w:rsidRPr="0000744A" w:rsidRDefault="00BF3E70" w:rsidP="0000744A">
      <w:pPr>
        <w:pStyle w:val="SWABullets"/>
      </w:pPr>
      <w:r>
        <w:t>lodging a claim</w:t>
      </w:r>
    </w:p>
    <w:p w14:paraId="760CDFB5" w14:textId="5D68F1E2" w:rsidR="00E83B7F" w:rsidRPr="0000744A" w:rsidRDefault="00E83B7F" w:rsidP="0000744A">
      <w:pPr>
        <w:pStyle w:val="SWABullets"/>
      </w:pPr>
      <w:r w:rsidRPr="0000744A">
        <w:t>whether their m</w:t>
      </w:r>
      <w:r w:rsidR="00BF3E70">
        <w:t>edical treatment supported RTW</w:t>
      </w:r>
    </w:p>
    <w:p w14:paraId="66EF1671" w14:textId="0B85D924" w:rsidR="00E83B7F" w:rsidRPr="0000744A" w:rsidRDefault="00BF3E70" w:rsidP="0000744A">
      <w:pPr>
        <w:pStyle w:val="SWABullets"/>
      </w:pPr>
      <w:r>
        <w:t>system/insurer quality</w:t>
      </w:r>
    </w:p>
    <w:p w14:paraId="7D3CD845" w14:textId="62524C1F" w:rsidR="00E83B7F" w:rsidRPr="0000744A" w:rsidRDefault="00E83B7F" w:rsidP="0000744A">
      <w:pPr>
        <w:pStyle w:val="SWABullets"/>
      </w:pPr>
      <w:r w:rsidRPr="0000744A">
        <w:t>their own resilience</w:t>
      </w:r>
      <w:r w:rsidR="00BF3E70">
        <w:t>,</w:t>
      </w:r>
      <w:r w:rsidRPr="0000744A">
        <w:t xml:space="preserve"> and </w:t>
      </w:r>
    </w:p>
    <w:p w14:paraId="2241CC80" w14:textId="77777777" w:rsidR="00E83B7F" w:rsidRPr="0000744A" w:rsidRDefault="00E83B7F" w:rsidP="0000744A">
      <w:pPr>
        <w:pStyle w:val="SWABullets"/>
      </w:pPr>
      <w:proofErr w:type="gramStart"/>
      <w:r w:rsidRPr="0000744A">
        <w:t>their</w:t>
      </w:r>
      <w:proofErr w:type="gramEnd"/>
      <w:r w:rsidRPr="0000744A">
        <w:t xml:space="preserve"> work and workplace culture prior to their injury.</w:t>
      </w:r>
    </w:p>
    <w:p w14:paraId="514F0086" w14:textId="3C09D458" w:rsidR="00E83B7F" w:rsidRPr="0000744A" w:rsidRDefault="00E83B7F" w:rsidP="0000744A">
      <w:r w:rsidRPr="0000744A">
        <w:t>Before grouping questions into themes, correlation assessments were performed using SPSS. Questions within most themes, other than the resilience questions, were strongly correlated (p&lt;.001). Further information on this procedure is included in the methodology section in the</w:t>
      </w:r>
      <w:r w:rsidR="002263C3">
        <w:t> </w:t>
      </w:r>
      <w:r w:rsidRPr="0000744A">
        <w:t xml:space="preserve">Appendix. </w:t>
      </w:r>
    </w:p>
    <w:p w14:paraId="5ED3ED18" w14:textId="2236FD52" w:rsidR="00E83B7F" w:rsidRPr="0000744A" w:rsidRDefault="00E83B7F" w:rsidP="0000744A">
      <w:r w:rsidRPr="0000744A">
        <w:t xml:space="preserve">The results represent the average of the responses to individual </w:t>
      </w:r>
      <w:r w:rsidR="008F5F12">
        <w:t xml:space="preserve">questions </w:t>
      </w:r>
      <w:r w:rsidRPr="0000744A">
        <w:t>included in each theme. For example, if six questions make up a theme, the average RTW rate across the six questions for the ‘agree’ response is compared to the average RTW rate for the ‘do not agree’ response.</w:t>
      </w:r>
    </w:p>
    <w:p w14:paraId="033B9873" w14:textId="77777777" w:rsidR="00E83B7F" w:rsidRPr="00DC1480" w:rsidRDefault="00E83B7F" w:rsidP="001A004E">
      <w:pPr>
        <w:pStyle w:val="Heading2"/>
      </w:pPr>
      <w:bookmarkStart w:id="8" w:name="_Toc473101889"/>
      <w:bookmarkStart w:id="9" w:name="_Toc497141015"/>
      <w:r w:rsidRPr="00DC1480">
        <w:t>Strengths and limitations of the RTW Survey data</w:t>
      </w:r>
      <w:bookmarkEnd w:id="8"/>
      <w:bookmarkEnd w:id="9"/>
    </w:p>
    <w:p w14:paraId="20542861" w14:textId="77777777" w:rsidR="00E83B7F" w:rsidRPr="0000744A" w:rsidRDefault="00E83B7F" w:rsidP="0000744A">
      <w:r w:rsidRPr="0000744A">
        <w:t xml:space="preserve">An important feature of the Survey is that workers with injuries and claims are asked about their experiences directly. While there are many influences on RTW, ultimately it is often workers who make decisions about whether they will return to the workplace and the workforce. In comprehensively exploring the experiences and perceptions of injured workers, the Survey captures many important influences on RTW. </w:t>
      </w:r>
    </w:p>
    <w:p w14:paraId="579DD859" w14:textId="32A0FB19" w:rsidR="00E83B7F" w:rsidRPr="0000744A" w:rsidRDefault="00E83B7F" w:rsidP="0000744A">
      <w:r w:rsidRPr="0000744A">
        <w:t xml:space="preserve">The limitations of using the </w:t>
      </w:r>
      <w:r w:rsidR="005C738E">
        <w:t>S</w:t>
      </w:r>
      <w:r w:rsidRPr="0000744A">
        <w:t>urvey data include:</w:t>
      </w:r>
    </w:p>
    <w:p w14:paraId="5D81A745" w14:textId="77777777" w:rsidR="00E83B7F" w:rsidRPr="0000744A" w:rsidRDefault="00E83B7F" w:rsidP="0000744A">
      <w:pPr>
        <w:pStyle w:val="SWABullets"/>
      </w:pPr>
      <w:r w:rsidRPr="0000744A">
        <w:t>The information is cross-sectional, rather than following people over time. This can lead to higher levels of bias. For example, if an employee is treated negatively by their employer after they lodge a claim, it may influence their views of how they were treated before the injury occurred.</w:t>
      </w:r>
    </w:p>
    <w:p w14:paraId="51FAF335" w14:textId="77777777" w:rsidR="00E83B7F" w:rsidRPr="0000744A" w:rsidRDefault="00E83B7F" w:rsidP="0000744A">
      <w:pPr>
        <w:pStyle w:val="SWABullets"/>
      </w:pPr>
      <w:r w:rsidRPr="0000744A">
        <w:t>RTW is analysed only from the worker’s viewpoint. The worker’s perceptions and beliefs are important, but may not fully reflect all of the barriers and facilitators to RTW.</w:t>
      </w:r>
    </w:p>
    <w:p w14:paraId="23511CBC" w14:textId="77777777" w:rsidR="00E83B7F" w:rsidRPr="00D25FDC" w:rsidRDefault="00E83B7F" w:rsidP="001A004E">
      <w:pPr>
        <w:pStyle w:val="Heading2"/>
      </w:pPr>
      <w:bookmarkStart w:id="10" w:name="_Toc473101890"/>
      <w:bookmarkStart w:id="11" w:name="_Toc497141016"/>
      <w:r w:rsidRPr="00D25FDC">
        <w:lastRenderedPageBreak/>
        <w:t>How to interpret the results shown in this report</w:t>
      </w:r>
      <w:bookmarkEnd w:id="10"/>
      <w:bookmarkEnd w:id="11"/>
    </w:p>
    <w:p w14:paraId="79C82206" w14:textId="77777777" w:rsidR="00E83B7F" w:rsidRPr="001A004E" w:rsidRDefault="00E83B7F" w:rsidP="001A004E">
      <w:pPr>
        <w:pStyle w:val="Heading3"/>
      </w:pPr>
      <w:r w:rsidRPr="001A004E">
        <w:t>Charts</w:t>
      </w:r>
    </w:p>
    <w:p w14:paraId="0DCE3632" w14:textId="77777777" w:rsidR="00E83B7F" w:rsidRPr="0000744A" w:rsidRDefault="00E83B7F" w:rsidP="0000744A">
      <w:r w:rsidRPr="0000744A">
        <w:t xml:space="preserve">The charts in this report show the proportion of workers at work, grouped by workers’ responses to relevant questions. The responses are grouped into two categories – positive/negative, high/low or yes/no, depending on the nature of the questions. </w:t>
      </w:r>
    </w:p>
    <w:p w14:paraId="3B01D2F0" w14:textId="77777777" w:rsidR="00E83B7F" w:rsidRPr="0000744A" w:rsidRDefault="00E83B7F" w:rsidP="0000744A">
      <w:r w:rsidRPr="0000744A">
        <w:t xml:space="preserve">For example, workers were asked a series of questions about how their employer responded to their injury. Workers’ responses to these questions were sorted into two categories: those stating that the employer had responded positively (positive), and those stating that the employer had not responded positively (negative). </w:t>
      </w:r>
    </w:p>
    <w:p w14:paraId="5006128F" w14:textId="5E755ADA" w:rsidR="00E83B7F" w:rsidRPr="0000744A" w:rsidRDefault="00E83B7F" w:rsidP="0000744A">
      <w:r w:rsidRPr="0000744A">
        <w:t>As shown in the chart below, of the group who had a positive response from their employer, 79% were at work at the time of the R</w:t>
      </w:r>
      <w:r w:rsidR="005C738E">
        <w:t xml:space="preserve">eturn </w:t>
      </w:r>
      <w:r w:rsidR="006C060B">
        <w:t>t</w:t>
      </w:r>
      <w:r w:rsidR="005C738E">
        <w:t xml:space="preserve">o </w:t>
      </w:r>
      <w:r w:rsidRPr="0000744A">
        <w:t>W</w:t>
      </w:r>
      <w:r w:rsidR="005C738E">
        <w:t>ork</w:t>
      </w:r>
      <w:r w:rsidRPr="0000744A">
        <w:t xml:space="preserve"> Survey interview. This contrasts with the group who had a negative response from their employer, where only 52% were at work. </w:t>
      </w:r>
    </w:p>
    <w:p w14:paraId="1402DBD5" w14:textId="77777777" w:rsidR="00E83B7F" w:rsidRPr="0000744A" w:rsidRDefault="00E83B7F" w:rsidP="0000744A">
      <w:r w:rsidRPr="0000744A">
        <w:t xml:space="preserve">The chart on the left shows the </w:t>
      </w:r>
      <w:r w:rsidRPr="00454F7A">
        <w:rPr>
          <w:i/>
        </w:rPr>
        <w:t>Current RTW proportion</w:t>
      </w:r>
      <w:r w:rsidRPr="0000744A">
        <w:t xml:space="preserve">. The chart on the right shows the </w:t>
      </w:r>
      <w:r w:rsidRPr="00454F7A">
        <w:rPr>
          <w:i/>
        </w:rPr>
        <w:t>3-month stable RTW proportion</w:t>
      </w:r>
      <w:r w:rsidRPr="0000744A">
        <w:t>. The columns represent the proportion working.</w:t>
      </w:r>
    </w:p>
    <w:p w14:paraId="4CB832B9" w14:textId="77777777" w:rsidR="00E83B7F" w:rsidRPr="0000744A" w:rsidRDefault="00E83B7F" w:rsidP="0000744A">
      <w:r w:rsidRPr="0000744A">
        <w:t>The proportion of workers at work is seen in the columns, grouped under positive and negative response categories. N = the number responding to the question</w:t>
      </w:r>
    </w:p>
    <w:p w14:paraId="2EB887C4" w14:textId="2AFBD121" w:rsidR="007F1D69" w:rsidRDefault="00E83B7F" w:rsidP="007F1D69">
      <w:pPr>
        <w:keepNext/>
      </w:pPr>
      <w:r w:rsidRPr="00E74A8D">
        <w:rPr>
          <w:noProof/>
          <w:szCs w:val="20"/>
        </w:rPr>
        <w:drawing>
          <wp:inline distT="0" distB="0" distL="0" distR="0" wp14:anchorId="65856878" wp14:editId="4CC612A2">
            <wp:extent cx="2736000" cy="2520000"/>
            <wp:effectExtent l="0" t="0" r="26670" b="13970"/>
            <wp:docPr id="59" name="Chart 59" descr="Compares the return to work rates for employees who reported a positive response from their employer to those who reported a negative response. " title="Current RTW by employer response to injury"/>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541F93">
        <w:t xml:space="preserve"> </w:t>
      </w:r>
      <w:r w:rsidR="00541F93">
        <w:rPr>
          <w:noProof/>
        </w:rPr>
        <w:drawing>
          <wp:inline distT="0" distB="0" distL="0" distR="0" wp14:anchorId="1992A56C" wp14:editId="45AB1161">
            <wp:extent cx="2736000" cy="2520000"/>
            <wp:effectExtent l="0" t="0" r="26670" b="13970"/>
            <wp:docPr id="50" name="Chart 50" descr="Compares the three plus month return to work rates for employees who reported a positive response from their employer to those who reported a negative response. " title="RTW 3+ months by employer response to injury"/>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9911FB8" w14:textId="65D26D9E" w:rsidR="00E83B7F" w:rsidRPr="00712650" w:rsidRDefault="00E83B7F" w:rsidP="00712650">
      <w:pPr>
        <w:pStyle w:val="Caption"/>
      </w:pPr>
      <w:r w:rsidRPr="00712650">
        <w:t>N = 340</w:t>
      </w:r>
    </w:p>
    <w:p w14:paraId="651C41F7" w14:textId="77777777" w:rsidR="001A004E" w:rsidRPr="001A004E" w:rsidRDefault="001A004E" w:rsidP="001A004E"/>
    <w:p w14:paraId="1F7A960F" w14:textId="77777777" w:rsidR="00E83B7F" w:rsidRPr="00DC1480" w:rsidRDefault="00E83B7F" w:rsidP="001A004E">
      <w:pPr>
        <w:pStyle w:val="Heading3"/>
      </w:pPr>
      <w:r w:rsidRPr="00DC1480">
        <w:t>Tables</w:t>
      </w:r>
    </w:p>
    <w:p w14:paraId="3CDB8A7A" w14:textId="77777777" w:rsidR="00E83B7F" w:rsidRPr="0000744A" w:rsidRDefault="00E83B7F" w:rsidP="0000744A">
      <w:r w:rsidRPr="0000744A">
        <w:t>Two types of results are included in the tables:</w:t>
      </w:r>
    </w:p>
    <w:p w14:paraId="4D5C39AB" w14:textId="77777777" w:rsidR="00E83B7F" w:rsidRPr="0000744A" w:rsidRDefault="00E83B7F" w:rsidP="0000744A">
      <w:pPr>
        <w:pStyle w:val="SWABullets"/>
      </w:pPr>
      <w:r w:rsidRPr="0000744A">
        <w:rPr>
          <w:rStyle w:val="Strong"/>
        </w:rPr>
        <w:t>RTW results by employee responses to individual questions</w:t>
      </w:r>
      <w:r w:rsidRPr="0000744A">
        <w:t>: this information helps identify which factors influence RTW.</w:t>
      </w:r>
    </w:p>
    <w:p w14:paraId="661D3CAC" w14:textId="77777777" w:rsidR="00E83B7F" w:rsidRPr="0000744A" w:rsidRDefault="00E83B7F" w:rsidP="0000744A">
      <w:pPr>
        <w:pStyle w:val="SWABullets"/>
      </w:pPr>
      <w:r w:rsidRPr="0000744A">
        <w:rPr>
          <w:rStyle w:val="Strong"/>
        </w:rPr>
        <w:t>Overall employee responses to the same questions, whether the worker is back at work or not</w:t>
      </w:r>
      <w:r w:rsidRPr="0000744A">
        <w:t xml:space="preserve">: These results show employees’ views on various aspects of their interaction with the RTW process. These results are particularly important in the second report, </w:t>
      </w:r>
      <w:r w:rsidRPr="00454F7A">
        <w:rPr>
          <w:i/>
        </w:rPr>
        <w:t>Return to work: a comparison of psychological and physical injury claims</w:t>
      </w:r>
      <w:r w:rsidRPr="0000744A">
        <w:t xml:space="preserve">, highlighting the difference between the experience of those with psychological and physical injury claims. </w:t>
      </w:r>
    </w:p>
    <w:p w14:paraId="0AAD6D60" w14:textId="77777777" w:rsidR="00E83B7F" w:rsidRPr="0000744A" w:rsidRDefault="00E83B7F" w:rsidP="0000744A">
      <w:r w:rsidRPr="0000744A">
        <w:t xml:space="preserve">The blue-shaded tables represent RTW results by workers’ responses to individual questions (or tables similarly formatted, for those reading this report in black and white). Individual questions are grouped under the relevant themes. </w:t>
      </w:r>
    </w:p>
    <w:p w14:paraId="3A49BC04" w14:textId="21E32E82" w:rsidR="00E83B7F" w:rsidRDefault="00E83B7F" w:rsidP="0000744A">
      <w:r w:rsidRPr="0000744A">
        <w:t xml:space="preserve">For example, in the table below, 79% of workers who agreed their employer did what they could to support </w:t>
      </w:r>
      <w:proofErr w:type="gramStart"/>
      <w:r w:rsidRPr="0000744A">
        <w:t>them</w:t>
      </w:r>
      <w:proofErr w:type="gramEnd"/>
      <w:r w:rsidRPr="0000744A">
        <w:t xml:space="preserve"> w</w:t>
      </w:r>
      <w:r w:rsidR="005C738E">
        <w:t>ere at work at the time of the S</w:t>
      </w:r>
      <w:r w:rsidRPr="0000744A">
        <w:t xml:space="preserve">urvey, versus 53% of those who did not agree with this statement. </w:t>
      </w:r>
    </w:p>
    <w:p w14:paraId="79215E89" w14:textId="54C43ECF" w:rsidR="009F250A" w:rsidRDefault="009F250A" w:rsidP="009F250A">
      <w:pPr>
        <w:pStyle w:val="Caption"/>
      </w:pPr>
      <w:r w:rsidRPr="009F250A">
        <w:lastRenderedPageBreak/>
        <w:t>Percentage at work at time of interview by response to employer support questions</w:t>
      </w:r>
    </w:p>
    <w:tbl>
      <w:tblPr>
        <w:tblStyle w:val="LightShading-Accent2"/>
        <w:tblW w:w="5000" w:type="pct"/>
        <w:tblLayout w:type="fixed"/>
        <w:tblLook w:val="0420" w:firstRow="1" w:lastRow="0" w:firstColumn="0" w:lastColumn="0" w:noHBand="0" w:noVBand="1"/>
        <w:tblDescription w:val="Alt text here describing what the data is illustrating"/>
      </w:tblPr>
      <w:tblGrid>
        <w:gridCol w:w="4644"/>
        <w:gridCol w:w="2128"/>
        <w:gridCol w:w="2274"/>
      </w:tblGrid>
      <w:tr w:rsidR="009F250A" w:rsidRPr="009F250A" w14:paraId="1159B28D" w14:textId="77777777" w:rsidTr="007A6AC5">
        <w:trPr>
          <w:cnfStyle w:val="100000000000" w:firstRow="1" w:lastRow="0" w:firstColumn="0" w:lastColumn="0" w:oddVBand="0" w:evenVBand="0" w:oddHBand="0" w:evenHBand="0" w:firstRowFirstColumn="0" w:firstRowLastColumn="0" w:lastRowFirstColumn="0" w:lastRowLastColumn="0"/>
          <w:tblHeader/>
        </w:trPr>
        <w:tc>
          <w:tcPr>
            <w:tcW w:w="2567" w:type="pct"/>
          </w:tcPr>
          <w:p w14:paraId="2BFD7C1C" w14:textId="225FE3DB" w:rsidR="009F250A" w:rsidRPr="009F250A" w:rsidRDefault="009F250A" w:rsidP="00283E53">
            <w:r w:rsidRPr="009F250A">
              <w:t>At work at time of interview</w:t>
            </w:r>
          </w:p>
        </w:tc>
        <w:tc>
          <w:tcPr>
            <w:tcW w:w="1176" w:type="pct"/>
          </w:tcPr>
          <w:p w14:paraId="368F11CB" w14:textId="53B51E93" w:rsidR="009F250A" w:rsidRPr="009F250A" w:rsidRDefault="009F250A" w:rsidP="00283E53">
            <w:pPr>
              <w:jc w:val="center"/>
            </w:pPr>
            <w:r w:rsidRPr="009F250A">
              <w:t>Of those who agreed, % at work</w:t>
            </w:r>
          </w:p>
        </w:tc>
        <w:tc>
          <w:tcPr>
            <w:tcW w:w="1257" w:type="pct"/>
          </w:tcPr>
          <w:p w14:paraId="29AA677F" w14:textId="6662DB52" w:rsidR="009F250A" w:rsidRPr="009F250A" w:rsidRDefault="009F250A" w:rsidP="00283E53">
            <w:pPr>
              <w:jc w:val="center"/>
            </w:pPr>
            <w:r w:rsidRPr="009F250A">
              <w:t>Of those who did not agree, % at work</w:t>
            </w:r>
          </w:p>
        </w:tc>
      </w:tr>
      <w:tr w:rsidR="009F250A" w:rsidRPr="009F250A" w14:paraId="44A92213" w14:textId="77777777" w:rsidTr="007A6AC5">
        <w:trPr>
          <w:cnfStyle w:val="000000100000" w:firstRow="0" w:lastRow="0" w:firstColumn="0" w:lastColumn="0" w:oddVBand="0" w:evenVBand="0" w:oddHBand="1" w:evenHBand="0" w:firstRowFirstColumn="0" w:firstRowLastColumn="0" w:lastRowFirstColumn="0" w:lastRowLastColumn="0"/>
        </w:trPr>
        <w:tc>
          <w:tcPr>
            <w:tcW w:w="2567" w:type="pct"/>
            <w:noWrap/>
          </w:tcPr>
          <w:p w14:paraId="392383B8" w14:textId="58CEF957" w:rsidR="009F250A" w:rsidRPr="009F250A" w:rsidRDefault="009F250A" w:rsidP="009F250A">
            <w:r w:rsidRPr="009F250A">
              <w:t>Your employer did what they could to support you</w:t>
            </w:r>
          </w:p>
        </w:tc>
        <w:tc>
          <w:tcPr>
            <w:tcW w:w="1176" w:type="pct"/>
            <w:noWrap/>
          </w:tcPr>
          <w:p w14:paraId="22810209" w14:textId="17406CE7" w:rsidR="009F250A" w:rsidRPr="009F250A" w:rsidRDefault="009F250A" w:rsidP="00283E53">
            <w:pPr>
              <w:jc w:val="center"/>
            </w:pPr>
            <w:r w:rsidRPr="009F250A">
              <w:t>79%</w:t>
            </w:r>
          </w:p>
        </w:tc>
        <w:tc>
          <w:tcPr>
            <w:tcW w:w="1257" w:type="pct"/>
            <w:noWrap/>
          </w:tcPr>
          <w:p w14:paraId="4A37E517" w14:textId="1D9E9BC8" w:rsidR="009F250A" w:rsidRPr="009F250A" w:rsidRDefault="009F250A" w:rsidP="00283E53">
            <w:pPr>
              <w:jc w:val="center"/>
            </w:pPr>
            <w:r w:rsidRPr="009F250A">
              <w:t>53%</w:t>
            </w:r>
          </w:p>
        </w:tc>
      </w:tr>
      <w:tr w:rsidR="009F250A" w:rsidRPr="009F250A" w14:paraId="16368F53" w14:textId="77777777" w:rsidTr="007A6AC5">
        <w:trPr>
          <w:cnfStyle w:val="000000010000" w:firstRow="0" w:lastRow="0" w:firstColumn="0" w:lastColumn="0" w:oddVBand="0" w:evenVBand="0" w:oddHBand="0" w:evenHBand="1" w:firstRowFirstColumn="0" w:firstRowLastColumn="0" w:lastRowFirstColumn="0" w:lastRowLastColumn="0"/>
        </w:trPr>
        <w:tc>
          <w:tcPr>
            <w:tcW w:w="2567" w:type="pct"/>
            <w:noWrap/>
          </w:tcPr>
          <w:p w14:paraId="278D10F0" w14:textId="0FEBC9FF" w:rsidR="009F250A" w:rsidRPr="009F250A" w:rsidRDefault="009F250A" w:rsidP="00283E53">
            <w:r w:rsidRPr="009F250A">
              <w:t>Employer made an effort to find suitable employment for</w:t>
            </w:r>
            <w:r w:rsidR="00283E53">
              <w:t> </w:t>
            </w:r>
            <w:r w:rsidRPr="009F250A">
              <w:t>you</w:t>
            </w:r>
          </w:p>
        </w:tc>
        <w:tc>
          <w:tcPr>
            <w:tcW w:w="1176" w:type="pct"/>
            <w:noWrap/>
          </w:tcPr>
          <w:p w14:paraId="69CF9F73" w14:textId="51DF8D2E" w:rsidR="009F250A" w:rsidRPr="009F250A" w:rsidRDefault="009F250A" w:rsidP="00283E53">
            <w:pPr>
              <w:jc w:val="center"/>
            </w:pPr>
            <w:r w:rsidRPr="009F250A">
              <w:t>81%</w:t>
            </w:r>
          </w:p>
        </w:tc>
        <w:tc>
          <w:tcPr>
            <w:tcW w:w="1257" w:type="pct"/>
            <w:noWrap/>
          </w:tcPr>
          <w:p w14:paraId="5D24FDEE" w14:textId="08380D82" w:rsidR="009F250A" w:rsidRPr="009F250A" w:rsidRDefault="009F250A" w:rsidP="00283E53">
            <w:pPr>
              <w:jc w:val="center"/>
            </w:pPr>
            <w:r w:rsidRPr="009F250A">
              <w:t>50%</w:t>
            </w:r>
          </w:p>
        </w:tc>
      </w:tr>
      <w:tr w:rsidR="009F250A" w:rsidRPr="009F250A" w14:paraId="359591FC" w14:textId="77777777" w:rsidTr="007A6AC5">
        <w:trPr>
          <w:cnfStyle w:val="000000100000" w:firstRow="0" w:lastRow="0" w:firstColumn="0" w:lastColumn="0" w:oddVBand="0" w:evenVBand="0" w:oddHBand="1" w:evenHBand="0" w:firstRowFirstColumn="0" w:firstRowLastColumn="0" w:lastRowFirstColumn="0" w:lastRowLastColumn="0"/>
        </w:trPr>
        <w:tc>
          <w:tcPr>
            <w:tcW w:w="2567" w:type="pct"/>
            <w:noWrap/>
          </w:tcPr>
          <w:p w14:paraId="46251893" w14:textId="1019F475" w:rsidR="009F250A" w:rsidRPr="009F250A" w:rsidRDefault="009F250A" w:rsidP="00283E53">
            <w:r w:rsidRPr="009F250A">
              <w:t>Employer provided enough info on rights and</w:t>
            </w:r>
            <w:r w:rsidR="00283E53">
              <w:t> </w:t>
            </w:r>
            <w:r w:rsidRPr="009F250A">
              <w:t>responsibilities</w:t>
            </w:r>
          </w:p>
        </w:tc>
        <w:tc>
          <w:tcPr>
            <w:tcW w:w="1176" w:type="pct"/>
            <w:noWrap/>
          </w:tcPr>
          <w:p w14:paraId="182CACCD" w14:textId="4553358C" w:rsidR="009F250A" w:rsidRPr="009F250A" w:rsidRDefault="009F250A" w:rsidP="00283E53">
            <w:pPr>
              <w:jc w:val="center"/>
            </w:pPr>
            <w:r w:rsidRPr="009F250A">
              <w:t>81%</w:t>
            </w:r>
          </w:p>
        </w:tc>
        <w:tc>
          <w:tcPr>
            <w:tcW w:w="1257" w:type="pct"/>
            <w:noWrap/>
          </w:tcPr>
          <w:p w14:paraId="04EDEF72" w14:textId="243A04C4" w:rsidR="009F250A" w:rsidRPr="009F250A" w:rsidRDefault="009F250A" w:rsidP="00283E53">
            <w:pPr>
              <w:jc w:val="center"/>
            </w:pPr>
            <w:r w:rsidRPr="009F250A">
              <w:t>50%</w:t>
            </w:r>
          </w:p>
        </w:tc>
      </w:tr>
      <w:tr w:rsidR="009F250A" w:rsidRPr="009F250A" w14:paraId="5F17F632" w14:textId="77777777" w:rsidTr="007A6AC5">
        <w:trPr>
          <w:cnfStyle w:val="000000010000" w:firstRow="0" w:lastRow="0" w:firstColumn="0" w:lastColumn="0" w:oddVBand="0" w:evenVBand="0" w:oddHBand="0" w:evenHBand="1" w:firstRowFirstColumn="0" w:firstRowLastColumn="0" w:lastRowFirstColumn="0" w:lastRowLastColumn="0"/>
        </w:trPr>
        <w:tc>
          <w:tcPr>
            <w:tcW w:w="2567" w:type="pct"/>
            <w:noWrap/>
          </w:tcPr>
          <w:p w14:paraId="460E479D" w14:textId="60D5A2ED" w:rsidR="009F250A" w:rsidRPr="009F250A" w:rsidRDefault="009F250A" w:rsidP="009F250A">
            <w:r w:rsidRPr="009F250A">
              <w:t>Your employer helped you with your recovery</w:t>
            </w:r>
          </w:p>
        </w:tc>
        <w:tc>
          <w:tcPr>
            <w:tcW w:w="1176" w:type="pct"/>
            <w:noWrap/>
          </w:tcPr>
          <w:p w14:paraId="2CDE2E6C" w14:textId="7ED84220" w:rsidR="009F250A" w:rsidRPr="009F250A" w:rsidRDefault="009F250A" w:rsidP="00283E53">
            <w:pPr>
              <w:jc w:val="center"/>
            </w:pPr>
            <w:r w:rsidRPr="009F250A">
              <w:t>83%</w:t>
            </w:r>
          </w:p>
        </w:tc>
        <w:tc>
          <w:tcPr>
            <w:tcW w:w="1257" w:type="pct"/>
            <w:noWrap/>
          </w:tcPr>
          <w:p w14:paraId="62A7BDA6" w14:textId="496DB245" w:rsidR="009F250A" w:rsidRPr="009F250A" w:rsidRDefault="009F250A" w:rsidP="00283E53">
            <w:pPr>
              <w:jc w:val="center"/>
            </w:pPr>
            <w:r w:rsidRPr="009F250A">
              <w:t>54%</w:t>
            </w:r>
          </w:p>
        </w:tc>
      </w:tr>
      <w:tr w:rsidR="009F250A" w:rsidRPr="009F250A" w14:paraId="41BDC0F1" w14:textId="77777777" w:rsidTr="007A6AC5">
        <w:trPr>
          <w:cnfStyle w:val="000000100000" w:firstRow="0" w:lastRow="0" w:firstColumn="0" w:lastColumn="0" w:oddVBand="0" w:evenVBand="0" w:oddHBand="1" w:evenHBand="0" w:firstRowFirstColumn="0" w:firstRowLastColumn="0" w:lastRowFirstColumn="0" w:lastRowLastColumn="0"/>
        </w:trPr>
        <w:tc>
          <w:tcPr>
            <w:tcW w:w="2567" w:type="pct"/>
            <w:noWrap/>
          </w:tcPr>
          <w:p w14:paraId="354CD660" w14:textId="105CE972" w:rsidR="009F250A" w:rsidRPr="009F250A" w:rsidRDefault="009F250A" w:rsidP="009F250A">
            <w:r w:rsidRPr="009F250A">
              <w:t>Your employer treated you fairly DURING the claims process</w:t>
            </w:r>
          </w:p>
        </w:tc>
        <w:tc>
          <w:tcPr>
            <w:tcW w:w="1176" w:type="pct"/>
            <w:noWrap/>
          </w:tcPr>
          <w:p w14:paraId="5FC8DE2A" w14:textId="57746EDD" w:rsidR="009F250A" w:rsidRPr="009F250A" w:rsidRDefault="009F250A" w:rsidP="00283E53">
            <w:pPr>
              <w:jc w:val="center"/>
            </w:pPr>
            <w:r w:rsidRPr="009F250A">
              <w:t>73%</w:t>
            </w:r>
          </w:p>
        </w:tc>
        <w:tc>
          <w:tcPr>
            <w:tcW w:w="1257" w:type="pct"/>
            <w:noWrap/>
          </w:tcPr>
          <w:p w14:paraId="37FFE16D" w14:textId="28CDF3D2" w:rsidR="009F250A" w:rsidRPr="009F250A" w:rsidRDefault="009F250A" w:rsidP="00283E53">
            <w:pPr>
              <w:jc w:val="center"/>
            </w:pPr>
            <w:r w:rsidRPr="009F250A">
              <w:t>53%</w:t>
            </w:r>
          </w:p>
        </w:tc>
      </w:tr>
      <w:tr w:rsidR="009F250A" w:rsidRPr="009F250A" w14:paraId="767E874E" w14:textId="77777777" w:rsidTr="007A6AC5">
        <w:trPr>
          <w:cnfStyle w:val="000000010000" w:firstRow="0" w:lastRow="0" w:firstColumn="0" w:lastColumn="0" w:oddVBand="0" w:evenVBand="0" w:oddHBand="0" w:evenHBand="1" w:firstRowFirstColumn="0" w:firstRowLastColumn="0" w:lastRowFirstColumn="0" w:lastRowLastColumn="0"/>
        </w:trPr>
        <w:tc>
          <w:tcPr>
            <w:tcW w:w="2567" w:type="pct"/>
            <w:noWrap/>
          </w:tcPr>
          <w:p w14:paraId="279FA329" w14:textId="17FCCFC0" w:rsidR="009F250A" w:rsidRPr="009F250A" w:rsidRDefault="009F250A" w:rsidP="00283E53">
            <w:r w:rsidRPr="009F250A">
              <w:t>Your employer treated you fairly AFTER the claims</w:t>
            </w:r>
            <w:r w:rsidR="00283E53">
              <w:t> </w:t>
            </w:r>
            <w:r w:rsidRPr="009F250A">
              <w:t>process</w:t>
            </w:r>
          </w:p>
        </w:tc>
        <w:tc>
          <w:tcPr>
            <w:tcW w:w="1176" w:type="pct"/>
            <w:noWrap/>
          </w:tcPr>
          <w:p w14:paraId="32432BEB" w14:textId="6F1993B0" w:rsidR="009F250A" w:rsidRPr="009F250A" w:rsidRDefault="009F250A" w:rsidP="00283E53">
            <w:pPr>
              <w:jc w:val="center"/>
            </w:pPr>
            <w:r w:rsidRPr="009F250A">
              <w:t>77%</w:t>
            </w:r>
          </w:p>
        </w:tc>
        <w:tc>
          <w:tcPr>
            <w:tcW w:w="1257" w:type="pct"/>
            <w:noWrap/>
          </w:tcPr>
          <w:p w14:paraId="55F8AFE9" w14:textId="4343B1A3" w:rsidR="009F250A" w:rsidRPr="009F250A" w:rsidRDefault="009F250A" w:rsidP="00283E53">
            <w:pPr>
              <w:jc w:val="center"/>
            </w:pPr>
            <w:r w:rsidRPr="009F250A">
              <w:t>51%</w:t>
            </w:r>
          </w:p>
        </w:tc>
      </w:tr>
      <w:tr w:rsidR="009F250A" w:rsidRPr="009F250A" w14:paraId="204DA5CE" w14:textId="77777777" w:rsidTr="007A6AC5">
        <w:trPr>
          <w:cnfStyle w:val="000000100000" w:firstRow="0" w:lastRow="0" w:firstColumn="0" w:lastColumn="0" w:oddVBand="0" w:evenVBand="0" w:oddHBand="1" w:evenHBand="0" w:firstRowFirstColumn="0" w:firstRowLastColumn="0" w:lastRowFirstColumn="0" w:lastRowLastColumn="0"/>
        </w:trPr>
        <w:tc>
          <w:tcPr>
            <w:tcW w:w="2567" w:type="pct"/>
            <w:noWrap/>
          </w:tcPr>
          <w:p w14:paraId="5107CC87" w14:textId="17029482" w:rsidR="009F250A" w:rsidRPr="009F250A" w:rsidRDefault="009F250A" w:rsidP="009F250A">
            <w:r w:rsidRPr="009F250A">
              <w:t>Your employer did what they could to support you</w:t>
            </w:r>
          </w:p>
        </w:tc>
        <w:tc>
          <w:tcPr>
            <w:tcW w:w="1176" w:type="pct"/>
            <w:noWrap/>
          </w:tcPr>
          <w:p w14:paraId="333E286B" w14:textId="5907EDFB" w:rsidR="009F250A" w:rsidRPr="009F250A" w:rsidRDefault="009F250A" w:rsidP="00283E53">
            <w:pPr>
              <w:jc w:val="center"/>
            </w:pPr>
            <w:r w:rsidRPr="009F250A">
              <w:t>79%</w:t>
            </w:r>
          </w:p>
        </w:tc>
        <w:tc>
          <w:tcPr>
            <w:tcW w:w="1257" w:type="pct"/>
            <w:noWrap/>
          </w:tcPr>
          <w:p w14:paraId="72A14E62" w14:textId="20419D36" w:rsidR="009F250A" w:rsidRPr="009F250A" w:rsidRDefault="009F250A" w:rsidP="00283E53">
            <w:pPr>
              <w:jc w:val="center"/>
            </w:pPr>
            <w:r w:rsidRPr="009F250A">
              <w:t>53%</w:t>
            </w:r>
          </w:p>
        </w:tc>
      </w:tr>
    </w:tbl>
    <w:p w14:paraId="7F7359EA" w14:textId="77777777" w:rsidR="004D4FBF" w:rsidRPr="00283E53" w:rsidRDefault="004D4FBF" w:rsidP="00283E53"/>
    <w:p w14:paraId="44F6FF29" w14:textId="77777777" w:rsidR="00E83B7F" w:rsidRPr="00283E53" w:rsidRDefault="00E83B7F" w:rsidP="00283E53">
      <w:r w:rsidRPr="00283E53">
        <w:t xml:space="preserve">Orange-bordered tables (or tables similarly formatted) represent the overall percentage of employees agreeing with individual questions, whether they had returned to work or not. </w:t>
      </w:r>
    </w:p>
    <w:p w14:paraId="52A790A6" w14:textId="481D5E73" w:rsidR="00E83B7F" w:rsidRPr="00283E53" w:rsidRDefault="00E83B7F" w:rsidP="00283E53">
      <w:r w:rsidRPr="00283E53">
        <w:t>In the table below, 27% of employees with a psychological claim agreed with the statement that their employer did what they could to support them. Thirty-four per</w:t>
      </w:r>
      <w:r w:rsidR="006067C2">
        <w:t xml:space="preserve"> </w:t>
      </w:r>
      <w:r w:rsidRPr="00283E53">
        <w:t xml:space="preserve">cent agreed that their employer had made an effort to find suitable employment for them. </w:t>
      </w:r>
    </w:p>
    <w:p w14:paraId="72E31902" w14:textId="07AA6112" w:rsidR="00B85CB2" w:rsidRDefault="00B85CB2" w:rsidP="00B85CB2">
      <w:pPr>
        <w:pStyle w:val="Caption"/>
      </w:pPr>
      <w:r w:rsidRPr="00B85CB2">
        <w:t>Percentage who agreed with employer support questions</w:t>
      </w:r>
    </w:p>
    <w:tbl>
      <w:tblPr>
        <w:tblStyle w:val="LightShading-Accent2"/>
        <w:tblW w:w="5000" w:type="pct"/>
        <w:tblLook w:val="0620" w:firstRow="1" w:lastRow="0" w:firstColumn="0" w:lastColumn="0" w:noHBand="1" w:noVBand="1"/>
        <w:tblCaption w:val="Example table: Percentage who agreed with employer support questions"/>
        <w:tblDescription w:val="This table provides the overall percentage of employees (whether they had returned to work or not) who agreed with employer support questions.  "/>
      </w:tblPr>
      <w:tblGrid>
        <w:gridCol w:w="6063"/>
        <w:gridCol w:w="2983"/>
      </w:tblGrid>
      <w:tr w:rsidR="00E83B7F" w:rsidRPr="00DE4CA2" w14:paraId="5B82388D" w14:textId="77777777" w:rsidTr="00CB5D26">
        <w:trPr>
          <w:cnfStyle w:val="100000000000" w:firstRow="1" w:lastRow="0" w:firstColumn="0" w:lastColumn="0" w:oddVBand="0" w:evenVBand="0" w:oddHBand="0" w:evenHBand="0" w:firstRowFirstColumn="0" w:firstRowLastColumn="0" w:lastRowFirstColumn="0" w:lastRowLastColumn="0"/>
          <w:tblHeader/>
        </w:trPr>
        <w:tc>
          <w:tcPr>
            <w:tcW w:w="3351" w:type="pct"/>
            <w:noWrap/>
            <w:hideMark/>
          </w:tcPr>
          <w:p w14:paraId="1E68066A" w14:textId="77777777" w:rsidR="00E83B7F" w:rsidRPr="00DE4CA2" w:rsidRDefault="00E83B7F" w:rsidP="00DE4CA2">
            <w:r w:rsidRPr="00DE4CA2">
              <w:t>Influencing factor</w:t>
            </w:r>
          </w:p>
        </w:tc>
        <w:tc>
          <w:tcPr>
            <w:tcW w:w="1649" w:type="pct"/>
            <w:noWrap/>
            <w:hideMark/>
          </w:tcPr>
          <w:p w14:paraId="17CAD60C" w14:textId="77777777" w:rsidR="00E83B7F" w:rsidRPr="00DE4CA2" w:rsidRDefault="00E83B7F" w:rsidP="00283E53">
            <w:pPr>
              <w:jc w:val="center"/>
            </w:pPr>
            <w:r w:rsidRPr="00DE4CA2">
              <w:t>Agreed</w:t>
            </w:r>
          </w:p>
        </w:tc>
      </w:tr>
      <w:tr w:rsidR="00E83B7F" w:rsidRPr="00DE4CA2" w14:paraId="36E6FA6C" w14:textId="77777777" w:rsidTr="00C15E7D">
        <w:tc>
          <w:tcPr>
            <w:tcW w:w="3351" w:type="pct"/>
            <w:hideMark/>
          </w:tcPr>
          <w:p w14:paraId="2DC06588" w14:textId="77777777" w:rsidR="00E83B7F" w:rsidRPr="00DE4CA2" w:rsidRDefault="00E83B7F" w:rsidP="00DE4CA2">
            <w:r w:rsidRPr="00DE4CA2">
              <w:t>Your employer did what they could to support you</w:t>
            </w:r>
          </w:p>
        </w:tc>
        <w:tc>
          <w:tcPr>
            <w:tcW w:w="1649" w:type="pct"/>
            <w:noWrap/>
            <w:hideMark/>
          </w:tcPr>
          <w:p w14:paraId="4903EEA5" w14:textId="77777777" w:rsidR="00E83B7F" w:rsidRPr="00DE4CA2" w:rsidRDefault="00E83B7F" w:rsidP="00283E53">
            <w:pPr>
              <w:jc w:val="center"/>
            </w:pPr>
            <w:r w:rsidRPr="00DE4CA2">
              <w:t>27%</w:t>
            </w:r>
          </w:p>
        </w:tc>
      </w:tr>
      <w:tr w:rsidR="00E83B7F" w:rsidRPr="00DE4CA2" w14:paraId="341072F1" w14:textId="77777777" w:rsidTr="00C15E7D">
        <w:tc>
          <w:tcPr>
            <w:tcW w:w="3351" w:type="pct"/>
            <w:shd w:val="clear" w:color="auto" w:fill="C9E5F7"/>
            <w:hideMark/>
          </w:tcPr>
          <w:p w14:paraId="5621C9D7" w14:textId="77777777" w:rsidR="00E83B7F" w:rsidRPr="00DE4CA2" w:rsidRDefault="00E83B7F" w:rsidP="00DE4CA2">
            <w:r w:rsidRPr="00DE4CA2">
              <w:t>Employer made an effort to find suitable employment for you</w:t>
            </w:r>
          </w:p>
        </w:tc>
        <w:tc>
          <w:tcPr>
            <w:tcW w:w="1649" w:type="pct"/>
            <w:shd w:val="clear" w:color="auto" w:fill="C9E5F7"/>
            <w:noWrap/>
            <w:hideMark/>
          </w:tcPr>
          <w:p w14:paraId="69491751" w14:textId="77777777" w:rsidR="00E83B7F" w:rsidRPr="00DE4CA2" w:rsidRDefault="00E83B7F" w:rsidP="00283E53">
            <w:pPr>
              <w:jc w:val="center"/>
            </w:pPr>
            <w:r w:rsidRPr="00DE4CA2">
              <w:t>34%</w:t>
            </w:r>
          </w:p>
        </w:tc>
      </w:tr>
      <w:tr w:rsidR="00E83B7F" w:rsidRPr="00DE4CA2" w14:paraId="259F9D31" w14:textId="77777777" w:rsidTr="00C15E7D">
        <w:tc>
          <w:tcPr>
            <w:tcW w:w="3351" w:type="pct"/>
            <w:hideMark/>
          </w:tcPr>
          <w:p w14:paraId="76164C55" w14:textId="77777777" w:rsidR="00E83B7F" w:rsidRPr="00DE4CA2" w:rsidRDefault="00E83B7F" w:rsidP="00DE4CA2">
            <w:r w:rsidRPr="00DE4CA2">
              <w:t>Employer provided enough info on rights and responsibilities</w:t>
            </w:r>
          </w:p>
        </w:tc>
        <w:tc>
          <w:tcPr>
            <w:tcW w:w="1649" w:type="pct"/>
            <w:noWrap/>
            <w:hideMark/>
          </w:tcPr>
          <w:p w14:paraId="507B4F57" w14:textId="77777777" w:rsidR="00E83B7F" w:rsidRPr="00DE4CA2" w:rsidRDefault="00E83B7F" w:rsidP="00283E53">
            <w:pPr>
              <w:jc w:val="center"/>
            </w:pPr>
            <w:r w:rsidRPr="00DE4CA2">
              <w:t>32%</w:t>
            </w:r>
          </w:p>
        </w:tc>
      </w:tr>
      <w:tr w:rsidR="00E83B7F" w:rsidRPr="00DE4CA2" w14:paraId="409E6E27" w14:textId="77777777" w:rsidTr="00C15E7D">
        <w:tc>
          <w:tcPr>
            <w:tcW w:w="3351" w:type="pct"/>
            <w:shd w:val="clear" w:color="auto" w:fill="C9E5F7"/>
            <w:hideMark/>
          </w:tcPr>
          <w:p w14:paraId="775E1972" w14:textId="77777777" w:rsidR="00E83B7F" w:rsidRPr="00DE4CA2" w:rsidRDefault="00E83B7F" w:rsidP="00DE4CA2">
            <w:r w:rsidRPr="00DE4CA2">
              <w:t>Your employer helped you with your recovery</w:t>
            </w:r>
          </w:p>
        </w:tc>
        <w:tc>
          <w:tcPr>
            <w:tcW w:w="1649" w:type="pct"/>
            <w:shd w:val="clear" w:color="auto" w:fill="C9E5F7"/>
            <w:noWrap/>
            <w:hideMark/>
          </w:tcPr>
          <w:p w14:paraId="7003108A" w14:textId="77777777" w:rsidR="00E83B7F" w:rsidRPr="00DE4CA2" w:rsidRDefault="00E83B7F" w:rsidP="00283E53">
            <w:pPr>
              <w:jc w:val="center"/>
            </w:pPr>
            <w:r w:rsidRPr="00DE4CA2">
              <w:t>23%</w:t>
            </w:r>
          </w:p>
        </w:tc>
      </w:tr>
      <w:tr w:rsidR="00E83B7F" w:rsidRPr="00DE4CA2" w14:paraId="3ABDA160" w14:textId="77777777" w:rsidTr="00C15E7D">
        <w:tc>
          <w:tcPr>
            <w:tcW w:w="3351" w:type="pct"/>
            <w:tcBorders>
              <w:bottom w:val="nil"/>
            </w:tcBorders>
            <w:hideMark/>
          </w:tcPr>
          <w:p w14:paraId="18F496ED" w14:textId="77777777" w:rsidR="00E83B7F" w:rsidRPr="00DE4CA2" w:rsidRDefault="00E83B7F" w:rsidP="00DE4CA2">
            <w:r w:rsidRPr="00DE4CA2">
              <w:t>Your employer treated you fairly DURING the claims process</w:t>
            </w:r>
          </w:p>
        </w:tc>
        <w:tc>
          <w:tcPr>
            <w:tcW w:w="1649" w:type="pct"/>
            <w:tcBorders>
              <w:bottom w:val="nil"/>
            </w:tcBorders>
            <w:noWrap/>
            <w:hideMark/>
          </w:tcPr>
          <w:p w14:paraId="7A4EC3E2" w14:textId="77777777" w:rsidR="00E83B7F" w:rsidRPr="00DE4CA2" w:rsidRDefault="00E83B7F" w:rsidP="00283E53">
            <w:pPr>
              <w:jc w:val="center"/>
            </w:pPr>
            <w:r w:rsidRPr="00DE4CA2">
              <w:t>30%</w:t>
            </w:r>
          </w:p>
        </w:tc>
      </w:tr>
      <w:tr w:rsidR="00E83B7F" w:rsidRPr="00DE4CA2" w14:paraId="49CBCA14" w14:textId="77777777" w:rsidTr="00C15E7D">
        <w:tc>
          <w:tcPr>
            <w:tcW w:w="3351" w:type="pct"/>
            <w:tcBorders>
              <w:top w:val="nil"/>
              <w:left w:val="nil"/>
              <w:bottom w:val="nil"/>
              <w:right w:val="nil"/>
            </w:tcBorders>
            <w:shd w:val="clear" w:color="auto" w:fill="C9E5F7"/>
            <w:hideMark/>
          </w:tcPr>
          <w:p w14:paraId="17E4A57C" w14:textId="77777777" w:rsidR="00E83B7F" w:rsidRPr="00DE4CA2" w:rsidRDefault="00E83B7F" w:rsidP="00DE4CA2">
            <w:r w:rsidRPr="00DE4CA2">
              <w:t>Your employer treated you fairly AFTER the claims process</w:t>
            </w:r>
          </w:p>
        </w:tc>
        <w:tc>
          <w:tcPr>
            <w:tcW w:w="1649" w:type="pct"/>
            <w:tcBorders>
              <w:top w:val="nil"/>
              <w:left w:val="nil"/>
              <w:bottom w:val="nil"/>
              <w:right w:val="nil"/>
            </w:tcBorders>
            <w:shd w:val="clear" w:color="auto" w:fill="C9E5F7"/>
            <w:noWrap/>
            <w:hideMark/>
          </w:tcPr>
          <w:p w14:paraId="39AD5612" w14:textId="77777777" w:rsidR="00E83B7F" w:rsidRPr="00DE4CA2" w:rsidRDefault="00E83B7F" w:rsidP="00283E53">
            <w:pPr>
              <w:jc w:val="center"/>
            </w:pPr>
            <w:r w:rsidRPr="00DE4CA2">
              <w:t>35%</w:t>
            </w:r>
          </w:p>
        </w:tc>
      </w:tr>
    </w:tbl>
    <w:p w14:paraId="7789ED87" w14:textId="77777777" w:rsidR="00DE4CA2" w:rsidRPr="008C5DA6" w:rsidRDefault="00DE4CA2" w:rsidP="008C5DA6"/>
    <w:p w14:paraId="1472D3EF" w14:textId="5164159A" w:rsidR="00E83B7F" w:rsidRPr="008C5DA6" w:rsidRDefault="005C738E" w:rsidP="008C5DA6">
      <w:r>
        <w:t>Not all S</w:t>
      </w:r>
      <w:r w:rsidR="00E83B7F" w:rsidRPr="008C5DA6">
        <w:t>urvey questions were answered by all survey participants and therefore the number of respondents varies for each question. For this reason, sample size is not provided for each table, because tables</w:t>
      </w:r>
      <w:r>
        <w:t xml:space="preserve"> include</w:t>
      </w:r>
      <w:r w:rsidR="00E83B7F" w:rsidRPr="008C5DA6">
        <w:t xml:space="preserve"> participant responses to several questions</w:t>
      </w:r>
      <w:r w:rsidR="003879FC">
        <w:t>.</w:t>
      </w:r>
    </w:p>
    <w:p w14:paraId="4175E50A" w14:textId="77777777" w:rsidR="00E83B7F" w:rsidRPr="00DC1480" w:rsidRDefault="00E83B7F" w:rsidP="005275C5">
      <w:pPr>
        <w:pStyle w:val="Heading1"/>
      </w:pPr>
      <w:bookmarkStart w:id="12" w:name="_Toc473101891"/>
      <w:bookmarkStart w:id="13" w:name="_Toc497141017"/>
      <w:r w:rsidRPr="00DC1480">
        <w:lastRenderedPageBreak/>
        <w:t>Summary of results</w:t>
      </w:r>
      <w:bookmarkEnd w:id="12"/>
      <w:bookmarkEnd w:id="13"/>
    </w:p>
    <w:p w14:paraId="62E08274" w14:textId="29BD2BCF" w:rsidR="00E83B7F" w:rsidRDefault="00E83B7F" w:rsidP="00E83B7F">
      <w:pPr>
        <w:spacing w:line="276" w:lineRule="auto"/>
      </w:pPr>
      <w:r w:rsidRPr="003926D7">
        <w:t xml:space="preserve">The Survey results of 2013 and 2014 show </w:t>
      </w:r>
      <w:r>
        <w:t xml:space="preserve">that 58% of respondents with a psychological injury claim were at work at the time of the Survey (Figure </w:t>
      </w:r>
      <w:r>
        <w:rPr>
          <w:noProof/>
        </w:rPr>
        <w:t>1</w:t>
      </w:r>
      <w:r>
        <w:t>). Forty-four per</w:t>
      </w:r>
      <w:r w:rsidR="006067C2">
        <w:t xml:space="preserve"> </w:t>
      </w:r>
      <w:r>
        <w:t xml:space="preserve">cent had been back at work for three months or more. </w:t>
      </w:r>
    </w:p>
    <w:p w14:paraId="280B3B4F" w14:textId="0E4B1255" w:rsidR="00F13812" w:rsidRDefault="00F13812" w:rsidP="00F13812">
      <w:pPr>
        <w:pStyle w:val="Caption"/>
      </w:pPr>
      <w:bookmarkStart w:id="14" w:name="_Toc497141037"/>
      <w:r>
        <w:t xml:space="preserve">Figure </w:t>
      </w:r>
      <w:r w:rsidR="005D6308">
        <w:fldChar w:fldCharType="begin"/>
      </w:r>
      <w:r w:rsidR="005D6308">
        <w:instrText xml:space="preserve"> SEQ Figure \* ARABIC </w:instrText>
      </w:r>
      <w:r w:rsidR="005D6308">
        <w:fldChar w:fldCharType="separate"/>
      </w:r>
      <w:r w:rsidR="005D6308">
        <w:rPr>
          <w:noProof/>
        </w:rPr>
        <w:t>1</w:t>
      </w:r>
      <w:r w:rsidR="005D6308">
        <w:rPr>
          <w:noProof/>
        </w:rPr>
        <w:fldChar w:fldCharType="end"/>
      </w:r>
      <w:r>
        <w:t xml:space="preserve"> </w:t>
      </w:r>
      <w:r w:rsidR="00B40DBE">
        <w:t xml:space="preserve">– </w:t>
      </w:r>
      <w:r w:rsidRPr="007F1D69">
        <w:t>RTW results psychological versus physical cases</w:t>
      </w:r>
      <w:bookmarkEnd w:id="14"/>
    </w:p>
    <w:p w14:paraId="14A678A1" w14:textId="77777777" w:rsidR="007F1D69" w:rsidRDefault="00E83B7F" w:rsidP="007F1D69">
      <w:pPr>
        <w:keepNext/>
        <w:spacing w:line="276" w:lineRule="auto"/>
      </w:pPr>
      <w:r>
        <w:rPr>
          <w:noProof/>
        </w:rPr>
        <w:drawing>
          <wp:inline distT="0" distB="0" distL="0" distR="0" wp14:anchorId="5FE80589" wp14:editId="6CC4DB63">
            <wp:extent cx="2736000" cy="2516400"/>
            <wp:effectExtent l="0" t="0" r="26670" b="17780"/>
            <wp:docPr id="31" name="Chart 31" descr="This graph provides a percentage comparison between employees with a psychological injury claim who were at work at the time of the survey with employees with a psychological claim who had been at work for three months or more at the time of the interview.  " title="Figure 1: Return to Work (RTW) results psychological versus physical cas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93F245" w14:textId="77777777" w:rsidR="00E83B7F" w:rsidRPr="007F1D69" w:rsidRDefault="00E83B7F" w:rsidP="007F1D69">
      <w:r w:rsidRPr="007F1D69">
        <w:t>Return to work following a psychological injury is recognised to be slower and less likely than following a physical injury.</w:t>
      </w:r>
      <w:r w:rsidRPr="00A20EE9">
        <w:rPr>
          <w:rStyle w:val="EndnoteReference"/>
        </w:rPr>
        <w:endnoteReference w:id="2"/>
      </w:r>
      <w:r w:rsidRPr="007F1D69">
        <w:t xml:space="preserve"> As outlined in the second report on this project, the proportion of those at work at the time of the Survey interview is much higher for those with a physical injury claim (79%) than a psychological claim (58%).</w:t>
      </w:r>
    </w:p>
    <w:p w14:paraId="4FC20600" w14:textId="4EC8BDFC" w:rsidR="00E83B7F" w:rsidRPr="007F1D69" w:rsidRDefault="00E83B7F" w:rsidP="007F1D69">
      <w:r w:rsidRPr="007F1D69">
        <w:t xml:space="preserve">The proportion of employees at work when the Return to Work Survey interview was conducted is shown in </w:t>
      </w:r>
      <w:r w:rsidR="008F6245">
        <w:fldChar w:fldCharType="begin"/>
      </w:r>
      <w:r w:rsidR="008F6245">
        <w:instrText xml:space="preserve"> REF _Ref430871437 \h </w:instrText>
      </w:r>
      <w:r w:rsidR="008F6245">
        <w:fldChar w:fldCharType="separate"/>
      </w:r>
      <w:r w:rsidR="005D6308" w:rsidRPr="00EA4A3F">
        <w:t xml:space="preserve">Table </w:t>
      </w:r>
      <w:r w:rsidR="005D6308">
        <w:rPr>
          <w:noProof/>
        </w:rPr>
        <w:t>1</w:t>
      </w:r>
      <w:r w:rsidR="008F6245">
        <w:fldChar w:fldCharType="end"/>
      </w:r>
      <w:r w:rsidRPr="007F1D69">
        <w:t xml:space="preserve"> below. The results are separated into two groups, by whether the employee’s views were positive or negative about potenti</w:t>
      </w:r>
      <w:r w:rsidR="005C738E">
        <w:t>al influencing factors. The middle</w:t>
      </w:r>
      <w:r w:rsidRPr="007F1D69">
        <w:t xml:space="preserve"> column shows the increase in RTW results with positive responses. Influencing factors may be responses to individual questions, or represent a summary score for relevant questions about that theme. For example, the theme employer response to injury is made up of responses to six questions about how the employer has responded to their injury. </w:t>
      </w:r>
    </w:p>
    <w:p w14:paraId="616D0C09" w14:textId="5946805C" w:rsidR="00E83B7F" w:rsidRPr="007F1D69" w:rsidRDefault="00E83B7F" w:rsidP="007F1D69">
      <w:r w:rsidRPr="007F1D69">
        <w:t>Seventy-nine per cent of employees who considered their employer responded positively</w:t>
      </w:r>
      <w:r w:rsidR="005C738E">
        <w:t xml:space="preserve"> to their injury</w:t>
      </w:r>
      <w:r w:rsidRPr="007F1D69">
        <w:t xml:space="preserve"> were at work at the time of the survey interview, compared to </w:t>
      </w:r>
      <w:r w:rsidR="006067C2">
        <w:t>fifty-two per cent</w:t>
      </w:r>
      <w:r w:rsidRPr="007F1D69">
        <w:t xml:space="preserve"> of those who did not.</w:t>
      </w:r>
    </w:p>
    <w:p w14:paraId="2F738D89" w14:textId="77777777" w:rsidR="00E83B7F" w:rsidRPr="007F1D69" w:rsidRDefault="00E83B7F" w:rsidP="007F1D69">
      <w:r w:rsidRPr="007F1D69">
        <w:t xml:space="preserve">The major factors associated with higher RTW results were in the employer’s response to the psychological injury and early contact from the workplace. </w:t>
      </w:r>
    </w:p>
    <w:p w14:paraId="7F09998E" w14:textId="1095C2B2" w:rsidR="00E83B7F" w:rsidRDefault="00E83B7F" w:rsidP="006C6F28">
      <w:pPr>
        <w:pStyle w:val="Caption"/>
      </w:pPr>
      <w:bookmarkStart w:id="15" w:name="_Ref430871437"/>
      <w:bookmarkStart w:id="16" w:name="_Toc494358565"/>
      <w:r w:rsidRPr="00EA4A3F">
        <w:lastRenderedPageBreak/>
        <w:t xml:space="preserve">Table </w:t>
      </w:r>
      <w:r w:rsidR="005D6308">
        <w:fldChar w:fldCharType="begin"/>
      </w:r>
      <w:r w:rsidR="005D6308">
        <w:instrText xml:space="preserve"> </w:instrText>
      </w:r>
      <w:r w:rsidR="005D6308">
        <w:instrText xml:space="preserve">SEQ Table \* ARABIC </w:instrText>
      </w:r>
      <w:r w:rsidR="005D6308">
        <w:fldChar w:fldCharType="separate"/>
      </w:r>
      <w:r w:rsidR="005D6308">
        <w:rPr>
          <w:noProof/>
        </w:rPr>
        <w:t>1</w:t>
      </w:r>
      <w:r w:rsidR="005D6308">
        <w:rPr>
          <w:noProof/>
        </w:rPr>
        <w:fldChar w:fldCharType="end"/>
      </w:r>
      <w:bookmarkEnd w:id="15"/>
      <w:r w:rsidRPr="00EA4A3F">
        <w:rPr>
          <w:noProof/>
        </w:rPr>
        <w:t xml:space="preserve"> </w:t>
      </w:r>
      <w:r w:rsidR="0097084C">
        <w:rPr>
          <w:noProof/>
        </w:rPr>
        <w:t xml:space="preserve">– </w:t>
      </w:r>
      <w:r w:rsidRPr="00EA4A3F">
        <w:rPr>
          <w:noProof/>
        </w:rPr>
        <w:t>Proportion of employees at work at the time of the Return to Work Survey</w:t>
      </w:r>
      <w:r>
        <w:rPr>
          <w:noProof/>
        </w:rPr>
        <w:t xml:space="preserve"> by influencing factor</w:t>
      </w:r>
      <w:bookmarkEnd w:id="16"/>
    </w:p>
    <w:tbl>
      <w:tblPr>
        <w:tblStyle w:val="LightShading-Accent2"/>
        <w:tblW w:w="5000" w:type="pct"/>
        <w:tblLayout w:type="fixed"/>
        <w:tblLook w:val="0620" w:firstRow="1" w:lastRow="0" w:firstColumn="0" w:lastColumn="0" w:noHBand="1" w:noVBand="1"/>
        <w:tblCaption w:val="Table 1: Proportion of employees at work at the time of the Return to Work (RTW) Survey by influencing factor"/>
        <w:tblDescription w:val="This table provides a percentage comparision between employees (at work at time of interview) with a positive response relating to influencing factors with those with a negative response relating to influencing factors. "/>
      </w:tblPr>
      <w:tblGrid>
        <w:gridCol w:w="3653"/>
        <w:gridCol w:w="2837"/>
        <w:gridCol w:w="2556"/>
      </w:tblGrid>
      <w:tr w:rsidR="00E83B7F" w:rsidRPr="007F1D69" w14:paraId="191484E5" w14:textId="77777777" w:rsidTr="006B03FE">
        <w:trPr>
          <w:cnfStyle w:val="100000000000" w:firstRow="1" w:lastRow="0" w:firstColumn="0" w:lastColumn="0" w:oddVBand="0" w:evenVBand="0" w:oddHBand="0" w:evenHBand="0" w:firstRowFirstColumn="0" w:firstRowLastColumn="0" w:lastRowFirstColumn="0" w:lastRowLastColumn="0"/>
          <w:tblHeader/>
        </w:trPr>
        <w:tc>
          <w:tcPr>
            <w:tcW w:w="2019" w:type="pct"/>
            <w:noWrap/>
            <w:vAlign w:val="center"/>
            <w:hideMark/>
          </w:tcPr>
          <w:p w14:paraId="2E54E628" w14:textId="77777777" w:rsidR="00E83B7F" w:rsidRPr="007F1D69" w:rsidRDefault="00E83B7F" w:rsidP="006C6F28">
            <w:pPr>
              <w:keepNext/>
              <w:keepLines/>
            </w:pPr>
            <w:r w:rsidRPr="007F1D69">
              <w:t>Influencing factor</w:t>
            </w:r>
          </w:p>
        </w:tc>
        <w:tc>
          <w:tcPr>
            <w:tcW w:w="1568" w:type="pct"/>
            <w:noWrap/>
            <w:hideMark/>
          </w:tcPr>
          <w:p w14:paraId="0A0E52E4" w14:textId="77777777" w:rsidR="00E83B7F" w:rsidRPr="007F1D69" w:rsidRDefault="00E83B7F" w:rsidP="006C6F28">
            <w:pPr>
              <w:keepNext/>
              <w:keepLines/>
              <w:jc w:val="center"/>
            </w:pPr>
            <w:r w:rsidRPr="007F1D69">
              <w:t>Of those with a positive response, % at work</w:t>
            </w:r>
          </w:p>
        </w:tc>
        <w:tc>
          <w:tcPr>
            <w:tcW w:w="1414" w:type="pct"/>
            <w:noWrap/>
            <w:hideMark/>
          </w:tcPr>
          <w:p w14:paraId="628EBDCE" w14:textId="77777777" w:rsidR="00E83B7F" w:rsidRPr="007F1D69" w:rsidRDefault="00E83B7F" w:rsidP="006C6F28">
            <w:pPr>
              <w:keepNext/>
              <w:keepLines/>
              <w:jc w:val="center"/>
            </w:pPr>
            <w:r w:rsidRPr="007F1D69">
              <w:t>Of those with a negative response, % at work</w:t>
            </w:r>
          </w:p>
        </w:tc>
      </w:tr>
      <w:tr w:rsidR="00E83B7F" w:rsidRPr="007F1D69" w14:paraId="3CB00F5D" w14:textId="77777777" w:rsidTr="006B03FE">
        <w:tc>
          <w:tcPr>
            <w:tcW w:w="2019" w:type="pct"/>
            <w:tcBorders>
              <w:bottom w:val="dotted" w:sz="4" w:space="0" w:color="FFFFFF" w:themeColor="background1"/>
            </w:tcBorders>
            <w:noWrap/>
            <w:hideMark/>
          </w:tcPr>
          <w:p w14:paraId="433AFEBD" w14:textId="77777777" w:rsidR="00E83B7F" w:rsidRPr="007F1D69" w:rsidRDefault="00E83B7F" w:rsidP="006C6F28">
            <w:pPr>
              <w:keepNext/>
              <w:keepLines/>
            </w:pPr>
            <w:r w:rsidRPr="007F1D69">
              <w:t xml:space="preserve">Employer response to injury </w:t>
            </w:r>
          </w:p>
        </w:tc>
        <w:tc>
          <w:tcPr>
            <w:tcW w:w="1568" w:type="pct"/>
            <w:tcBorders>
              <w:bottom w:val="dotted" w:sz="4" w:space="0" w:color="FFFFFF" w:themeColor="background1"/>
            </w:tcBorders>
            <w:noWrap/>
            <w:hideMark/>
          </w:tcPr>
          <w:p w14:paraId="494B5F51" w14:textId="77777777" w:rsidR="00E83B7F" w:rsidRPr="007F1D69" w:rsidRDefault="00E83B7F" w:rsidP="006C6F28">
            <w:pPr>
              <w:keepNext/>
              <w:keepLines/>
              <w:jc w:val="center"/>
            </w:pPr>
            <w:r w:rsidRPr="007F1D69">
              <w:t>79%</w:t>
            </w:r>
          </w:p>
        </w:tc>
        <w:tc>
          <w:tcPr>
            <w:tcW w:w="1414" w:type="pct"/>
            <w:tcBorders>
              <w:bottom w:val="dotted" w:sz="4" w:space="0" w:color="FFFFFF" w:themeColor="background1"/>
            </w:tcBorders>
            <w:noWrap/>
            <w:hideMark/>
          </w:tcPr>
          <w:p w14:paraId="6B948B47" w14:textId="77777777" w:rsidR="00E83B7F" w:rsidRPr="007F1D69" w:rsidRDefault="00E83B7F" w:rsidP="006C6F28">
            <w:pPr>
              <w:keepNext/>
              <w:keepLines/>
              <w:jc w:val="center"/>
            </w:pPr>
            <w:r w:rsidRPr="007F1D69">
              <w:t>52%</w:t>
            </w:r>
          </w:p>
        </w:tc>
      </w:tr>
      <w:tr w:rsidR="00E83B7F" w:rsidRPr="007F1D69" w14:paraId="0C455F69" w14:textId="77777777" w:rsidTr="006B03FE">
        <w:tc>
          <w:tcPr>
            <w:tcW w:w="2019" w:type="pct"/>
            <w:shd w:val="clear" w:color="auto" w:fill="C9E5F7"/>
            <w:noWrap/>
            <w:hideMark/>
          </w:tcPr>
          <w:p w14:paraId="494A4444" w14:textId="77777777" w:rsidR="00E83B7F" w:rsidRPr="007F1D69" w:rsidRDefault="00E83B7F" w:rsidP="006C6F28">
            <w:pPr>
              <w:keepNext/>
              <w:keepLines/>
            </w:pPr>
            <w:r w:rsidRPr="007F1D69">
              <w:t>Early contact versus no contact</w:t>
            </w:r>
          </w:p>
        </w:tc>
        <w:tc>
          <w:tcPr>
            <w:tcW w:w="1568" w:type="pct"/>
            <w:shd w:val="clear" w:color="auto" w:fill="C9E5F7"/>
            <w:noWrap/>
            <w:hideMark/>
          </w:tcPr>
          <w:p w14:paraId="4129CA9B" w14:textId="77777777" w:rsidR="00E83B7F" w:rsidRPr="007F1D69" w:rsidRDefault="00E83B7F" w:rsidP="006C6F28">
            <w:pPr>
              <w:keepNext/>
              <w:keepLines/>
              <w:jc w:val="center"/>
            </w:pPr>
            <w:r w:rsidRPr="007F1D69">
              <w:t>77%</w:t>
            </w:r>
          </w:p>
        </w:tc>
        <w:tc>
          <w:tcPr>
            <w:tcW w:w="1414" w:type="pct"/>
            <w:shd w:val="clear" w:color="auto" w:fill="C9E5F7"/>
            <w:noWrap/>
            <w:hideMark/>
          </w:tcPr>
          <w:p w14:paraId="7B4E7758" w14:textId="77777777" w:rsidR="00E83B7F" w:rsidRPr="007F1D69" w:rsidRDefault="00E83B7F" w:rsidP="006C6F28">
            <w:pPr>
              <w:keepNext/>
              <w:keepLines/>
              <w:jc w:val="center"/>
            </w:pPr>
            <w:r w:rsidRPr="007F1D69">
              <w:t>53%</w:t>
            </w:r>
          </w:p>
        </w:tc>
      </w:tr>
      <w:tr w:rsidR="00E83B7F" w:rsidRPr="007F1D69" w14:paraId="1DFB6CB1" w14:textId="77777777" w:rsidTr="006B03FE">
        <w:tc>
          <w:tcPr>
            <w:tcW w:w="2019" w:type="pct"/>
            <w:tcBorders>
              <w:bottom w:val="dotted" w:sz="4" w:space="0" w:color="FFFFFF" w:themeColor="background1"/>
            </w:tcBorders>
            <w:noWrap/>
            <w:hideMark/>
          </w:tcPr>
          <w:p w14:paraId="5C69FCF5" w14:textId="77777777" w:rsidR="00E83B7F" w:rsidRPr="007F1D69" w:rsidRDefault="00E83B7F" w:rsidP="006C6F28">
            <w:pPr>
              <w:keepNext/>
              <w:keepLines/>
            </w:pPr>
            <w:r w:rsidRPr="007F1D69">
              <w:t>Employer pre claim assistance</w:t>
            </w:r>
          </w:p>
        </w:tc>
        <w:tc>
          <w:tcPr>
            <w:tcW w:w="1568" w:type="pct"/>
            <w:tcBorders>
              <w:bottom w:val="dotted" w:sz="4" w:space="0" w:color="FFFFFF" w:themeColor="background1"/>
            </w:tcBorders>
            <w:noWrap/>
            <w:hideMark/>
          </w:tcPr>
          <w:p w14:paraId="691A3D96" w14:textId="77777777" w:rsidR="00E83B7F" w:rsidRPr="007F1D69" w:rsidRDefault="00E83B7F" w:rsidP="006C6F28">
            <w:pPr>
              <w:keepNext/>
              <w:keepLines/>
              <w:jc w:val="center"/>
            </w:pPr>
            <w:r w:rsidRPr="007F1D69">
              <w:t>74%</w:t>
            </w:r>
          </w:p>
        </w:tc>
        <w:tc>
          <w:tcPr>
            <w:tcW w:w="1414" w:type="pct"/>
            <w:tcBorders>
              <w:bottom w:val="dotted" w:sz="4" w:space="0" w:color="FFFFFF" w:themeColor="background1"/>
            </w:tcBorders>
            <w:noWrap/>
            <w:hideMark/>
          </w:tcPr>
          <w:p w14:paraId="2EB983A0" w14:textId="77777777" w:rsidR="00E83B7F" w:rsidRPr="007F1D69" w:rsidRDefault="00E83B7F" w:rsidP="006C6F28">
            <w:pPr>
              <w:keepNext/>
              <w:keepLines/>
              <w:jc w:val="center"/>
            </w:pPr>
            <w:r w:rsidRPr="007F1D69">
              <w:t>55%</w:t>
            </w:r>
          </w:p>
        </w:tc>
      </w:tr>
      <w:tr w:rsidR="00E83B7F" w:rsidRPr="007F1D69" w14:paraId="5D735CD6" w14:textId="77777777" w:rsidTr="006B03FE">
        <w:tc>
          <w:tcPr>
            <w:tcW w:w="2019" w:type="pct"/>
            <w:shd w:val="clear" w:color="auto" w:fill="C9E5F7"/>
            <w:noWrap/>
            <w:hideMark/>
          </w:tcPr>
          <w:p w14:paraId="5185746D" w14:textId="11C89725" w:rsidR="00E83B7F" w:rsidRPr="007F1D69" w:rsidRDefault="00E83B7F" w:rsidP="006C6F28">
            <w:pPr>
              <w:keepNext/>
              <w:keepLines/>
            </w:pPr>
            <w:r w:rsidRPr="007F1D69">
              <w:t>Disagreement/dispute</w:t>
            </w:r>
          </w:p>
        </w:tc>
        <w:tc>
          <w:tcPr>
            <w:tcW w:w="1568" w:type="pct"/>
            <w:shd w:val="clear" w:color="auto" w:fill="C9E5F7"/>
            <w:noWrap/>
            <w:hideMark/>
          </w:tcPr>
          <w:p w14:paraId="07D0674C" w14:textId="77777777" w:rsidR="00E83B7F" w:rsidRPr="007F1D69" w:rsidRDefault="00E83B7F" w:rsidP="006C6F28">
            <w:pPr>
              <w:keepNext/>
              <w:keepLines/>
              <w:jc w:val="center"/>
            </w:pPr>
            <w:r w:rsidRPr="007F1D69">
              <w:t>63%</w:t>
            </w:r>
          </w:p>
        </w:tc>
        <w:tc>
          <w:tcPr>
            <w:tcW w:w="1414" w:type="pct"/>
            <w:shd w:val="clear" w:color="auto" w:fill="C9E5F7"/>
            <w:noWrap/>
            <w:hideMark/>
          </w:tcPr>
          <w:p w14:paraId="61177F16" w14:textId="77777777" w:rsidR="00E83B7F" w:rsidRPr="007F1D69" w:rsidRDefault="00E83B7F" w:rsidP="006C6F28">
            <w:pPr>
              <w:keepNext/>
              <w:keepLines/>
              <w:jc w:val="center"/>
            </w:pPr>
            <w:r w:rsidRPr="007F1D69">
              <w:t>51%</w:t>
            </w:r>
          </w:p>
        </w:tc>
      </w:tr>
      <w:tr w:rsidR="00E83B7F" w:rsidRPr="007F1D69" w14:paraId="34A1171D" w14:textId="77777777" w:rsidTr="006B03FE">
        <w:tc>
          <w:tcPr>
            <w:tcW w:w="2019" w:type="pct"/>
            <w:tcBorders>
              <w:bottom w:val="dotted" w:sz="4" w:space="0" w:color="FFFFFF" w:themeColor="background1"/>
            </w:tcBorders>
            <w:noWrap/>
          </w:tcPr>
          <w:p w14:paraId="2DBD6286" w14:textId="77777777" w:rsidR="00E83B7F" w:rsidRPr="007F1D69" w:rsidRDefault="00E83B7F" w:rsidP="006C6F28">
            <w:pPr>
              <w:keepNext/>
              <w:keepLines/>
            </w:pPr>
            <w:r w:rsidRPr="007F1D69">
              <w:t>Concern about lodging a claim</w:t>
            </w:r>
          </w:p>
        </w:tc>
        <w:tc>
          <w:tcPr>
            <w:tcW w:w="1568" w:type="pct"/>
            <w:tcBorders>
              <w:bottom w:val="dotted" w:sz="4" w:space="0" w:color="FFFFFF" w:themeColor="background1"/>
            </w:tcBorders>
            <w:noWrap/>
          </w:tcPr>
          <w:p w14:paraId="55796DEB" w14:textId="77777777" w:rsidR="00E83B7F" w:rsidRPr="007F1D69" w:rsidRDefault="00E83B7F" w:rsidP="006C6F28">
            <w:pPr>
              <w:keepNext/>
              <w:keepLines/>
              <w:jc w:val="center"/>
            </w:pPr>
            <w:r w:rsidRPr="007F1D69">
              <w:t>63%</w:t>
            </w:r>
          </w:p>
        </w:tc>
        <w:tc>
          <w:tcPr>
            <w:tcW w:w="1414" w:type="pct"/>
            <w:tcBorders>
              <w:bottom w:val="dotted" w:sz="4" w:space="0" w:color="FFFFFF" w:themeColor="background1"/>
            </w:tcBorders>
            <w:noWrap/>
          </w:tcPr>
          <w:p w14:paraId="2E7AB5E6" w14:textId="77777777" w:rsidR="00E83B7F" w:rsidRPr="007F1D69" w:rsidRDefault="00E83B7F" w:rsidP="006C6F28">
            <w:pPr>
              <w:keepNext/>
              <w:keepLines/>
              <w:jc w:val="center"/>
            </w:pPr>
            <w:r w:rsidRPr="007F1D69">
              <w:t>52%</w:t>
            </w:r>
          </w:p>
        </w:tc>
      </w:tr>
      <w:tr w:rsidR="00E83B7F" w:rsidRPr="007F1D69" w14:paraId="7EEFF666" w14:textId="77777777" w:rsidTr="006B03FE">
        <w:tc>
          <w:tcPr>
            <w:tcW w:w="2019" w:type="pct"/>
            <w:shd w:val="clear" w:color="auto" w:fill="C9E5F7"/>
            <w:noWrap/>
          </w:tcPr>
          <w:p w14:paraId="23009638" w14:textId="2CBDAA46" w:rsidR="00E83B7F" w:rsidRPr="007F1D69" w:rsidRDefault="00E83B7F" w:rsidP="00081D79">
            <w:pPr>
              <w:keepNext/>
              <w:keepLines/>
            </w:pPr>
            <w:r w:rsidRPr="007F1D69">
              <w:t>Interaction with system/claims</w:t>
            </w:r>
            <w:r w:rsidR="00081D79">
              <w:t> </w:t>
            </w:r>
            <w:r w:rsidRPr="007F1D69">
              <w:t>organisation</w:t>
            </w:r>
          </w:p>
        </w:tc>
        <w:tc>
          <w:tcPr>
            <w:tcW w:w="1568" w:type="pct"/>
            <w:shd w:val="clear" w:color="auto" w:fill="C9E5F7"/>
            <w:noWrap/>
          </w:tcPr>
          <w:p w14:paraId="688F9E49" w14:textId="77777777" w:rsidR="00E83B7F" w:rsidRPr="007F1D69" w:rsidRDefault="00E83B7F" w:rsidP="006C6F28">
            <w:pPr>
              <w:keepNext/>
              <w:keepLines/>
              <w:jc w:val="center"/>
            </w:pPr>
            <w:r w:rsidRPr="007F1D69">
              <w:t>62%</w:t>
            </w:r>
          </w:p>
        </w:tc>
        <w:tc>
          <w:tcPr>
            <w:tcW w:w="1414" w:type="pct"/>
            <w:shd w:val="clear" w:color="auto" w:fill="C9E5F7"/>
            <w:noWrap/>
          </w:tcPr>
          <w:p w14:paraId="68B83C58" w14:textId="77777777" w:rsidR="00E83B7F" w:rsidRPr="007F1D69" w:rsidRDefault="00E83B7F" w:rsidP="006C6F28">
            <w:pPr>
              <w:keepNext/>
              <w:keepLines/>
              <w:jc w:val="center"/>
            </w:pPr>
            <w:r w:rsidRPr="007F1D69">
              <w:t>55%</w:t>
            </w:r>
          </w:p>
        </w:tc>
      </w:tr>
      <w:tr w:rsidR="00E83B7F" w:rsidRPr="007F1D69" w14:paraId="7C1C8519" w14:textId="77777777" w:rsidTr="006B03FE">
        <w:tc>
          <w:tcPr>
            <w:tcW w:w="2019" w:type="pct"/>
            <w:tcBorders>
              <w:bottom w:val="dotted" w:sz="4" w:space="0" w:color="FFFFFF" w:themeColor="background1"/>
            </w:tcBorders>
            <w:noWrap/>
          </w:tcPr>
          <w:p w14:paraId="56CC9F9D" w14:textId="77777777" w:rsidR="00E83B7F" w:rsidRPr="007F1D69" w:rsidRDefault="00E83B7F" w:rsidP="007F1D69">
            <w:r w:rsidRPr="007F1D69">
              <w:t xml:space="preserve">Resilience </w:t>
            </w:r>
          </w:p>
        </w:tc>
        <w:tc>
          <w:tcPr>
            <w:tcW w:w="1568" w:type="pct"/>
            <w:tcBorders>
              <w:bottom w:val="dotted" w:sz="4" w:space="0" w:color="FFFFFF" w:themeColor="background1"/>
            </w:tcBorders>
            <w:noWrap/>
          </w:tcPr>
          <w:p w14:paraId="03142DEB" w14:textId="77777777" w:rsidR="00E83B7F" w:rsidRPr="007F1D69" w:rsidRDefault="00E83B7F" w:rsidP="007F1D69">
            <w:pPr>
              <w:jc w:val="center"/>
            </w:pPr>
            <w:r w:rsidRPr="007F1D69">
              <w:t>58%</w:t>
            </w:r>
          </w:p>
        </w:tc>
        <w:tc>
          <w:tcPr>
            <w:tcW w:w="1414" w:type="pct"/>
            <w:tcBorders>
              <w:bottom w:val="dotted" w:sz="4" w:space="0" w:color="FFFFFF" w:themeColor="background1"/>
            </w:tcBorders>
            <w:noWrap/>
          </w:tcPr>
          <w:p w14:paraId="383248B8" w14:textId="77777777" w:rsidR="00E83B7F" w:rsidRPr="007F1D69" w:rsidRDefault="00E83B7F" w:rsidP="007F1D69">
            <w:pPr>
              <w:jc w:val="center"/>
            </w:pPr>
            <w:r w:rsidRPr="007F1D69">
              <w:t>52%</w:t>
            </w:r>
          </w:p>
        </w:tc>
      </w:tr>
      <w:tr w:rsidR="00E83B7F" w:rsidRPr="007F1D69" w14:paraId="48FA95D4" w14:textId="77777777" w:rsidTr="006B03FE">
        <w:tc>
          <w:tcPr>
            <w:tcW w:w="2019" w:type="pct"/>
            <w:shd w:val="clear" w:color="auto" w:fill="C9E5F7"/>
            <w:noWrap/>
          </w:tcPr>
          <w:p w14:paraId="6D2B0125" w14:textId="77777777" w:rsidR="00E83B7F" w:rsidRPr="007F1D69" w:rsidRDefault="00E83B7F" w:rsidP="007F1D69">
            <w:r w:rsidRPr="007F1D69">
              <w:t>Workplace culture prior to injury</w:t>
            </w:r>
          </w:p>
        </w:tc>
        <w:tc>
          <w:tcPr>
            <w:tcW w:w="1568" w:type="pct"/>
            <w:shd w:val="clear" w:color="auto" w:fill="C9E5F7"/>
            <w:noWrap/>
          </w:tcPr>
          <w:p w14:paraId="25D7EC64" w14:textId="77777777" w:rsidR="00E83B7F" w:rsidRPr="007F1D69" w:rsidRDefault="00E83B7F" w:rsidP="007F1D69">
            <w:pPr>
              <w:jc w:val="center"/>
            </w:pPr>
            <w:r w:rsidRPr="007F1D69">
              <w:t>59%</w:t>
            </w:r>
          </w:p>
        </w:tc>
        <w:tc>
          <w:tcPr>
            <w:tcW w:w="1414" w:type="pct"/>
            <w:shd w:val="clear" w:color="auto" w:fill="C9E5F7"/>
            <w:noWrap/>
          </w:tcPr>
          <w:p w14:paraId="67948D38" w14:textId="77777777" w:rsidR="00E83B7F" w:rsidRPr="007F1D69" w:rsidRDefault="00E83B7F" w:rsidP="007F1D69">
            <w:pPr>
              <w:jc w:val="center"/>
            </w:pPr>
            <w:r w:rsidRPr="007F1D69">
              <w:t>58%</w:t>
            </w:r>
          </w:p>
        </w:tc>
      </w:tr>
    </w:tbl>
    <w:p w14:paraId="798DF681" w14:textId="77777777" w:rsidR="007F1D69" w:rsidRDefault="007F1D69" w:rsidP="00E83B7F">
      <w:pPr>
        <w:spacing w:line="276" w:lineRule="auto"/>
      </w:pPr>
    </w:p>
    <w:p w14:paraId="5052C2DA" w14:textId="252350E5" w:rsidR="00E83B7F" w:rsidRDefault="00E83B7F" w:rsidP="00E83B7F">
      <w:pPr>
        <w:spacing w:line="276" w:lineRule="auto"/>
      </w:pPr>
      <w:r>
        <w:t>Of employees who had been contacted by the workplace within three days of lodging the claim, 77</w:t>
      </w:r>
      <w:r w:rsidRPr="00874457">
        <w:t>% were</w:t>
      </w:r>
      <w:r>
        <w:t xml:space="preserve"> back at work at th</w:t>
      </w:r>
      <w:r w:rsidR="005C738E">
        <w:t>e time of the S</w:t>
      </w:r>
      <w:r>
        <w:t xml:space="preserve">urvey (had returned to </w:t>
      </w:r>
      <w:r w:rsidR="005C738E">
        <w:t>work and were working when the S</w:t>
      </w:r>
      <w:r>
        <w:t>urvey was undertaken). Of employees who had not been contacted by the workplace in relation to their injury, 53% of employees w</w:t>
      </w:r>
      <w:r w:rsidR="005C738E">
        <w:t>ere at work at the time of the S</w:t>
      </w:r>
      <w:r>
        <w:t xml:space="preserve">urvey. </w:t>
      </w:r>
    </w:p>
    <w:p w14:paraId="120A010F" w14:textId="5F00A6E4" w:rsidR="00E83B7F" w:rsidRPr="00B80E45" w:rsidRDefault="00E83B7F" w:rsidP="00E83B7F">
      <w:pPr>
        <w:spacing w:line="276" w:lineRule="auto"/>
      </w:pPr>
      <w:r w:rsidRPr="00B80E45">
        <w:t xml:space="preserve">Employer assistance before the claim </w:t>
      </w:r>
      <w:r>
        <w:t>wa</w:t>
      </w:r>
      <w:r w:rsidRPr="00B80E45">
        <w:t xml:space="preserve">s lodged, lack of worry about claim lodgement, and avoiding disputes </w:t>
      </w:r>
      <w:r>
        <w:t>were</w:t>
      </w:r>
      <w:r w:rsidRPr="00B80E45">
        <w:t xml:space="preserve"> all associated with substantial</w:t>
      </w:r>
      <w:r>
        <w:t>ly better</w:t>
      </w:r>
      <w:r w:rsidRPr="00B80E45">
        <w:t xml:space="preserve"> </w:t>
      </w:r>
      <w:r>
        <w:t>RTW</w:t>
      </w:r>
      <w:r w:rsidRPr="00B80E45">
        <w:t xml:space="preserve"> results.</w:t>
      </w:r>
      <w:r>
        <w:t xml:space="preserve"> </w:t>
      </w:r>
      <w:r w:rsidRPr="00B80E45">
        <w:t>The</w:t>
      </w:r>
      <w:r>
        <w:t xml:space="preserve"> perception of </w:t>
      </w:r>
      <w:r w:rsidRPr="00B80E45">
        <w:t xml:space="preserve">workplace culture prior to the injury, employee resilience and interaction with the system/claims organisation </w:t>
      </w:r>
      <w:r>
        <w:t>were</w:t>
      </w:r>
      <w:r w:rsidRPr="00B80E45">
        <w:t xml:space="preserve"> associated with </w:t>
      </w:r>
      <w:r>
        <w:t>smaller</w:t>
      </w:r>
      <w:r w:rsidRPr="00B80E45">
        <w:t xml:space="preserve"> but s</w:t>
      </w:r>
      <w:r>
        <w:t>t</w:t>
      </w:r>
      <w:r w:rsidRPr="00B80E45">
        <w:t xml:space="preserve">ill important differences in </w:t>
      </w:r>
      <w:r>
        <w:t>RTW</w:t>
      </w:r>
      <w:r w:rsidRPr="00B80E45">
        <w:t xml:space="preserve">. </w:t>
      </w:r>
    </w:p>
    <w:p w14:paraId="24D76A74" w14:textId="0C8740B8" w:rsidR="00E83B7F" w:rsidRDefault="00E83B7F" w:rsidP="00E83B7F">
      <w:pPr>
        <w:spacing w:line="276" w:lineRule="auto"/>
      </w:pPr>
      <w:r>
        <w:t>The overall r</w:t>
      </w:r>
      <w:r w:rsidRPr="00EA4A3F">
        <w:t xml:space="preserve">esults are demonstrated graphically in </w:t>
      </w:r>
      <w:r w:rsidR="00182D96">
        <w:fldChar w:fldCharType="begin"/>
      </w:r>
      <w:r w:rsidR="00182D96">
        <w:instrText xml:space="preserve"> REF _Ref431106885 \h </w:instrText>
      </w:r>
      <w:r w:rsidR="00182D96">
        <w:fldChar w:fldCharType="separate"/>
      </w:r>
      <w:r w:rsidR="005D6308" w:rsidRPr="00153C28">
        <w:t xml:space="preserve">Figure </w:t>
      </w:r>
      <w:r w:rsidR="005D6308">
        <w:rPr>
          <w:noProof/>
        </w:rPr>
        <w:t>2</w:t>
      </w:r>
      <w:r w:rsidR="00182D96">
        <w:fldChar w:fldCharType="end"/>
      </w:r>
      <w:r w:rsidRPr="00EA4A3F">
        <w:t xml:space="preserve"> below.</w:t>
      </w:r>
      <w:r>
        <w:t xml:space="preserve"> </w:t>
      </w:r>
      <w:r w:rsidRPr="00EA4A3F">
        <w:t xml:space="preserve">This </w:t>
      </w:r>
      <w:r>
        <w:t>slopegraph</w:t>
      </w:r>
      <w:r w:rsidRPr="00EA4A3F">
        <w:t xml:space="preserve"> highlights opportunities to improve </w:t>
      </w:r>
      <w:r>
        <w:t>RTW</w:t>
      </w:r>
      <w:r w:rsidRPr="00EA4A3F">
        <w:t xml:space="preserve"> results </w:t>
      </w:r>
      <w:r>
        <w:t>through improving</w:t>
      </w:r>
      <w:r w:rsidRPr="00EA4A3F">
        <w:t xml:space="preserve"> employee ratings of relevant influencing factors.</w:t>
      </w:r>
      <w:r>
        <w:t xml:space="preserve"> The RTW results where there have been positive influences, such as a positive employer response to the injury, low levels of concern about lodging a claim, no dispute, or high levels of resilience, are on the left. </w:t>
      </w:r>
    </w:p>
    <w:p w14:paraId="771B9AFC" w14:textId="30AEDCC7" w:rsidR="00E83B7F" w:rsidRPr="00153C28" w:rsidRDefault="00E83B7F" w:rsidP="006F52B2">
      <w:pPr>
        <w:pStyle w:val="Caption"/>
      </w:pPr>
      <w:bookmarkStart w:id="17" w:name="_Ref431106885"/>
      <w:bookmarkStart w:id="18" w:name="_Toc497141038"/>
      <w:r w:rsidRPr="00153C28">
        <w:lastRenderedPageBreak/>
        <w:t xml:space="preserve">Figure </w:t>
      </w:r>
      <w:r w:rsidR="005D6308">
        <w:fldChar w:fldCharType="begin"/>
      </w:r>
      <w:r w:rsidR="005D6308">
        <w:instrText xml:space="preserve"> SEQ Figure \* AR</w:instrText>
      </w:r>
      <w:r w:rsidR="005D6308">
        <w:instrText xml:space="preserve">ABIC </w:instrText>
      </w:r>
      <w:r w:rsidR="005D6308">
        <w:fldChar w:fldCharType="separate"/>
      </w:r>
      <w:r w:rsidR="005D6308">
        <w:rPr>
          <w:noProof/>
        </w:rPr>
        <w:t>2</w:t>
      </w:r>
      <w:r w:rsidR="005D6308">
        <w:rPr>
          <w:noProof/>
        </w:rPr>
        <w:fldChar w:fldCharType="end"/>
      </w:r>
      <w:bookmarkEnd w:id="17"/>
      <w:r>
        <w:rPr>
          <w:noProof/>
        </w:rPr>
        <w:t xml:space="preserve"> </w:t>
      </w:r>
      <w:r w:rsidR="00CC14A7">
        <w:rPr>
          <w:noProof/>
        </w:rPr>
        <w:t>–</w:t>
      </w:r>
      <w:r w:rsidRPr="00153C28">
        <w:t xml:space="preserve"> Proportion of employees at work at the time of the Return to Work Survey </w:t>
      </w:r>
      <w:r>
        <w:t>by influencing factors</w:t>
      </w:r>
      <w:bookmarkEnd w:id="18"/>
    </w:p>
    <w:p w14:paraId="7915B43F" w14:textId="77777777" w:rsidR="00E83B7F" w:rsidRPr="00B27089" w:rsidRDefault="00E83B7F" w:rsidP="00E83B7F">
      <w:r>
        <w:rPr>
          <w:noProof/>
        </w:rPr>
        <w:drawing>
          <wp:inline distT="0" distB="0" distL="0" distR="0" wp14:anchorId="413EFD0C" wp14:editId="4ABDECAC">
            <wp:extent cx="5746750" cy="4679950"/>
            <wp:effectExtent l="0" t="0" r="25400" b="25400"/>
            <wp:docPr id="12" name="Chart 12" descr="This graph shows the proportion of employees at work at the time of the survey by influencing factors. " title="Figure 2: Proportion of employees at work at the time of the RTW survey by influencing factors"/>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6D7E413" w14:textId="77777777" w:rsidR="006F52B2" w:rsidRPr="0032757A" w:rsidRDefault="006F52B2" w:rsidP="0032757A"/>
    <w:p w14:paraId="50B0DB15" w14:textId="64B0BD25" w:rsidR="00E83B7F" w:rsidRPr="006F52B2" w:rsidRDefault="00E83B7F" w:rsidP="00541F93">
      <w:pPr>
        <w:keepNext/>
        <w:keepLines/>
      </w:pPr>
      <w:r w:rsidRPr="006F52B2">
        <w:t xml:space="preserve">The proportions of employees who had been at work for three or </w:t>
      </w:r>
      <w:r w:rsidR="00951EEE">
        <w:t>more months at the time of the S</w:t>
      </w:r>
      <w:r w:rsidRPr="006F52B2">
        <w:t xml:space="preserve">urvey follow a similar pattern. </w:t>
      </w:r>
    </w:p>
    <w:p w14:paraId="2BD19AC2" w14:textId="77777777" w:rsidR="00E83B7F" w:rsidRPr="006F52B2" w:rsidRDefault="00E83B7F" w:rsidP="00541F93">
      <w:pPr>
        <w:keepNext/>
        <w:keepLines/>
      </w:pPr>
      <w:r w:rsidRPr="006F52B2">
        <w:t xml:space="preserve">This analysis expands on the previous Safe Work Australia report, </w:t>
      </w:r>
      <w:r w:rsidRPr="00D57E73">
        <w:rPr>
          <w:i/>
        </w:rPr>
        <w:t>The Role of the Employer and Workplace. Australia and New Zealand: 2013</w:t>
      </w:r>
      <w:r w:rsidRPr="006F52B2">
        <w:t>.</w:t>
      </w:r>
      <w:r w:rsidRPr="00A20EE9">
        <w:rPr>
          <w:rStyle w:val="EndnoteReference"/>
        </w:rPr>
        <w:endnoteReference w:id="3"/>
      </w:r>
      <w:r w:rsidRPr="006F52B2">
        <w:t xml:space="preserve"> Using the two-year sample, the important role of the workplace in RTW is again highlighted. </w:t>
      </w:r>
    </w:p>
    <w:p w14:paraId="232ACE0F" w14:textId="77777777" w:rsidR="00E83B7F" w:rsidRPr="006F52B2" w:rsidRDefault="00E83B7F" w:rsidP="00D50227">
      <w:pPr>
        <w:keepNext/>
        <w:keepLines/>
      </w:pPr>
      <w:r w:rsidRPr="006F52B2">
        <w:t>It could be considered that employees who held more positive attitudes were more likely to resume work, and that this is the basis for the association between better RTW results and employees’ views on how they were treated. However a more positive response is not universally associated with better RTW results, for example, employees’ views on the approach of their treatment providers. This is consistent with other studies which have explored satisfaction with the workplace, and treatment and RTW results.</w:t>
      </w:r>
      <w:r w:rsidRPr="00A20EE9">
        <w:rPr>
          <w:rStyle w:val="EndnoteReference"/>
        </w:rPr>
        <w:endnoteReference w:id="4"/>
      </w:r>
    </w:p>
    <w:p w14:paraId="3C2FD729" w14:textId="77777777" w:rsidR="00E83B7F" w:rsidRDefault="00E83B7F" w:rsidP="00E83B7F">
      <w:pPr>
        <w:spacing w:line="276" w:lineRule="auto"/>
      </w:pPr>
      <w:r>
        <w:t xml:space="preserve">Only approximately one third of employees with a psychological claim considered their employers responded in a supportive manner. In fact, only 36% of employees with a psychological injury claim said their workplace had made contact with them about their injury. </w:t>
      </w:r>
    </w:p>
    <w:p w14:paraId="1CE4947F" w14:textId="77777777" w:rsidR="00065B9B" w:rsidRDefault="00E83B7F" w:rsidP="00E83B7F">
      <w:pPr>
        <w:spacing w:line="276" w:lineRule="auto"/>
      </w:pPr>
      <w:r w:rsidRPr="005B4B73">
        <w:t xml:space="preserve">The </w:t>
      </w:r>
      <w:r>
        <w:t>overarching finding</w:t>
      </w:r>
      <w:r w:rsidRPr="005B4B73">
        <w:t xml:space="preserve"> of this study</w:t>
      </w:r>
      <w:r>
        <w:t xml:space="preserve"> </w:t>
      </w:r>
      <w:r>
        <w:rPr>
          <w:rFonts w:ascii="Calibri" w:hAnsi="Calibri"/>
        </w:rPr>
        <w:t>–</w:t>
      </w:r>
      <w:r>
        <w:t xml:space="preserve"> that t</w:t>
      </w:r>
      <w:r w:rsidRPr="005B4B73">
        <w:t xml:space="preserve">he workplace plays a major role in successful </w:t>
      </w:r>
      <w:r>
        <w:t xml:space="preserve">RTW </w:t>
      </w:r>
      <w:r>
        <w:rPr>
          <w:rFonts w:ascii="Calibri" w:hAnsi="Calibri"/>
        </w:rPr>
        <w:t>–</w:t>
      </w:r>
      <w:r w:rsidRPr="005B4B73">
        <w:t xml:space="preserve"> </w:t>
      </w:r>
      <w:r>
        <w:t xml:space="preserve">is </w:t>
      </w:r>
      <w:r w:rsidRPr="005B4B73">
        <w:t>in line with the literature review findings (Section 4).</w:t>
      </w:r>
      <w:r>
        <w:t xml:space="preserve"> </w:t>
      </w:r>
      <w:r w:rsidRPr="005B4B73">
        <w:t xml:space="preserve">The results </w:t>
      </w:r>
      <w:r>
        <w:t>presented here</w:t>
      </w:r>
      <w:r w:rsidRPr="005B4B73">
        <w:t xml:space="preserve"> </w:t>
      </w:r>
      <w:r>
        <w:t xml:space="preserve">suggest </w:t>
      </w:r>
      <w:r w:rsidRPr="005B4B73">
        <w:t>the</w:t>
      </w:r>
      <w:r>
        <w:t>re are</w:t>
      </w:r>
      <w:r w:rsidRPr="005B4B73">
        <w:t xml:space="preserve"> </w:t>
      </w:r>
      <w:r>
        <w:t>important</w:t>
      </w:r>
      <w:r w:rsidRPr="005B4B73">
        <w:t xml:space="preserve"> opportunities to improve </w:t>
      </w:r>
      <w:r>
        <w:t>RTW</w:t>
      </w:r>
      <w:r w:rsidRPr="005B4B73">
        <w:t xml:space="preserve"> </w:t>
      </w:r>
      <w:r>
        <w:t>outcomes</w:t>
      </w:r>
      <w:r w:rsidRPr="005B4B73">
        <w:t xml:space="preserve"> in </w:t>
      </w:r>
      <w:r>
        <w:t>psychological</w:t>
      </w:r>
      <w:r w:rsidRPr="005B4B73">
        <w:t xml:space="preserve"> claims</w:t>
      </w:r>
      <w:r>
        <w:t xml:space="preserve"> and therefore reduce costs. Acting on these </w:t>
      </w:r>
      <w:r w:rsidRPr="005B4B73">
        <w:t>opportunities</w:t>
      </w:r>
      <w:r>
        <w:t xml:space="preserve"> could begin with the development of improved strategies for managing the relationship between employers and employees, and employer confidence in communicating with employees with psychological claims.</w:t>
      </w:r>
    </w:p>
    <w:p w14:paraId="40C5DF2F" w14:textId="77777777" w:rsidR="00E83B7F" w:rsidRPr="00DC1480" w:rsidRDefault="00E83B7F" w:rsidP="005275C5">
      <w:pPr>
        <w:pStyle w:val="Heading1"/>
      </w:pPr>
      <w:bookmarkStart w:id="19" w:name="_Toc473101892"/>
      <w:bookmarkStart w:id="20" w:name="_Toc497141018"/>
      <w:r w:rsidRPr="00DC1480">
        <w:lastRenderedPageBreak/>
        <w:t>Results</w:t>
      </w:r>
      <w:bookmarkEnd w:id="19"/>
      <w:bookmarkEnd w:id="20"/>
    </w:p>
    <w:p w14:paraId="020FD6C2" w14:textId="0DEADD6B" w:rsidR="00E83B7F" w:rsidRPr="00065B9B" w:rsidRDefault="00E83B7F" w:rsidP="00065B9B">
      <w:r w:rsidRPr="00065B9B">
        <w:t xml:space="preserve">This section explores the influencing factors summarised in </w:t>
      </w:r>
      <w:r w:rsidR="008F6245">
        <w:fldChar w:fldCharType="begin"/>
      </w:r>
      <w:r w:rsidR="008F6245">
        <w:instrText xml:space="preserve"> REF _Ref430871437 \h </w:instrText>
      </w:r>
      <w:r w:rsidR="008F6245">
        <w:fldChar w:fldCharType="separate"/>
      </w:r>
      <w:r w:rsidR="005D6308" w:rsidRPr="00EA4A3F">
        <w:t xml:space="preserve">Table </w:t>
      </w:r>
      <w:r w:rsidR="005D6308">
        <w:rPr>
          <w:noProof/>
        </w:rPr>
        <w:t>1</w:t>
      </w:r>
      <w:r w:rsidR="008F6245">
        <w:fldChar w:fldCharType="end"/>
      </w:r>
      <w:r w:rsidRPr="00065B9B">
        <w:t xml:space="preserve">. </w:t>
      </w:r>
    </w:p>
    <w:p w14:paraId="34AE8B4C" w14:textId="77777777" w:rsidR="00E83B7F" w:rsidRPr="00896694" w:rsidRDefault="00E83B7F" w:rsidP="001A004E">
      <w:pPr>
        <w:pStyle w:val="Heading2"/>
      </w:pPr>
      <w:bookmarkStart w:id="21" w:name="_Toc473101893"/>
      <w:bookmarkStart w:id="22" w:name="_Toc497141019"/>
      <w:r w:rsidRPr="00896694">
        <w:t>Employer response to injury</w:t>
      </w:r>
      <w:bookmarkEnd w:id="21"/>
      <w:bookmarkEnd w:id="22"/>
    </w:p>
    <w:p w14:paraId="2722ACA5" w14:textId="0F7135D7" w:rsidR="00E83B7F" w:rsidRPr="00065B9B" w:rsidRDefault="00E83B7F" w:rsidP="00065B9B">
      <w:r w:rsidRPr="00065B9B">
        <w:t>The employee’s view of how their employer responded to their psychological claim had the greatest association with RTW results in this analysis of the Survey.</w:t>
      </w:r>
    </w:p>
    <w:p w14:paraId="7845EBBD" w14:textId="29CB40EF" w:rsidR="00E83B7F" w:rsidRPr="00065B9B" w:rsidRDefault="00E83B7F" w:rsidP="00065B9B">
      <w:r w:rsidRPr="00065B9B">
        <w:t xml:space="preserve">Workers were asked six questions about how their employer responded to their injury. </w:t>
      </w:r>
      <w:r w:rsidR="00182D96">
        <w:fldChar w:fldCharType="begin"/>
      </w:r>
      <w:r w:rsidR="00182D96">
        <w:instrText xml:space="preserve"> REF _Ref430869050 \h </w:instrText>
      </w:r>
      <w:r w:rsidR="00182D96">
        <w:fldChar w:fldCharType="separate"/>
      </w:r>
      <w:r w:rsidR="005D6308" w:rsidRPr="00EA4A3F">
        <w:t xml:space="preserve">Figure </w:t>
      </w:r>
      <w:r w:rsidR="005D6308">
        <w:rPr>
          <w:noProof/>
        </w:rPr>
        <w:t>3</w:t>
      </w:r>
      <w:r w:rsidR="00182D96">
        <w:fldChar w:fldCharType="end"/>
      </w:r>
      <w:r w:rsidRPr="00065B9B">
        <w:t xml:space="preserve"> represents the average results of these six questions. Positive scores reflect the workers’ agreement with employer support questions. </w:t>
      </w:r>
    </w:p>
    <w:p w14:paraId="2D719B89" w14:textId="00B7334D" w:rsidR="00E83B7F" w:rsidRPr="00065B9B" w:rsidRDefault="00182D96" w:rsidP="00065B9B">
      <w:r>
        <w:fldChar w:fldCharType="begin"/>
      </w:r>
      <w:r>
        <w:instrText xml:space="preserve"> REF _Ref430869050 \h </w:instrText>
      </w:r>
      <w:r>
        <w:fldChar w:fldCharType="separate"/>
      </w:r>
      <w:r w:rsidR="005D6308" w:rsidRPr="00EA4A3F">
        <w:t xml:space="preserve">Figure </w:t>
      </w:r>
      <w:r w:rsidR="005D6308">
        <w:rPr>
          <w:noProof/>
        </w:rPr>
        <w:t>3</w:t>
      </w:r>
      <w:r>
        <w:fldChar w:fldCharType="end"/>
      </w:r>
      <w:r w:rsidR="00E83B7F" w:rsidRPr="00065B9B">
        <w:t xml:space="preserve"> shows that 79% of employees who agreed that their employer responded in a positive and supportive manner were back at work at the time the survey was completed, versus 52% of those who did not agree. Sixty-three per</w:t>
      </w:r>
      <w:r w:rsidR="006067C2">
        <w:t xml:space="preserve"> </w:t>
      </w:r>
      <w:r w:rsidR="00E83B7F" w:rsidRPr="00065B9B">
        <w:t xml:space="preserve">cent of employees who considered their employer responded in a positive and supportive manner were back at work for three months or more at the time of the interview, versus 38% who did not agree with that statement. </w:t>
      </w:r>
    </w:p>
    <w:p w14:paraId="7A68A391" w14:textId="346A66C6" w:rsidR="00E83B7F" w:rsidRDefault="00E83B7F" w:rsidP="003615A7">
      <w:pPr>
        <w:pStyle w:val="Caption"/>
      </w:pPr>
      <w:bookmarkStart w:id="23" w:name="_Ref430869050"/>
      <w:bookmarkStart w:id="24" w:name="_Toc497141039"/>
      <w:r w:rsidRPr="00EA4A3F">
        <w:t xml:space="preserve">Figure </w:t>
      </w:r>
      <w:r w:rsidR="005D6308">
        <w:fldChar w:fldCharType="begin"/>
      </w:r>
      <w:r w:rsidR="005D6308">
        <w:instrText xml:space="preserve"> SEQ</w:instrText>
      </w:r>
      <w:r w:rsidR="005D6308">
        <w:instrText xml:space="preserve"> Figure \* ARABIC </w:instrText>
      </w:r>
      <w:r w:rsidR="005D6308">
        <w:fldChar w:fldCharType="separate"/>
      </w:r>
      <w:r w:rsidR="005D6308">
        <w:rPr>
          <w:noProof/>
        </w:rPr>
        <w:t>3</w:t>
      </w:r>
      <w:r w:rsidR="005D6308">
        <w:rPr>
          <w:noProof/>
        </w:rPr>
        <w:fldChar w:fldCharType="end"/>
      </w:r>
      <w:bookmarkEnd w:id="23"/>
      <w:r w:rsidRPr="00EA4A3F">
        <w:t xml:space="preserve"> </w:t>
      </w:r>
      <w:r w:rsidR="001C76CB">
        <w:t>–</w:t>
      </w:r>
      <w:r w:rsidRPr="00EA4A3F">
        <w:t xml:space="preserve"> </w:t>
      </w:r>
      <w:r>
        <w:t xml:space="preserve">Percentage </w:t>
      </w:r>
      <w:r w:rsidRPr="00EA4A3F">
        <w:t xml:space="preserve">RTW </w:t>
      </w:r>
      <w:r>
        <w:t xml:space="preserve">by </w:t>
      </w:r>
      <w:r w:rsidR="008505F4">
        <w:t>e</w:t>
      </w:r>
      <w:r w:rsidRPr="00EA4A3F">
        <w:t>mployer response to injury</w:t>
      </w:r>
      <w:bookmarkEnd w:id="24"/>
    </w:p>
    <w:p w14:paraId="1B57F8D9" w14:textId="4C1880B6" w:rsidR="00E83B7F" w:rsidRPr="00A85989" w:rsidRDefault="00E83B7F" w:rsidP="00E83B7F">
      <w:r w:rsidRPr="00B370A0">
        <w:rPr>
          <w:noProof/>
          <w:szCs w:val="20"/>
        </w:rPr>
        <w:drawing>
          <wp:inline distT="0" distB="0" distL="0" distR="0" wp14:anchorId="1A3CE9B8" wp14:editId="7000A4DF">
            <wp:extent cx="2736000" cy="2517569"/>
            <wp:effectExtent l="0" t="0" r="26670" b="16510"/>
            <wp:docPr id="39" name="Chart 39" descr="This graph provides a percentage comparison between employees (at work at time of interview) who felt their employer responded positively to their injury compared with those who felt their employer responsed negatively.  &#10;" title="Figure 3: Percentage RTW by employer response to injury"/>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541F93">
        <w:t xml:space="preserve"> </w:t>
      </w:r>
      <w:r w:rsidR="00541F93" w:rsidRPr="00E74A8D">
        <w:rPr>
          <w:noProof/>
          <w:szCs w:val="20"/>
        </w:rPr>
        <w:drawing>
          <wp:inline distT="0" distB="0" distL="0" distR="0" wp14:anchorId="630EAA72" wp14:editId="63C1F493">
            <wp:extent cx="2736000" cy="2517569"/>
            <wp:effectExtent l="0" t="0" r="26670" b="16510"/>
            <wp:docPr id="35" name="Chart 35" descr="This graph provides a percentage comparison between employees (at work for three months or more at time of interview) who felt their employer responded positively to their injury compared with those who felt their employer responsed negatively.  &#10;&#10;" title="Figure 3: Employee view of employer response to injury (employee at work for 3 months or more)"/>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8F26A63" w14:textId="77777777" w:rsidR="00E83B7F" w:rsidRPr="005876AD" w:rsidRDefault="00E83B7F" w:rsidP="003615A7">
      <w:pPr>
        <w:pStyle w:val="Caption"/>
      </w:pPr>
      <w:r w:rsidRPr="005876AD">
        <w:t>N = 270</w:t>
      </w:r>
      <w:r>
        <w:t xml:space="preserve"> </w:t>
      </w:r>
    </w:p>
    <w:p w14:paraId="5B62A807" w14:textId="77777777" w:rsidR="003615A7" w:rsidRDefault="003615A7" w:rsidP="003615A7"/>
    <w:p w14:paraId="26E80B5E" w14:textId="0F37B757" w:rsidR="00E83B7F" w:rsidRPr="003615A7" w:rsidRDefault="008F6245" w:rsidP="003615A7">
      <w:r>
        <w:fldChar w:fldCharType="begin"/>
      </w:r>
      <w:r>
        <w:instrText xml:space="preserve"> REF _Ref430869067 \h </w:instrText>
      </w:r>
      <w:r>
        <w:fldChar w:fldCharType="separate"/>
      </w:r>
      <w:r w:rsidR="005D6308" w:rsidRPr="00EA4A3F">
        <w:t xml:space="preserve">Table </w:t>
      </w:r>
      <w:r w:rsidR="005D6308">
        <w:rPr>
          <w:noProof/>
        </w:rPr>
        <w:t>2</w:t>
      </w:r>
      <w:r>
        <w:fldChar w:fldCharType="end"/>
      </w:r>
      <w:r>
        <w:t xml:space="preserve"> </w:t>
      </w:r>
      <w:r w:rsidR="00E83B7F" w:rsidRPr="003615A7">
        <w:t>shows the variation in RTW results by the individual questions, reflecting the average score of the employer’s response to the injury. Eighty-one per</w:t>
      </w:r>
      <w:r w:rsidR="006067C2">
        <w:t xml:space="preserve"> </w:t>
      </w:r>
      <w:r w:rsidR="00E83B7F" w:rsidRPr="003615A7">
        <w:t>cent of employees who agreed their employer made an effort to find them suitable employment and 83% of those who considered their employer helped with their recovery were at work at the time of the interview. This compares to 50% and 54% respectively for those who did not agree with these questions. Similar findings were noted with respect to employer support, provision of information about rights and responsibilities, and fair treatment during and after the claims process.</w:t>
      </w:r>
    </w:p>
    <w:p w14:paraId="2F08DFDA" w14:textId="4C7C3B2E" w:rsidR="00E83B7F" w:rsidRPr="00F8089C" w:rsidRDefault="00E83B7F" w:rsidP="00D50227">
      <w:pPr>
        <w:pStyle w:val="Caption"/>
      </w:pPr>
      <w:bookmarkStart w:id="25" w:name="_Ref430869067"/>
      <w:bookmarkStart w:id="26" w:name="_Toc494358566"/>
      <w:r w:rsidRPr="00EA4A3F">
        <w:t xml:space="preserve">Table </w:t>
      </w:r>
      <w:r w:rsidR="005D6308">
        <w:fldChar w:fldCharType="begin"/>
      </w:r>
      <w:r w:rsidR="005D6308">
        <w:instrText xml:space="preserve"> SEQ Table \* ARABIC </w:instrText>
      </w:r>
      <w:r w:rsidR="005D6308">
        <w:fldChar w:fldCharType="separate"/>
      </w:r>
      <w:r w:rsidR="005D6308">
        <w:rPr>
          <w:noProof/>
        </w:rPr>
        <w:t>2</w:t>
      </w:r>
      <w:r w:rsidR="005D6308">
        <w:rPr>
          <w:noProof/>
        </w:rPr>
        <w:fldChar w:fldCharType="end"/>
      </w:r>
      <w:bookmarkEnd w:id="25"/>
      <w:r w:rsidRPr="00EA4A3F">
        <w:t xml:space="preserve"> </w:t>
      </w:r>
      <w:r w:rsidR="004D6866">
        <w:t>–</w:t>
      </w:r>
      <w:r w:rsidRPr="00EA4A3F">
        <w:t xml:space="preserve"> </w:t>
      </w:r>
      <w:r>
        <w:t>Percentage at work</w:t>
      </w:r>
      <w:r w:rsidRPr="00EA4A3F">
        <w:t xml:space="preserve"> at time of interview</w:t>
      </w:r>
      <w:r>
        <w:t xml:space="preserve"> by response to employer support questions</w:t>
      </w:r>
      <w:bookmarkEnd w:id="26"/>
    </w:p>
    <w:tbl>
      <w:tblPr>
        <w:tblStyle w:val="LightShading-Accent2"/>
        <w:tblW w:w="9214" w:type="dxa"/>
        <w:tblLayout w:type="fixed"/>
        <w:tblLook w:val="0620" w:firstRow="1" w:lastRow="0" w:firstColumn="0" w:lastColumn="0" w:noHBand="1" w:noVBand="1"/>
        <w:tblCaption w:val="Table 2: Percentage at work at time of interview by response to employer support questions"/>
        <w:tblDescription w:val="This table provides a percentage breakdown of employee (at work at time of interview) responses who either agreed or did not agree with individual questions relating to employer support questions. "/>
      </w:tblPr>
      <w:tblGrid>
        <w:gridCol w:w="4786"/>
        <w:gridCol w:w="2214"/>
        <w:gridCol w:w="2214"/>
      </w:tblGrid>
      <w:tr w:rsidR="00E83B7F" w:rsidRPr="00937EA2" w14:paraId="6B624C42" w14:textId="77777777" w:rsidTr="006B03FE">
        <w:trPr>
          <w:cnfStyle w:val="100000000000" w:firstRow="1" w:lastRow="0" w:firstColumn="0" w:lastColumn="0" w:oddVBand="0" w:evenVBand="0" w:oddHBand="0" w:evenHBand="0" w:firstRowFirstColumn="0" w:firstRowLastColumn="0" w:lastRowFirstColumn="0" w:lastRowLastColumn="0"/>
          <w:tblHeader/>
        </w:trPr>
        <w:tc>
          <w:tcPr>
            <w:tcW w:w="4786" w:type="dxa"/>
            <w:vAlign w:val="center"/>
            <w:hideMark/>
          </w:tcPr>
          <w:p w14:paraId="785F4595" w14:textId="32859D52" w:rsidR="00E83B7F" w:rsidRPr="00937EA2" w:rsidRDefault="00E83B7F" w:rsidP="00D50227">
            <w:pPr>
              <w:keepNext/>
              <w:keepLines/>
            </w:pPr>
            <w:r w:rsidRPr="00937EA2">
              <w:t>Employer response to injury questions</w:t>
            </w:r>
          </w:p>
        </w:tc>
        <w:tc>
          <w:tcPr>
            <w:tcW w:w="2214" w:type="dxa"/>
            <w:noWrap/>
            <w:vAlign w:val="center"/>
            <w:hideMark/>
          </w:tcPr>
          <w:p w14:paraId="79FD5CB6" w14:textId="77777777" w:rsidR="00E83B7F" w:rsidRPr="00937EA2" w:rsidRDefault="00E83B7F" w:rsidP="00D50227">
            <w:pPr>
              <w:keepNext/>
              <w:keepLines/>
              <w:jc w:val="center"/>
            </w:pPr>
            <w:r w:rsidRPr="00937EA2">
              <w:t>Of those who agreed, % at work</w:t>
            </w:r>
          </w:p>
        </w:tc>
        <w:tc>
          <w:tcPr>
            <w:tcW w:w="2214" w:type="dxa"/>
            <w:noWrap/>
            <w:vAlign w:val="center"/>
            <w:hideMark/>
          </w:tcPr>
          <w:p w14:paraId="07DAAE6D" w14:textId="77777777" w:rsidR="00E83B7F" w:rsidRPr="00937EA2" w:rsidRDefault="00E83B7F" w:rsidP="00D50227">
            <w:pPr>
              <w:keepNext/>
              <w:keepLines/>
              <w:jc w:val="center"/>
            </w:pPr>
            <w:r w:rsidRPr="00937EA2">
              <w:t>Of those who did not agree, % at work</w:t>
            </w:r>
          </w:p>
        </w:tc>
      </w:tr>
      <w:tr w:rsidR="00E83B7F" w:rsidRPr="00937EA2" w14:paraId="155E8328" w14:textId="77777777" w:rsidTr="006B03FE">
        <w:tc>
          <w:tcPr>
            <w:tcW w:w="4786" w:type="dxa"/>
          </w:tcPr>
          <w:p w14:paraId="351476D0" w14:textId="0013A9BB" w:rsidR="00E83B7F" w:rsidRPr="00937EA2" w:rsidRDefault="00E83B7F" w:rsidP="00D50227">
            <w:pPr>
              <w:keepNext/>
              <w:keepLines/>
            </w:pPr>
            <w:r w:rsidRPr="00937EA2">
              <w:t>Your employer did what they could to support</w:t>
            </w:r>
            <w:r w:rsidR="00937EA2">
              <w:t> </w:t>
            </w:r>
            <w:r w:rsidRPr="00937EA2">
              <w:t>you</w:t>
            </w:r>
          </w:p>
        </w:tc>
        <w:tc>
          <w:tcPr>
            <w:tcW w:w="2214" w:type="dxa"/>
            <w:noWrap/>
          </w:tcPr>
          <w:p w14:paraId="6D1EE68C" w14:textId="77777777" w:rsidR="00E83B7F" w:rsidRPr="00937EA2" w:rsidRDefault="00E83B7F" w:rsidP="00D50227">
            <w:pPr>
              <w:keepNext/>
              <w:keepLines/>
              <w:jc w:val="center"/>
            </w:pPr>
            <w:r w:rsidRPr="00937EA2">
              <w:t>79%</w:t>
            </w:r>
          </w:p>
        </w:tc>
        <w:tc>
          <w:tcPr>
            <w:tcW w:w="2214" w:type="dxa"/>
            <w:noWrap/>
          </w:tcPr>
          <w:p w14:paraId="557F72A8" w14:textId="77777777" w:rsidR="00E83B7F" w:rsidRPr="00937EA2" w:rsidRDefault="00E83B7F" w:rsidP="00D50227">
            <w:pPr>
              <w:keepNext/>
              <w:keepLines/>
              <w:jc w:val="center"/>
            </w:pPr>
            <w:r w:rsidRPr="00937EA2">
              <w:t>53%</w:t>
            </w:r>
          </w:p>
        </w:tc>
      </w:tr>
      <w:tr w:rsidR="00E83B7F" w:rsidRPr="00937EA2" w14:paraId="568573CB" w14:textId="77777777" w:rsidTr="006B03FE">
        <w:tc>
          <w:tcPr>
            <w:tcW w:w="4786" w:type="dxa"/>
            <w:shd w:val="clear" w:color="auto" w:fill="C9E5F7"/>
          </w:tcPr>
          <w:p w14:paraId="65DA4D20" w14:textId="2688BE2A" w:rsidR="00E83B7F" w:rsidRPr="00937EA2" w:rsidRDefault="00E83B7F" w:rsidP="00D50227">
            <w:pPr>
              <w:keepNext/>
              <w:keepLines/>
            </w:pPr>
            <w:r w:rsidRPr="00937EA2">
              <w:t>Employer made an effort to find suitable employment for</w:t>
            </w:r>
            <w:r w:rsidR="00937EA2">
              <w:t> </w:t>
            </w:r>
            <w:r w:rsidRPr="00937EA2">
              <w:t>you</w:t>
            </w:r>
          </w:p>
        </w:tc>
        <w:tc>
          <w:tcPr>
            <w:tcW w:w="2214" w:type="dxa"/>
            <w:shd w:val="clear" w:color="auto" w:fill="C9E5F7"/>
            <w:noWrap/>
          </w:tcPr>
          <w:p w14:paraId="02CDBC4A" w14:textId="77777777" w:rsidR="00E83B7F" w:rsidRPr="00937EA2" w:rsidRDefault="00E83B7F" w:rsidP="00D50227">
            <w:pPr>
              <w:keepNext/>
              <w:keepLines/>
              <w:jc w:val="center"/>
            </w:pPr>
            <w:r w:rsidRPr="00937EA2">
              <w:t>81%</w:t>
            </w:r>
          </w:p>
        </w:tc>
        <w:tc>
          <w:tcPr>
            <w:tcW w:w="2214" w:type="dxa"/>
            <w:shd w:val="clear" w:color="auto" w:fill="C9E5F7"/>
            <w:noWrap/>
          </w:tcPr>
          <w:p w14:paraId="29BD196F" w14:textId="77777777" w:rsidR="00E83B7F" w:rsidRPr="00937EA2" w:rsidRDefault="00E83B7F" w:rsidP="00D50227">
            <w:pPr>
              <w:keepNext/>
              <w:keepLines/>
              <w:jc w:val="center"/>
            </w:pPr>
            <w:r w:rsidRPr="00937EA2">
              <w:t>50%</w:t>
            </w:r>
          </w:p>
        </w:tc>
      </w:tr>
      <w:tr w:rsidR="00E83B7F" w:rsidRPr="00937EA2" w14:paraId="79421D96" w14:textId="77777777" w:rsidTr="006B03FE">
        <w:tc>
          <w:tcPr>
            <w:tcW w:w="4786" w:type="dxa"/>
            <w:hideMark/>
          </w:tcPr>
          <w:p w14:paraId="58B813A1" w14:textId="77777777" w:rsidR="00E83B7F" w:rsidRPr="00937EA2" w:rsidRDefault="00E83B7F" w:rsidP="00D50227">
            <w:pPr>
              <w:keepNext/>
              <w:keepLines/>
            </w:pPr>
            <w:r w:rsidRPr="00937EA2">
              <w:t>Employer provided enough info on rights and responsibilities</w:t>
            </w:r>
          </w:p>
        </w:tc>
        <w:tc>
          <w:tcPr>
            <w:tcW w:w="2214" w:type="dxa"/>
            <w:noWrap/>
            <w:hideMark/>
          </w:tcPr>
          <w:p w14:paraId="28D5DC02" w14:textId="77777777" w:rsidR="00E83B7F" w:rsidRPr="00937EA2" w:rsidRDefault="00E83B7F" w:rsidP="00D50227">
            <w:pPr>
              <w:keepNext/>
              <w:keepLines/>
              <w:jc w:val="center"/>
            </w:pPr>
            <w:r w:rsidRPr="00937EA2">
              <w:t>81%</w:t>
            </w:r>
          </w:p>
        </w:tc>
        <w:tc>
          <w:tcPr>
            <w:tcW w:w="2214" w:type="dxa"/>
            <w:noWrap/>
            <w:hideMark/>
          </w:tcPr>
          <w:p w14:paraId="2F660E5F" w14:textId="77777777" w:rsidR="00E83B7F" w:rsidRPr="00937EA2" w:rsidRDefault="00E83B7F" w:rsidP="00D50227">
            <w:pPr>
              <w:keepNext/>
              <w:keepLines/>
              <w:jc w:val="center"/>
            </w:pPr>
            <w:r w:rsidRPr="00937EA2">
              <w:t>50%</w:t>
            </w:r>
          </w:p>
        </w:tc>
      </w:tr>
      <w:tr w:rsidR="00E83B7F" w:rsidRPr="00937EA2" w14:paraId="3BF6483F" w14:textId="77777777" w:rsidTr="006B03FE">
        <w:tc>
          <w:tcPr>
            <w:tcW w:w="4786" w:type="dxa"/>
            <w:shd w:val="clear" w:color="auto" w:fill="C9E5F7"/>
            <w:hideMark/>
          </w:tcPr>
          <w:p w14:paraId="787603D7" w14:textId="77777777" w:rsidR="00E83B7F" w:rsidRPr="00937EA2" w:rsidRDefault="00E83B7F" w:rsidP="00937EA2">
            <w:r w:rsidRPr="00937EA2">
              <w:t>Your employer helped you with your recovery</w:t>
            </w:r>
          </w:p>
        </w:tc>
        <w:tc>
          <w:tcPr>
            <w:tcW w:w="2214" w:type="dxa"/>
            <w:shd w:val="clear" w:color="auto" w:fill="C9E5F7"/>
            <w:noWrap/>
            <w:hideMark/>
          </w:tcPr>
          <w:p w14:paraId="627E5527" w14:textId="77777777" w:rsidR="00E83B7F" w:rsidRPr="00937EA2" w:rsidRDefault="00E83B7F" w:rsidP="00937EA2">
            <w:pPr>
              <w:jc w:val="center"/>
            </w:pPr>
            <w:r w:rsidRPr="00937EA2">
              <w:t>83%</w:t>
            </w:r>
          </w:p>
        </w:tc>
        <w:tc>
          <w:tcPr>
            <w:tcW w:w="2214" w:type="dxa"/>
            <w:shd w:val="clear" w:color="auto" w:fill="C9E5F7"/>
            <w:noWrap/>
            <w:hideMark/>
          </w:tcPr>
          <w:p w14:paraId="2395915C" w14:textId="77777777" w:rsidR="00E83B7F" w:rsidRPr="00937EA2" w:rsidRDefault="00E83B7F" w:rsidP="00937EA2">
            <w:pPr>
              <w:jc w:val="center"/>
            </w:pPr>
            <w:r w:rsidRPr="00937EA2">
              <w:t>54%</w:t>
            </w:r>
          </w:p>
        </w:tc>
      </w:tr>
      <w:tr w:rsidR="00E83B7F" w:rsidRPr="00937EA2" w14:paraId="5B5CC5EA" w14:textId="77777777" w:rsidTr="006B03FE">
        <w:tc>
          <w:tcPr>
            <w:tcW w:w="4786" w:type="dxa"/>
            <w:hideMark/>
          </w:tcPr>
          <w:p w14:paraId="723E59D9" w14:textId="3B664676" w:rsidR="00E83B7F" w:rsidRPr="00937EA2" w:rsidRDefault="00E83B7F" w:rsidP="00937EA2">
            <w:r w:rsidRPr="00937EA2">
              <w:lastRenderedPageBreak/>
              <w:t>Your employer treated you fairly DURING the claims</w:t>
            </w:r>
            <w:r w:rsidR="00937EA2">
              <w:t> </w:t>
            </w:r>
            <w:r w:rsidRPr="00937EA2">
              <w:t>process</w:t>
            </w:r>
          </w:p>
        </w:tc>
        <w:tc>
          <w:tcPr>
            <w:tcW w:w="2214" w:type="dxa"/>
            <w:noWrap/>
            <w:hideMark/>
          </w:tcPr>
          <w:p w14:paraId="5D09C62D" w14:textId="77777777" w:rsidR="00E83B7F" w:rsidRPr="00937EA2" w:rsidRDefault="00E83B7F" w:rsidP="00937EA2">
            <w:pPr>
              <w:jc w:val="center"/>
            </w:pPr>
            <w:r w:rsidRPr="00937EA2">
              <w:t>73%</w:t>
            </w:r>
          </w:p>
        </w:tc>
        <w:tc>
          <w:tcPr>
            <w:tcW w:w="2214" w:type="dxa"/>
            <w:noWrap/>
            <w:hideMark/>
          </w:tcPr>
          <w:p w14:paraId="5B049F36" w14:textId="77777777" w:rsidR="00E83B7F" w:rsidRPr="00937EA2" w:rsidRDefault="00E83B7F" w:rsidP="00937EA2">
            <w:pPr>
              <w:jc w:val="center"/>
            </w:pPr>
            <w:r w:rsidRPr="00937EA2">
              <w:t>53%</w:t>
            </w:r>
          </w:p>
        </w:tc>
      </w:tr>
      <w:tr w:rsidR="00E83B7F" w:rsidRPr="00937EA2" w14:paraId="4D22BA31" w14:textId="77777777" w:rsidTr="006B03FE">
        <w:tc>
          <w:tcPr>
            <w:tcW w:w="4786" w:type="dxa"/>
            <w:shd w:val="clear" w:color="auto" w:fill="C9E5F7"/>
            <w:hideMark/>
          </w:tcPr>
          <w:p w14:paraId="1121800C" w14:textId="59201551" w:rsidR="00E83B7F" w:rsidRPr="00937EA2" w:rsidRDefault="00E83B7F" w:rsidP="00937EA2">
            <w:r w:rsidRPr="00937EA2">
              <w:t>Your employer treated you fairly AFTER the claims</w:t>
            </w:r>
            <w:r w:rsidR="00937EA2">
              <w:t> </w:t>
            </w:r>
            <w:r w:rsidRPr="00937EA2">
              <w:t>process</w:t>
            </w:r>
          </w:p>
        </w:tc>
        <w:tc>
          <w:tcPr>
            <w:tcW w:w="2214" w:type="dxa"/>
            <w:shd w:val="clear" w:color="auto" w:fill="C9E5F7"/>
            <w:noWrap/>
            <w:hideMark/>
          </w:tcPr>
          <w:p w14:paraId="4D39FE43" w14:textId="77777777" w:rsidR="00E83B7F" w:rsidRPr="00937EA2" w:rsidRDefault="00E83B7F" w:rsidP="00937EA2">
            <w:pPr>
              <w:jc w:val="center"/>
            </w:pPr>
            <w:r w:rsidRPr="00937EA2">
              <w:t>77%</w:t>
            </w:r>
          </w:p>
        </w:tc>
        <w:tc>
          <w:tcPr>
            <w:tcW w:w="2214" w:type="dxa"/>
            <w:shd w:val="clear" w:color="auto" w:fill="C9E5F7"/>
            <w:noWrap/>
            <w:hideMark/>
          </w:tcPr>
          <w:p w14:paraId="44DC2921" w14:textId="77777777" w:rsidR="00E83B7F" w:rsidRPr="00937EA2" w:rsidRDefault="00E83B7F" w:rsidP="00937EA2">
            <w:pPr>
              <w:jc w:val="center"/>
            </w:pPr>
            <w:r w:rsidRPr="00937EA2">
              <w:t>51%</w:t>
            </w:r>
          </w:p>
        </w:tc>
      </w:tr>
    </w:tbl>
    <w:p w14:paraId="4AF12BA7" w14:textId="77777777" w:rsidR="00AF2368" w:rsidRPr="00AF2368" w:rsidRDefault="00AF2368" w:rsidP="00AF2368"/>
    <w:p w14:paraId="484DD686" w14:textId="67813815" w:rsidR="00E83B7F" w:rsidRPr="00AF2368" w:rsidRDefault="00E83B7F" w:rsidP="00AF2368">
      <w:r w:rsidRPr="00AF2368">
        <w:t>A strong association between employer response and RTW outcomes was found for workers who had been back at work for three or more months at the time of the interview (</w:t>
      </w:r>
      <w:r w:rsidR="00E87684">
        <w:fldChar w:fldCharType="begin"/>
      </w:r>
      <w:r w:rsidR="00E87684">
        <w:instrText xml:space="preserve"> REF _Ref430869122 \h </w:instrText>
      </w:r>
      <w:r w:rsidR="00E87684">
        <w:fldChar w:fldCharType="separate"/>
      </w:r>
      <w:r w:rsidR="005D6308" w:rsidRPr="00EA4A3F">
        <w:t xml:space="preserve">Table </w:t>
      </w:r>
      <w:r w:rsidR="005D6308">
        <w:rPr>
          <w:noProof/>
        </w:rPr>
        <w:t>3</w:t>
      </w:r>
      <w:r w:rsidR="00E87684">
        <w:fldChar w:fldCharType="end"/>
      </w:r>
      <w:r w:rsidRPr="00AF2368">
        <w:t>). Sixty-two per</w:t>
      </w:r>
      <w:r w:rsidR="006067C2">
        <w:t xml:space="preserve"> </w:t>
      </w:r>
      <w:r w:rsidRPr="00AF2368">
        <w:t xml:space="preserve">cent of those who agreed that their employer supported them had been back at work for three or more months at the time of the interview, versus 38% who did not agree. Similar findings were noted in relation to the employer making an effort to find suitable duties, and the other Employer response to injury questions. </w:t>
      </w:r>
    </w:p>
    <w:p w14:paraId="6D2B9BA8" w14:textId="74B2A2DF" w:rsidR="00E83B7F" w:rsidRPr="005876AD" w:rsidRDefault="00E83B7F" w:rsidP="00937EA2">
      <w:pPr>
        <w:pStyle w:val="Caption"/>
        <w:ind w:left="0" w:firstLine="0"/>
      </w:pPr>
      <w:bookmarkStart w:id="27" w:name="_Ref430869122"/>
      <w:bookmarkStart w:id="28" w:name="_Toc494358567"/>
      <w:r w:rsidRPr="00EA4A3F">
        <w:t xml:space="preserve">Table </w:t>
      </w:r>
      <w:r w:rsidR="005D6308">
        <w:fldChar w:fldCharType="begin"/>
      </w:r>
      <w:r w:rsidR="005D6308">
        <w:instrText xml:space="preserve"> SEQ Table \* ARABIC </w:instrText>
      </w:r>
      <w:r w:rsidR="005D6308">
        <w:fldChar w:fldCharType="separate"/>
      </w:r>
      <w:r w:rsidR="005D6308">
        <w:rPr>
          <w:noProof/>
        </w:rPr>
        <w:t>3</w:t>
      </w:r>
      <w:r w:rsidR="005D6308">
        <w:rPr>
          <w:noProof/>
        </w:rPr>
        <w:fldChar w:fldCharType="end"/>
      </w:r>
      <w:bookmarkEnd w:id="27"/>
      <w:r w:rsidRPr="00EA4A3F">
        <w:t xml:space="preserve"> </w:t>
      </w:r>
      <w:r w:rsidR="004D6866">
        <w:t>–</w:t>
      </w:r>
      <w:r w:rsidRPr="00EA4A3F">
        <w:t xml:space="preserve"> </w:t>
      </w:r>
      <w:r>
        <w:t xml:space="preserve">Percentage </w:t>
      </w:r>
      <w:r w:rsidRPr="00EA4A3F">
        <w:t>RTW for three months or more at time of interview</w:t>
      </w:r>
      <w:r w:rsidRPr="00E5458D">
        <w:t xml:space="preserve"> </w:t>
      </w:r>
      <w:r>
        <w:t>by response to employer support</w:t>
      </w:r>
      <w:r w:rsidR="00937EA2">
        <w:t> </w:t>
      </w:r>
      <w:r>
        <w:t>questions</w:t>
      </w:r>
      <w:bookmarkEnd w:id="28"/>
    </w:p>
    <w:tbl>
      <w:tblPr>
        <w:tblStyle w:val="LightShading-Accent2"/>
        <w:tblW w:w="9209" w:type="dxa"/>
        <w:tblLayout w:type="fixed"/>
        <w:tblLook w:val="0620" w:firstRow="1" w:lastRow="0" w:firstColumn="0" w:lastColumn="0" w:noHBand="1" w:noVBand="1"/>
        <w:tblCaption w:val="Table 3: Percentage RTW for three months or more at time of interview by response to employer support questions"/>
        <w:tblDescription w:val="This table provides a percentage breakdown of employee (at work for three months or more at time of interview) responses who either agreed or did not agree with individual questions relating to employer support questions. "/>
      </w:tblPr>
      <w:tblGrid>
        <w:gridCol w:w="3794"/>
        <w:gridCol w:w="2551"/>
        <w:gridCol w:w="2864"/>
      </w:tblGrid>
      <w:tr w:rsidR="00937EA2" w:rsidRPr="00937EA2" w14:paraId="396ECA26" w14:textId="77777777" w:rsidTr="006B03FE">
        <w:trPr>
          <w:cnfStyle w:val="100000000000" w:firstRow="1" w:lastRow="0" w:firstColumn="0" w:lastColumn="0" w:oddVBand="0" w:evenVBand="0" w:oddHBand="0" w:evenHBand="0" w:firstRowFirstColumn="0" w:firstRowLastColumn="0" w:lastRowFirstColumn="0" w:lastRowLastColumn="0"/>
          <w:tblHeader/>
        </w:trPr>
        <w:tc>
          <w:tcPr>
            <w:tcW w:w="3794" w:type="dxa"/>
            <w:vAlign w:val="center"/>
            <w:hideMark/>
          </w:tcPr>
          <w:p w14:paraId="3CFF7916" w14:textId="0D630C5B" w:rsidR="00E83B7F" w:rsidRPr="00937EA2" w:rsidRDefault="00E83B7F" w:rsidP="002B3F9E">
            <w:r w:rsidRPr="00937EA2">
              <w:br w:type="page"/>
              <w:t>Employer response to injury questions</w:t>
            </w:r>
          </w:p>
        </w:tc>
        <w:tc>
          <w:tcPr>
            <w:tcW w:w="2551" w:type="dxa"/>
            <w:noWrap/>
            <w:vAlign w:val="center"/>
            <w:hideMark/>
          </w:tcPr>
          <w:p w14:paraId="2FD520FA" w14:textId="77777777" w:rsidR="00E83B7F" w:rsidRPr="00937EA2" w:rsidRDefault="00E83B7F" w:rsidP="002B3F9E">
            <w:pPr>
              <w:jc w:val="center"/>
            </w:pPr>
            <w:r w:rsidRPr="00937EA2">
              <w:t>Of those who agreed, % at work 3+ months</w:t>
            </w:r>
          </w:p>
        </w:tc>
        <w:tc>
          <w:tcPr>
            <w:tcW w:w="2864" w:type="dxa"/>
            <w:noWrap/>
            <w:vAlign w:val="center"/>
            <w:hideMark/>
          </w:tcPr>
          <w:p w14:paraId="1E5EE473" w14:textId="77777777" w:rsidR="00E83B7F" w:rsidRPr="00937EA2" w:rsidRDefault="00E83B7F" w:rsidP="002B3F9E">
            <w:pPr>
              <w:jc w:val="center"/>
            </w:pPr>
            <w:r w:rsidRPr="00937EA2">
              <w:t>Of those who did not agree, % at work 3+ months</w:t>
            </w:r>
          </w:p>
        </w:tc>
      </w:tr>
      <w:tr w:rsidR="00937EA2" w:rsidRPr="00937EA2" w14:paraId="16BE43B7" w14:textId="77777777" w:rsidTr="006B03FE">
        <w:tc>
          <w:tcPr>
            <w:tcW w:w="3794" w:type="dxa"/>
            <w:hideMark/>
          </w:tcPr>
          <w:p w14:paraId="6A4DDA63" w14:textId="0D533C00" w:rsidR="00E83B7F" w:rsidRPr="00937EA2" w:rsidRDefault="00E83B7F" w:rsidP="002B3F9E">
            <w:r w:rsidRPr="00937EA2">
              <w:t>Your employer did what they could to support</w:t>
            </w:r>
            <w:r w:rsidR="00937EA2">
              <w:t> </w:t>
            </w:r>
            <w:r w:rsidRPr="00937EA2">
              <w:t>you</w:t>
            </w:r>
          </w:p>
        </w:tc>
        <w:tc>
          <w:tcPr>
            <w:tcW w:w="2551" w:type="dxa"/>
            <w:noWrap/>
            <w:hideMark/>
          </w:tcPr>
          <w:p w14:paraId="47BFE5DA" w14:textId="77777777" w:rsidR="00E83B7F" w:rsidRPr="00937EA2" w:rsidRDefault="00E83B7F" w:rsidP="002B3F9E">
            <w:pPr>
              <w:jc w:val="center"/>
            </w:pPr>
            <w:r w:rsidRPr="00937EA2">
              <w:t>62%</w:t>
            </w:r>
          </w:p>
        </w:tc>
        <w:tc>
          <w:tcPr>
            <w:tcW w:w="2864" w:type="dxa"/>
            <w:noWrap/>
            <w:hideMark/>
          </w:tcPr>
          <w:p w14:paraId="27E1A687" w14:textId="77777777" w:rsidR="00E83B7F" w:rsidRPr="00937EA2" w:rsidRDefault="00E83B7F" w:rsidP="002B3F9E">
            <w:pPr>
              <w:jc w:val="center"/>
            </w:pPr>
            <w:r w:rsidRPr="00937EA2">
              <w:t>38%</w:t>
            </w:r>
          </w:p>
        </w:tc>
      </w:tr>
      <w:tr w:rsidR="00937EA2" w:rsidRPr="00937EA2" w14:paraId="036DFDB5" w14:textId="77777777" w:rsidTr="006B03FE">
        <w:tc>
          <w:tcPr>
            <w:tcW w:w="3794" w:type="dxa"/>
            <w:shd w:val="clear" w:color="auto" w:fill="C9E5F7"/>
            <w:hideMark/>
          </w:tcPr>
          <w:p w14:paraId="1C387F93" w14:textId="77777777" w:rsidR="00E83B7F" w:rsidRPr="00937EA2" w:rsidRDefault="00E83B7F" w:rsidP="002B3F9E">
            <w:r w:rsidRPr="00937EA2">
              <w:t>Employer made an effort to find suitable employment for you</w:t>
            </w:r>
          </w:p>
        </w:tc>
        <w:tc>
          <w:tcPr>
            <w:tcW w:w="2551" w:type="dxa"/>
            <w:shd w:val="clear" w:color="auto" w:fill="C9E5F7"/>
            <w:noWrap/>
            <w:hideMark/>
          </w:tcPr>
          <w:p w14:paraId="3E82F7CE" w14:textId="77777777" w:rsidR="00E83B7F" w:rsidRPr="00937EA2" w:rsidRDefault="00E83B7F" w:rsidP="002B3F9E">
            <w:pPr>
              <w:jc w:val="center"/>
            </w:pPr>
            <w:r w:rsidRPr="00937EA2">
              <w:t>64%</w:t>
            </w:r>
          </w:p>
        </w:tc>
        <w:tc>
          <w:tcPr>
            <w:tcW w:w="2864" w:type="dxa"/>
            <w:shd w:val="clear" w:color="auto" w:fill="C9E5F7"/>
            <w:noWrap/>
            <w:hideMark/>
          </w:tcPr>
          <w:p w14:paraId="416965AA" w14:textId="77777777" w:rsidR="00E83B7F" w:rsidRPr="00937EA2" w:rsidRDefault="00E83B7F" w:rsidP="002B3F9E">
            <w:pPr>
              <w:jc w:val="center"/>
            </w:pPr>
            <w:r w:rsidRPr="00937EA2">
              <w:t>37%</w:t>
            </w:r>
          </w:p>
        </w:tc>
      </w:tr>
      <w:tr w:rsidR="00937EA2" w:rsidRPr="00937EA2" w14:paraId="06D238AA" w14:textId="77777777" w:rsidTr="006B03FE">
        <w:tc>
          <w:tcPr>
            <w:tcW w:w="3794" w:type="dxa"/>
            <w:hideMark/>
          </w:tcPr>
          <w:p w14:paraId="2DAABF27" w14:textId="7EEE7D3F" w:rsidR="00E83B7F" w:rsidRPr="00937EA2" w:rsidRDefault="00E83B7F" w:rsidP="002B3F9E">
            <w:r w:rsidRPr="00937EA2">
              <w:t>Employer provided enough info on rights and</w:t>
            </w:r>
            <w:r w:rsidR="00937EA2">
              <w:t> </w:t>
            </w:r>
            <w:r w:rsidRPr="00937EA2">
              <w:t>responsibilities</w:t>
            </w:r>
          </w:p>
        </w:tc>
        <w:tc>
          <w:tcPr>
            <w:tcW w:w="2551" w:type="dxa"/>
            <w:noWrap/>
            <w:hideMark/>
          </w:tcPr>
          <w:p w14:paraId="0A741011" w14:textId="77777777" w:rsidR="00E83B7F" w:rsidRPr="00937EA2" w:rsidRDefault="00E83B7F" w:rsidP="002B3F9E">
            <w:pPr>
              <w:jc w:val="center"/>
            </w:pPr>
            <w:r w:rsidRPr="00937EA2">
              <w:t>62%</w:t>
            </w:r>
          </w:p>
        </w:tc>
        <w:tc>
          <w:tcPr>
            <w:tcW w:w="2864" w:type="dxa"/>
            <w:noWrap/>
            <w:hideMark/>
          </w:tcPr>
          <w:p w14:paraId="219907F0" w14:textId="77777777" w:rsidR="00E83B7F" w:rsidRPr="00937EA2" w:rsidRDefault="00E83B7F" w:rsidP="002B3F9E">
            <w:pPr>
              <w:jc w:val="center"/>
            </w:pPr>
            <w:r w:rsidRPr="00937EA2">
              <w:t>37%</w:t>
            </w:r>
          </w:p>
        </w:tc>
      </w:tr>
      <w:tr w:rsidR="00937EA2" w:rsidRPr="00937EA2" w14:paraId="48EB2B3F" w14:textId="77777777" w:rsidTr="006B03FE">
        <w:tc>
          <w:tcPr>
            <w:tcW w:w="3794" w:type="dxa"/>
            <w:shd w:val="clear" w:color="auto" w:fill="C9E5F7"/>
            <w:hideMark/>
          </w:tcPr>
          <w:p w14:paraId="49D48742" w14:textId="778109A9" w:rsidR="00E83B7F" w:rsidRPr="00937EA2" w:rsidRDefault="00E83B7F" w:rsidP="006C6F28">
            <w:r w:rsidRPr="00937EA2">
              <w:t>Your employer helped you with your</w:t>
            </w:r>
            <w:r w:rsidR="006C6F28">
              <w:t> </w:t>
            </w:r>
            <w:r w:rsidRPr="00937EA2">
              <w:t>recovery</w:t>
            </w:r>
          </w:p>
        </w:tc>
        <w:tc>
          <w:tcPr>
            <w:tcW w:w="2551" w:type="dxa"/>
            <w:shd w:val="clear" w:color="auto" w:fill="C9E5F7"/>
            <w:noWrap/>
            <w:hideMark/>
          </w:tcPr>
          <w:p w14:paraId="7955BCF9" w14:textId="77777777" w:rsidR="00E83B7F" w:rsidRPr="00937EA2" w:rsidRDefault="00E83B7F" w:rsidP="002B3F9E">
            <w:pPr>
              <w:jc w:val="center"/>
            </w:pPr>
            <w:r w:rsidRPr="00937EA2">
              <w:t>66%</w:t>
            </w:r>
          </w:p>
        </w:tc>
        <w:tc>
          <w:tcPr>
            <w:tcW w:w="2864" w:type="dxa"/>
            <w:shd w:val="clear" w:color="auto" w:fill="C9E5F7"/>
            <w:noWrap/>
            <w:hideMark/>
          </w:tcPr>
          <w:p w14:paraId="693FA007" w14:textId="77777777" w:rsidR="00E83B7F" w:rsidRPr="00937EA2" w:rsidRDefault="00E83B7F" w:rsidP="002B3F9E">
            <w:pPr>
              <w:jc w:val="center"/>
            </w:pPr>
            <w:r w:rsidRPr="00937EA2">
              <w:t>39%</w:t>
            </w:r>
          </w:p>
        </w:tc>
      </w:tr>
      <w:tr w:rsidR="00937EA2" w:rsidRPr="00937EA2" w14:paraId="2223E7B8" w14:textId="77777777" w:rsidTr="006B03FE">
        <w:tc>
          <w:tcPr>
            <w:tcW w:w="3794" w:type="dxa"/>
            <w:hideMark/>
          </w:tcPr>
          <w:p w14:paraId="00E6EFA6" w14:textId="77777777" w:rsidR="00E83B7F" w:rsidRPr="00937EA2" w:rsidRDefault="00E83B7F" w:rsidP="002B3F9E">
            <w:r w:rsidRPr="00937EA2">
              <w:t>Your employer treated you fairly DURING the claims process</w:t>
            </w:r>
          </w:p>
        </w:tc>
        <w:tc>
          <w:tcPr>
            <w:tcW w:w="2551" w:type="dxa"/>
            <w:noWrap/>
            <w:hideMark/>
          </w:tcPr>
          <w:p w14:paraId="36846C07" w14:textId="77777777" w:rsidR="00E83B7F" w:rsidRPr="00937EA2" w:rsidRDefault="00E83B7F" w:rsidP="002B3F9E">
            <w:pPr>
              <w:jc w:val="center"/>
            </w:pPr>
            <w:r w:rsidRPr="00937EA2">
              <w:t>60%</w:t>
            </w:r>
          </w:p>
        </w:tc>
        <w:tc>
          <w:tcPr>
            <w:tcW w:w="2864" w:type="dxa"/>
            <w:noWrap/>
            <w:hideMark/>
          </w:tcPr>
          <w:p w14:paraId="11310F48" w14:textId="77777777" w:rsidR="00E83B7F" w:rsidRPr="00937EA2" w:rsidRDefault="00E83B7F" w:rsidP="002B3F9E">
            <w:pPr>
              <w:jc w:val="center"/>
            </w:pPr>
            <w:r w:rsidRPr="00937EA2">
              <w:t>41%</w:t>
            </w:r>
          </w:p>
        </w:tc>
      </w:tr>
      <w:tr w:rsidR="00937EA2" w:rsidRPr="00937EA2" w14:paraId="75F8D40B" w14:textId="77777777" w:rsidTr="006B03FE">
        <w:tc>
          <w:tcPr>
            <w:tcW w:w="3794" w:type="dxa"/>
            <w:shd w:val="clear" w:color="auto" w:fill="C9E5F7"/>
            <w:hideMark/>
          </w:tcPr>
          <w:p w14:paraId="567D37EA" w14:textId="77777777" w:rsidR="00E83B7F" w:rsidRPr="00937EA2" w:rsidRDefault="00E83B7F" w:rsidP="002B3F9E">
            <w:r w:rsidRPr="00937EA2">
              <w:t>Your employer treated you fairly AFTER the claims process</w:t>
            </w:r>
          </w:p>
        </w:tc>
        <w:tc>
          <w:tcPr>
            <w:tcW w:w="2551" w:type="dxa"/>
            <w:shd w:val="clear" w:color="auto" w:fill="C9E5F7"/>
            <w:noWrap/>
            <w:hideMark/>
          </w:tcPr>
          <w:p w14:paraId="1CD6DD15" w14:textId="77777777" w:rsidR="00E83B7F" w:rsidRPr="00937EA2" w:rsidRDefault="00E83B7F" w:rsidP="002B3F9E">
            <w:pPr>
              <w:jc w:val="center"/>
            </w:pPr>
            <w:r w:rsidRPr="00937EA2">
              <w:t>64%</w:t>
            </w:r>
          </w:p>
        </w:tc>
        <w:tc>
          <w:tcPr>
            <w:tcW w:w="2864" w:type="dxa"/>
            <w:shd w:val="clear" w:color="auto" w:fill="C9E5F7"/>
            <w:noWrap/>
            <w:hideMark/>
          </w:tcPr>
          <w:p w14:paraId="79EC36A2" w14:textId="77777777" w:rsidR="00E83B7F" w:rsidRPr="00937EA2" w:rsidRDefault="00E83B7F" w:rsidP="002B3F9E">
            <w:pPr>
              <w:jc w:val="center"/>
            </w:pPr>
            <w:r w:rsidRPr="00937EA2">
              <w:t>38%</w:t>
            </w:r>
          </w:p>
        </w:tc>
      </w:tr>
    </w:tbl>
    <w:p w14:paraId="65EB991D" w14:textId="77777777" w:rsidR="00E83B7F" w:rsidRPr="00937EA2" w:rsidRDefault="00E83B7F" w:rsidP="00937EA2"/>
    <w:p w14:paraId="1A5DD5C3" w14:textId="0C8BC99D" w:rsidR="00E83B7F" w:rsidRPr="00937EA2" w:rsidRDefault="00E87684" w:rsidP="00D50227">
      <w:pPr>
        <w:keepNext/>
        <w:keepLines/>
      </w:pPr>
      <w:r>
        <w:fldChar w:fldCharType="begin"/>
      </w:r>
      <w:r>
        <w:instrText xml:space="preserve"> REF _Ref430773314 \h </w:instrText>
      </w:r>
      <w:r>
        <w:fldChar w:fldCharType="separate"/>
      </w:r>
      <w:r w:rsidR="005D6308" w:rsidRPr="00EA4A3F">
        <w:t xml:space="preserve">Table </w:t>
      </w:r>
      <w:r w:rsidR="005D6308">
        <w:rPr>
          <w:noProof/>
        </w:rPr>
        <w:t>4</w:t>
      </w:r>
      <w:r>
        <w:fldChar w:fldCharType="end"/>
      </w:r>
      <w:r w:rsidR="00E83B7F" w:rsidRPr="00937EA2">
        <w:t xml:space="preserve"> shows the proportion of workers with a psychological claim who agreed with the questions that make up the theme ‘employer's response to the injury’, shown in </w:t>
      </w:r>
      <w:r w:rsidR="00182D96">
        <w:fldChar w:fldCharType="begin"/>
      </w:r>
      <w:r w:rsidR="00182D96">
        <w:instrText xml:space="preserve"> REF _Ref430869050 \h </w:instrText>
      </w:r>
      <w:r w:rsidR="00182D96">
        <w:fldChar w:fldCharType="separate"/>
      </w:r>
      <w:r w:rsidR="005D6308" w:rsidRPr="00EA4A3F">
        <w:t xml:space="preserve">Figure </w:t>
      </w:r>
      <w:r w:rsidR="005D6308">
        <w:rPr>
          <w:noProof/>
        </w:rPr>
        <w:t>3</w:t>
      </w:r>
      <w:r w:rsidR="00182D96">
        <w:fldChar w:fldCharType="end"/>
      </w:r>
      <w:r w:rsidR="00E83B7F" w:rsidRPr="00937EA2">
        <w:t xml:space="preserve"> above. This table includes the responses from all employees, whether they had returned to work or not. </w:t>
      </w:r>
    </w:p>
    <w:p w14:paraId="1CDE66B8" w14:textId="6864624F" w:rsidR="00E83B7F" w:rsidRPr="00937EA2" w:rsidRDefault="00E83B7F" w:rsidP="00D50227">
      <w:pPr>
        <w:keepNext/>
        <w:keepLines/>
      </w:pPr>
      <w:r w:rsidRPr="00937EA2">
        <w:t>Overall, about one third of workers who lodged a psychological claim reported support from their</w:t>
      </w:r>
      <w:r w:rsidR="002263C3">
        <w:t> </w:t>
      </w:r>
      <w:r w:rsidRPr="00937EA2">
        <w:t>employer.</w:t>
      </w:r>
    </w:p>
    <w:p w14:paraId="1B176242" w14:textId="579633BD" w:rsidR="00E83B7F" w:rsidRDefault="00E83B7F" w:rsidP="00937EA2">
      <w:pPr>
        <w:pStyle w:val="Caption"/>
      </w:pPr>
      <w:bookmarkStart w:id="29" w:name="_Ref430773314"/>
      <w:bookmarkStart w:id="30" w:name="_Toc494358568"/>
      <w:r w:rsidRPr="00EA4A3F">
        <w:t xml:space="preserve">Table </w:t>
      </w:r>
      <w:r w:rsidR="005D6308">
        <w:fldChar w:fldCharType="begin"/>
      </w:r>
      <w:r w:rsidR="005D6308">
        <w:instrText xml:space="preserve"> SEQ Table \* ARABIC </w:instrText>
      </w:r>
      <w:r w:rsidR="005D6308">
        <w:fldChar w:fldCharType="separate"/>
      </w:r>
      <w:r w:rsidR="005D6308">
        <w:rPr>
          <w:noProof/>
        </w:rPr>
        <w:t>4</w:t>
      </w:r>
      <w:r w:rsidR="005D6308">
        <w:rPr>
          <w:noProof/>
        </w:rPr>
        <w:fldChar w:fldCharType="end"/>
      </w:r>
      <w:bookmarkEnd w:id="29"/>
      <w:r w:rsidRPr="00EA4A3F">
        <w:rPr>
          <w:noProof/>
        </w:rPr>
        <w:t xml:space="preserve"> </w:t>
      </w:r>
      <w:r w:rsidR="004D6866">
        <w:rPr>
          <w:noProof/>
        </w:rPr>
        <w:t>–</w:t>
      </w:r>
      <w:r w:rsidRPr="00EA4A3F">
        <w:rPr>
          <w:noProof/>
        </w:rPr>
        <w:t xml:space="preserve"> </w:t>
      </w:r>
      <w:r>
        <w:rPr>
          <w:noProof/>
        </w:rPr>
        <w:t xml:space="preserve">Percentage </w:t>
      </w:r>
      <w:r w:rsidRPr="00EA4A3F">
        <w:rPr>
          <w:noProof/>
        </w:rPr>
        <w:t>who agreed with individual questions about employer response to their injury</w:t>
      </w:r>
      <w:bookmarkEnd w:id="30"/>
    </w:p>
    <w:tbl>
      <w:tblPr>
        <w:tblStyle w:val="LightShading-Accent2"/>
        <w:tblW w:w="9209" w:type="dxa"/>
        <w:tblLook w:val="0620" w:firstRow="1" w:lastRow="0" w:firstColumn="0" w:lastColumn="0" w:noHBand="1" w:noVBand="1"/>
        <w:tblCaption w:val="Table 4: Percentage who agreed with individual questions about emplyer response to their injury"/>
        <w:tblDescription w:val="This table provides a percentage breakdown of employees (whether they had returned to work or not at the time of interview) who agreed with positive statements about employer response to injury. "/>
      </w:tblPr>
      <w:tblGrid>
        <w:gridCol w:w="6204"/>
        <w:gridCol w:w="3005"/>
      </w:tblGrid>
      <w:tr w:rsidR="00E83B7F" w:rsidRPr="00937EA2" w14:paraId="548A36FE" w14:textId="77777777" w:rsidTr="006B03FE">
        <w:trPr>
          <w:cnfStyle w:val="100000000000" w:firstRow="1" w:lastRow="0" w:firstColumn="0" w:lastColumn="0" w:oddVBand="0" w:evenVBand="0" w:oddHBand="0" w:evenHBand="0" w:firstRowFirstColumn="0" w:firstRowLastColumn="0" w:lastRowFirstColumn="0" w:lastRowLastColumn="0"/>
          <w:tblHeader/>
        </w:trPr>
        <w:tc>
          <w:tcPr>
            <w:tcW w:w="6204" w:type="dxa"/>
            <w:noWrap/>
            <w:hideMark/>
          </w:tcPr>
          <w:p w14:paraId="6B214767" w14:textId="77777777" w:rsidR="00E83B7F" w:rsidRPr="00937EA2" w:rsidRDefault="00E83B7F" w:rsidP="00937EA2">
            <w:r w:rsidRPr="00937EA2">
              <w:t>Employer response questions</w:t>
            </w:r>
          </w:p>
        </w:tc>
        <w:tc>
          <w:tcPr>
            <w:tcW w:w="3005" w:type="dxa"/>
            <w:noWrap/>
            <w:hideMark/>
          </w:tcPr>
          <w:p w14:paraId="76BD3AEB" w14:textId="77777777" w:rsidR="00E83B7F" w:rsidRPr="00937EA2" w:rsidRDefault="00E83B7F" w:rsidP="00937EA2">
            <w:pPr>
              <w:jc w:val="center"/>
            </w:pPr>
            <w:r w:rsidRPr="00937EA2">
              <w:t>Agree</w:t>
            </w:r>
          </w:p>
        </w:tc>
      </w:tr>
      <w:tr w:rsidR="00E83B7F" w:rsidRPr="00937EA2" w14:paraId="4ADD3B13" w14:textId="77777777" w:rsidTr="006B03FE">
        <w:tc>
          <w:tcPr>
            <w:tcW w:w="6204" w:type="dxa"/>
            <w:hideMark/>
          </w:tcPr>
          <w:p w14:paraId="556C7E39" w14:textId="77777777" w:rsidR="00E83B7F" w:rsidRPr="00937EA2" w:rsidRDefault="00E83B7F" w:rsidP="00937EA2">
            <w:r w:rsidRPr="00937EA2">
              <w:t>Your employer did what they could to support you</w:t>
            </w:r>
          </w:p>
        </w:tc>
        <w:tc>
          <w:tcPr>
            <w:tcW w:w="3005" w:type="dxa"/>
            <w:noWrap/>
            <w:hideMark/>
          </w:tcPr>
          <w:p w14:paraId="3E332347" w14:textId="77777777" w:rsidR="00E83B7F" w:rsidRPr="00937EA2" w:rsidRDefault="00E83B7F" w:rsidP="00937EA2">
            <w:pPr>
              <w:jc w:val="center"/>
            </w:pPr>
            <w:r w:rsidRPr="00937EA2">
              <w:t>27%</w:t>
            </w:r>
          </w:p>
        </w:tc>
      </w:tr>
      <w:tr w:rsidR="00E83B7F" w:rsidRPr="00937EA2" w14:paraId="32C6C434" w14:textId="77777777" w:rsidTr="006B03FE">
        <w:tc>
          <w:tcPr>
            <w:tcW w:w="6204" w:type="dxa"/>
            <w:shd w:val="clear" w:color="auto" w:fill="C9E5F7"/>
            <w:hideMark/>
          </w:tcPr>
          <w:p w14:paraId="24303167" w14:textId="77777777" w:rsidR="00E83B7F" w:rsidRPr="00937EA2" w:rsidRDefault="00E83B7F" w:rsidP="00937EA2">
            <w:r w:rsidRPr="00937EA2">
              <w:t>Employer made an effort to find suitable employment for you</w:t>
            </w:r>
          </w:p>
        </w:tc>
        <w:tc>
          <w:tcPr>
            <w:tcW w:w="3005" w:type="dxa"/>
            <w:shd w:val="clear" w:color="auto" w:fill="C9E5F7"/>
            <w:noWrap/>
            <w:hideMark/>
          </w:tcPr>
          <w:p w14:paraId="67E40CAA" w14:textId="77777777" w:rsidR="00E83B7F" w:rsidRPr="00937EA2" w:rsidRDefault="00E83B7F" w:rsidP="00937EA2">
            <w:pPr>
              <w:jc w:val="center"/>
            </w:pPr>
            <w:r w:rsidRPr="00937EA2">
              <w:t>34%</w:t>
            </w:r>
          </w:p>
        </w:tc>
      </w:tr>
      <w:tr w:rsidR="00E83B7F" w:rsidRPr="00937EA2" w14:paraId="7F535958" w14:textId="77777777" w:rsidTr="006B03FE">
        <w:tc>
          <w:tcPr>
            <w:tcW w:w="6204" w:type="dxa"/>
            <w:hideMark/>
          </w:tcPr>
          <w:p w14:paraId="0E61CEB1" w14:textId="77777777" w:rsidR="00E83B7F" w:rsidRPr="00937EA2" w:rsidRDefault="00E83B7F" w:rsidP="00937EA2">
            <w:r w:rsidRPr="00937EA2">
              <w:t>Employer provided enough info on rights and responsibilities</w:t>
            </w:r>
          </w:p>
        </w:tc>
        <w:tc>
          <w:tcPr>
            <w:tcW w:w="3005" w:type="dxa"/>
            <w:noWrap/>
            <w:hideMark/>
          </w:tcPr>
          <w:p w14:paraId="594320EF" w14:textId="77777777" w:rsidR="00E83B7F" w:rsidRPr="00937EA2" w:rsidRDefault="00E83B7F" w:rsidP="00937EA2">
            <w:pPr>
              <w:jc w:val="center"/>
            </w:pPr>
            <w:r w:rsidRPr="00937EA2">
              <w:t>32%</w:t>
            </w:r>
          </w:p>
        </w:tc>
      </w:tr>
      <w:tr w:rsidR="00E83B7F" w:rsidRPr="00937EA2" w14:paraId="6DADE8A9" w14:textId="77777777" w:rsidTr="006B03FE">
        <w:tc>
          <w:tcPr>
            <w:tcW w:w="6204" w:type="dxa"/>
            <w:shd w:val="clear" w:color="auto" w:fill="C9E5F7"/>
            <w:hideMark/>
          </w:tcPr>
          <w:p w14:paraId="3B979415" w14:textId="77777777" w:rsidR="00E83B7F" w:rsidRPr="00937EA2" w:rsidRDefault="00E83B7F" w:rsidP="00937EA2">
            <w:r w:rsidRPr="00937EA2">
              <w:t>Your employer helped you with your recovery</w:t>
            </w:r>
          </w:p>
        </w:tc>
        <w:tc>
          <w:tcPr>
            <w:tcW w:w="3005" w:type="dxa"/>
            <w:shd w:val="clear" w:color="auto" w:fill="C9E5F7"/>
            <w:noWrap/>
            <w:hideMark/>
          </w:tcPr>
          <w:p w14:paraId="4118C0EC" w14:textId="77777777" w:rsidR="00E83B7F" w:rsidRPr="00937EA2" w:rsidRDefault="00E83B7F" w:rsidP="00937EA2">
            <w:pPr>
              <w:jc w:val="center"/>
            </w:pPr>
            <w:r w:rsidRPr="00937EA2">
              <w:t>23%</w:t>
            </w:r>
          </w:p>
        </w:tc>
      </w:tr>
      <w:tr w:rsidR="00E83B7F" w:rsidRPr="00937EA2" w14:paraId="45D770FE" w14:textId="77777777" w:rsidTr="006B03FE">
        <w:tc>
          <w:tcPr>
            <w:tcW w:w="6204" w:type="dxa"/>
            <w:hideMark/>
          </w:tcPr>
          <w:p w14:paraId="43C38DCF" w14:textId="77777777" w:rsidR="00E83B7F" w:rsidRPr="00937EA2" w:rsidRDefault="00E83B7F" w:rsidP="00937EA2">
            <w:r w:rsidRPr="00937EA2">
              <w:lastRenderedPageBreak/>
              <w:t>Your employer treated you fairly DURING the claims process</w:t>
            </w:r>
          </w:p>
        </w:tc>
        <w:tc>
          <w:tcPr>
            <w:tcW w:w="3005" w:type="dxa"/>
            <w:noWrap/>
            <w:hideMark/>
          </w:tcPr>
          <w:p w14:paraId="40242620" w14:textId="77777777" w:rsidR="00E83B7F" w:rsidRPr="00937EA2" w:rsidRDefault="00E83B7F" w:rsidP="00937EA2">
            <w:pPr>
              <w:jc w:val="center"/>
            </w:pPr>
            <w:r w:rsidRPr="00937EA2">
              <w:t>30%</w:t>
            </w:r>
          </w:p>
        </w:tc>
      </w:tr>
      <w:tr w:rsidR="00E83B7F" w:rsidRPr="00937EA2" w14:paraId="57D61E3B" w14:textId="77777777" w:rsidTr="006B03FE">
        <w:tc>
          <w:tcPr>
            <w:tcW w:w="6204" w:type="dxa"/>
            <w:shd w:val="clear" w:color="auto" w:fill="C9E5F7"/>
            <w:hideMark/>
          </w:tcPr>
          <w:p w14:paraId="7516922B" w14:textId="77777777" w:rsidR="00E83B7F" w:rsidRPr="00937EA2" w:rsidRDefault="00E83B7F" w:rsidP="00937EA2">
            <w:r w:rsidRPr="00937EA2">
              <w:t>Your employer treated you fairly AFTER the claims process</w:t>
            </w:r>
          </w:p>
        </w:tc>
        <w:tc>
          <w:tcPr>
            <w:tcW w:w="3005" w:type="dxa"/>
            <w:shd w:val="clear" w:color="auto" w:fill="C9E5F7"/>
            <w:noWrap/>
            <w:hideMark/>
          </w:tcPr>
          <w:p w14:paraId="7DF269E9" w14:textId="77777777" w:rsidR="00E83B7F" w:rsidRPr="00937EA2" w:rsidRDefault="00E83B7F" w:rsidP="00937EA2">
            <w:pPr>
              <w:jc w:val="center"/>
            </w:pPr>
            <w:r w:rsidRPr="00937EA2">
              <w:t>35%</w:t>
            </w:r>
          </w:p>
        </w:tc>
      </w:tr>
    </w:tbl>
    <w:p w14:paraId="4C52B0BF" w14:textId="1E47E1E2" w:rsidR="00E83B7F" w:rsidRPr="00937EA2" w:rsidRDefault="00E83B7F" w:rsidP="00937EA2"/>
    <w:p w14:paraId="1B537E22" w14:textId="622B644F" w:rsidR="00E83B7F" w:rsidRPr="00937EA2" w:rsidRDefault="00E83B7F" w:rsidP="00937EA2">
      <w:r w:rsidRPr="00937EA2">
        <w:t>Of workers who reported being contacted by someone from work, 72% were working at the time of the interview, versus 53% of those who reported no contact. This pattern was reflected in the percentage of employees back at work for 3+ months at the time of the interview (</w:t>
      </w:r>
      <w:r w:rsidR="00182D96">
        <w:fldChar w:fldCharType="begin"/>
      </w:r>
      <w:r w:rsidR="00182D96">
        <w:instrText xml:space="preserve"> REF _Ref430869211 \h </w:instrText>
      </w:r>
      <w:r w:rsidR="00182D96">
        <w:fldChar w:fldCharType="separate"/>
      </w:r>
      <w:r w:rsidR="005D6308" w:rsidRPr="00EA4A3F">
        <w:t xml:space="preserve">Figure </w:t>
      </w:r>
      <w:r w:rsidR="005D6308">
        <w:rPr>
          <w:noProof/>
        </w:rPr>
        <w:t>4</w:t>
      </w:r>
      <w:r w:rsidR="00182D96">
        <w:fldChar w:fldCharType="end"/>
      </w:r>
      <w:r w:rsidRPr="00937EA2">
        <w:t xml:space="preserve">). However, analysis of the data shows that only 36% of employees with a psychological claim said someone from work made contact with them about their injury. </w:t>
      </w:r>
    </w:p>
    <w:p w14:paraId="6D1AA3A8" w14:textId="64B65532" w:rsidR="00E83B7F" w:rsidRDefault="00E83B7F" w:rsidP="00937EA2">
      <w:pPr>
        <w:pStyle w:val="Caption"/>
        <w:rPr>
          <w:noProof/>
        </w:rPr>
      </w:pPr>
      <w:bookmarkStart w:id="31" w:name="_Ref430869211"/>
      <w:bookmarkStart w:id="32" w:name="_Toc497141040"/>
      <w:r w:rsidRPr="00EA4A3F">
        <w:t xml:space="preserve">Figure </w:t>
      </w:r>
      <w:r w:rsidR="005D6308">
        <w:fldChar w:fldCharType="begin"/>
      </w:r>
      <w:r w:rsidR="005D6308">
        <w:instrText xml:space="preserve"> SEQ Figure \* ARABIC </w:instrText>
      </w:r>
      <w:r w:rsidR="005D6308">
        <w:fldChar w:fldCharType="separate"/>
      </w:r>
      <w:r w:rsidR="005D6308">
        <w:rPr>
          <w:noProof/>
        </w:rPr>
        <w:t>4</w:t>
      </w:r>
      <w:r w:rsidR="005D6308">
        <w:rPr>
          <w:noProof/>
        </w:rPr>
        <w:fldChar w:fldCharType="end"/>
      </w:r>
      <w:bookmarkEnd w:id="31"/>
      <w:r w:rsidRPr="00EA4A3F">
        <w:t xml:space="preserve"> </w:t>
      </w:r>
      <w:r w:rsidR="003D6B1B">
        <w:t>–</w:t>
      </w:r>
      <w:r w:rsidRPr="00EA4A3F">
        <w:t xml:space="preserve"> </w:t>
      </w:r>
      <w:r>
        <w:t xml:space="preserve">Percentage </w:t>
      </w:r>
      <w:r w:rsidRPr="00EA4A3F">
        <w:t xml:space="preserve">RTW </w:t>
      </w:r>
      <w:r>
        <w:t xml:space="preserve">by </w:t>
      </w:r>
      <w:r>
        <w:rPr>
          <w:noProof/>
        </w:rPr>
        <w:t>c</w:t>
      </w:r>
      <w:r w:rsidRPr="00EA4A3F">
        <w:rPr>
          <w:noProof/>
        </w:rPr>
        <w:t>ontact from the workplace</w:t>
      </w:r>
      <w:bookmarkEnd w:id="32"/>
    </w:p>
    <w:p w14:paraId="320564E9" w14:textId="1CE8E89B" w:rsidR="00E83B7F" w:rsidRPr="00A85989" w:rsidRDefault="00E83B7F" w:rsidP="00E83B7F">
      <w:r>
        <w:rPr>
          <w:noProof/>
        </w:rPr>
        <w:drawing>
          <wp:inline distT="0" distB="0" distL="0" distR="0" wp14:anchorId="71C0EF97" wp14:editId="6771F4B0">
            <wp:extent cx="2736000" cy="2516400"/>
            <wp:effectExtent l="0" t="0" r="26670" b="17780"/>
            <wp:docPr id="44" name="Chart 44" descr="This graph provides a percentage comparison between employees (at work at the time of interview) who reported their employer made contact about their injury compared with those who reported no contact. " title="Figure 4: Percentage RTW by contact from the workpla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541F93">
        <w:t xml:space="preserve"> </w:t>
      </w:r>
      <w:r w:rsidR="00541F93">
        <w:rPr>
          <w:noProof/>
        </w:rPr>
        <w:drawing>
          <wp:inline distT="0" distB="0" distL="0" distR="0" wp14:anchorId="2E3034E3" wp14:editId="279F95C8">
            <wp:extent cx="2736000" cy="2516400"/>
            <wp:effectExtent l="0" t="0" r="26670" b="17780"/>
            <wp:docPr id="45" name="Chart 45" descr="This graph provides a percentage comparison between employees (at work for three months or more at the time of interview) who reported their employer made contact about their injury compared with those who reported no contact. " title="Figure 4: Percentage RTW by contact from the workplace"/>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3FD024F" w14:textId="77777777" w:rsidR="00E83B7F" w:rsidRDefault="00E83B7F" w:rsidP="00937EA2">
      <w:pPr>
        <w:pStyle w:val="Caption"/>
      </w:pPr>
      <w:r>
        <w:t>N</w:t>
      </w:r>
      <w:r w:rsidRPr="00294237">
        <w:t xml:space="preserve"> = </w:t>
      </w:r>
      <w:r>
        <w:t>395</w:t>
      </w:r>
    </w:p>
    <w:p w14:paraId="6D742550" w14:textId="77777777" w:rsidR="00937EA2" w:rsidRPr="00937EA2" w:rsidRDefault="00937EA2" w:rsidP="00937EA2"/>
    <w:p w14:paraId="6C4E44FF" w14:textId="77777777" w:rsidR="00E83B7F" w:rsidRPr="00937EA2" w:rsidRDefault="00E83B7F" w:rsidP="00937EA2">
      <w:r w:rsidRPr="00937EA2">
        <w:t xml:space="preserve">The results of this analysis are line with the findings of the literature review in Section 4 of this report. As Dr Peter Cotton (who completed the literature review) points out, positive organisational responses to work injuries, support from the immediate manager, and availability of appropriate job accommodations facilitate RTW (relevant references are included in the literature review). </w:t>
      </w:r>
    </w:p>
    <w:p w14:paraId="11B9E29A" w14:textId="77777777" w:rsidR="00E83B7F" w:rsidRPr="00DC1480" w:rsidRDefault="00E83B7F" w:rsidP="001A004E">
      <w:pPr>
        <w:pStyle w:val="Heading2"/>
      </w:pPr>
      <w:bookmarkStart w:id="33" w:name="_Toc473101894"/>
      <w:bookmarkStart w:id="34" w:name="_Toc497141020"/>
      <w:r w:rsidRPr="00DC1480">
        <w:t>Early intervention</w:t>
      </w:r>
      <w:bookmarkEnd w:id="33"/>
      <w:bookmarkEnd w:id="34"/>
    </w:p>
    <w:p w14:paraId="2336DA15" w14:textId="77777777" w:rsidR="00E83B7F" w:rsidRPr="00937EA2" w:rsidRDefault="00E83B7F" w:rsidP="002263C3">
      <w:pPr>
        <w:keepNext/>
        <w:keepLines/>
      </w:pPr>
      <w:r w:rsidRPr="00937EA2">
        <w:t>Responding promptly to an injury is recognized as an important contributor to RTW. Responding early was associated with higher RTW rates in this study.</w:t>
      </w:r>
    </w:p>
    <w:p w14:paraId="0A590A95" w14:textId="6641697C" w:rsidR="00E83B7F" w:rsidRPr="00937EA2" w:rsidRDefault="00E83B7F" w:rsidP="002263C3">
      <w:pPr>
        <w:keepNext/>
        <w:keepLines/>
      </w:pPr>
      <w:r w:rsidRPr="00937EA2">
        <w:t xml:space="preserve">The best early approach is to deal with issues/injuries when they occur, including before a claim is lodged. However, there are often delays between the injury and the worker lodging a claim, particularly if they are concerned that their claim will not be dealt with in a positive manner. </w:t>
      </w:r>
    </w:p>
    <w:p w14:paraId="14F7BD63" w14:textId="344A4DDA" w:rsidR="00E83B7F" w:rsidRPr="00937EA2" w:rsidRDefault="00182D96" w:rsidP="00937EA2">
      <w:r>
        <w:fldChar w:fldCharType="begin"/>
      </w:r>
      <w:r>
        <w:instrText xml:space="preserve"> REF _Ref430869456 \h </w:instrText>
      </w:r>
      <w:r>
        <w:fldChar w:fldCharType="separate"/>
      </w:r>
      <w:r w:rsidR="005D6308" w:rsidRPr="00153C28">
        <w:t xml:space="preserve">Figure </w:t>
      </w:r>
      <w:r w:rsidR="005D6308">
        <w:rPr>
          <w:noProof/>
        </w:rPr>
        <w:t>5</w:t>
      </w:r>
      <w:r>
        <w:fldChar w:fldCharType="end"/>
      </w:r>
      <w:r w:rsidR="00E83B7F" w:rsidRPr="00937EA2">
        <w:t xml:space="preserve"> shows a higher percentage of people at work at the time of the interview when the employee had discussed the injury with their employer prior to submission of the claim. This was also observed in those who had been back at work for at least three months at the time of the</w:t>
      </w:r>
      <w:r w:rsidR="002263C3">
        <w:t> </w:t>
      </w:r>
      <w:r w:rsidR="00E83B7F" w:rsidRPr="00937EA2">
        <w:t>interview.</w:t>
      </w:r>
    </w:p>
    <w:p w14:paraId="7F294ED6" w14:textId="67A5E452" w:rsidR="00E83B7F" w:rsidRDefault="00E83B7F" w:rsidP="00937EA2">
      <w:pPr>
        <w:pStyle w:val="Caption"/>
        <w:rPr>
          <w:noProof/>
        </w:rPr>
      </w:pPr>
      <w:bookmarkStart w:id="35" w:name="_Ref430869456"/>
      <w:bookmarkStart w:id="36" w:name="_Toc497141041"/>
      <w:r w:rsidRPr="00153C28">
        <w:lastRenderedPageBreak/>
        <w:t xml:space="preserve">Figure </w:t>
      </w:r>
      <w:r w:rsidR="005D6308">
        <w:fldChar w:fldCharType="begin"/>
      </w:r>
      <w:r w:rsidR="005D6308">
        <w:instrText xml:space="preserve"> SEQ Figure \* ARABIC </w:instrText>
      </w:r>
      <w:r w:rsidR="005D6308">
        <w:fldChar w:fldCharType="separate"/>
      </w:r>
      <w:r w:rsidR="005D6308">
        <w:rPr>
          <w:noProof/>
        </w:rPr>
        <w:t>5</w:t>
      </w:r>
      <w:r w:rsidR="005D6308">
        <w:rPr>
          <w:noProof/>
        </w:rPr>
        <w:fldChar w:fldCharType="end"/>
      </w:r>
      <w:bookmarkEnd w:id="35"/>
      <w:r w:rsidRPr="00153C28">
        <w:t xml:space="preserve"> </w:t>
      </w:r>
      <w:r w:rsidR="00182D96">
        <w:t>–</w:t>
      </w:r>
      <w:r w:rsidRPr="00153C28">
        <w:rPr>
          <w:noProof/>
        </w:rPr>
        <w:t xml:space="preserve"> </w:t>
      </w:r>
      <w:r>
        <w:t xml:space="preserve">Percentage </w:t>
      </w:r>
      <w:r w:rsidRPr="00EA4A3F">
        <w:t xml:space="preserve">RTW </w:t>
      </w:r>
      <w:r>
        <w:t xml:space="preserve">by </w:t>
      </w:r>
      <w:r>
        <w:rPr>
          <w:noProof/>
        </w:rPr>
        <w:t>p</w:t>
      </w:r>
      <w:r w:rsidRPr="00153C28">
        <w:rPr>
          <w:noProof/>
        </w:rPr>
        <w:t>re</w:t>
      </w:r>
      <w:r>
        <w:rPr>
          <w:noProof/>
        </w:rPr>
        <w:t>-</w:t>
      </w:r>
      <w:r w:rsidRPr="00153C28">
        <w:rPr>
          <w:noProof/>
        </w:rPr>
        <w:t>claim discussion with employer</w:t>
      </w:r>
      <w:bookmarkEnd w:id="36"/>
    </w:p>
    <w:p w14:paraId="6EC259B5" w14:textId="29122639" w:rsidR="00E83B7F" w:rsidRPr="00A85989" w:rsidRDefault="00E83B7F" w:rsidP="00E83B7F">
      <w:r>
        <w:rPr>
          <w:noProof/>
        </w:rPr>
        <w:drawing>
          <wp:inline distT="0" distB="0" distL="0" distR="0" wp14:anchorId="6038C091" wp14:editId="5D6A36C7">
            <wp:extent cx="2736000" cy="2517569"/>
            <wp:effectExtent l="0" t="0" r="26670" b="16510"/>
            <wp:docPr id="42" name="Chart 42" descr="This graph provides a percentage comparison of employees (at work at the time of interview) who reported that they either discussed their injury with the employer, did not discuss their injury or had no opportunity to discuss their injury with the employer, prior to submitting a claim. &#10;&#10;" title="Figure 5: Percentage RTW by pre-claim discussion with employe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541F93">
        <w:t xml:space="preserve"> </w:t>
      </w:r>
      <w:r w:rsidR="00541F93">
        <w:rPr>
          <w:noProof/>
        </w:rPr>
        <w:drawing>
          <wp:inline distT="0" distB="0" distL="0" distR="0" wp14:anchorId="38512F8D" wp14:editId="11BE5219">
            <wp:extent cx="2736000" cy="2517569"/>
            <wp:effectExtent l="0" t="0" r="26670" b="16510"/>
            <wp:docPr id="46" name="Chart 46" descr="This graph provides a percentage comparison of employees (at work for three months or more at the time of interview) who reported that they either discussed their injury with the employer, did not discuss their injury or had no opportunity to discuss their injury with the employer, prior to submitting a claim. &#10;" title="Figure 5: Percentage RTW by pre-claim discussion with employe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0F8593C" w14:textId="77777777" w:rsidR="00E83B7F" w:rsidRDefault="00E83B7F" w:rsidP="00937EA2">
      <w:pPr>
        <w:pStyle w:val="Caption"/>
      </w:pPr>
      <w:r>
        <w:t xml:space="preserve">* There were 7 </w:t>
      </w:r>
      <w:r w:rsidRPr="00FA6C85">
        <w:t>in this group, the result should therefore be interpreted with caution</w:t>
      </w:r>
      <w:r>
        <w:t xml:space="preserve"> </w:t>
      </w:r>
      <w:r w:rsidRPr="007C5E49">
        <w:t xml:space="preserve">N = </w:t>
      </w:r>
      <w:r>
        <w:t>325</w:t>
      </w:r>
    </w:p>
    <w:p w14:paraId="1E50E1CF" w14:textId="77777777" w:rsidR="00ED74E3" w:rsidRPr="00ED74E3" w:rsidRDefault="00ED74E3" w:rsidP="00ED74E3"/>
    <w:p w14:paraId="42841C9A" w14:textId="63515ACD" w:rsidR="00E83B7F" w:rsidRPr="00ED74E3" w:rsidRDefault="00E83B7F" w:rsidP="00ED74E3">
      <w:r w:rsidRPr="00ED74E3">
        <w:t>Sixty-nine per</w:t>
      </w:r>
      <w:r w:rsidR="006067C2">
        <w:t xml:space="preserve"> </w:t>
      </w:r>
      <w:r w:rsidRPr="00ED74E3">
        <w:t>cent of employees discussed their injury with their employer prior to lodging their claim (</w:t>
      </w:r>
      <w:r w:rsidR="00E87684" w:rsidRPr="00ED74E3">
        <w:fldChar w:fldCharType="begin"/>
      </w:r>
      <w:r w:rsidR="00E87684" w:rsidRPr="00ED74E3">
        <w:instrText xml:space="preserve"> REF _Ref431884172 \h </w:instrText>
      </w:r>
      <w:r w:rsidR="00ED74E3" w:rsidRPr="00ED74E3">
        <w:instrText xml:space="preserve"> \* MERGEFORMAT </w:instrText>
      </w:r>
      <w:r w:rsidR="00E87684" w:rsidRPr="00ED74E3">
        <w:fldChar w:fldCharType="separate"/>
      </w:r>
      <w:r w:rsidR="005D6308" w:rsidRPr="00153C28">
        <w:t xml:space="preserve">Table </w:t>
      </w:r>
      <w:r w:rsidR="005D6308">
        <w:rPr>
          <w:noProof/>
        </w:rPr>
        <w:t>5</w:t>
      </w:r>
      <w:r w:rsidR="00E87684" w:rsidRPr="00ED74E3">
        <w:fldChar w:fldCharType="end"/>
      </w:r>
      <w:r w:rsidRPr="00ED74E3">
        <w:t>).</w:t>
      </w:r>
    </w:p>
    <w:p w14:paraId="614A1690" w14:textId="635CBAAF" w:rsidR="00E83B7F" w:rsidRDefault="00E83B7F" w:rsidP="00ED74E3">
      <w:pPr>
        <w:pStyle w:val="Caption"/>
      </w:pPr>
      <w:bookmarkStart w:id="37" w:name="_Ref431884172"/>
      <w:bookmarkStart w:id="38" w:name="_Toc494358569"/>
      <w:r w:rsidRPr="00153C28">
        <w:t xml:space="preserve">Table </w:t>
      </w:r>
      <w:r w:rsidR="005D6308">
        <w:fldChar w:fldCharType="begin"/>
      </w:r>
      <w:r w:rsidR="005D6308">
        <w:instrText xml:space="preserve"> SEQ Table \* ARABIC </w:instrText>
      </w:r>
      <w:r w:rsidR="005D6308">
        <w:fldChar w:fldCharType="separate"/>
      </w:r>
      <w:r w:rsidR="005D6308">
        <w:rPr>
          <w:noProof/>
        </w:rPr>
        <w:t>5</w:t>
      </w:r>
      <w:r w:rsidR="005D6308">
        <w:rPr>
          <w:noProof/>
        </w:rPr>
        <w:fldChar w:fldCharType="end"/>
      </w:r>
      <w:bookmarkEnd w:id="37"/>
      <w:r w:rsidRPr="00153C28">
        <w:t xml:space="preserve"> </w:t>
      </w:r>
      <w:r w:rsidR="004D6866">
        <w:t>–</w:t>
      </w:r>
      <w:r w:rsidRPr="00153C28">
        <w:t xml:space="preserve"> </w:t>
      </w:r>
      <w:r>
        <w:rPr>
          <w:noProof/>
        </w:rPr>
        <w:t xml:space="preserve">Percentage </w:t>
      </w:r>
      <w:r w:rsidRPr="00153C28">
        <w:rPr>
          <w:noProof/>
        </w:rPr>
        <w:t>who had pre claim discussion with employer</w:t>
      </w:r>
      <w:bookmarkEnd w:id="38"/>
    </w:p>
    <w:tbl>
      <w:tblPr>
        <w:tblStyle w:val="LightShading-Accent2"/>
        <w:tblW w:w="9209" w:type="dxa"/>
        <w:tblLook w:val="0420" w:firstRow="1" w:lastRow="0" w:firstColumn="0" w:lastColumn="0" w:noHBand="0" w:noVBand="1"/>
        <w:tblCaption w:val="Table 5: Percentage who had pre-claim discussion with employer"/>
        <w:tblDescription w:val="This table shows the percentage of employees (overall) who reported they had discussion with the employer about their injury, did not have a discussion or had did not have the opportunity to discuss their injury, prior to submitting a claim. "/>
      </w:tblPr>
      <w:tblGrid>
        <w:gridCol w:w="6204"/>
        <w:gridCol w:w="3005"/>
      </w:tblGrid>
      <w:tr w:rsidR="00E83B7F" w:rsidRPr="00937EA2" w14:paraId="3F9E4BCF" w14:textId="77777777" w:rsidTr="008263B6">
        <w:trPr>
          <w:cnfStyle w:val="100000000000" w:firstRow="1" w:lastRow="0" w:firstColumn="0" w:lastColumn="0" w:oddVBand="0" w:evenVBand="0" w:oddHBand="0" w:evenHBand="0" w:firstRowFirstColumn="0" w:firstRowLastColumn="0" w:lastRowFirstColumn="0" w:lastRowLastColumn="0"/>
          <w:tblHeader/>
        </w:trPr>
        <w:tc>
          <w:tcPr>
            <w:tcW w:w="6204" w:type="dxa"/>
            <w:noWrap/>
            <w:hideMark/>
          </w:tcPr>
          <w:p w14:paraId="72506B40" w14:textId="77777777" w:rsidR="00E83B7F" w:rsidRPr="00937EA2" w:rsidRDefault="00E83B7F" w:rsidP="00937EA2">
            <w:r w:rsidRPr="00937EA2">
              <w:t>Percentage who had a pre claim discussion with employer</w:t>
            </w:r>
          </w:p>
        </w:tc>
        <w:tc>
          <w:tcPr>
            <w:tcW w:w="3005" w:type="dxa"/>
            <w:noWrap/>
            <w:hideMark/>
          </w:tcPr>
          <w:p w14:paraId="122F6765" w14:textId="77777777" w:rsidR="00E83B7F" w:rsidRPr="00937EA2" w:rsidRDefault="00E83B7F" w:rsidP="00937EA2">
            <w:pPr>
              <w:jc w:val="center"/>
            </w:pPr>
            <w:r w:rsidRPr="00937EA2">
              <w:t>Agree</w:t>
            </w:r>
          </w:p>
        </w:tc>
      </w:tr>
      <w:tr w:rsidR="00E83B7F" w:rsidRPr="00937EA2" w14:paraId="45F3963C" w14:textId="77777777" w:rsidTr="008263B6">
        <w:trPr>
          <w:cnfStyle w:val="000000100000" w:firstRow="0" w:lastRow="0" w:firstColumn="0" w:lastColumn="0" w:oddVBand="0" w:evenVBand="0" w:oddHBand="1" w:evenHBand="0" w:firstRowFirstColumn="0" w:firstRowLastColumn="0" w:lastRowFirstColumn="0" w:lastRowLastColumn="0"/>
        </w:trPr>
        <w:tc>
          <w:tcPr>
            <w:tcW w:w="6204" w:type="dxa"/>
            <w:hideMark/>
          </w:tcPr>
          <w:p w14:paraId="36CF0DEE" w14:textId="77777777" w:rsidR="00E83B7F" w:rsidRPr="00937EA2" w:rsidRDefault="00E83B7F" w:rsidP="00937EA2">
            <w:r w:rsidRPr="00937EA2">
              <w:t>Yes</w:t>
            </w:r>
          </w:p>
        </w:tc>
        <w:tc>
          <w:tcPr>
            <w:tcW w:w="3005" w:type="dxa"/>
            <w:noWrap/>
            <w:hideMark/>
          </w:tcPr>
          <w:p w14:paraId="4056331C" w14:textId="77777777" w:rsidR="00E83B7F" w:rsidRPr="00937EA2" w:rsidRDefault="00E83B7F" w:rsidP="00937EA2">
            <w:pPr>
              <w:jc w:val="center"/>
            </w:pPr>
            <w:r w:rsidRPr="00937EA2">
              <w:t>69%</w:t>
            </w:r>
          </w:p>
        </w:tc>
      </w:tr>
      <w:tr w:rsidR="00E83B7F" w:rsidRPr="00937EA2" w14:paraId="5C13EB60" w14:textId="77777777" w:rsidTr="008263B6">
        <w:trPr>
          <w:cnfStyle w:val="000000010000" w:firstRow="0" w:lastRow="0" w:firstColumn="0" w:lastColumn="0" w:oddVBand="0" w:evenVBand="0" w:oddHBand="0" w:evenHBand="1" w:firstRowFirstColumn="0" w:firstRowLastColumn="0" w:lastRowFirstColumn="0" w:lastRowLastColumn="0"/>
        </w:trPr>
        <w:tc>
          <w:tcPr>
            <w:tcW w:w="6204" w:type="dxa"/>
            <w:hideMark/>
          </w:tcPr>
          <w:p w14:paraId="2CD74634" w14:textId="77777777" w:rsidR="00E83B7F" w:rsidRPr="00937EA2" w:rsidRDefault="00E83B7F" w:rsidP="00937EA2">
            <w:r w:rsidRPr="00937EA2">
              <w:t>No</w:t>
            </w:r>
          </w:p>
        </w:tc>
        <w:tc>
          <w:tcPr>
            <w:tcW w:w="3005" w:type="dxa"/>
            <w:noWrap/>
            <w:hideMark/>
          </w:tcPr>
          <w:p w14:paraId="59ACFA87" w14:textId="77777777" w:rsidR="00E83B7F" w:rsidRPr="00937EA2" w:rsidRDefault="00E83B7F" w:rsidP="00937EA2">
            <w:pPr>
              <w:jc w:val="center"/>
            </w:pPr>
            <w:r w:rsidRPr="00937EA2">
              <w:t>29%</w:t>
            </w:r>
          </w:p>
        </w:tc>
      </w:tr>
      <w:tr w:rsidR="00E83B7F" w:rsidRPr="00937EA2" w14:paraId="591A1A2E" w14:textId="77777777" w:rsidTr="008263B6">
        <w:trPr>
          <w:cnfStyle w:val="000000100000" w:firstRow="0" w:lastRow="0" w:firstColumn="0" w:lastColumn="0" w:oddVBand="0" w:evenVBand="0" w:oddHBand="1" w:evenHBand="0" w:firstRowFirstColumn="0" w:firstRowLastColumn="0" w:lastRowFirstColumn="0" w:lastRowLastColumn="0"/>
        </w:trPr>
        <w:tc>
          <w:tcPr>
            <w:tcW w:w="6204" w:type="dxa"/>
            <w:hideMark/>
          </w:tcPr>
          <w:p w14:paraId="0339B605" w14:textId="77777777" w:rsidR="00E83B7F" w:rsidRPr="00937EA2" w:rsidRDefault="00E83B7F" w:rsidP="00937EA2">
            <w:r w:rsidRPr="00937EA2">
              <w:t>No opportunity to discuss this</w:t>
            </w:r>
          </w:p>
        </w:tc>
        <w:tc>
          <w:tcPr>
            <w:tcW w:w="3005" w:type="dxa"/>
            <w:noWrap/>
            <w:hideMark/>
          </w:tcPr>
          <w:p w14:paraId="58087FC2" w14:textId="77777777" w:rsidR="00E83B7F" w:rsidRPr="00937EA2" w:rsidRDefault="00E83B7F" w:rsidP="00937EA2">
            <w:pPr>
              <w:jc w:val="center"/>
            </w:pPr>
            <w:r w:rsidRPr="00937EA2">
              <w:t>2%</w:t>
            </w:r>
          </w:p>
        </w:tc>
      </w:tr>
    </w:tbl>
    <w:p w14:paraId="6DD09A13" w14:textId="77777777" w:rsidR="00937EA2" w:rsidRPr="00937EA2" w:rsidRDefault="00937EA2" w:rsidP="00937EA2"/>
    <w:p w14:paraId="596B4C59" w14:textId="1C76C982" w:rsidR="00E83B7F" w:rsidRPr="00937EA2" w:rsidRDefault="00E83B7F" w:rsidP="00937EA2">
      <w:r w:rsidRPr="00937EA2">
        <w:t>When the worker reported that their employer helped</w:t>
      </w:r>
      <w:r w:rsidR="00541F93">
        <w:t xml:space="preserve"> </w:t>
      </w:r>
      <w:r w:rsidRPr="00937EA2">
        <w:t xml:space="preserve">to manage their injury before claim lodgement there was clear improvement in the RTW rates. </w:t>
      </w:r>
      <w:r w:rsidR="00182D96">
        <w:fldChar w:fldCharType="begin"/>
      </w:r>
      <w:r w:rsidR="00182D96">
        <w:instrText xml:space="preserve"> REF _Ref437703900 \h </w:instrText>
      </w:r>
      <w:r w:rsidR="00182D96">
        <w:fldChar w:fldCharType="separate"/>
      </w:r>
      <w:r w:rsidR="005D6308" w:rsidRPr="00153C28">
        <w:t xml:space="preserve">Figure </w:t>
      </w:r>
      <w:r w:rsidR="005D6308">
        <w:rPr>
          <w:noProof/>
        </w:rPr>
        <w:t>6</w:t>
      </w:r>
      <w:r w:rsidR="00182D96">
        <w:fldChar w:fldCharType="end"/>
      </w:r>
      <w:r w:rsidRPr="00937EA2">
        <w:t xml:space="preserve"> shows that 74% of employees who agreed with the statement that they had received help from their employer prior to claim lodgement w</w:t>
      </w:r>
      <w:r w:rsidR="00951EEE">
        <w:t>ere at work at the time of the S</w:t>
      </w:r>
      <w:r w:rsidRPr="00937EA2">
        <w:t>urvey interview, compared to 55% of those who did not agree. Sixty-two per cent were at work for at least three months at the time the intervie</w:t>
      </w:r>
      <w:r w:rsidR="00951EEE">
        <w:t>w occurred compared to 41%</w:t>
      </w:r>
      <w:r w:rsidRPr="00937EA2">
        <w:t xml:space="preserve"> who weren’t at work for at least three months.</w:t>
      </w:r>
      <w:bookmarkStart w:id="39" w:name="_Ref430869489"/>
    </w:p>
    <w:p w14:paraId="045CD2EB" w14:textId="6C949071" w:rsidR="00E83B7F" w:rsidRDefault="00E83B7F" w:rsidP="00937EA2">
      <w:pPr>
        <w:pStyle w:val="Caption"/>
        <w:rPr>
          <w:noProof/>
        </w:rPr>
      </w:pPr>
      <w:bookmarkStart w:id="40" w:name="_Ref437703900"/>
      <w:bookmarkStart w:id="41" w:name="_Toc497141042"/>
      <w:r w:rsidRPr="00153C28">
        <w:t xml:space="preserve">Figure </w:t>
      </w:r>
      <w:r w:rsidR="005D6308">
        <w:fldChar w:fldCharType="begin"/>
      </w:r>
      <w:r w:rsidR="005D6308">
        <w:instrText xml:space="preserve"> SEQ Figure \* ARABIC </w:instrText>
      </w:r>
      <w:r w:rsidR="005D6308">
        <w:fldChar w:fldCharType="separate"/>
      </w:r>
      <w:r w:rsidR="005D6308">
        <w:rPr>
          <w:noProof/>
        </w:rPr>
        <w:t>6</w:t>
      </w:r>
      <w:r w:rsidR="005D6308">
        <w:rPr>
          <w:noProof/>
        </w:rPr>
        <w:fldChar w:fldCharType="end"/>
      </w:r>
      <w:bookmarkEnd w:id="39"/>
      <w:bookmarkEnd w:id="40"/>
      <w:r w:rsidRPr="00153C28">
        <w:t xml:space="preserve"> </w:t>
      </w:r>
      <w:r w:rsidR="00182D96">
        <w:t>–</w:t>
      </w:r>
      <w:r w:rsidRPr="00153C28">
        <w:t xml:space="preserve"> </w:t>
      </w:r>
      <w:r>
        <w:t xml:space="preserve">Percentage RTW by </w:t>
      </w:r>
      <w:r>
        <w:rPr>
          <w:noProof/>
        </w:rPr>
        <w:t>e</w:t>
      </w:r>
      <w:r w:rsidRPr="00153C28">
        <w:rPr>
          <w:noProof/>
        </w:rPr>
        <w:t>mployer pre</w:t>
      </w:r>
      <w:r>
        <w:rPr>
          <w:noProof/>
        </w:rPr>
        <w:t>-</w:t>
      </w:r>
      <w:r w:rsidRPr="00153C28">
        <w:rPr>
          <w:noProof/>
        </w:rPr>
        <w:t>claim assistance with injury</w:t>
      </w:r>
      <w:bookmarkEnd w:id="41"/>
    </w:p>
    <w:p w14:paraId="78143A04" w14:textId="728DE6B0" w:rsidR="00E83B7F" w:rsidRPr="00375F47" w:rsidRDefault="00E83B7F" w:rsidP="00375F47">
      <w:r w:rsidRPr="00375F47">
        <w:rPr>
          <w:noProof/>
        </w:rPr>
        <w:drawing>
          <wp:inline distT="0" distB="0" distL="0" distR="0" wp14:anchorId="24C7E620" wp14:editId="572BADC9">
            <wp:extent cx="2726371" cy="2518807"/>
            <wp:effectExtent l="0" t="0" r="17145" b="15240"/>
            <wp:docPr id="51" name="Chart 51" descr="This graph provides a percentage comparison between  employees (at work at the time of interview) who reported their employer either assisted with their injury management before a claim was submitted or they did not.  " title="Figure 6: Percentage RTW by employer pre-claim assistance with injury"/>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541F93" w:rsidRPr="00375F47">
        <w:t xml:space="preserve"> </w:t>
      </w:r>
      <w:r w:rsidR="00541F93" w:rsidRPr="00375F47">
        <w:rPr>
          <w:noProof/>
        </w:rPr>
        <w:drawing>
          <wp:inline distT="0" distB="0" distL="0" distR="0" wp14:anchorId="48D7F09D" wp14:editId="443A2F88">
            <wp:extent cx="2736000" cy="2514600"/>
            <wp:effectExtent l="0" t="0" r="26670" b="19050"/>
            <wp:docPr id="52" name="Chart 52" descr="This graph provides a percentage comparison of employees (at work for three months or more at the time of interview) who reported their employer either assisted with injury management before a claim was submitted or did not. " title="Figure 6: Percentage RTW by employer pre-claim assistance with injury"/>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B029195" w14:textId="77777777" w:rsidR="00E83B7F" w:rsidRDefault="00E83B7F" w:rsidP="00937EA2">
      <w:pPr>
        <w:pStyle w:val="Caption"/>
      </w:pPr>
      <w:r>
        <w:lastRenderedPageBreak/>
        <w:t>N = 440</w:t>
      </w:r>
    </w:p>
    <w:p w14:paraId="5A2BCAE9" w14:textId="77777777" w:rsidR="00460A9A" w:rsidRDefault="00460A9A" w:rsidP="00937EA2"/>
    <w:p w14:paraId="6C97CAC8" w14:textId="7EBC4F14" w:rsidR="00E83B7F" w:rsidRPr="00937EA2" w:rsidRDefault="00E83B7F" w:rsidP="00937EA2">
      <w:r w:rsidRPr="00937EA2">
        <w:t>Howev</w:t>
      </w:r>
      <w:r w:rsidR="00C84ADD">
        <w:t>er, data analysis showed only 20</w:t>
      </w:r>
      <w:r w:rsidRPr="00937EA2">
        <w:t xml:space="preserve">% of employees with a psychological claim reported that their employer provided assistance with their injury before they lodged their claim. </w:t>
      </w:r>
    </w:p>
    <w:p w14:paraId="164B49B4" w14:textId="4315528C" w:rsidR="00E83B7F" w:rsidRPr="00937EA2" w:rsidRDefault="00E83B7F" w:rsidP="00937EA2">
      <w:r w:rsidRPr="00937EA2">
        <w:t xml:space="preserve">Early reporting helps early intervention. </w:t>
      </w:r>
      <w:r w:rsidR="00D96C6F">
        <w:fldChar w:fldCharType="begin"/>
      </w:r>
      <w:r w:rsidR="00D96C6F">
        <w:instrText xml:space="preserve"> REF _Ref430869504 \h </w:instrText>
      </w:r>
      <w:r w:rsidR="00D96C6F">
        <w:fldChar w:fldCharType="separate"/>
      </w:r>
      <w:r w:rsidR="005D6308" w:rsidRPr="00153C28">
        <w:t xml:space="preserve">Figure </w:t>
      </w:r>
      <w:r w:rsidR="005D6308">
        <w:rPr>
          <w:noProof/>
        </w:rPr>
        <w:t>7</w:t>
      </w:r>
      <w:r w:rsidR="00D96C6F">
        <w:fldChar w:fldCharType="end"/>
      </w:r>
      <w:r w:rsidRPr="00937EA2">
        <w:t xml:space="preserve"> shows better RTW rates when there are short periods between the injury and claim lodgement. Sixty-four per</w:t>
      </w:r>
      <w:r w:rsidR="006067C2">
        <w:t xml:space="preserve"> </w:t>
      </w:r>
      <w:r w:rsidRPr="00937EA2">
        <w:t xml:space="preserve">cent of those who reported their psychological injury within seven days were back at work at the time of the interview, but only 41% of those who reported their injury </w:t>
      </w:r>
      <w:r w:rsidR="008F5F12">
        <w:t xml:space="preserve">more than </w:t>
      </w:r>
      <w:r w:rsidRPr="00937EA2">
        <w:t>180 days after it occurred</w:t>
      </w:r>
      <w:r w:rsidR="008F5F12">
        <w:t xml:space="preserve"> were back at work</w:t>
      </w:r>
      <w:r w:rsidRPr="00937EA2">
        <w:t>. Similar findings are noted for those back at work for more than three months at the time of the interview.</w:t>
      </w:r>
    </w:p>
    <w:p w14:paraId="61573935" w14:textId="70F595B7" w:rsidR="00E83B7F" w:rsidRDefault="00E83B7F" w:rsidP="00937EA2">
      <w:pPr>
        <w:pStyle w:val="Caption"/>
        <w:rPr>
          <w:noProof/>
        </w:rPr>
      </w:pPr>
      <w:bookmarkStart w:id="42" w:name="_Ref430869504"/>
      <w:bookmarkStart w:id="43" w:name="_Toc497141043"/>
      <w:r w:rsidRPr="00153C28">
        <w:t xml:space="preserve">Figure </w:t>
      </w:r>
      <w:r w:rsidR="005D6308">
        <w:fldChar w:fldCharType="begin"/>
      </w:r>
      <w:r w:rsidR="005D6308">
        <w:instrText xml:space="preserve"> SEQ Figure \* ARABIC </w:instrText>
      </w:r>
      <w:r w:rsidR="005D6308">
        <w:fldChar w:fldCharType="separate"/>
      </w:r>
      <w:r w:rsidR="005D6308">
        <w:rPr>
          <w:noProof/>
        </w:rPr>
        <w:t>7</w:t>
      </w:r>
      <w:r w:rsidR="005D6308">
        <w:rPr>
          <w:noProof/>
        </w:rPr>
        <w:fldChar w:fldCharType="end"/>
      </w:r>
      <w:bookmarkEnd w:id="42"/>
      <w:r w:rsidRPr="00153C28">
        <w:t xml:space="preserve"> </w:t>
      </w:r>
      <w:r w:rsidR="00D57E73">
        <w:t>–</w:t>
      </w:r>
      <w:r w:rsidRPr="00153C28">
        <w:rPr>
          <w:noProof/>
        </w:rPr>
        <w:t xml:space="preserve"> </w:t>
      </w:r>
      <w:r>
        <w:t xml:space="preserve">Percentage </w:t>
      </w:r>
      <w:r w:rsidRPr="00EA4A3F">
        <w:t xml:space="preserve">RTW </w:t>
      </w:r>
      <w:r>
        <w:t xml:space="preserve">by </w:t>
      </w:r>
      <w:r>
        <w:rPr>
          <w:noProof/>
        </w:rPr>
        <w:t>t</w:t>
      </w:r>
      <w:r w:rsidRPr="00153C28">
        <w:rPr>
          <w:noProof/>
        </w:rPr>
        <w:t>ime from injury to claim lodgement</w:t>
      </w:r>
      <w:bookmarkEnd w:id="43"/>
    </w:p>
    <w:p w14:paraId="6A3A96A5" w14:textId="728C2886" w:rsidR="00E83B7F" w:rsidRPr="00541F93" w:rsidRDefault="00E83B7F" w:rsidP="00541F93">
      <w:r w:rsidRPr="00541F93">
        <w:rPr>
          <w:noProof/>
        </w:rPr>
        <w:drawing>
          <wp:inline distT="0" distB="0" distL="0" distR="0" wp14:anchorId="1AC1FA88" wp14:editId="72BD571D">
            <wp:extent cx="2736000" cy="2927350"/>
            <wp:effectExtent l="0" t="0" r="26670" b="25400"/>
            <wp:docPr id="57" name="Chart 57" descr="This graph provides the rate of return to work for employees (at work at the time of interview) by comparing the days between experiencing an injury and submitting a claim.  " title="Figure 7: Percentage RTW by time from injury to claim lodge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541F93" w:rsidRPr="00541F93">
        <w:t xml:space="preserve"> </w:t>
      </w:r>
      <w:r w:rsidR="00541F93" w:rsidRPr="00541F93">
        <w:rPr>
          <w:noProof/>
        </w:rPr>
        <w:drawing>
          <wp:inline distT="0" distB="0" distL="0" distR="0" wp14:anchorId="05FB9492" wp14:editId="423E6CD9">
            <wp:extent cx="2736000" cy="2933205"/>
            <wp:effectExtent l="0" t="0" r="26670" b="19685"/>
            <wp:docPr id="58" name="Chart 58" descr="This graph provides the rate of return to work for employees (at work for three months or more at the time of interview) by comparing the days between experiencing an injury and submitting a claim.  " title="Figure 7: Percentage RTW by time from injury to claim lodgement "/>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4B22376" w14:textId="77777777" w:rsidR="00E83B7F" w:rsidRDefault="00E83B7F" w:rsidP="0088636A">
      <w:pPr>
        <w:pStyle w:val="Caption"/>
      </w:pPr>
      <w:r w:rsidRPr="007C5E49">
        <w:t xml:space="preserve">N = </w:t>
      </w:r>
      <w:r>
        <w:t>575</w:t>
      </w:r>
    </w:p>
    <w:p w14:paraId="5D143B9D" w14:textId="77777777" w:rsidR="00460A9A" w:rsidRDefault="00460A9A" w:rsidP="0088636A"/>
    <w:p w14:paraId="210758CF" w14:textId="2A466A1B" w:rsidR="00E83B7F" w:rsidRPr="0088636A" w:rsidRDefault="00E83B7F" w:rsidP="0088636A">
      <w:r w:rsidRPr="0088636A">
        <w:t>When contact had been made and the contact was early, within three days, 77% of employees were back at work (</w:t>
      </w:r>
      <w:r w:rsidR="00D96C6F">
        <w:fldChar w:fldCharType="begin"/>
      </w:r>
      <w:r w:rsidR="00D96C6F">
        <w:instrText xml:space="preserve"> REF _Ref440728071 \h </w:instrText>
      </w:r>
      <w:r w:rsidR="00D96C6F">
        <w:fldChar w:fldCharType="separate"/>
      </w:r>
      <w:r w:rsidR="005D6308" w:rsidRPr="00153C28">
        <w:t xml:space="preserve">Figure </w:t>
      </w:r>
      <w:r w:rsidR="005D6308">
        <w:rPr>
          <w:noProof/>
        </w:rPr>
        <w:t>8</w:t>
      </w:r>
      <w:r w:rsidR="00D96C6F">
        <w:fldChar w:fldCharType="end"/>
      </w:r>
      <w:r w:rsidRPr="0088636A">
        <w:t xml:space="preserve">). This question was only asked of employees who said their workplace </w:t>
      </w:r>
      <w:r w:rsidR="00FE19AF">
        <w:t>had made contact. As noted previously</w:t>
      </w:r>
      <w:r w:rsidRPr="0088636A">
        <w:t xml:space="preserve"> in the Employer response to injury section, only 36% of employees with a psychological claim had received contact from their workplace. As such, the number of workers asked about the time it took for the workplace to make contact is relatively small (n=142). When contact had been made and the contact was over 16 days 60% of employees were back at work. </w:t>
      </w:r>
    </w:p>
    <w:p w14:paraId="31E6C91A" w14:textId="187D7AE1" w:rsidR="00E83B7F" w:rsidRDefault="00E83B7F" w:rsidP="0088636A">
      <w:pPr>
        <w:pStyle w:val="Caption"/>
        <w:rPr>
          <w:noProof/>
        </w:rPr>
      </w:pPr>
      <w:bookmarkStart w:id="44" w:name="_Ref440728071"/>
      <w:bookmarkStart w:id="45" w:name="_Toc497141044"/>
      <w:bookmarkStart w:id="46" w:name="_Ref430869526"/>
      <w:r w:rsidRPr="00153C28">
        <w:t xml:space="preserve">Figure </w:t>
      </w:r>
      <w:r w:rsidR="005D6308">
        <w:fldChar w:fldCharType="begin"/>
      </w:r>
      <w:r w:rsidR="005D6308">
        <w:instrText xml:space="preserve"> SEQ Figure \* ARABIC </w:instrText>
      </w:r>
      <w:r w:rsidR="005D6308">
        <w:fldChar w:fldCharType="separate"/>
      </w:r>
      <w:r w:rsidR="005D6308">
        <w:rPr>
          <w:noProof/>
        </w:rPr>
        <w:t>8</w:t>
      </w:r>
      <w:r w:rsidR="005D6308">
        <w:rPr>
          <w:noProof/>
        </w:rPr>
        <w:fldChar w:fldCharType="end"/>
      </w:r>
      <w:bookmarkEnd w:id="44"/>
      <w:r w:rsidRPr="00153C28">
        <w:t xml:space="preserve"> </w:t>
      </w:r>
      <w:r w:rsidR="00D96C6F">
        <w:t>–</w:t>
      </w:r>
      <w:r w:rsidRPr="00153C28">
        <w:t xml:space="preserve"> </w:t>
      </w:r>
      <w:r>
        <w:t xml:space="preserve">Percentage </w:t>
      </w:r>
      <w:r w:rsidRPr="00EA4A3F">
        <w:t xml:space="preserve">RTW </w:t>
      </w:r>
      <w:r>
        <w:t xml:space="preserve">by </w:t>
      </w:r>
      <w:r>
        <w:rPr>
          <w:noProof/>
        </w:rPr>
        <w:t>t</w:t>
      </w:r>
      <w:r w:rsidRPr="00153C28">
        <w:rPr>
          <w:noProof/>
        </w:rPr>
        <w:t>ime from injury to first employee contact</w:t>
      </w:r>
      <w:bookmarkEnd w:id="45"/>
    </w:p>
    <w:p w14:paraId="7DBDC45B" w14:textId="6AE89A35" w:rsidR="00E83B7F" w:rsidRPr="00541F93" w:rsidRDefault="00E83B7F" w:rsidP="00541F93">
      <w:r w:rsidRPr="00541F93">
        <w:rPr>
          <w:noProof/>
        </w:rPr>
        <w:drawing>
          <wp:inline distT="0" distB="0" distL="0" distR="0" wp14:anchorId="1F179551" wp14:editId="6DB4D0C0">
            <wp:extent cx="2736000" cy="2517569"/>
            <wp:effectExtent l="0" t="0" r="26670" b="16510"/>
            <wp:docPr id="66" name="Chart 66" descr="This graph shows the amount of time an employer took to contact the employee (at work at the time of the survey) from when a claim was submitted for an injury.  " title="Figure 8: Percentage RTW by time from injury to first employee contact"/>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541F93" w:rsidRPr="00541F93">
        <w:t xml:space="preserve"> </w:t>
      </w:r>
      <w:r w:rsidR="00541F93" w:rsidRPr="00541F93">
        <w:rPr>
          <w:noProof/>
        </w:rPr>
        <w:drawing>
          <wp:inline distT="0" distB="0" distL="0" distR="0" wp14:anchorId="7870CC9A" wp14:editId="5D5205D6">
            <wp:extent cx="2736000" cy="2517569"/>
            <wp:effectExtent l="0" t="0" r="26670" b="16510"/>
            <wp:docPr id="67" name="Chart 67" descr="This graph shows the amount of time an employer took to contact the employee (at work for three months or more at the time of interview) from when a claim was submitted for an injury.  " title="Figure 8:Percentage RTW by time from injury to first employee contact"/>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1C63D04" w14:textId="77777777" w:rsidR="0088636A" w:rsidRPr="0088636A" w:rsidRDefault="0088636A" w:rsidP="0088636A">
      <w:bookmarkStart w:id="47" w:name="_Ref430842630"/>
      <w:bookmarkEnd w:id="46"/>
    </w:p>
    <w:p w14:paraId="7422D60F" w14:textId="240CAA2A" w:rsidR="00E83B7F" w:rsidRPr="0088636A" w:rsidRDefault="00ED74E3" w:rsidP="0088636A">
      <w:r>
        <w:fldChar w:fldCharType="begin"/>
      </w:r>
      <w:r>
        <w:instrText xml:space="preserve"> REF _Ref440728127 \h </w:instrText>
      </w:r>
      <w:r>
        <w:fldChar w:fldCharType="separate"/>
      </w:r>
      <w:r w:rsidR="005D6308" w:rsidRPr="00153C28">
        <w:t xml:space="preserve">Table </w:t>
      </w:r>
      <w:r w:rsidR="005D6308">
        <w:rPr>
          <w:noProof/>
        </w:rPr>
        <w:t>6</w:t>
      </w:r>
      <w:r>
        <w:fldChar w:fldCharType="end"/>
      </w:r>
      <w:r w:rsidR="00E83B7F" w:rsidRPr="0088636A">
        <w:t xml:space="preserve"> shows that of those who were contacted, about 56% were contacted within three days. Nineteen per</w:t>
      </w:r>
      <w:r w:rsidR="006067C2">
        <w:t xml:space="preserve"> </w:t>
      </w:r>
      <w:r w:rsidR="00E83B7F" w:rsidRPr="0088636A">
        <w:t>cent were not contacted for 16 days or more.</w:t>
      </w:r>
    </w:p>
    <w:p w14:paraId="777AF927" w14:textId="438A2BB8" w:rsidR="00E83B7F" w:rsidRDefault="00E83B7F" w:rsidP="0088636A">
      <w:pPr>
        <w:pStyle w:val="Caption"/>
      </w:pPr>
      <w:bookmarkStart w:id="48" w:name="_Ref440728127"/>
      <w:bookmarkStart w:id="49" w:name="_Toc494358570"/>
      <w:r w:rsidRPr="00153C28">
        <w:t xml:space="preserve">Table </w:t>
      </w:r>
      <w:r w:rsidR="005D6308">
        <w:fldChar w:fldCharType="begin"/>
      </w:r>
      <w:r w:rsidR="005D6308">
        <w:instrText xml:space="preserve"> SEQ Table \* ARABIC </w:instrText>
      </w:r>
      <w:r w:rsidR="005D6308">
        <w:fldChar w:fldCharType="separate"/>
      </w:r>
      <w:r w:rsidR="005D6308">
        <w:rPr>
          <w:noProof/>
        </w:rPr>
        <w:t>6</w:t>
      </w:r>
      <w:r w:rsidR="005D6308">
        <w:rPr>
          <w:noProof/>
        </w:rPr>
        <w:fldChar w:fldCharType="end"/>
      </w:r>
      <w:bookmarkEnd w:id="47"/>
      <w:bookmarkEnd w:id="48"/>
      <w:r w:rsidRPr="00153C28">
        <w:t xml:space="preserve"> </w:t>
      </w:r>
      <w:r w:rsidR="004D6866">
        <w:t>–</w:t>
      </w:r>
      <w:r w:rsidRPr="00153C28">
        <w:rPr>
          <w:noProof/>
        </w:rPr>
        <w:t xml:space="preserve"> </w:t>
      </w:r>
      <w:r>
        <w:rPr>
          <w:noProof/>
        </w:rPr>
        <w:t xml:space="preserve">Percentage </w:t>
      </w:r>
      <w:r w:rsidRPr="00153C28">
        <w:rPr>
          <w:noProof/>
        </w:rPr>
        <w:t>contacted within relevant time frames</w:t>
      </w:r>
      <w:bookmarkEnd w:id="49"/>
    </w:p>
    <w:tbl>
      <w:tblPr>
        <w:tblStyle w:val="LightShading-Accent2"/>
        <w:tblW w:w="9209" w:type="dxa"/>
        <w:tblLook w:val="0620" w:firstRow="1" w:lastRow="0" w:firstColumn="0" w:lastColumn="0" w:noHBand="1" w:noVBand="1"/>
        <w:tblCaption w:val="Table 6: Percentage contacted within relevant timeframes "/>
        <w:tblDescription w:val="This table shows the amount of time it took an employer to contact an employee (of those who were contacted by their employer) who had experienced injury.  "/>
      </w:tblPr>
      <w:tblGrid>
        <w:gridCol w:w="7225"/>
        <w:gridCol w:w="1984"/>
      </w:tblGrid>
      <w:tr w:rsidR="0088636A" w:rsidRPr="0088636A" w14:paraId="3741AF7A" w14:textId="77777777" w:rsidTr="006B03FE">
        <w:trPr>
          <w:cnfStyle w:val="100000000000" w:firstRow="1" w:lastRow="0" w:firstColumn="0" w:lastColumn="0" w:oddVBand="0" w:evenVBand="0" w:oddHBand="0" w:evenHBand="0" w:firstRowFirstColumn="0" w:firstRowLastColumn="0" w:lastRowFirstColumn="0" w:lastRowLastColumn="0"/>
          <w:tblHeader/>
        </w:trPr>
        <w:tc>
          <w:tcPr>
            <w:tcW w:w="7225" w:type="dxa"/>
          </w:tcPr>
          <w:p w14:paraId="4258B30B" w14:textId="1F581C05" w:rsidR="0088636A" w:rsidRPr="0088636A" w:rsidRDefault="0088636A" w:rsidP="0088636A">
            <w:r w:rsidRPr="0088636A">
              <w:t>Days to contact post-injury</w:t>
            </w:r>
          </w:p>
        </w:tc>
        <w:tc>
          <w:tcPr>
            <w:tcW w:w="1984" w:type="dxa"/>
            <w:noWrap/>
          </w:tcPr>
          <w:p w14:paraId="5FD987F5" w14:textId="77777777" w:rsidR="0088636A" w:rsidRPr="0088636A" w:rsidRDefault="0088636A" w:rsidP="0088636A">
            <w:pPr>
              <w:jc w:val="center"/>
            </w:pPr>
          </w:p>
        </w:tc>
      </w:tr>
      <w:tr w:rsidR="00E83B7F" w:rsidRPr="0088636A" w14:paraId="2CF6E5CC" w14:textId="77777777" w:rsidTr="006B03FE">
        <w:tc>
          <w:tcPr>
            <w:tcW w:w="7225" w:type="dxa"/>
            <w:hideMark/>
          </w:tcPr>
          <w:p w14:paraId="4ECA2575" w14:textId="22A4BD88" w:rsidR="00E83B7F" w:rsidRPr="0088636A" w:rsidRDefault="00201324" w:rsidP="0088636A">
            <w:r>
              <w:t>0</w:t>
            </w:r>
            <w:r>
              <w:noBreakHyphen/>
            </w:r>
            <w:r w:rsidR="00E83B7F" w:rsidRPr="0088636A">
              <w:t>3</w:t>
            </w:r>
          </w:p>
        </w:tc>
        <w:tc>
          <w:tcPr>
            <w:tcW w:w="1984" w:type="dxa"/>
            <w:noWrap/>
            <w:hideMark/>
          </w:tcPr>
          <w:p w14:paraId="3C0BD4FE" w14:textId="77777777" w:rsidR="00E83B7F" w:rsidRPr="0088636A" w:rsidRDefault="00E83B7F" w:rsidP="0088636A">
            <w:pPr>
              <w:jc w:val="center"/>
            </w:pPr>
            <w:r w:rsidRPr="0088636A">
              <w:t>56%</w:t>
            </w:r>
          </w:p>
        </w:tc>
      </w:tr>
      <w:tr w:rsidR="00E83B7F" w:rsidRPr="0088636A" w14:paraId="50D6C3A9" w14:textId="77777777" w:rsidTr="006B03FE">
        <w:tc>
          <w:tcPr>
            <w:tcW w:w="7225" w:type="dxa"/>
            <w:shd w:val="clear" w:color="auto" w:fill="C9E5F7"/>
            <w:hideMark/>
          </w:tcPr>
          <w:p w14:paraId="16DA8E91" w14:textId="317430A3" w:rsidR="00E83B7F" w:rsidRPr="0088636A" w:rsidRDefault="00201324" w:rsidP="0088636A">
            <w:r>
              <w:t>4</w:t>
            </w:r>
            <w:r>
              <w:noBreakHyphen/>
            </w:r>
            <w:r w:rsidR="00E83B7F" w:rsidRPr="0088636A">
              <w:t>10</w:t>
            </w:r>
          </w:p>
        </w:tc>
        <w:tc>
          <w:tcPr>
            <w:tcW w:w="1984" w:type="dxa"/>
            <w:shd w:val="clear" w:color="auto" w:fill="C9E5F7"/>
            <w:noWrap/>
            <w:hideMark/>
          </w:tcPr>
          <w:p w14:paraId="599C00C7" w14:textId="77777777" w:rsidR="00E83B7F" w:rsidRPr="0088636A" w:rsidRDefault="00E83B7F" w:rsidP="0088636A">
            <w:pPr>
              <w:jc w:val="center"/>
            </w:pPr>
            <w:r w:rsidRPr="0088636A">
              <w:t>20%</w:t>
            </w:r>
          </w:p>
        </w:tc>
      </w:tr>
      <w:tr w:rsidR="00E83B7F" w:rsidRPr="0088636A" w14:paraId="247987EF" w14:textId="77777777" w:rsidTr="006B03FE">
        <w:tc>
          <w:tcPr>
            <w:tcW w:w="7225" w:type="dxa"/>
            <w:hideMark/>
          </w:tcPr>
          <w:p w14:paraId="5A1CFD6A" w14:textId="17128C60" w:rsidR="00E83B7F" w:rsidRPr="0088636A" w:rsidRDefault="00201324" w:rsidP="0088636A">
            <w:r>
              <w:t>11</w:t>
            </w:r>
            <w:r>
              <w:noBreakHyphen/>
            </w:r>
            <w:r w:rsidR="00E83B7F" w:rsidRPr="0088636A">
              <w:t>15</w:t>
            </w:r>
          </w:p>
        </w:tc>
        <w:tc>
          <w:tcPr>
            <w:tcW w:w="1984" w:type="dxa"/>
            <w:noWrap/>
            <w:hideMark/>
          </w:tcPr>
          <w:p w14:paraId="2532AF3D" w14:textId="77777777" w:rsidR="00E83B7F" w:rsidRPr="0088636A" w:rsidRDefault="00E83B7F" w:rsidP="0088636A">
            <w:pPr>
              <w:jc w:val="center"/>
            </w:pPr>
            <w:r w:rsidRPr="0088636A">
              <w:t>5%</w:t>
            </w:r>
          </w:p>
        </w:tc>
      </w:tr>
      <w:tr w:rsidR="00E83B7F" w:rsidRPr="0088636A" w14:paraId="79C32810" w14:textId="77777777" w:rsidTr="006B03FE">
        <w:tc>
          <w:tcPr>
            <w:tcW w:w="7225" w:type="dxa"/>
            <w:shd w:val="clear" w:color="auto" w:fill="C9E5F7"/>
            <w:hideMark/>
          </w:tcPr>
          <w:p w14:paraId="6560AE51" w14:textId="77777777" w:rsidR="00E83B7F" w:rsidRPr="0088636A" w:rsidRDefault="00E83B7F" w:rsidP="0088636A">
            <w:r w:rsidRPr="0088636A">
              <w:t>16 or more</w:t>
            </w:r>
          </w:p>
        </w:tc>
        <w:tc>
          <w:tcPr>
            <w:tcW w:w="1984" w:type="dxa"/>
            <w:shd w:val="clear" w:color="auto" w:fill="C9E5F7"/>
            <w:noWrap/>
            <w:hideMark/>
          </w:tcPr>
          <w:p w14:paraId="490C591A" w14:textId="77777777" w:rsidR="00E83B7F" w:rsidRPr="0088636A" w:rsidRDefault="00E83B7F" w:rsidP="0088636A">
            <w:pPr>
              <w:jc w:val="center"/>
            </w:pPr>
            <w:r w:rsidRPr="0088636A">
              <w:t>19%</w:t>
            </w:r>
          </w:p>
        </w:tc>
      </w:tr>
    </w:tbl>
    <w:p w14:paraId="1237BC98" w14:textId="77777777" w:rsidR="0088636A" w:rsidRPr="0088636A" w:rsidRDefault="0088636A" w:rsidP="0088636A">
      <w:bookmarkStart w:id="50" w:name="_Toc473101895"/>
    </w:p>
    <w:p w14:paraId="4EE4E40C" w14:textId="77777777" w:rsidR="00E83B7F" w:rsidRPr="00DC1480" w:rsidRDefault="00E83B7F" w:rsidP="001A004E">
      <w:pPr>
        <w:pStyle w:val="Heading2"/>
      </w:pPr>
      <w:bookmarkStart w:id="51" w:name="_Toc497141021"/>
      <w:r w:rsidRPr="00DC1480">
        <w:t>Concern about claim lodgement</w:t>
      </w:r>
      <w:bookmarkEnd w:id="50"/>
      <w:bookmarkEnd w:id="51"/>
    </w:p>
    <w:p w14:paraId="3E0D9253" w14:textId="77777777" w:rsidR="00E83B7F" w:rsidRPr="0088636A" w:rsidRDefault="00E83B7F" w:rsidP="0088636A">
      <w:r w:rsidRPr="0088636A">
        <w:t>A large proportion of employees expressed concern about lodging a psychological claim. Those concerned about lodging a claim had poorer RTW results.</w:t>
      </w:r>
    </w:p>
    <w:p w14:paraId="29B35E8F" w14:textId="5C5057A9" w:rsidR="00E83B7F" w:rsidRPr="0088636A" w:rsidRDefault="00E83B7F" w:rsidP="0088636A">
      <w:r w:rsidRPr="0088636A">
        <w:t xml:space="preserve">Five questions targeted concern about claim lodgement. </w:t>
      </w:r>
      <w:r w:rsidR="0053190C">
        <w:fldChar w:fldCharType="begin"/>
      </w:r>
      <w:r w:rsidR="0053190C">
        <w:instrText xml:space="preserve"> REF _Ref430849235 \h </w:instrText>
      </w:r>
      <w:r w:rsidR="0053190C">
        <w:fldChar w:fldCharType="separate"/>
      </w:r>
      <w:r w:rsidR="005D6308" w:rsidRPr="00EA4A3F">
        <w:t xml:space="preserve">Figure </w:t>
      </w:r>
      <w:r w:rsidR="005D6308">
        <w:rPr>
          <w:noProof/>
        </w:rPr>
        <w:t>9</w:t>
      </w:r>
      <w:r w:rsidR="0053190C">
        <w:fldChar w:fldCharType="end"/>
      </w:r>
      <w:r w:rsidRPr="0088636A">
        <w:t xml:space="preserve"> shows the RTW results by the average of the responses to the five questions.</w:t>
      </w:r>
    </w:p>
    <w:p w14:paraId="613F56B5" w14:textId="69DAA9CF" w:rsidR="00E83B7F" w:rsidRPr="0088636A" w:rsidRDefault="00E83B7F" w:rsidP="0088636A">
      <w:r w:rsidRPr="0088636A">
        <w:t>Of those reporting low concern about lodging their claim, 63% were at work at the time of th</w:t>
      </w:r>
      <w:r w:rsidR="00FE19AF">
        <w:t>e S</w:t>
      </w:r>
      <w:r w:rsidRPr="0088636A">
        <w:t xml:space="preserve">urvey; this contrasts with 52% of those who reported greater concern. Low concern was associated with higher rates of being at work for </w:t>
      </w:r>
      <w:r w:rsidR="00FE19AF">
        <w:t>at least three months when the S</w:t>
      </w:r>
      <w:r w:rsidRPr="0088636A">
        <w:t xml:space="preserve">urvey was completed, compared to those reporting high concern (48% versus 40%). </w:t>
      </w:r>
    </w:p>
    <w:p w14:paraId="55EE57E3" w14:textId="50B32C6E" w:rsidR="00E83B7F" w:rsidRDefault="00E83B7F" w:rsidP="0088636A">
      <w:pPr>
        <w:pStyle w:val="Caption"/>
        <w:rPr>
          <w:noProof/>
        </w:rPr>
      </w:pPr>
      <w:bookmarkStart w:id="52" w:name="_Ref430849235"/>
      <w:bookmarkStart w:id="53" w:name="_Toc497141045"/>
      <w:r w:rsidRPr="00EA4A3F">
        <w:t xml:space="preserve">Figure </w:t>
      </w:r>
      <w:r w:rsidR="005D6308">
        <w:fldChar w:fldCharType="begin"/>
      </w:r>
      <w:r w:rsidR="005D6308">
        <w:instrText xml:space="preserve"> SEQ Figure \* ARABIC </w:instrText>
      </w:r>
      <w:r w:rsidR="005D6308">
        <w:fldChar w:fldCharType="separate"/>
      </w:r>
      <w:r w:rsidR="005D6308">
        <w:rPr>
          <w:noProof/>
        </w:rPr>
        <w:t>9</w:t>
      </w:r>
      <w:r w:rsidR="005D6308">
        <w:rPr>
          <w:noProof/>
        </w:rPr>
        <w:fldChar w:fldCharType="end"/>
      </w:r>
      <w:bookmarkEnd w:id="52"/>
      <w:r w:rsidRPr="00EA4A3F">
        <w:t xml:space="preserve"> </w:t>
      </w:r>
      <w:r w:rsidR="00F13812">
        <w:rPr>
          <w:noProof/>
        </w:rPr>
        <w:t>–</w:t>
      </w:r>
      <w:r w:rsidRPr="00EA4A3F">
        <w:rPr>
          <w:noProof/>
        </w:rPr>
        <w:t xml:space="preserve"> </w:t>
      </w:r>
      <w:r>
        <w:t xml:space="preserve">Percentage </w:t>
      </w:r>
      <w:r w:rsidRPr="00EA4A3F">
        <w:t xml:space="preserve">RTW </w:t>
      </w:r>
      <w:r>
        <w:t xml:space="preserve">by </w:t>
      </w:r>
      <w:r>
        <w:rPr>
          <w:noProof/>
        </w:rPr>
        <w:t>c</w:t>
      </w:r>
      <w:r w:rsidRPr="00EA4A3F">
        <w:rPr>
          <w:noProof/>
        </w:rPr>
        <w:t>oncern about lodging a claim</w:t>
      </w:r>
      <w:bookmarkEnd w:id="53"/>
    </w:p>
    <w:p w14:paraId="33AE7C27" w14:textId="70037323" w:rsidR="00E83B7F" w:rsidRPr="00375F47" w:rsidRDefault="00E83B7F" w:rsidP="00375F47">
      <w:r w:rsidRPr="00375F47">
        <w:rPr>
          <w:noProof/>
        </w:rPr>
        <w:drawing>
          <wp:inline distT="0" distB="0" distL="0" distR="0" wp14:anchorId="633B2D2D" wp14:editId="66160843">
            <wp:extent cx="2736000" cy="2518807"/>
            <wp:effectExtent l="0" t="0" r="26670" b="15240"/>
            <wp:docPr id="71" name="Chart 71" descr="This graph provides a percentage comparison between employees (at work at time of interview) who expressed low concerns relating to claim lodgement with those that expressed high concerns. " title="Figure 9: Percentage RTW by concern about lodging a claim "/>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541F93" w:rsidRPr="00375F47">
        <w:t xml:space="preserve"> </w:t>
      </w:r>
      <w:r w:rsidR="00541F93" w:rsidRPr="00375F47">
        <w:rPr>
          <w:noProof/>
        </w:rPr>
        <w:drawing>
          <wp:inline distT="0" distB="0" distL="0" distR="0" wp14:anchorId="4F64F68E" wp14:editId="2A2CD1B4">
            <wp:extent cx="2760030" cy="2518808"/>
            <wp:effectExtent l="0" t="0" r="21590" b="15240"/>
            <wp:docPr id="72" name="Chart 72" descr="This graph provides a percentage comparison between employees (at work for three months or more at time of interview) who expressed low concerns relating to claim lodgement with those that expressed high concerns. " title="Figure 9: Percentage RTW by concern about lodging a claim"/>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7DDB218" w14:textId="77777777" w:rsidR="00E83B7F" w:rsidRPr="00EA4A3F" w:rsidRDefault="00E83B7F" w:rsidP="0088636A">
      <w:pPr>
        <w:pStyle w:val="Caption"/>
      </w:pPr>
      <w:r w:rsidRPr="00EA4A3F">
        <w:t xml:space="preserve">N = </w:t>
      </w:r>
      <w:r>
        <w:t>520</w:t>
      </w:r>
    </w:p>
    <w:p w14:paraId="79ABA088" w14:textId="77777777" w:rsidR="0088636A" w:rsidRPr="0088636A" w:rsidRDefault="0088636A" w:rsidP="0088636A"/>
    <w:p w14:paraId="1F0618F7" w14:textId="15E12797" w:rsidR="00E83B7F" w:rsidRPr="0088636A" w:rsidRDefault="00E83B7F" w:rsidP="0088636A">
      <w:r w:rsidRPr="0088636A">
        <w:t xml:space="preserve">The individual questions relating to concern about lodging a psychological claim, and their response percentages, are listed in </w:t>
      </w:r>
      <w:r w:rsidR="00ED74E3">
        <w:fldChar w:fldCharType="begin"/>
      </w:r>
      <w:r w:rsidR="00ED74E3">
        <w:instrText xml:space="preserve"> REF _Ref430954124 \h </w:instrText>
      </w:r>
      <w:r w:rsidR="00ED74E3">
        <w:fldChar w:fldCharType="separate"/>
      </w:r>
      <w:r w:rsidR="005D6308" w:rsidRPr="00EA4A3F">
        <w:t xml:space="preserve">Table </w:t>
      </w:r>
      <w:r w:rsidR="005D6308">
        <w:rPr>
          <w:noProof/>
        </w:rPr>
        <w:t>7</w:t>
      </w:r>
      <w:r w:rsidR="00ED74E3">
        <w:fldChar w:fldCharType="end"/>
      </w:r>
      <w:r w:rsidRPr="0088636A">
        <w:t xml:space="preserve"> and</w:t>
      </w:r>
      <w:r w:rsidR="004D631B">
        <w:t xml:space="preserve"> Table 8</w:t>
      </w:r>
      <w:r w:rsidRPr="0088636A">
        <w:t xml:space="preserve">. </w:t>
      </w:r>
    </w:p>
    <w:p w14:paraId="47F871D4" w14:textId="77777777" w:rsidR="00E83B7F" w:rsidRPr="0088636A" w:rsidRDefault="00E83B7F" w:rsidP="0088636A">
      <w:r w:rsidRPr="0088636A">
        <w:t xml:space="preserve">If the employee felt their supervisor thought they were exaggerating their injury, they were substantially less likely to be back at work. Findings were similar if the worker was concerned they would be sacked if they submitted a claim, if there was a difference of opinion with the employer or claim organisation about claim lodgement, or if they thought that their employer discouraged them from lodging a claim. </w:t>
      </w:r>
    </w:p>
    <w:p w14:paraId="2133B167" w14:textId="583D6EE0" w:rsidR="00E83B7F" w:rsidRPr="00E475ED" w:rsidRDefault="00E83B7F" w:rsidP="0088636A">
      <w:pPr>
        <w:pStyle w:val="Caption"/>
      </w:pPr>
      <w:bookmarkStart w:id="54" w:name="_Ref430954124"/>
      <w:bookmarkStart w:id="55" w:name="_Toc494358571"/>
      <w:r w:rsidRPr="00EA4A3F">
        <w:lastRenderedPageBreak/>
        <w:t xml:space="preserve">Table </w:t>
      </w:r>
      <w:r w:rsidR="005D6308">
        <w:fldChar w:fldCharType="begin"/>
      </w:r>
      <w:r w:rsidR="005D6308">
        <w:instrText xml:space="preserve"> SEQ Table \* ARABIC </w:instrText>
      </w:r>
      <w:r w:rsidR="005D6308">
        <w:fldChar w:fldCharType="separate"/>
      </w:r>
      <w:r w:rsidR="005D6308">
        <w:rPr>
          <w:noProof/>
        </w:rPr>
        <w:t>7</w:t>
      </w:r>
      <w:r w:rsidR="005D6308">
        <w:rPr>
          <w:noProof/>
        </w:rPr>
        <w:fldChar w:fldCharType="end"/>
      </w:r>
      <w:bookmarkEnd w:id="54"/>
      <w:r w:rsidRPr="00EA4A3F">
        <w:t xml:space="preserve"> </w:t>
      </w:r>
      <w:r w:rsidR="005F723D">
        <w:t>–</w:t>
      </w:r>
      <w:r w:rsidRPr="00EA4A3F">
        <w:t xml:space="preserve"> </w:t>
      </w:r>
      <w:r>
        <w:t>Percentage at work</w:t>
      </w:r>
      <w:r w:rsidRPr="00EA4A3F">
        <w:t xml:space="preserve"> at time of interview</w:t>
      </w:r>
      <w:r>
        <w:t xml:space="preserve"> by response to concern about claim lodgement questions</w:t>
      </w:r>
      <w:bookmarkEnd w:id="55"/>
    </w:p>
    <w:tbl>
      <w:tblPr>
        <w:tblStyle w:val="LightShading-Accent2"/>
        <w:tblW w:w="9214" w:type="dxa"/>
        <w:tblLayout w:type="fixed"/>
        <w:tblLook w:val="0620" w:firstRow="1" w:lastRow="0" w:firstColumn="0" w:lastColumn="0" w:noHBand="1" w:noVBand="1"/>
        <w:tblCaption w:val="Table 7: Percentage at work at time of interview by response to concern about claim lodgement questions"/>
        <w:tblDescription w:val="This table provides a percentage breakdown of employee (at work at time of interview) responses as to whether they agreed or disagreed with statements about claim lodgement "/>
      </w:tblPr>
      <w:tblGrid>
        <w:gridCol w:w="3794"/>
        <w:gridCol w:w="2977"/>
        <w:gridCol w:w="2443"/>
      </w:tblGrid>
      <w:tr w:rsidR="00E83B7F" w:rsidRPr="0088636A" w14:paraId="6106FACB" w14:textId="77777777" w:rsidTr="00507D67">
        <w:trPr>
          <w:cnfStyle w:val="100000000000" w:firstRow="1" w:lastRow="0" w:firstColumn="0" w:lastColumn="0" w:oddVBand="0" w:evenVBand="0" w:oddHBand="0" w:evenHBand="0" w:firstRowFirstColumn="0" w:firstRowLastColumn="0" w:lastRowFirstColumn="0" w:lastRowLastColumn="0"/>
          <w:tblHeader/>
        </w:trPr>
        <w:tc>
          <w:tcPr>
            <w:tcW w:w="3794" w:type="dxa"/>
            <w:vAlign w:val="center"/>
            <w:hideMark/>
          </w:tcPr>
          <w:p w14:paraId="572978A9" w14:textId="2653C9B5" w:rsidR="00E83B7F" w:rsidRPr="0088636A" w:rsidRDefault="00E83B7F" w:rsidP="00D54658">
            <w:pPr>
              <w:keepNext/>
              <w:keepLines/>
            </w:pPr>
            <w:bookmarkStart w:id="56" w:name="_Ref430777838"/>
            <w:bookmarkStart w:id="57" w:name="_Ref440728308"/>
            <w:r w:rsidRPr="0088636A">
              <w:t>Concern about claim lodgement</w:t>
            </w:r>
            <w:r w:rsidR="00D54658">
              <w:t> </w:t>
            </w:r>
            <w:r w:rsidRPr="0088636A">
              <w:t>questions</w:t>
            </w:r>
          </w:p>
        </w:tc>
        <w:tc>
          <w:tcPr>
            <w:tcW w:w="2977" w:type="dxa"/>
            <w:noWrap/>
            <w:hideMark/>
          </w:tcPr>
          <w:p w14:paraId="6D06C6BB" w14:textId="2DA33D2C" w:rsidR="00E83B7F" w:rsidRPr="0088636A" w:rsidRDefault="00E83B7F" w:rsidP="0088636A">
            <w:pPr>
              <w:keepNext/>
              <w:keepLines/>
              <w:jc w:val="center"/>
            </w:pPr>
            <w:r w:rsidRPr="0088636A">
              <w:t>Of those who did not agree, %</w:t>
            </w:r>
            <w:r w:rsidR="0088636A">
              <w:t> </w:t>
            </w:r>
            <w:r w:rsidRPr="0088636A">
              <w:t>at work</w:t>
            </w:r>
          </w:p>
        </w:tc>
        <w:tc>
          <w:tcPr>
            <w:tcW w:w="2443" w:type="dxa"/>
            <w:noWrap/>
            <w:hideMark/>
          </w:tcPr>
          <w:p w14:paraId="3802DDE2" w14:textId="77777777" w:rsidR="00E83B7F" w:rsidRPr="0088636A" w:rsidRDefault="00E83B7F" w:rsidP="0088636A">
            <w:pPr>
              <w:keepNext/>
              <w:keepLines/>
              <w:jc w:val="center"/>
            </w:pPr>
            <w:r w:rsidRPr="0088636A">
              <w:t>Of those who agreed, % at work</w:t>
            </w:r>
          </w:p>
        </w:tc>
      </w:tr>
      <w:tr w:rsidR="00E83B7F" w:rsidRPr="0088636A" w14:paraId="37880E32" w14:textId="77777777" w:rsidTr="00507D67">
        <w:tc>
          <w:tcPr>
            <w:tcW w:w="3794" w:type="dxa"/>
            <w:hideMark/>
          </w:tcPr>
          <w:p w14:paraId="63D039D3" w14:textId="77777777" w:rsidR="00E83B7F" w:rsidRPr="0088636A" w:rsidRDefault="00E83B7F" w:rsidP="0088636A">
            <w:pPr>
              <w:keepNext/>
              <w:keepLines/>
            </w:pPr>
            <w:r w:rsidRPr="0088636A">
              <w:t>Felt supervisor thought you were exaggerating injury</w:t>
            </w:r>
          </w:p>
        </w:tc>
        <w:tc>
          <w:tcPr>
            <w:tcW w:w="2977" w:type="dxa"/>
            <w:noWrap/>
            <w:hideMark/>
          </w:tcPr>
          <w:p w14:paraId="46474C10" w14:textId="77777777" w:rsidR="00E83B7F" w:rsidRPr="0088636A" w:rsidRDefault="00E83B7F" w:rsidP="0088636A">
            <w:pPr>
              <w:keepNext/>
              <w:keepLines/>
              <w:jc w:val="center"/>
            </w:pPr>
            <w:r w:rsidRPr="0088636A">
              <w:t>66%</w:t>
            </w:r>
          </w:p>
        </w:tc>
        <w:tc>
          <w:tcPr>
            <w:tcW w:w="2443" w:type="dxa"/>
            <w:noWrap/>
            <w:hideMark/>
          </w:tcPr>
          <w:p w14:paraId="383DD7AE" w14:textId="77777777" w:rsidR="00E83B7F" w:rsidRPr="0088636A" w:rsidRDefault="00E83B7F" w:rsidP="0088636A">
            <w:pPr>
              <w:keepNext/>
              <w:keepLines/>
              <w:jc w:val="center"/>
            </w:pPr>
            <w:r w:rsidRPr="0088636A">
              <w:t>53%</w:t>
            </w:r>
          </w:p>
        </w:tc>
      </w:tr>
      <w:tr w:rsidR="00E83B7F" w:rsidRPr="0088636A" w14:paraId="1147F884" w14:textId="77777777" w:rsidTr="00507D67">
        <w:tc>
          <w:tcPr>
            <w:tcW w:w="3794" w:type="dxa"/>
            <w:shd w:val="clear" w:color="auto" w:fill="C9E5F7"/>
            <w:hideMark/>
          </w:tcPr>
          <w:p w14:paraId="799561C9" w14:textId="77777777" w:rsidR="00E83B7F" w:rsidRPr="0088636A" w:rsidRDefault="00E83B7F" w:rsidP="0088636A">
            <w:pPr>
              <w:keepNext/>
              <w:keepLines/>
            </w:pPr>
            <w:r w:rsidRPr="0088636A">
              <w:t>Concerned that you would be fired if you submitted a claim</w:t>
            </w:r>
          </w:p>
        </w:tc>
        <w:tc>
          <w:tcPr>
            <w:tcW w:w="2977" w:type="dxa"/>
            <w:shd w:val="clear" w:color="auto" w:fill="C9E5F7"/>
            <w:noWrap/>
            <w:hideMark/>
          </w:tcPr>
          <w:p w14:paraId="72D5631D" w14:textId="77777777" w:rsidR="00E83B7F" w:rsidRPr="0088636A" w:rsidRDefault="00E83B7F" w:rsidP="0088636A">
            <w:pPr>
              <w:keepNext/>
              <w:keepLines/>
              <w:jc w:val="center"/>
            </w:pPr>
            <w:r w:rsidRPr="0088636A">
              <w:t>62%</w:t>
            </w:r>
          </w:p>
        </w:tc>
        <w:tc>
          <w:tcPr>
            <w:tcW w:w="2443" w:type="dxa"/>
            <w:shd w:val="clear" w:color="auto" w:fill="C9E5F7"/>
            <w:noWrap/>
            <w:hideMark/>
          </w:tcPr>
          <w:p w14:paraId="7F483C8D" w14:textId="77777777" w:rsidR="00E83B7F" w:rsidRPr="0088636A" w:rsidRDefault="00E83B7F" w:rsidP="0088636A">
            <w:pPr>
              <w:keepNext/>
              <w:keepLines/>
              <w:jc w:val="center"/>
            </w:pPr>
            <w:r w:rsidRPr="0088636A">
              <w:t>49%</w:t>
            </w:r>
          </w:p>
        </w:tc>
      </w:tr>
      <w:tr w:rsidR="00E83B7F" w:rsidRPr="0088636A" w14:paraId="20FCD281" w14:textId="77777777" w:rsidTr="00507D67">
        <w:tc>
          <w:tcPr>
            <w:tcW w:w="3794" w:type="dxa"/>
            <w:hideMark/>
          </w:tcPr>
          <w:p w14:paraId="1115AD35" w14:textId="77777777" w:rsidR="00E83B7F" w:rsidRPr="0088636A" w:rsidRDefault="00E83B7F" w:rsidP="0088636A">
            <w:pPr>
              <w:keepNext/>
              <w:keepLines/>
            </w:pPr>
            <w:r w:rsidRPr="0088636A">
              <w:t>Thought you would be treated differently by people at work</w:t>
            </w:r>
          </w:p>
        </w:tc>
        <w:tc>
          <w:tcPr>
            <w:tcW w:w="2977" w:type="dxa"/>
            <w:noWrap/>
            <w:hideMark/>
          </w:tcPr>
          <w:p w14:paraId="07A28826" w14:textId="77777777" w:rsidR="00E83B7F" w:rsidRPr="0088636A" w:rsidRDefault="00E83B7F" w:rsidP="0088636A">
            <w:pPr>
              <w:keepNext/>
              <w:keepLines/>
              <w:jc w:val="center"/>
            </w:pPr>
            <w:r w:rsidRPr="0088636A">
              <w:t>62%</w:t>
            </w:r>
          </w:p>
        </w:tc>
        <w:tc>
          <w:tcPr>
            <w:tcW w:w="2443" w:type="dxa"/>
            <w:noWrap/>
            <w:hideMark/>
          </w:tcPr>
          <w:p w14:paraId="014DCEA2" w14:textId="77777777" w:rsidR="00E83B7F" w:rsidRPr="0088636A" w:rsidRDefault="00E83B7F" w:rsidP="0088636A">
            <w:pPr>
              <w:keepNext/>
              <w:keepLines/>
              <w:jc w:val="center"/>
            </w:pPr>
            <w:r w:rsidRPr="0088636A">
              <w:t>55%</w:t>
            </w:r>
          </w:p>
        </w:tc>
      </w:tr>
      <w:tr w:rsidR="00E83B7F" w:rsidRPr="0088636A" w14:paraId="3A7D1328" w14:textId="77777777" w:rsidTr="00507D67">
        <w:tc>
          <w:tcPr>
            <w:tcW w:w="3794" w:type="dxa"/>
            <w:shd w:val="clear" w:color="auto" w:fill="C9E5F7"/>
            <w:hideMark/>
          </w:tcPr>
          <w:p w14:paraId="1E245471" w14:textId="77777777" w:rsidR="00E83B7F" w:rsidRPr="0088636A" w:rsidRDefault="00E83B7F" w:rsidP="0088636A">
            <w:pPr>
              <w:keepNext/>
              <w:keepLines/>
            </w:pPr>
            <w:r w:rsidRPr="0088636A">
              <w:t> </w:t>
            </w:r>
          </w:p>
        </w:tc>
        <w:tc>
          <w:tcPr>
            <w:tcW w:w="2977" w:type="dxa"/>
            <w:shd w:val="clear" w:color="auto" w:fill="C9E5F7"/>
            <w:noWrap/>
            <w:hideMark/>
          </w:tcPr>
          <w:p w14:paraId="72C82D28" w14:textId="56BD512C" w:rsidR="00E83B7F" w:rsidRPr="0088636A" w:rsidRDefault="00E83B7F" w:rsidP="00D54658">
            <w:pPr>
              <w:keepNext/>
              <w:keepLines/>
              <w:jc w:val="center"/>
              <w:rPr>
                <w:rStyle w:val="Strong"/>
              </w:rPr>
            </w:pPr>
            <w:r w:rsidRPr="0088636A">
              <w:rPr>
                <w:rStyle w:val="Strong"/>
              </w:rPr>
              <w:t>Of those that said No, %</w:t>
            </w:r>
            <w:r w:rsidR="00D54658">
              <w:rPr>
                <w:rStyle w:val="Strong"/>
              </w:rPr>
              <w:t> </w:t>
            </w:r>
            <w:r w:rsidRPr="0088636A">
              <w:rPr>
                <w:rStyle w:val="Strong"/>
              </w:rPr>
              <w:t>at</w:t>
            </w:r>
            <w:r w:rsidR="00D54658">
              <w:rPr>
                <w:rStyle w:val="Strong"/>
              </w:rPr>
              <w:t> </w:t>
            </w:r>
            <w:r w:rsidRPr="0088636A">
              <w:rPr>
                <w:rStyle w:val="Strong"/>
              </w:rPr>
              <w:t>work</w:t>
            </w:r>
          </w:p>
        </w:tc>
        <w:tc>
          <w:tcPr>
            <w:tcW w:w="2443" w:type="dxa"/>
            <w:shd w:val="clear" w:color="auto" w:fill="C9E5F7"/>
            <w:noWrap/>
            <w:hideMark/>
          </w:tcPr>
          <w:p w14:paraId="04793F46" w14:textId="77777777" w:rsidR="00E83B7F" w:rsidRPr="0088636A" w:rsidRDefault="00E83B7F" w:rsidP="0088636A">
            <w:pPr>
              <w:keepNext/>
              <w:keepLines/>
              <w:jc w:val="center"/>
              <w:rPr>
                <w:rStyle w:val="Strong"/>
              </w:rPr>
            </w:pPr>
            <w:r w:rsidRPr="0088636A">
              <w:rPr>
                <w:rStyle w:val="Strong"/>
              </w:rPr>
              <w:t>Of those that said Yes, % at work</w:t>
            </w:r>
          </w:p>
        </w:tc>
      </w:tr>
      <w:tr w:rsidR="00E83B7F" w:rsidRPr="0088636A" w14:paraId="222E5D49" w14:textId="77777777" w:rsidTr="00507D67">
        <w:tc>
          <w:tcPr>
            <w:tcW w:w="3794" w:type="dxa"/>
            <w:hideMark/>
          </w:tcPr>
          <w:p w14:paraId="6B54BE3E" w14:textId="0BF64FD2" w:rsidR="00E83B7F" w:rsidRPr="0088636A" w:rsidRDefault="00E83B7F" w:rsidP="00304D0B">
            <w:pPr>
              <w:keepNext/>
              <w:keepLines/>
            </w:pPr>
            <w:r w:rsidRPr="0088636A">
              <w:t>Difference of opinion with employer/claim organisation</w:t>
            </w:r>
          </w:p>
        </w:tc>
        <w:tc>
          <w:tcPr>
            <w:tcW w:w="2977" w:type="dxa"/>
            <w:noWrap/>
            <w:hideMark/>
          </w:tcPr>
          <w:p w14:paraId="2D135320" w14:textId="77777777" w:rsidR="00E83B7F" w:rsidRPr="0088636A" w:rsidRDefault="00E83B7F" w:rsidP="0088636A">
            <w:pPr>
              <w:keepNext/>
              <w:keepLines/>
              <w:jc w:val="center"/>
            </w:pPr>
            <w:r w:rsidRPr="0088636A">
              <w:t>63%</w:t>
            </w:r>
          </w:p>
        </w:tc>
        <w:tc>
          <w:tcPr>
            <w:tcW w:w="2443" w:type="dxa"/>
            <w:noWrap/>
            <w:hideMark/>
          </w:tcPr>
          <w:p w14:paraId="5968BD2D" w14:textId="77777777" w:rsidR="00E83B7F" w:rsidRPr="0088636A" w:rsidRDefault="00E83B7F" w:rsidP="0088636A">
            <w:pPr>
              <w:keepNext/>
              <w:keepLines/>
              <w:jc w:val="center"/>
            </w:pPr>
            <w:r w:rsidRPr="0088636A">
              <w:t>48%</w:t>
            </w:r>
          </w:p>
        </w:tc>
      </w:tr>
      <w:tr w:rsidR="00E83B7F" w:rsidRPr="0088636A" w14:paraId="17ED5256" w14:textId="77777777" w:rsidTr="00507D67">
        <w:tc>
          <w:tcPr>
            <w:tcW w:w="3794" w:type="dxa"/>
            <w:shd w:val="clear" w:color="auto" w:fill="C9E5F7"/>
            <w:hideMark/>
          </w:tcPr>
          <w:p w14:paraId="67BD8F9C" w14:textId="77777777" w:rsidR="00E83B7F" w:rsidRPr="0088636A" w:rsidRDefault="00E83B7F" w:rsidP="0088636A">
            <w:pPr>
              <w:keepNext/>
              <w:keepLines/>
            </w:pPr>
            <w:r w:rsidRPr="0088636A">
              <w:t>Feel employer discouraged you from putting in a claim</w:t>
            </w:r>
          </w:p>
        </w:tc>
        <w:tc>
          <w:tcPr>
            <w:tcW w:w="2977" w:type="dxa"/>
            <w:shd w:val="clear" w:color="auto" w:fill="C9E5F7"/>
            <w:noWrap/>
            <w:hideMark/>
          </w:tcPr>
          <w:p w14:paraId="6E3B488F" w14:textId="77777777" w:rsidR="00E83B7F" w:rsidRPr="0088636A" w:rsidRDefault="00E83B7F" w:rsidP="0088636A">
            <w:pPr>
              <w:keepNext/>
              <w:keepLines/>
              <w:jc w:val="center"/>
            </w:pPr>
            <w:r w:rsidRPr="0088636A">
              <w:t>64%</w:t>
            </w:r>
          </w:p>
        </w:tc>
        <w:tc>
          <w:tcPr>
            <w:tcW w:w="2443" w:type="dxa"/>
            <w:shd w:val="clear" w:color="auto" w:fill="C9E5F7"/>
            <w:noWrap/>
            <w:hideMark/>
          </w:tcPr>
          <w:p w14:paraId="735B7D92" w14:textId="77777777" w:rsidR="00E83B7F" w:rsidRPr="0088636A" w:rsidRDefault="00E83B7F" w:rsidP="0088636A">
            <w:pPr>
              <w:keepNext/>
              <w:keepLines/>
              <w:jc w:val="center"/>
            </w:pPr>
            <w:r w:rsidRPr="0088636A">
              <w:t>50%</w:t>
            </w:r>
          </w:p>
        </w:tc>
      </w:tr>
    </w:tbl>
    <w:p w14:paraId="78CFB6E9" w14:textId="77777777" w:rsidR="0088636A" w:rsidRPr="0088636A" w:rsidRDefault="0088636A" w:rsidP="0088636A"/>
    <w:p w14:paraId="067C704F" w14:textId="359A9278" w:rsidR="00E83B7F" w:rsidRPr="00EA4A3F" w:rsidRDefault="00E83B7F" w:rsidP="00313DF3">
      <w:pPr>
        <w:pStyle w:val="Caption"/>
      </w:pPr>
      <w:bookmarkStart w:id="58" w:name="_Toc494358572"/>
      <w:r w:rsidRPr="00EA4A3F">
        <w:t xml:space="preserve">Table </w:t>
      </w:r>
      <w:r w:rsidR="005D6308">
        <w:fldChar w:fldCharType="begin"/>
      </w:r>
      <w:r w:rsidR="005D6308">
        <w:instrText xml:space="preserve"> SEQ Table \* ARABIC </w:instrText>
      </w:r>
      <w:r w:rsidR="005D6308">
        <w:fldChar w:fldCharType="separate"/>
      </w:r>
      <w:r w:rsidR="005D6308">
        <w:rPr>
          <w:noProof/>
        </w:rPr>
        <w:t>8</w:t>
      </w:r>
      <w:r w:rsidR="005D6308">
        <w:rPr>
          <w:noProof/>
        </w:rPr>
        <w:fldChar w:fldCharType="end"/>
      </w:r>
      <w:bookmarkEnd w:id="56"/>
      <w:bookmarkEnd w:id="57"/>
      <w:r w:rsidRPr="00EA4A3F">
        <w:t xml:space="preserve"> </w:t>
      </w:r>
      <w:r w:rsidR="005F723D">
        <w:t>–</w:t>
      </w:r>
      <w:r w:rsidRPr="00EA4A3F">
        <w:t xml:space="preserve"> </w:t>
      </w:r>
      <w:r>
        <w:t>Percentage</w:t>
      </w:r>
      <w:r w:rsidRPr="00EA4A3F">
        <w:t xml:space="preserve"> RTW for three months or more at time of interview</w:t>
      </w:r>
      <w:r>
        <w:t xml:space="preserve"> by response to concern about claim lodgement questions</w:t>
      </w:r>
      <w:bookmarkEnd w:id="58"/>
    </w:p>
    <w:tbl>
      <w:tblPr>
        <w:tblStyle w:val="LightShading-Accent2"/>
        <w:tblW w:w="9204" w:type="dxa"/>
        <w:tblLook w:val="0620" w:firstRow="1" w:lastRow="0" w:firstColumn="0" w:lastColumn="0" w:noHBand="1" w:noVBand="1"/>
        <w:tblCaption w:val="Table 8: Percentage RTW for three months or more at time of interview by response to concern about claim lodgement questions"/>
        <w:tblDescription w:val="This table provides a percentage breakdown of employee (at work for three months or more at time of interview) as to whether they agreed or disagreed with statements about claim lodgement.  "/>
      </w:tblPr>
      <w:tblGrid>
        <w:gridCol w:w="3794"/>
        <w:gridCol w:w="3118"/>
        <w:gridCol w:w="2292"/>
      </w:tblGrid>
      <w:tr w:rsidR="00E83B7F" w:rsidRPr="0088636A" w14:paraId="0C7B298B" w14:textId="77777777" w:rsidTr="00524606">
        <w:trPr>
          <w:cnfStyle w:val="100000000000" w:firstRow="1" w:lastRow="0" w:firstColumn="0" w:lastColumn="0" w:oddVBand="0" w:evenVBand="0" w:oddHBand="0" w:evenHBand="0" w:firstRowFirstColumn="0" w:firstRowLastColumn="0" w:lastRowFirstColumn="0" w:lastRowLastColumn="0"/>
          <w:tblHeader/>
        </w:trPr>
        <w:tc>
          <w:tcPr>
            <w:tcW w:w="3794" w:type="dxa"/>
            <w:hideMark/>
          </w:tcPr>
          <w:p w14:paraId="6EED299D" w14:textId="516283AD" w:rsidR="00E83B7F" w:rsidRPr="0088636A" w:rsidRDefault="00E83B7F" w:rsidP="00D54658">
            <w:pPr>
              <w:keepNext/>
              <w:keepLines/>
            </w:pPr>
            <w:r w:rsidRPr="0088636A">
              <w:t>Concern about claim lodgement</w:t>
            </w:r>
            <w:r w:rsidR="00D54658">
              <w:t> </w:t>
            </w:r>
            <w:r w:rsidRPr="0088636A">
              <w:t>questions</w:t>
            </w:r>
          </w:p>
        </w:tc>
        <w:tc>
          <w:tcPr>
            <w:tcW w:w="3118" w:type="dxa"/>
            <w:noWrap/>
            <w:hideMark/>
          </w:tcPr>
          <w:p w14:paraId="1B625E9A" w14:textId="2FBDA7C2" w:rsidR="00E83B7F" w:rsidRPr="0088636A" w:rsidRDefault="00E83B7F" w:rsidP="00313DF3">
            <w:pPr>
              <w:keepNext/>
              <w:keepLines/>
              <w:jc w:val="center"/>
            </w:pPr>
            <w:r w:rsidRPr="0088636A">
              <w:t>Of those who did not agree, %</w:t>
            </w:r>
            <w:r w:rsidR="0088636A">
              <w:t> </w:t>
            </w:r>
            <w:r w:rsidRPr="0088636A">
              <w:t>at work 3+ months</w:t>
            </w:r>
          </w:p>
        </w:tc>
        <w:tc>
          <w:tcPr>
            <w:tcW w:w="2292" w:type="dxa"/>
            <w:noWrap/>
            <w:hideMark/>
          </w:tcPr>
          <w:p w14:paraId="27D40972" w14:textId="77777777" w:rsidR="00E83B7F" w:rsidRPr="0088636A" w:rsidRDefault="00E83B7F" w:rsidP="00313DF3">
            <w:pPr>
              <w:keepNext/>
              <w:keepLines/>
              <w:jc w:val="center"/>
            </w:pPr>
            <w:r w:rsidRPr="0088636A">
              <w:t>Of those who agreed, % at work 3+ months</w:t>
            </w:r>
          </w:p>
        </w:tc>
      </w:tr>
      <w:tr w:rsidR="00E83B7F" w:rsidRPr="0088636A" w14:paraId="6FB7D0FF" w14:textId="77777777" w:rsidTr="00524606">
        <w:tc>
          <w:tcPr>
            <w:tcW w:w="3794" w:type="dxa"/>
            <w:hideMark/>
          </w:tcPr>
          <w:p w14:paraId="6BF565C7" w14:textId="77777777" w:rsidR="00E83B7F" w:rsidRPr="0088636A" w:rsidRDefault="00E83B7F" w:rsidP="00313DF3">
            <w:pPr>
              <w:keepNext/>
              <w:keepLines/>
            </w:pPr>
            <w:r w:rsidRPr="0088636A">
              <w:t>Felt supervisor thought you were exaggerating injury</w:t>
            </w:r>
          </w:p>
        </w:tc>
        <w:tc>
          <w:tcPr>
            <w:tcW w:w="3118" w:type="dxa"/>
            <w:noWrap/>
            <w:hideMark/>
          </w:tcPr>
          <w:p w14:paraId="404E6A8B" w14:textId="77777777" w:rsidR="00E83B7F" w:rsidRPr="0088636A" w:rsidRDefault="00E83B7F" w:rsidP="00313DF3">
            <w:pPr>
              <w:keepNext/>
              <w:keepLines/>
              <w:jc w:val="center"/>
            </w:pPr>
            <w:r w:rsidRPr="0088636A">
              <w:t>51%</w:t>
            </w:r>
          </w:p>
        </w:tc>
        <w:tc>
          <w:tcPr>
            <w:tcW w:w="2292" w:type="dxa"/>
            <w:noWrap/>
            <w:hideMark/>
          </w:tcPr>
          <w:p w14:paraId="1B5A3BE0" w14:textId="77777777" w:rsidR="00E83B7F" w:rsidRPr="0088636A" w:rsidRDefault="00E83B7F" w:rsidP="00313DF3">
            <w:pPr>
              <w:keepNext/>
              <w:keepLines/>
              <w:jc w:val="center"/>
            </w:pPr>
            <w:r w:rsidRPr="0088636A">
              <w:t>40%</w:t>
            </w:r>
          </w:p>
        </w:tc>
      </w:tr>
      <w:tr w:rsidR="00E83B7F" w:rsidRPr="0088636A" w14:paraId="179B65FA" w14:textId="77777777" w:rsidTr="00524606">
        <w:tc>
          <w:tcPr>
            <w:tcW w:w="3794" w:type="dxa"/>
            <w:shd w:val="clear" w:color="auto" w:fill="C9E5F7"/>
            <w:hideMark/>
          </w:tcPr>
          <w:p w14:paraId="79D9B18E" w14:textId="77777777" w:rsidR="00E83B7F" w:rsidRPr="0088636A" w:rsidRDefault="00E83B7F" w:rsidP="0088636A">
            <w:r w:rsidRPr="0088636A">
              <w:t>Concerned that you would be fired if you submitted a claim</w:t>
            </w:r>
          </w:p>
        </w:tc>
        <w:tc>
          <w:tcPr>
            <w:tcW w:w="3118" w:type="dxa"/>
            <w:shd w:val="clear" w:color="auto" w:fill="C9E5F7"/>
            <w:noWrap/>
            <w:hideMark/>
          </w:tcPr>
          <w:p w14:paraId="2F7D9C95" w14:textId="77777777" w:rsidR="00E83B7F" w:rsidRPr="0088636A" w:rsidRDefault="00E83B7F" w:rsidP="0088636A">
            <w:pPr>
              <w:jc w:val="center"/>
            </w:pPr>
            <w:r w:rsidRPr="0088636A">
              <w:t>48%</w:t>
            </w:r>
          </w:p>
        </w:tc>
        <w:tc>
          <w:tcPr>
            <w:tcW w:w="2292" w:type="dxa"/>
            <w:shd w:val="clear" w:color="auto" w:fill="C9E5F7"/>
            <w:noWrap/>
            <w:hideMark/>
          </w:tcPr>
          <w:p w14:paraId="00ECCDAF" w14:textId="77777777" w:rsidR="00E83B7F" w:rsidRPr="0088636A" w:rsidRDefault="00E83B7F" w:rsidP="0088636A">
            <w:pPr>
              <w:jc w:val="center"/>
            </w:pPr>
            <w:r w:rsidRPr="0088636A">
              <w:t>38%</w:t>
            </w:r>
          </w:p>
        </w:tc>
      </w:tr>
      <w:tr w:rsidR="00E83B7F" w:rsidRPr="0088636A" w14:paraId="04FAF119" w14:textId="77777777" w:rsidTr="00524606">
        <w:tc>
          <w:tcPr>
            <w:tcW w:w="3794" w:type="dxa"/>
            <w:hideMark/>
          </w:tcPr>
          <w:p w14:paraId="3FA3F286" w14:textId="77777777" w:rsidR="00E83B7F" w:rsidRPr="0088636A" w:rsidRDefault="00E83B7F" w:rsidP="0088636A">
            <w:r w:rsidRPr="0088636A">
              <w:t>Thought you would be treated differently by people at work</w:t>
            </w:r>
          </w:p>
        </w:tc>
        <w:tc>
          <w:tcPr>
            <w:tcW w:w="3118" w:type="dxa"/>
            <w:noWrap/>
            <w:hideMark/>
          </w:tcPr>
          <w:p w14:paraId="0F9BE7B2" w14:textId="77777777" w:rsidR="00E83B7F" w:rsidRPr="0088636A" w:rsidRDefault="00E83B7F" w:rsidP="0088636A">
            <w:pPr>
              <w:jc w:val="center"/>
            </w:pPr>
            <w:r w:rsidRPr="0088636A">
              <w:t>45%</w:t>
            </w:r>
          </w:p>
        </w:tc>
        <w:tc>
          <w:tcPr>
            <w:tcW w:w="2292" w:type="dxa"/>
            <w:noWrap/>
            <w:hideMark/>
          </w:tcPr>
          <w:p w14:paraId="6B144DD6" w14:textId="77777777" w:rsidR="00E83B7F" w:rsidRPr="0088636A" w:rsidRDefault="00E83B7F" w:rsidP="0088636A">
            <w:pPr>
              <w:jc w:val="center"/>
            </w:pPr>
            <w:r w:rsidRPr="0088636A">
              <w:t>42%</w:t>
            </w:r>
          </w:p>
        </w:tc>
      </w:tr>
      <w:tr w:rsidR="002B3F9E" w:rsidRPr="0088636A" w14:paraId="06A8ABA2" w14:textId="77777777" w:rsidTr="00524606">
        <w:tc>
          <w:tcPr>
            <w:tcW w:w="3794" w:type="dxa"/>
            <w:shd w:val="clear" w:color="auto" w:fill="C9E5F7"/>
          </w:tcPr>
          <w:p w14:paraId="5FF5AD72" w14:textId="77777777" w:rsidR="002B3F9E" w:rsidRPr="0088636A" w:rsidRDefault="002B3F9E" w:rsidP="0088636A"/>
        </w:tc>
        <w:tc>
          <w:tcPr>
            <w:tcW w:w="3118" w:type="dxa"/>
            <w:shd w:val="clear" w:color="auto" w:fill="C9E5F7"/>
            <w:noWrap/>
          </w:tcPr>
          <w:p w14:paraId="6F0BD25C" w14:textId="2AA93CA1" w:rsidR="002B3F9E" w:rsidRPr="0088636A" w:rsidRDefault="002B3F9E" w:rsidP="00D54658">
            <w:pPr>
              <w:jc w:val="center"/>
            </w:pPr>
            <w:r w:rsidRPr="0088636A">
              <w:rPr>
                <w:rStyle w:val="Strong"/>
              </w:rPr>
              <w:t>Of those who said No, %</w:t>
            </w:r>
            <w:r w:rsidR="00D54658">
              <w:rPr>
                <w:rStyle w:val="Strong"/>
              </w:rPr>
              <w:t> </w:t>
            </w:r>
            <w:r w:rsidRPr="0088636A">
              <w:rPr>
                <w:rStyle w:val="Strong"/>
              </w:rPr>
              <w:t>at</w:t>
            </w:r>
            <w:r w:rsidR="00D54658">
              <w:rPr>
                <w:rStyle w:val="Strong"/>
              </w:rPr>
              <w:t> </w:t>
            </w:r>
            <w:r w:rsidRPr="0088636A">
              <w:rPr>
                <w:rStyle w:val="Strong"/>
              </w:rPr>
              <w:t>work 3+ months</w:t>
            </w:r>
          </w:p>
        </w:tc>
        <w:tc>
          <w:tcPr>
            <w:tcW w:w="2292" w:type="dxa"/>
            <w:shd w:val="clear" w:color="auto" w:fill="C9E5F7"/>
            <w:noWrap/>
          </w:tcPr>
          <w:p w14:paraId="339217D2" w14:textId="177D3CF1" w:rsidR="002B3F9E" w:rsidRPr="0088636A" w:rsidRDefault="002B3F9E" w:rsidP="00D54658">
            <w:pPr>
              <w:jc w:val="center"/>
            </w:pPr>
            <w:r w:rsidRPr="0088636A">
              <w:rPr>
                <w:rStyle w:val="Strong"/>
              </w:rPr>
              <w:t>Of those said yes, %</w:t>
            </w:r>
            <w:r w:rsidR="00D54658">
              <w:rPr>
                <w:rStyle w:val="Strong"/>
              </w:rPr>
              <w:t> </w:t>
            </w:r>
            <w:r w:rsidRPr="0088636A">
              <w:rPr>
                <w:rStyle w:val="Strong"/>
              </w:rPr>
              <w:t>at work 3+ months</w:t>
            </w:r>
          </w:p>
        </w:tc>
      </w:tr>
      <w:tr w:rsidR="00E83B7F" w:rsidRPr="0088636A" w14:paraId="2819265F" w14:textId="77777777" w:rsidTr="00524606">
        <w:tc>
          <w:tcPr>
            <w:tcW w:w="3794" w:type="dxa"/>
            <w:hideMark/>
          </w:tcPr>
          <w:p w14:paraId="267AA453" w14:textId="35E19BCA" w:rsidR="00E83B7F" w:rsidRPr="0088636A" w:rsidRDefault="00E83B7F" w:rsidP="00304D0B">
            <w:r w:rsidRPr="0088636A">
              <w:t>Difference of opinion with employer/claim organisation</w:t>
            </w:r>
          </w:p>
        </w:tc>
        <w:tc>
          <w:tcPr>
            <w:tcW w:w="3118" w:type="dxa"/>
            <w:noWrap/>
            <w:hideMark/>
          </w:tcPr>
          <w:p w14:paraId="49FEC497" w14:textId="77777777" w:rsidR="00E83B7F" w:rsidRPr="0088636A" w:rsidRDefault="00E83B7F" w:rsidP="0088636A">
            <w:pPr>
              <w:jc w:val="center"/>
            </w:pPr>
            <w:r w:rsidRPr="0088636A">
              <w:t>48%</w:t>
            </w:r>
          </w:p>
        </w:tc>
        <w:tc>
          <w:tcPr>
            <w:tcW w:w="2292" w:type="dxa"/>
            <w:noWrap/>
            <w:hideMark/>
          </w:tcPr>
          <w:p w14:paraId="4DC8B6C9" w14:textId="77777777" w:rsidR="00E83B7F" w:rsidRPr="0088636A" w:rsidRDefault="00E83B7F" w:rsidP="0088636A">
            <w:pPr>
              <w:jc w:val="center"/>
            </w:pPr>
            <w:r w:rsidRPr="0088636A">
              <w:t>39%</w:t>
            </w:r>
          </w:p>
        </w:tc>
      </w:tr>
      <w:tr w:rsidR="00E83B7F" w:rsidRPr="0088636A" w14:paraId="3A90A1B1" w14:textId="77777777" w:rsidTr="00524606">
        <w:tc>
          <w:tcPr>
            <w:tcW w:w="3794" w:type="dxa"/>
            <w:shd w:val="clear" w:color="auto" w:fill="C9E5F7"/>
            <w:hideMark/>
          </w:tcPr>
          <w:p w14:paraId="67E1CCD2" w14:textId="77777777" w:rsidR="00E83B7F" w:rsidRPr="0088636A" w:rsidRDefault="00E83B7F" w:rsidP="0088636A">
            <w:r w:rsidRPr="0088636A">
              <w:t>Feel employer discouraged you from putting in a claim</w:t>
            </w:r>
          </w:p>
        </w:tc>
        <w:tc>
          <w:tcPr>
            <w:tcW w:w="3118" w:type="dxa"/>
            <w:shd w:val="clear" w:color="auto" w:fill="C9E5F7"/>
            <w:noWrap/>
            <w:hideMark/>
          </w:tcPr>
          <w:p w14:paraId="5C7B8AF9" w14:textId="77777777" w:rsidR="00E83B7F" w:rsidRPr="0088636A" w:rsidRDefault="00E83B7F" w:rsidP="0088636A">
            <w:pPr>
              <w:jc w:val="center"/>
            </w:pPr>
            <w:r w:rsidRPr="0088636A">
              <w:t>49%</w:t>
            </w:r>
          </w:p>
        </w:tc>
        <w:tc>
          <w:tcPr>
            <w:tcW w:w="2292" w:type="dxa"/>
            <w:shd w:val="clear" w:color="auto" w:fill="C9E5F7"/>
            <w:noWrap/>
            <w:hideMark/>
          </w:tcPr>
          <w:p w14:paraId="0A8F67E0" w14:textId="77777777" w:rsidR="00E83B7F" w:rsidRPr="0088636A" w:rsidRDefault="00E83B7F" w:rsidP="0088636A">
            <w:pPr>
              <w:jc w:val="center"/>
            </w:pPr>
            <w:r w:rsidRPr="0088636A">
              <w:t>40%</w:t>
            </w:r>
          </w:p>
        </w:tc>
      </w:tr>
    </w:tbl>
    <w:p w14:paraId="19D98423" w14:textId="77777777" w:rsidR="0088636A" w:rsidRPr="0088636A" w:rsidRDefault="0088636A" w:rsidP="0088636A"/>
    <w:p w14:paraId="5997C84F" w14:textId="04B155BA" w:rsidR="00E83B7F" w:rsidRPr="0088636A" w:rsidRDefault="00E83B7F" w:rsidP="0088636A">
      <w:r w:rsidRPr="0088636A">
        <w:t xml:space="preserve">It is possible that concern about claim lodgement reflects an employee’s anticipation of their employer’s response to injury. </w:t>
      </w:r>
      <w:r w:rsidR="005F3883">
        <w:fldChar w:fldCharType="begin"/>
      </w:r>
      <w:r w:rsidR="005F3883">
        <w:instrText xml:space="preserve"> REF _Ref430776600 \h </w:instrText>
      </w:r>
      <w:r w:rsidR="005F3883">
        <w:fldChar w:fldCharType="separate"/>
      </w:r>
      <w:r w:rsidR="005D6308" w:rsidRPr="00EA4A3F">
        <w:t xml:space="preserve">Table </w:t>
      </w:r>
      <w:r w:rsidR="005D6308">
        <w:rPr>
          <w:noProof/>
        </w:rPr>
        <w:t>9</w:t>
      </w:r>
      <w:r w:rsidR="005F3883">
        <w:fldChar w:fldCharType="end"/>
      </w:r>
      <w:r w:rsidRPr="0088636A">
        <w:t xml:space="preserve"> shows that many employees are worried about lodging their psychological claim. This ranges from 38%</w:t>
      </w:r>
      <w:r w:rsidR="00FE19AF">
        <w:t xml:space="preserve"> being</w:t>
      </w:r>
      <w:r w:rsidRPr="0088636A">
        <w:t xml:space="preserve"> concerned they will lose their job if they submit a claim, to 73% who reported concern they would be treated differently by people at work.</w:t>
      </w:r>
    </w:p>
    <w:p w14:paraId="2EEC63B4" w14:textId="18204E34" w:rsidR="00E83B7F" w:rsidRPr="00EA4A3F" w:rsidRDefault="00E83B7F" w:rsidP="0088636A">
      <w:pPr>
        <w:pStyle w:val="Caption"/>
      </w:pPr>
      <w:bookmarkStart w:id="59" w:name="_Ref430776600"/>
      <w:bookmarkStart w:id="60" w:name="_Ref471912409"/>
      <w:bookmarkStart w:id="61" w:name="_Toc494358573"/>
      <w:r w:rsidRPr="00EA4A3F">
        <w:lastRenderedPageBreak/>
        <w:t xml:space="preserve">Table </w:t>
      </w:r>
      <w:r w:rsidR="005D6308">
        <w:fldChar w:fldCharType="begin"/>
      </w:r>
      <w:r w:rsidR="005D6308">
        <w:instrText xml:space="preserve"> SEQ Table \* ARABIC </w:instrText>
      </w:r>
      <w:r w:rsidR="005D6308">
        <w:fldChar w:fldCharType="separate"/>
      </w:r>
      <w:r w:rsidR="005D6308">
        <w:rPr>
          <w:noProof/>
        </w:rPr>
        <w:t>9</w:t>
      </w:r>
      <w:r w:rsidR="005D6308">
        <w:rPr>
          <w:noProof/>
        </w:rPr>
        <w:fldChar w:fldCharType="end"/>
      </w:r>
      <w:bookmarkEnd w:id="59"/>
      <w:r w:rsidRPr="00EA4A3F">
        <w:t xml:space="preserve"> </w:t>
      </w:r>
      <w:r w:rsidR="001F26C2">
        <w:t>–</w:t>
      </w:r>
      <w:r w:rsidRPr="00EA4A3F">
        <w:rPr>
          <w:noProof/>
        </w:rPr>
        <w:t xml:space="preserve"> </w:t>
      </w:r>
      <w:r>
        <w:rPr>
          <w:noProof/>
        </w:rPr>
        <w:t xml:space="preserve">Percentage </w:t>
      </w:r>
      <w:r w:rsidRPr="00EA4A3F">
        <w:rPr>
          <w:noProof/>
        </w:rPr>
        <w:t>who agreed with individual questions about claim lodgement concerns</w:t>
      </w:r>
      <w:bookmarkEnd w:id="60"/>
      <w:bookmarkEnd w:id="61"/>
    </w:p>
    <w:tbl>
      <w:tblPr>
        <w:tblStyle w:val="LightShading-Accent2"/>
        <w:tblW w:w="9209" w:type="dxa"/>
        <w:tblLook w:val="0420" w:firstRow="1" w:lastRow="0" w:firstColumn="0" w:lastColumn="0" w:noHBand="0" w:noVBand="1"/>
        <w:tblCaption w:val="Table 9: Percentage who agreed with individual questions about claim lodgement concerns"/>
        <w:tblDescription w:val="This table provides a percentage breakdown of employee responses which agreed with statements about claim lodgement.  "/>
      </w:tblPr>
      <w:tblGrid>
        <w:gridCol w:w="6912"/>
        <w:gridCol w:w="2297"/>
      </w:tblGrid>
      <w:tr w:rsidR="00E83B7F" w:rsidRPr="0088636A" w14:paraId="431F7482" w14:textId="77777777" w:rsidTr="00E733F3">
        <w:trPr>
          <w:cnfStyle w:val="100000000000" w:firstRow="1" w:lastRow="0" w:firstColumn="0" w:lastColumn="0" w:oddVBand="0" w:evenVBand="0" w:oddHBand="0" w:evenHBand="0" w:firstRowFirstColumn="0" w:firstRowLastColumn="0" w:lastRowFirstColumn="0" w:lastRowLastColumn="0"/>
          <w:tblHeader/>
        </w:trPr>
        <w:tc>
          <w:tcPr>
            <w:tcW w:w="6912" w:type="dxa"/>
            <w:noWrap/>
            <w:hideMark/>
          </w:tcPr>
          <w:p w14:paraId="3DB9C489" w14:textId="77777777" w:rsidR="00E83B7F" w:rsidRPr="0088636A" w:rsidRDefault="00E83B7F" w:rsidP="0088636A">
            <w:pPr>
              <w:keepNext/>
              <w:keepLines/>
            </w:pPr>
            <w:r w:rsidRPr="0088636A">
              <w:t>Claim lodgement concern questions</w:t>
            </w:r>
          </w:p>
        </w:tc>
        <w:tc>
          <w:tcPr>
            <w:tcW w:w="2297" w:type="dxa"/>
            <w:noWrap/>
            <w:hideMark/>
          </w:tcPr>
          <w:p w14:paraId="1AB594F0" w14:textId="77777777" w:rsidR="00E83B7F" w:rsidRPr="0088636A" w:rsidRDefault="00E83B7F" w:rsidP="0088636A">
            <w:pPr>
              <w:keepNext/>
              <w:keepLines/>
              <w:jc w:val="center"/>
            </w:pPr>
            <w:r w:rsidRPr="0088636A">
              <w:t>Agree</w:t>
            </w:r>
          </w:p>
        </w:tc>
      </w:tr>
      <w:tr w:rsidR="00E83B7F" w:rsidRPr="0088636A" w14:paraId="639DA4BC" w14:textId="77777777" w:rsidTr="00E733F3">
        <w:trPr>
          <w:cnfStyle w:val="000000100000" w:firstRow="0" w:lastRow="0" w:firstColumn="0" w:lastColumn="0" w:oddVBand="0" w:evenVBand="0" w:oddHBand="1" w:evenHBand="0" w:firstRowFirstColumn="0" w:firstRowLastColumn="0" w:lastRowFirstColumn="0" w:lastRowLastColumn="0"/>
        </w:trPr>
        <w:tc>
          <w:tcPr>
            <w:tcW w:w="6912" w:type="dxa"/>
            <w:hideMark/>
          </w:tcPr>
          <w:p w14:paraId="28C57758" w14:textId="77777777" w:rsidR="00E83B7F" w:rsidRPr="0088636A" w:rsidRDefault="00E83B7F" w:rsidP="0088636A">
            <w:pPr>
              <w:keepNext/>
              <w:keepLines/>
            </w:pPr>
            <w:r w:rsidRPr="0088636A">
              <w:t>Felt supervisor thought you were exaggerating injury</w:t>
            </w:r>
          </w:p>
        </w:tc>
        <w:tc>
          <w:tcPr>
            <w:tcW w:w="2297" w:type="dxa"/>
            <w:noWrap/>
            <w:hideMark/>
          </w:tcPr>
          <w:p w14:paraId="3A8035D3" w14:textId="77777777" w:rsidR="00E83B7F" w:rsidRPr="0088636A" w:rsidRDefault="00E83B7F" w:rsidP="0088636A">
            <w:pPr>
              <w:keepNext/>
              <w:keepLines/>
              <w:jc w:val="center"/>
            </w:pPr>
            <w:r w:rsidRPr="0088636A">
              <w:t>59%</w:t>
            </w:r>
          </w:p>
        </w:tc>
      </w:tr>
      <w:tr w:rsidR="00E83B7F" w:rsidRPr="0088636A" w14:paraId="3A7382E5" w14:textId="77777777" w:rsidTr="00E733F3">
        <w:trPr>
          <w:cnfStyle w:val="000000010000" w:firstRow="0" w:lastRow="0" w:firstColumn="0" w:lastColumn="0" w:oddVBand="0" w:evenVBand="0" w:oddHBand="0" w:evenHBand="1" w:firstRowFirstColumn="0" w:firstRowLastColumn="0" w:lastRowFirstColumn="0" w:lastRowLastColumn="0"/>
        </w:trPr>
        <w:tc>
          <w:tcPr>
            <w:tcW w:w="6912" w:type="dxa"/>
            <w:hideMark/>
          </w:tcPr>
          <w:p w14:paraId="31C5AC45" w14:textId="77777777" w:rsidR="00E83B7F" w:rsidRPr="0088636A" w:rsidRDefault="00E83B7F" w:rsidP="0088636A">
            <w:pPr>
              <w:keepNext/>
              <w:keepLines/>
            </w:pPr>
            <w:r w:rsidRPr="0088636A">
              <w:t>Concerned that you would be fired if you submitted a claim</w:t>
            </w:r>
          </w:p>
        </w:tc>
        <w:tc>
          <w:tcPr>
            <w:tcW w:w="2297" w:type="dxa"/>
            <w:noWrap/>
            <w:hideMark/>
          </w:tcPr>
          <w:p w14:paraId="076EA318" w14:textId="77777777" w:rsidR="00E83B7F" w:rsidRPr="0088636A" w:rsidRDefault="00E83B7F" w:rsidP="0088636A">
            <w:pPr>
              <w:keepNext/>
              <w:keepLines/>
              <w:jc w:val="center"/>
            </w:pPr>
            <w:r w:rsidRPr="0088636A">
              <w:t>38%</w:t>
            </w:r>
          </w:p>
        </w:tc>
      </w:tr>
      <w:tr w:rsidR="00E83B7F" w:rsidRPr="0088636A" w14:paraId="25F29AD8" w14:textId="77777777" w:rsidTr="00E733F3">
        <w:trPr>
          <w:cnfStyle w:val="000000100000" w:firstRow="0" w:lastRow="0" w:firstColumn="0" w:lastColumn="0" w:oddVBand="0" w:evenVBand="0" w:oddHBand="1" w:evenHBand="0" w:firstRowFirstColumn="0" w:firstRowLastColumn="0" w:lastRowFirstColumn="0" w:lastRowLastColumn="0"/>
        </w:trPr>
        <w:tc>
          <w:tcPr>
            <w:tcW w:w="6912" w:type="dxa"/>
            <w:hideMark/>
          </w:tcPr>
          <w:p w14:paraId="7C71675A" w14:textId="77777777" w:rsidR="00E83B7F" w:rsidRPr="0088636A" w:rsidRDefault="00E83B7F" w:rsidP="0088636A">
            <w:pPr>
              <w:keepNext/>
              <w:keepLines/>
            </w:pPr>
            <w:r w:rsidRPr="0088636A">
              <w:t>Thought you would be treated differently by people at work</w:t>
            </w:r>
          </w:p>
        </w:tc>
        <w:tc>
          <w:tcPr>
            <w:tcW w:w="2297" w:type="dxa"/>
            <w:noWrap/>
            <w:hideMark/>
          </w:tcPr>
          <w:p w14:paraId="2596D192" w14:textId="77777777" w:rsidR="00E83B7F" w:rsidRPr="0088636A" w:rsidRDefault="00E83B7F" w:rsidP="0088636A">
            <w:pPr>
              <w:keepNext/>
              <w:keepLines/>
              <w:jc w:val="center"/>
            </w:pPr>
            <w:r w:rsidRPr="0088636A">
              <w:t>73%</w:t>
            </w:r>
          </w:p>
        </w:tc>
      </w:tr>
      <w:tr w:rsidR="00E83B7F" w:rsidRPr="0088636A" w14:paraId="53A6C7B6" w14:textId="77777777" w:rsidTr="00E733F3">
        <w:trPr>
          <w:cnfStyle w:val="000000010000" w:firstRow="0" w:lastRow="0" w:firstColumn="0" w:lastColumn="0" w:oddVBand="0" w:evenVBand="0" w:oddHBand="0" w:evenHBand="1" w:firstRowFirstColumn="0" w:firstRowLastColumn="0" w:lastRowFirstColumn="0" w:lastRowLastColumn="0"/>
        </w:trPr>
        <w:tc>
          <w:tcPr>
            <w:tcW w:w="6912" w:type="dxa"/>
            <w:hideMark/>
          </w:tcPr>
          <w:p w14:paraId="672B0AE9" w14:textId="4C1DB9BB" w:rsidR="00E83B7F" w:rsidRPr="0088636A" w:rsidRDefault="00E83B7F" w:rsidP="00304D0B">
            <w:pPr>
              <w:keepNext/>
              <w:keepLines/>
            </w:pPr>
            <w:r w:rsidRPr="0088636A">
              <w:t>Difference of opinion with employer/claim organisation</w:t>
            </w:r>
          </w:p>
        </w:tc>
        <w:tc>
          <w:tcPr>
            <w:tcW w:w="2297" w:type="dxa"/>
            <w:noWrap/>
            <w:hideMark/>
          </w:tcPr>
          <w:p w14:paraId="794E808E" w14:textId="77777777" w:rsidR="00E83B7F" w:rsidRPr="0088636A" w:rsidRDefault="00E83B7F" w:rsidP="0088636A">
            <w:pPr>
              <w:keepNext/>
              <w:keepLines/>
              <w:jc w:val="center"/>
            </w:pPr>
            <w:r w:rsidRPr="0088636A">
              <w:t>51%</w:t>
            </w:r>
          </w:p>
        </w:tc>
      </w:tr>
      <w:tr w:rsidR="00E83B7F" w:rsidRPr="0088636A" w14:paraId="64B6A257" w14:textId="77777777" w:rsidTr="00E733F3">
        <w:trPr>
          <w:cnfStyle w:val="000000100000" w:firstRow="0" w:lastRow="0" w:firstColumn="0" w:lastColumn="0" w:oddVBand="0" w:evenVBand="0" w:oddHBand="1" w:evenHBand="0" w:firstRowFirstColumn="0" w:firstRowLastColumn="0" w:lastRowFirstColumn="0" w:lastRowLastColumn="0"/>
        </w:trPr>
        <w:tc>
          <w:tcPr>
            <w:tcW w:w="6912" w:type="dxa"/>
            <w:hideMark/>
          </w:tcPr>
          <w:p w14:paraId="4048822F" w14:textId="77777777" w:rsidR="00E83B7F" w:rsidRPr="0088636A" w:rsidRDefault="00E83B7F" w:rsidP="0088636A">
            <w:pPr>
              <w:keepNext/>
              <w:keepLines/>
            </w:pPr>
            <w:r w:rsidRPr="0088636A">
              <w:t>Feel employer discouraged you from putting in a claim</w:t>
            </w:r>
          </w:p>
        </w:tc>
        <w:tc>
          <w:tcPr>
            <w:tcW w:w="2297" w:type="dxa"/>
            <w:noWrap/>
            <w:hideMark/>
          </w:tcPr>
          <w:p w14:paraId="38B72296" w14:textId="77777777" w:rsidR="00E83B7F" w:rsidRPr="0088636A" w:rsidRDefault="00E83B7F" w:rsidP="0088636A">
            <w:pPr>
              <w:keepNext/>
              <w:keepLines/>
              <w:jc w:val="center"/>
            </w:pPr>
            <w:r w:rsidRPr="0088636A">
              <w:t>43%</w:t>
            </w:r>
          </w:p>
        </w:tc>
      </w:tr>
    </w:tbl>
    <w:p w14:paraId="29A3D586" w14:textId="77777777" w:rsidR="0088636A" w:rsidRPr="0088636A" w:rsidRDefault="0088636A" w:rsidP="0088636A">
      <w:bookmarkStart w:id="62" w:name="_Toc473101896"/>
    </w:p>
    <w:p w14:paraId="4D7ED93E" w14:textId="77777777" w:rsidR="00E83B7F" w:rsidRPr="00DC1480" w:rsidRDefault="00E83B7F" w:rsidP="001A004E">
      <w:pPr>
        <w:pStyle w:val="Heading2"/>
      </w:pPr>
      <w:bookmarkStart w:id="63" w:name="_Toc497141022"/>
      <w:r w:rsidRPr="00DC1480">
        <w:t>Workers’ view of the workplace culture prior to injury</w:t>
      </w:r>
      <w:bookmarkEnd w:id="62"/>
      <w:bookmarkEnd w:id="63"/>
    </w:p>
    <w:p w14:paraId="1661001C" w14:textId="14E8D6EA" w:rsidR="00E83B7F" w:rsidRPr="0088636A" w:rsidRDefault="00E83B7F" w:rsidP="00313DF3">
      <w:pPr>
        <w:keepNext/>
        <w:keepLines/>
      </w:pPr>
      <w:r w:rsidRPr="0088636A">
        <w:t xml:space="preserve">The workplace environment influences RTW results. </w:t>
      </w:r>
      <w:r w:rsidR="00AF69DF">
        <w:fldChar w:fldCharType="begin"/>
      </w:r>
      <w:r w:rsidR="00AF69DF">
        <w:instrText xml:space="preserve"> REF _Ref430857922 \h </w:instrText>
      </w:r>
      <w:r w:rsidR="00AF69DF">
        <w:fldChar w:fldCharType="separate"/>
      </w:r>
      <w:r w:rsidR="005D6308" w:rsidRPr="00EA4A3F">
        <w:t xml:space="preserve">Figure </w:t>
      </w:r>
      <w:r w:rsidR="005D6308">
        <w:rPr>
          <w:noProof/>
        </w:rPr>
        <w:t>10</w:t>
      </w:r>
      <w:r w:rsidR="00AF69DF">
        <w:fldChar w:fldCharType="end"/>
      </w:r>
      <w:r w:rsidRPr="0088636A">
        <w:t xml:space="preserve"> shows that a positive overall view of the workplace prior to injury was associated with a small increase in RTW results. At the time of the interview the difference is not materially di</w:t>
      </w:r>
      <w:r w:rsidR="00B64240">
        <w:t>fferent. Forty-nine per</w:t>
      </w:r>
      <w:r w:rsidR="006067C2">
        <w:t xml:space="preserve"> </w:t>
      </w:r>
      <w:r w:rsidRPr="0088636A">
        <w:t xml:space="preserve">cent of those who had a positive overall view of their workplace were back at work for at least three months at the time of the </w:t>
      </w:r>
      <w:r w:rsidR="00FE19AF">
        <w:t>interview compared to 40%</w:t>
      </w:r>
      <w:r w:rsidRPr="0088636A">
        <w:t xml:space="preserve"> of those who had a negative overall view of their workplace. </w:t>
      </w:r>
    </w:p>
    <w:p w14:paraId="224DEAD2" w14:textId="61174210" w:rsidR="00E83B7F" w:rsidRDefault="00E83B7F" w:rsidP="0088636A">
      <w:pPr>
        <w:pStyle w:val="Caption"/>
      </w:pPr>
      <w:bookmarkStart w:id="64" w:name="_Ref430857922"/>
      <w:bookmarkStart w:id="65" w:name="_Toc497141046"/>
      <w:r w:rsidRPr="00EA4A3F">
        <w:t xml:space="preserve">Figure </w:t>
      </w:r>
      <w:r w:rsidR="005D6308">
        <w:fldChar w:fldCharType="begin"/>
      </w:r>
      <w:r w:rsidR="005D6308">
        <w:instrText xml:space="preserve"> SEQ Figure \* ARABIC </w:instrText>
      </w:r>
      <w:r w:rsidR="005D6308">
        <w:fldChar w:fldCharType="separate"/>
      </w:r>
      <w:r w:rsidR="005D6308">
        <w:rPr>
          <w:noProof/>
        </w:rPr>
        <w:t>10</w:t>
      </w:r>
      <w:r w:rsidR="005D6308">
        <w:rPr>
          <w:noProof/>
        </w:rPr>
        <w:fldChar w:fldCharType="end"/>
      </w:r>
      <w:bookmarkEnd w:id="64"/>
      <w:r w:rsidRPr="00EA4A3F">
        <w:t xml:space="preserve"> </w:t>
      </w:r>
      <w:r w:rsidR="00046EB9">
        <w:t>–</w:t>
      </w:r>
      <w:r w:rsidRPr="00EA4A3F">
        <w:t xml:space="preserve"> </w:t>
      </w:r>
      <w:r>
        <w:t xml:space="preserve">Percentage </w:t>
      </w:r>
      <w:r w:rsidRPr="00EA4A3F">
        <w:t xml:space="preserve">RTW </w:t>
      </w:r>
      <w:r>
        <w:t>by w</w:t>
      </w:r>
      <w:r w:rsidRPr="00EA4A3F">
        <w:t>orkers</w:t>
      </w:r>
      <w:r>
        <w:t>’</w:t>
      </w:r>
      <w:r w:rsidRPr="00EA4A3F">
        <w:t xml:space="preserve"> view of workplace culture prior to injury</w:t>
      </w:r>
      <w:bookmarkEnd w:id="65"/>
    </w:p>
    <w:p w14:paraId="22363A0E" w14:textId="46292C4F" w:rsidR="00E83B7F" w:rsidRPr="004C3119" w:rsidRDefault="00E83B7F" w:rsidP="00E83B7F">
      <w:r>
        <w:rPr>
          <w:noProof/>
        </w:rPr>
        <w:drawing>
          <wp:inline distT="0" distB="0" distL="0" distR="0" wp14:anchorId="1AB97095" wp14:editId="707B1FD5">
            <wp:extent cx="2736000" cy="2516400"/>
            <wp:effectExtent l="0" t="0" r="26670" b="17780"/>
            <wp:docPr id="1" name="Chart 1" descr="This graph provides a percentage comparison of employees (at work at the time of interview) who expressed the workplace culture was positive prior to sustaining an injury and those who expressed it was negative.  &#10;" title="Figure 10: Percentage RTW by workers' view of workplace culture prior to injury"/>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541F93">
        <w:t xml:space="preserve"> </w:t>
      </w:r>
      <w:r w:rsidR="00541F93">
        <w:rPr>
          <w:noProof/>
        </w:rPr>
        <w:drawing>
          <wp:inline distT="0" distB="0" distL="0" distR="0" wp14:anchorId="3495B0E3" wp14:editId="30632763">
            <wp:extent cx="2736000" cy="2516400"/>
            <wp:effectExtent l="0" t="0" r="26670" b="17780"/>
            <wp:docPr id="8" name="Chart 8" descr="This graph provides a percentage comparison of employees (at work for three months or more at interview) who expressed the workplace was positive prior to sustaining an injury and those who expressed it was negative. " title="Figure 10: RTW three months by workers view of workplace culture prior to injury"/>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55DF4AB" w14:textId="101282BA" w:rsidR="00E83B7F" w:rsidRDefault="00E83B7F" w:rsidP="0088636A">
      <w:pPr>
        <w:pStyle w:val="Caption"/>
      </w:pPr>
      <w:r w:rsidRPr="00EA4A3F">
        <w:t xml:space="preserve">N = </w:t>
      </w:r>
      <w:r w:rsidR="00046EB9">
        <w:t>324</w:t>
      </w:r>
    </w:p>
    <w:p w14:paraId="5E1D0CBA" w14:textId="77777777" w:rsidR="0088636A" w:rsidRPr="0088636A" w:rsidRDefault="0088636A" w:rsidP="0088636A"/>
    <w:p w14:paraId="508005D5" w14:textId="2F5805E9" w:rsidR="00E83B7F" w:rsidRPr="0088636A" w:rsidRDefault="00E83B7F" w:rsidP="0088636A">
      <w:r w:rsidRPr="0088636A">
        <w:t xml:space="preserve">Five questions about the workplace culture prior to the injury were used to assess influence on RTW. These and their responses are shown in </w:t>
      </w:r>
      <w:r w:rsidR="005F3883">
        <w:fldChar w:fldCharType="begin"/>
      </w:r>
      <w:r w:rsidR="005F3883">
        <w:instrText xml:space="preserve"> REF _Ref430857956 \h </w:instrText>
      </w:r>
      <w:r w:rsidR="005F3883">
        <w:fldChar w:fldCharType="separate"/>
      </w:r>
      <w:r w:rsidR="005D6308" w:rsidRPr="00EA4A3F">
        <w:t xml:space="preserve">Table </w:t>
      </w:r>
      <w:r w:rsidR="005D6308">
        <w:rPr>
          <w:noProof/>
        </w:rPr>
        <w:t>10</w:t>
      </w:r>
      <w:r w:rsidR="005F3883">
        <w:fldChar w:fldCharType="end"/>
      </w:r>
      <w:r w:rsidRPr="0088636A">
        <w:t xml:space="preserve"> and </w:t>
      </w:r>
      <w:r w:rsidR="005F3883">
        <w:fldChar w:fldCharType="begin"/>
      </w:r>
      <w:r w:rsidR="005F3883">
        <w:instrText xml:space="preserve"> REF _Ref494273369 \h </w:instrText>
      </w:r>
      <w:r w:rsidR="005F3883">
        <w:fldChar w:fldCharType="separate"/>
      </w:r>
      <w:r w:rsidR="005D6308" w:rsidRPr="00EA4A3F">
        <w:t xml:space="preserve">Table </w:t>
      </w:r>
      <w:r w:rsidR="005D6308">
        <w:rPr>
          <w:noProof/>
        </w:rPr>
        <w:t>11</w:t>
      </w:r>
      <w:r w:rsidR="005F3883">
        <w:fldChar w:fldCharType="end"/>
      </w:r>
      <w:r w:rsidRPr="0088636A">
        <w:t>.</w:t>
      </w:r>
    </w:p>
    <w:p w14:paraId="5A6CA1AE" w14:textId="77777777" w:rsidR="00E83B7F" w:rsidRPr="0088636A" w:rsidRDefault="00E83B7F" w:rsidP="0088636A">
      <w:r w:rsidRPr="0088636A">
        <w:t>The factors associated with higher RTW were:</w:t>
      </w:r>
    </w:p>
    <w:p w14:paraId="1483803B" w14:textId="37C28BFC" w:rsidR="00E83B7F" w:rsidRPr="0088636A" w:rsidRDefault="00E83B7F" w:rsidP="0088636A">
      <w:pPr>
        <w:pStyle w:val="SWABullets"/>
      </w:pPr>
      <w:r w:rsidRPr="0088636A">
        <w:t>the employee’s supervisor wa</w:t>
      </w:r>
      <w:r w:rsidR="000B19F1">
        <w:t>s committed to workplace safety</w:t>
      </w:r>
    </w:p>
    <w:p w14:paraId="13DB201E" w14:textId="1C3F1E3E" w:rsidR="00E83B7F" w:rsidRPr="0088636A" w:rsidRDefault="00E83B7F" w:rsidP="0088636A">
      <w:pPr>
        <w:pStyle w:val="SWABullets"/>
      </w:pPr>
      <w:r w:rsidRPr="0088636A">
        <w:t>that employees and management were generally supportive of each other</w:t>
      </w:r>
      <w:r w:rsidR="000B19F1">
        <w:t>,</w:t>
      </w:r>
      <w:r w:rsidRPr="0088636A">
        <w:t xml:space="preserve"> and</w:t>
      </w:r>
    </w:p>
    <w:p w14:paraId="586BD9B7" w14:textId="77777777" w:rsidR="00E83B7F" w:rsidRPr="0088636A" w:rsidRDefault="00E83B7F" w:rsidP="0088636A">
      <w:pPr>
        <w:pStyle w:val="SWABullets"/>
      </w:pPr>
      <w:proofErr w:type="gramStart"/>
      <w:r w:rsidRPr="0088636A">
        <w:t>that</w:t>
      </w:r>
      <w:proofErr w:type="gramEnd"/>
      <w:r w:rsidRPr="0088636A">
        <w:t xml:space="preserve"> colleagues were committed to workplace safety.</w:t>
      </w:r>
    </w:p>
    <w:p w14:paraId="3C8C31E0" w14:textId="77777777" w:rsidR="00E83B7F" w:rsidRPr="0088636A" w:rsidRDefault="00E83B7F" w:rsidP="0088636A">
      <w:r w:rsidRPr="0088636A">
        <w:t xml:space="preserve">The </w:t>
      </w:r>
      <w:proofErr w:type="gramStart"/>
      <w:r w:rsidRPr="0088636A">
        <w:t>factors</w:t>
      </w:r>
      <w:proofErr w:type="gramEnd"/>
      <w:r w:rsidRPr="0088636A">
        <w:t xml:space="preserve"> for which there was a negative relationship, were:</w:t>
      </w:r>
    </w:p>
    <w:p w14:paraId="69622388" w14:textId="630770E8" w:rsidR="00E83B7F" w:rsidRPr="0088636A" w:rsidRDefault="00E83B7F" w:rsidP="0088636A">
      <w:pPr>
        <w:pStyle w:val="SWABullets"/>
      </w:pPr>
      <w:r w:rsidRPr="0088636A">
        <w:t>the work being done was valued by others</w:t>
      </w:r>
      <w:r w:rsidR="000B19F1">
        <w:t>,</w:t>
      </w:r>
      <w:r w:rsidRPr="0088636A">
        <w:t xml:space="preserve"> and</w:t>
      </w:r>
    </w:p>
    <w:p w14:paraId="74FA0B58" w14:textId="77777777" w:rsidR="00E83B7F" w:rsidRPr="0088636A" w:rsidRDefault="00E83B7F" w:rsidP="0088636A">
      <w:pPr>
        <w:pStyle w:val="SWABullets"/>
      </w:pPr>
      <w:proofErr w:type="gramStart"/>
      <w:r w:rsidRPr="0088636A">
        <w:t>job</w:t>
      </w:r>
      <w:proofErr w:type="gramEnd"/>
      <w:r w:rsidRPr="0088636A">
        <w:t xml:space="preserve"> satisfaction.</w:t>
      </w:r>
    </w:p>
    <w:p w14:paraId="3792213C" w14:textId="544E384D" w:rsidR="00E83B7F" w:rsidRDefault="00E83B7F" w:rsidP="0088636A">
      <w:pPr>
        <w:pStyle w:val="Caption"/>
      </w:pPr>
      <w:bookmarkStart w:id="66" w:name="_Ref430857956"/>
      <w:bookmarkStart w:id="67" w:name="_Toc494358574"/>
      <w:r w:rsidRPr="00EA4A3F">
        <w:lastRenderedPageBreak/>
        <w:t xml:space="preserve">Table </w:t>
      </w:r>
      <w:r w:rsidR="005D6308">
        <w:fldChar w:fldCharType="begin"/>
      </w:r>
      <w:r w:rsidR="005D6308">
        <w:instrText xml:space="preserve"> SEQ Table \* ARABIC </w:instrText>
      </w:r>
      <w:r w:rsidR="005D6308">
        <w:fldChar w:fldCharType="separate"/>
      </w:r>
      <w:r w:rsidR="005D6308">
        <w:rPr>
          <w:noProof/>
        </w:rPr>
        <w:t>10</w:t>
      </w:r>
      <w:r w:rsidR="005D6308">
        <w:rPr>
          <w:noProof/>
        </w:rPr>
        <w:fldChar w:fldCharType="end"/>
      </w:r>
      <w:bookmarkEnd w:id="66"/>
      <w:r w:rsidRPr="00EA4A3F">
        <w:t xml:space="preserve"> – </w:t>
      </w:r>
      <w:r>
        <w:t xml:space="preserve">Percentage </w:t>
      </w:r>
      <w:r w:rsidRPr="00EA4A3F">
        <w:t>RTW at time of interview</w:t>
      </w:r>
      <w:r>
        <w:t xml:space="preserve"> by response to w</w:t>
      </w:r>
      <w:r w:rsidRPr="00EA4A3F">
        <w:t>orkplace culture individual questions</w:t>
      </w:r>
      <w:bookmarkEnd w:id="67"/>
    </w:p>
    <w:tbl>
      <w:tblPr>
        <w:tblStyle w:val="LightShading-Accent2"/>
        <w:tblW w:w="9214" w:type="dxa"/>
        <w:tblLayout w:type="fixed"/>
        <w:tblLook w:val="0420" w:firstRow="1" w:lastRow="0" w:firstColumn="0" w:lastColumn="0" w:noHBand="0" w:noVBand="1"/>
        <w:tblCaption w:val="Table 10: Percentage RTW at time of interview by response to workplace culture individual questions"/>
        <w:tblDescription w:val="This table provides a percentage breakdown of employees (at work at the time of interview) who either agreed or disagreed with statements relating to their view of the workplace culture prior to sustaining an injury. "/>
      </w:tblPr>
      <w:tblGrid>
        <w:gridCol w:w="3794"/>
        <w:gridCol w:w="2410"/>
        <w:gridCol w:w="3010"/>
      </w:tblGrid>
      <w:tr w:rsidR="00E83B7F" w:rsidRPr="0088636A" w14:paraId="1D975B31" w14:textId="77777777" w:rsidTr="00D54658">
        <w:trPr>
          <w:cnfStyle w:val="100000000000" w:firstRow="1" w:lastRow="0" w:firstColumn="0" w:lastColumn="0" w:oddVBand="0" w:evenVBand="0" w:oddHBand="0" w:evenHBand="0" w:firstRowFirstColumn="0" w:firstRowLastColumn="0" w:lastRowFirstColumn="0" w:lastRowLastColumn="0"/>
          <w:tblHeader/>
        </w:trPr>
        <w:tc>
          <w:tcPr>
            <w:tcW w:w="3794" w:type="dxa"/>
            <w:hideMark/>
          </w:tcPr>
          <w:p w14:paraId="7C11D4C8" w14:textId="77777777" w:rsidR="00E83B7F" w:rsidRPr="0088636A" w:rsidRDefault="00E83B7F" w:rsidP="0088636A">
            <w:pPr>
              <w:keepNext/>
              <w:keepLines/>
            </w:pPr>
            <w:bookmarkStart w:id="68" w:name="_Ref430857958"/>
            <w:bookmarkStart w:id="69" w:name="_Ref432311102"/>
            <w:bookmarkStart w:id="70" w:name="_Ref432397545"/>
            <w:bookmarkStart w:id="71" w:name="_Ref440728381"/>
            <w:bookmarkStart w:id="72" w:name="_Ref444609931"/>
            <w:r w:rsidRPr="0088636A">
              <w:t>Workers view of workplace culture prior to injury questions</w:t>
            </w:r>
          </w:p>
        </w:tc>
        <w:tc>
          <w:tcPr>
            <w:tcW w:w="2410" w:type="dxa"/>
            <w:noWrap/>
            <w:hideMark/>
          </w:tcPr>
          <w:p w14:paraId="531D02A1" w14:textId="77777777" w:rsidR="00E83B7F" w:rsidRPr="0088636A" w:rsidRDefault="00E83B7F" w:rsidP="00561B12">
            <w:pPr>
              <w:keepNext/>
              <w:keepLines/>
              <w:jc w:val="center"/>
            </w:pPr>
            <w:r w:rsidRPr="0088636A">
              <w:t>Of those who agreed, % at work</w:t>
            </w:r>
          </w:p>
        </w:tc>
        <w:tc>
          <w:tcPr>
            <w:tcW w:w="3010" w:type="dxa"/>
            <w:noWrap/>
            <w:hideMark/>
          </w:tcPr>
          <w:p w14:paraId="1AFAABA3" w14:textId="77777777" w:rsidR="00E83B7F" w:rsidRPr="0088636A" w:rsidRDefault="00E83B7F" w:rsidP="00561B12">
            <w:pPr>
              <w:keepNext/>
              <w:keepLines/>
              <w:jc w:val="center"/>
            </w:pPr>
            <w:r w:rsidRPr="0088636A">
              <w:t>Of those who did not agree, % at work</w:t>
            </w:r>
          </w:p>
        </w:tc>
      </w:tr>
      <w:tr w:rsidR="00E83B7F" w:rsidRPr="0088636A" w14:paraId="0AA445A0" w14:textId="77777777" w:rsidTr="00D54658">
        <w:trPr>
          <w:cnfStyle w:val="000000100000" w:firstRow="0" w:lastRow="0" w:firstColumn="0" w:lastColumn="0" w:oddVBand="0" w:evenVBand="0" w:oddHBand="1" w:evenHBand="0" w:firstRowFirstColumn="0" w:firstRowLastColumn="0" w:lastRowFirstColumn="0" w:lastRowLastColumn="0"/>
        </w:trPr>
        <w:tc>
          <w:tcPr>
            <w:tcW w:w="3794" w:type="dxa"/>
          </w:tcPr>
          <w:p w14:paraId="52922B82" w14:textId="77777777" w:rsidR="00E83B7F" w:rsidRPr="0088636A" w:rsidRDefault="00E83B7F" w:rsidP="0088636A">
            <w:pPr>
              <w:keepNext/>
              <w:keepLines/>
            </w:pPr>
            <w:r w:rsidRPr="0088636A">
              <w:t>The work you were doing was valued by others at work</w:t>
            </w:r>
          </w:p>
        </w:tc>
        <w:tc>
          <w:tcPr>
            <w:tcW w:w="2410" w:type="dxa"/>
            <w:noWrap/>
          </w:tcPr>
          <w:p w14:paraId="4C9C09B8" w14:textId="77777777" w:rsidR="00E83B7F" w:rsidRPr="0088636A" w:rsidRDefault="00E83B7F" w:rsidP="00561B12">
            <w:pPr>
              <w:keepNext/>
              <w:keepLines/>
              <w:jc w:val="center"/>
            </w:pPr>
            <w:r w:rsidRPr="0088636A">
              <w:t>53%</w:t>
            </w:r>
          </w:p>
        </w:tc>
        <w:tc>
          <w:tcPr>
            <w:tcW w:w="3010" w:type="dxa"/>
            <w:noWrap/>
          </w:tcPr>
          <w:p w14:paraId="192DBC7A" w14:textId="77777777" w:rsidR="00E83B7F" w:rsidRPr="0088636A" w:rsidRDefault="00E83B7F" w:rsidP="00561B12">
            <w:pPr>
              <w:keepNext/>
              <w:keepLines/>
              <w:jc w:val="center"/>
            </w:pPr>
            <w:r w:rsidRPr="0088636A">
              <w:t>60%</w:t>
            </w:r>
          </w:p>
        </w:tc>
      </w:tr>
      <w:tr w:rsidR="00E83B7F" w:rsidRPr="0088636A" w14:paraId="289D9A8C" w14:textId="77777777" w:rsidTr="00D54658">
        <w:trPr>
          <w:cnfStyle w:val="000000010000" w:firstRow="0" w:lastRow="0" w:firstColumn="0" w:lastColumn="0" w:oddVBand="0" w:evenVBand="0" w:oddHBand="0" w:evenHBand="1" w:firstRowFirstColumn="0" w:firstRowLastColumn="0" w:lastRowFirstColumn="0" w:lastRowLastColumn="0"/>
        </w:trPr>
        <w:tc>
          <w:tcPr>
            <w:tcW w:w="3794" w:type="dxa"/>
          </w:tcPr>
          <w:p w14:paraId="5B0FD288" w14:textId="77777777" w:rsidR="00E83B7F" w:rsidRPr="0088636A" w:rsidRDefault="00E83B7F" w:rsidP="0088636A">
            <w:pPr>
              <w:keepNext/>
              <w:keepLines/>
            </w:pPr>
            <w:r w:rsidRPr="0088636A">
              <w:t>Employees and management were generally supportive of each other</w:t>
            </w:r>
          </w:p>
        </w:tc>
        <w:tc>
          <w:tcPr>
            <w:tcW w:w="2410" w:type="dxa"/>
            <w:noWrap/>
          </w:tcPr>
          <w:p w14:paraId="090C8938" w14:textId="77777777" w:rsidR="00E83B7F" w:rsidRPr="0088636A" w:rsidRDefault="00E83B7F" w:rsidP="00561B12">
            <w:pPr>
              <w:keepNext/>
              <w:keepLines/>
              <w:jc w:val="center"/>
            </w:pPr>
            <w:r w:rsidRPr="0088636A">
              <w:t>62%</w:t>
            </w:r>
          </w:p>
        </w:tc>
        <w:tc>
          <w:tcPr>
            <w:tcW w:w="3010" w:type="dxa"/>
            <w:noWrap/>
          </w:tcPr>
          <w:p w14:paraId="40F8ECB4" w14:textId="77777777" w:rsidR="00E83B7F" w:rsidRPr="0088636A" w:rsidRDefault="00E83B7F" w:rsidP="00561B12">
            <w:pPr>
              <w:keepNext/>
              <w:keepLines/>
              <w:jc w:val="center"/>
            </w:pPr>
            <w:r w:rsidRPr="0088636A">
              <w:t>52%</w:t>
            </w:r>
          </w:p>
        </w:tc>
      </w:tr>
      <w:tr w:rsidR="00E83B7F" w:rsidRPr="0088636A" w14:paraId="23560396" w14:textId="77777777" w:rsidTr="00D54658">
        <w:trPr>
          <w:cnfStyle w:val="000000100000" w:firstRow="0" w:lastRow="0" w:firstColumn="0" w:lastColumn="0" w:oddVBand="0" w:evenVBand="0" w:oddHBand="1" w:evenHBand="0" w:firstRowFirstColumn="0" w:firstRowLastColumn="0" w:lastRowFirstColumn="0" w:lastRowLastColumn="0"/>
        </w:trPr>
        <w:tc>
          <w:tcPr>
            <w:tcW w:w="3794" w:type="dxa"/>
            <w:hideMark/>
          </w:tcPr>
          <w:p w14:paraId="413EA894" w14:textId="77777777" w:rsidR="00E83B7F" w:rsidRPr="0088636A" w:rsidRDefault="00E83B7F" w:rsidP="0088636A">
            <w:pPr>
              <w:keepNext/>
              <w:keepLines/>
            </w:pPr>
            <w:r w:rsidRPr="0088636A">
              <w:t>Your immediate supervisor was committed to workplace safety</w:t>
            </w:r>
          </w:p>
        </w:tc>
        <w:tc>
          <w:tcPr>
            <w:tcW w:w="2410" w:type="dxa"/>
            <w:noWrap/>
            <w:hideMark/>
          </w:tcPr>
          <w:p w14:paraId="1BD606B1" w14:textId="77777777" w:rsidR="00E83B7F" w:rsidRPr="0088636A" w:rsidRDefault="00E83B7F" w:rsidP="00561B12">
            <w:pPr>
              <w:keepNext/>
              <w:keepLines/>
              <w:jc w:val="center"/>
            </w:pPr>
            <w:r w:rsidRPr="0088636A">
              <w:t>65%</w:t>
            </w:r>
          </w:p>
        </w:tc>
        <w:tc>
          <w:tcPr>
            <w:tcW w:w="3010" w:type="dxa"/>
            <w:noWrap/>
            <w:hideMark/>
          </w:tcPr>
          <w:p w14:paraId="7CCB6E5E" w14:textId="77777777" w:rsidR="00E83B7F" w:rsidRPr="0088636A" w:rsidRDefault="00E83B7F" w:rsidP="00561B12">
            <w:pPr>
              <w:keepNext/>
              <w:keepLines/>
              <w:jc w:val="center"/>
            </w:pPr>
            <w:r w:rsidRPr="0088636A">
              <w:t>50%</w:t>
            </w:r>
          </w:p>
        </w:tc>
      </w:tr>
      <w:tr w:rsidR="00E83B7F" w:rsidRPr="0088636A" w14:paraId="394A2C01" w14:textId="77777777" w:rsidTr="00D54658">
        <w:trPr>
          <w:cnfStyle w:val="000000010000" w:firstRow="0" w:lastRow="0" w:firstColumn="0" w:lastColumn="0" w:oddVBand="0" w:evenVBand="0" w:oddHBand="0" w:evenHBand="1" w:firstRowFirstColumn="0" w:firstRowLastColumn="0" w:lastRowFirstColumn="0" w:lastRowLastColumn="0"/>
        </w:trPr>
        <w:tc>
          <w:tcPr>
            <w:tcW w:w="3794" w:type="dxa"/>
            <w:hideMark/>
          </w:tcPr>
          <w:p w14:paraId="35D45980" w14:textId="77777777" w:rsidR="00E83B7F" w:rsidRPr="0088636A" w:rsidRDefault="00E83B7F" w:rsidP="0088636A">
            <w:pPr>
              <w:keepNext/>
              <w:keepLines/>
            </w:pPr>
            <w:r w:rsidRPr="0088636A">
              <w:t>Colleagues were committed to workplace safety</w:t>
            </w:r>
          </w:p>
        </w:tc>
        <w:tc>
          <w:tcPr>
            <w:tcW w:w="2410" w:type="dxa"/>
            <w:noWrap/>
            <w:hideMark/>
          </w:tcPr>
          <w:p w14:paraId="2E7A4C55" w14:textId="77777777" w:rsidR="00E83B7F" w:rsidRPr="0088636A" w:rsidRDefault="00E83B7F" w:rsidP="00561B12">
            <w:pPr>
              <w:keepNext/>
              <w:keepLines/>
              <w:jc w:val="center"/>
            </w:pPr>
            <w:r w:rsidRPr="0088636A">
              <w:t>61%</w:t>
            </w:r>
          </w:p>
        </w:tc>
        <w:tc>
          <w:tcPr>
            <w:tcW w:w="3010" w:type="dxa"/>
            <w:noWrap/>
            <w:hideMark/>
          </w:tcPr>
          <w:p w14:paraId="24CF21A3" w14:textId="77777777" w:rsidR="00E83B7F" w:rsidRPr="0088636A" w:rsidRDefault="00E83B7F" w:rsidP="00561B12">
            <w:pPr>
              <w:keepNext/>
              <w:keepLines/>
              <w:jc w:val="center"/>
            </w:pPr>
            <w:r w:rsidRPr="0088636A">
              <w:t>50%</w:t>
            </w:r>
          </w:p>
        </w:tc>
      </w:tr>
      <w:tr w:rsidR="00E83B7F" w:rsidRPr="0088636A" w14:paraId="506972C1" w14:textId="77777777" w:rsidTr="00D54658">
        <w:trPr>
          <w:cnfStyle w:val="000000100000" w:firstRow="0" w:lastRow="0" w:firstColumn="0" w:lastColumn="0" w:oddVBand="0" w:evenVBand="0" w:oddHBand="1" w:evenHBand="0" w:firstRowFirstColumn="0" w:firstRowLastColumn="0" w:lastRowFirstColumn="0" w:lastRowLastColumn="0"/>
        </w:trPr>
        <w:tc>
          <w:tcPr>
            <w:tcW w:w="3794" w:type="dxa"/>
            <w:hideMark/>
          </w:tcPr>
          <w:p w14:paraId="6D86E845" w14:textId="77777777" w:rsidR="00E83B7F" w:rsidRPr="0088636A" w:rsidRDefault="00E83B7F" w:rsidP="0088636A">
            <w:pPr>
              <w:keepNext/>
              <w:keepLines/>
            </w:pPr>
            <w:r w:rsidRPr="0088636A">
              <w:t>All things considered you were satisfied with your job</w:t>
            </w:r>
          </w:p>
        </w:tc>
        <w:tc>
          <w:tcPr>
            <w:tcW w:w="2410" w:type="dxa"/>
            <w:noWrap/>
            <w:hideMark/>
          </w:tcPr>
          <w:p w14:paraId="6B898AF6" w14:textId="77777777" w:rsidR="00E83B7F" w:rsidRPr="0088636A" w:rsidRDefault="00E83B7F" w:rsidP="00561B12">
            <w:pPr>
              <w:keepNext/>
              <w:keepLines/>
              <w:jc w:val="center"/>
            </w:pPr>
            <w:r w:rsidRPr="0088636A">
              <w:t>54%</w:t>
            </w:r>
          </w:p>
        </w:tc>
        <w:tc>
          <w:tcPr>
            <w:tcW w:w="3010" w:type="dxa"/>
            <w:noWrap/>
            <w:hideMark/>
          </w:tcPr>
          <w:p w14:paraId="16A4EECA" w14:textId="77777777" w:rsidR="00E83B7F" w:rsidRPr="0088636A" w:rsidRDefault="00E83B7F" w:rsidP="00561B12">
            <w:pPr>
              <w:keepNext/>
              <w:keepLines/>
              <w:jc w:val="center"/>
            </w:pPr>
            <w:r w:rsidRPr="0088636A">
              <w:t>58%</w:t>
            </w:r>
          </w:p>
        </w:tc>
      </w:tr>
    </w:tbl>
    <w:p w14:paraId="312DD7FD" w14:textId="77777777" w:rsidR="00046EB9" w:rsidRPr="00046EB9" w:rsidRDefault="00046EB9" w:rsidP="00046EB9"/>
    <w:p w14:paraId="786438DE" w14:textId="431EAE3E" w:rsidR="00E83B7F" w:rsidRDefault="00E83B7F" w:rsidP="00561B12">
      <w:pPr>
        <w:pStyle w:val="Caption"/>
      </w:pPr>
      <w:bookmarkStart w:id="73" w:name="_Ref494273369"/>
      <w:bookmarkStart w:id="74" w:name="_Toc494358575"/>
      <w:r w:rsidRPr="00EA4A3F">
        <w:t xml:space="preserve">Table </w:t>
      </w:r>
      <w:r w:rsidR="005D6308">
        <w:fldChar w:fldCharType="begin"/>
      </w:r>
      <w:r w:rsidR="005D6308">
        <w:instrText xml:space="preserve"> SEQ Table \* ARABIC </w:instrText>
      </w:r>
      <w:r w:rsidR="005D6308">
        <w:fldChar w:fldCharType="separate"/>
      </w:r>
      <w:r w:rsidR="005D6308">
        <w:rPr>
          <w:noProof/>
        </w:rPr>
        <w:t>11</w:t>
      </w:r>
      <w:r w:rsidR="005D6308">
        <w:rPr>
          <w:noProof/>
        </w:rPr>
        <w:fldChar w:fldCharType="end"/>
      </w:r>
      <w:bookmarkEnd w:id="68"/>
      <w:bookmarkEnd w:id="69"/>
      <w:bookmarkEnd w:id="70"/>
      <w:bookmarkEnd w:id="71"/>
      <w:bookmarkEnd w:id="72"/>
      <w:bookmarkEnd w:id="73"/>
      <w:r w:rsidRPr="00EA4A3F">
        <w:t xml:space="preserve"> </w:t>
      </w:r>
      <w:r w:rsidR="008A1C94">
        <w:t>–</w:t>
      </w:r>
      <w:r w:rsidRPr="00EA4A3F">
        <w:t xml:space="preserve"> </w:t>
      </w:r>
      <w:r>
        <w:t xml:space="preserve">Percentage </w:t>
      </w:r>
      <w:r w:rsidRPr="00EA4A3F">
        <w:t>RTW for three months or more at time of interview</w:t>
      </w:r>
      <w:r w:rsidRPr="00E5458D">
        <w:t xml:space="preserve"> </w:t>
      </w:r>
      <w:r>
        <w:t>by response to w</w:t>
      </w:r>
      <w:r w:rsidRPr="00EA4A3F">
        <w:t>orkplace c</w:t>
      </w:r>
      <w:r>
        <w:t>ulture individual questions</w:t>
      </w:r>
      <w:bookmarkEnd w:id="74"/>
    </w:p>
    <w:tbl>
      <w:tblPr>
        <w:tblStyle w:val="LightShading-Accent2"/>
        <w:tblW w:w="9209" w:type="dxa"/>
        <w:tblLayout w:type="fixed"/>
        <w:tblLook w:val="0420" w:firstRow="1" w:lastRow="0" w:firstColumn="0" w:lastColumn="0" w:noHBand="0" w:noVBand="1"/>
        <w:tblCaption w:val="Table 11: Percentage RTW for three months or more at time of interview by response to workplace culture individual questions"/>
        <w:tblDescription w:val="This table provides a percentage breakdown of employees (at work for three months or more at the time of interview) who either agreed or disagreed with statements relating to their view of the workplace culture prior to sustaining an injury. "/>
      </w:tblPr>
      <w:tblGrid>
        <w:gridCol w:w="3794"/>
        <w:gridCol w:w="2410"/>
        <w:gridCol w:w="3005"/>
      </w:tblGrid>
      <w:tr w:rsidR="00E83B7F" w:rsidRPr="00561B12" w14:paraId="14F527B4" w14:textId="77777777" w:rsidTr="00D54658">
        <w:trPr>
          <w:cnfStyle w:val="100000000000" w:firstRow="1" w:lastRow="0" w:firstColumn="0" w:lastColumn="0" w:oddVBand="0" w:evenVBand="0" w:oddHBand="0" w:evenHBand="0" w:firstRowFirstColumn="0" w:firstRowLastColumn="0" w:lastRowFirstColumn="0" w:lastRowLastColumn="0"/>
          <w:tblHeader/>
        </w:trPr>
        <w:tc>
          <w:tcPr>
            <w:tcW w:w="3794" w:type="dxa"/>
            <w:hideMark/>
          </w:tcPr>
          <w:p w14:paraId="37E685EC" w14:textId="5F48CB55" w:rsidR="00E83B7F" w:rsidRPr="00561B12" w:rsidRDefault="00046EB9" w:rsidP="002B3F9E">
            <w:r>
              <w:br w:type="page"/>
            </w:r>
            <w:r w:rsidR="00E83B7F" w:rsidRPr="00561B12">
              <w:t>Workers view of workplace culture prior to injury questions</w:t>
            </w:r>
          </w:p>
        </w:tc>
        <w:tc>
          <w:tcPr>
            <w:tcW w:w="2410" w:type="dxa"/>
            <w:noWrap/>
            <w:hideMark/>
          </w:tcPr>
          <w:p w14:paraId="21AC9085" w14:textId="77777777" w:rsidR="00E83B7F" w:rsidRPr="00561B12" w:rsidRDefault="00E83B7F" w:rsidP="002B3F9E">
            <w:pPr>
              <w:jc w:val="center"/>
            </w:pPr>
            <w:r w:rsidRPr="00561B12">
              <w:t>Of those who agreed, % at work 3+ months</w:t>
            </w:r>
          </w:p>
        </w:tc>
        <w:tc>
          <w:tcPr>
            <w:tcW w:w="3005" w:type="dxa"/>
            <w:noWrap/>
            <w:hideMark/>
          </w:tcPr>
          <w:p w14:paraId="7430F35D" w14:textId="77777777" w:rsidR="00E83B7F" w:rsidRPr="00561B12" w:rsidRDefault="00E83B7F" w:rsidP="002B3F9E">
            <w:pPr>
              <w:jc w:val="center"/>
            </w:pPr>
            <w:r w:rsidRPr="00561B12">
              <w:t>Of those who did not agree, % at work 3+ months</w:t>
            </w:r>
          </w:p>
        </w:tc>
      </w:tr>
      <w:tr w:rsidR="00E83B7F" w:rsidRPr="00561B12" w14:paraId="36E6AF41" w14:textId="77777777" w:rsidTr="00D54658">
        <w:trPr>
          <w:cnfStyle w:val="000000100000" w:firstRow="0" w:lastRow="0" w:firstColumn="0" w:lastColumn="0" w:oddVBand="0" w:evenVBand="0" w:oddHBand="1" w:evenHBand="0" w:firstRowFirstColumn="0" w:firstRowLastColumn="0" w:lastRowFirstColumn="0" w:lastRowLastColumn="0"/>
        </w:trPr>
        <w:tc>
          <w:tcPr>
            <w:tcW w:w="3794" w:type="dxa"/>
            <w:hideMark/>
          </w:tcPr>
          <w:p w14:paraId="1C00F40B" w14:textId="77777777" w:rsidR="00E83B7F" w:rsidRPr="00561B12" w:rsidRDefault="00E83B7F" w:rsidP="002B3F9E">
            <w:r w:rsidRPr="00561B12">
              <w:t>The work you were doing was valued by others at work</w:t>
            </w:r>
          </w:p>
        </w:tc>
        <w:tc>
          <w:tcPr>
            <w:tcW w:w="2410" w:type="dxa"/>
            <w:noWrap/>
            <w:hideMark/>
          </w:tcPr>
          <w:p w14:paraId="6B9F00B1" w14:textId="77777777" w:rsidR="00E83B7F" w:rsidRPr="00561B12" w:rsidRDefault="00E83B7F" w:rsidP="002B3F9E">
            <w:pPr>
              <w:jc w:val="center"/>
            </w:pPr>
            <w:r w:rsidRPr="00561B12">
              <w:t>42%</w:t>
            </w:r>
          </w:p>
        </w:tc>
        <w:tc>
          <w:tcPr>
            <w:tcW w:w="3005" w:type="dxa"/>
            <w:noWrap/>
            <w:hideMark/>
          </w:tcPr>
          <w:p w14:paraId="4DEA7711" w14:textId="77777777" w:rsidR="00E83B7F" w:rsidRPr="00561B12" w:rsidRDefault="00E83B7F" w:rsidP="002B3F9E">
            <w:pPr>
              <w:jc w:val="center"/>
            </w:pPr>
            <w:r w:rsidRPr="00561B12">
              <w:t>46%</w:t>
            </w:r>
          </w:p>
        </w:tc>
      </w:tr>
      <w:tr w:rsidR="00E83B7F" w:rsidRPr="00561B12" w14:paraId="2B463713" w14:textId="77777777" w:rsidTr="00D54658">
        <w:trPr>
          <w:cnfStyle w:val="000000010000" w:firstRow="0" w:lastRow="0" w:firstColumn="0" w:lastColumn="0" w:oddVBand="0" w:evenVBand="0" w:oddHBand="0" w:evenHBand="1" w:firstRowFirstColumn="0" w:firstRowLastColumn="0" w:lastRowFirstColumn="0" w:lastRowLastColumn="0"/>
        </w:trPr>
        <w:tc>
          <w:tcPr>
            <w:tcW w:w="3794" w:type="dxa"/>
            <w:hideMark/>
          </w:tcPr>
          <w:p w14:paraId="4ADE0F8D" w14:textId="77777777" w:rsidR="00E83B7F" w:rsidRPr="00561B12" w:rsidRDefault="00E83B7F" w:rsidP="002B3F9E">
            <w:r w:rsidRPr="00561B12">
              <w:t>Employees and management were generally supportive of each other</w:t>
            </w:r>
          </w:p>
        </w:tc>
        <w:tc>
          <w:tcPr>
            <w:tcW w:w="2410" w:type="dxa"/>
            <w:noWrap/>
            <w:hideMark/>
          </w:tcPr>
          <w:p w14:paraId="4407843E" w14:textId="77777777" w:rsidR="00E83B7F" w:rsidRPr="00561B12" w:rsidRDefault="00E83B7F" w:rsidP="002B3F9E">
            <w:pPr>
              <w:jc w:val="center"/>
            </w:pPr>
            <w:r w:rsidRPr="00561B12">
              <w:t>54%</w:t>
            </w:r>
          </w:p>
        </w:tc>
        <w:tc>
          <w:tcPr>
            <w:tcW w:w="3005" w:type="dxa"/>
            <w:noWrap/>
            <w:hideMark/>
          </w:tcPr>
          <w:p w14:paraId="6F690734" w14:textId="77777777" w:rsidR="00E83B7F" w:rsidRPr="00561B12" w:rsidRDefault="00E83B7F" w:rsidP="002B3F9E">
            <w:pPr>
              <w:jc w:val="center"/>
            </w:pPr>
            <w:r w:rsidRPr="00561B12">
              <w:t>39%</w:t>
            </w:r>
          </w:p>
        </w:tc>
      </w:tr>
      <w:tr w:rsidR="00E83B7F" w:rsidRPr="00561B12" w14:paraId="1B9445BC" w14:textId="77777777" w:rsidTr="00D54658">
        <w:trPr>
          <w:cnfStyle w:val="000000100000" w:firstRow="0" w:lastRow="0" w:firstColumn="0" w:lastColumn="0" w:oddVBand="0" w:evenVBand="0" w:oddHBand="1" w:evenHBand="0" w:firstRowFirstColumn="0" w:firstRowLastColumn="0" w:lastRowFirstColumn="0" w:lastRowLastColumn="0"/>
        </w:trPr>
        <w:tc>
          <w:tcPr>
            <w:tcW w:w="3794" w:type="dxa"/>
            <w:hideMark/>
          </w:tcPr>
          <w:p w14:paraId="3FBB9E02" w14:textId="77777777" w:rsidR="00E83B7F" w:rsidRPr="00561B12" w:rsidRDefault="00E83B7F" w:rsidP="002B3F9E">
            <w:r w:rsidRPr="00561B12">
              <w:t>Your immediate supervisor was committed to workplace safety</w:t>
            </w:r>
          </w:p>
        </w:tc>
        <w:tc>
          <w:tcPr>
            <w:tcW w:w="2410" w:type="dxa"/>
            <w:noWrap/>
            <w:hideMark/>
          </w:tcPr>
          <w:p w14:paraId="1BA97EDB" w14:textId="77777777" w:rsidR="00E83B7F" w:rsidRPr="00561B12" w:rsidRDefault="00E83B7F" w:rsidP="002B3F9E">
            <w:pPr>
              <w:jc w:val="center"/>
            </w:pPr>
            <w:r w:rsidRPr="00561B12">
              <w:t>55%</w:t>
            </w:r>
          </w:p>
        </w:tc>
        <w:tc>
          <w:tcPr>
            <w:tcW w:w="3005" w:type="dxa"/>
            <w:noWrap/>
            <w:hideMark/>
          </w:tcPr>
          <w:p w14:paraId="50746003" w14:textId="77777777" w:rsidR="00E83B7F" w:rsidRPr="00561B12" w:rsidRDefault="00E83B7F" w:rsidP="002B3F9E">
            <w:pPr>
              <w:jc w:val="center"/>
            </w:pPr>
            <w:r w:rsidRPr="00561B12">
              <w:t>37%</w:t>
            </w:r>
          </w:p>
        </w:tc>
      </w:tr>
      <w:tr w:rsidR="00E83B7F" w:rsidRPr="00561B12" w14:paraId="39173624" w14:textId="77777777" w:rsidTr="00D54658">
        <w:trPr>
          <w:cnfStyle w:val="000000010000" w:firstRow="0" w:lastRow="0" w:firstColumn="0" w:lastColumn="0" w:oddVBand="0" w:evenVBand="0" w:oddHBand="0" w:evenHBand="1" w:firstRowFirstColumn="0" w:firstRowLastColumn="0" w:lastRowFirstColumn="0" w:lastRowLastColumn="0"/>
        </w:trPr>
        <w:tc>
          <w:tcPr>
            <w:tcW w:w="3794" w:type="dxa"/>
            <w:hideMark/>
          </w:tcPr>
          <w:p w14:paraId="2243ED54" w14:textId="77777777" w:rsidR="00E83B7F" w:rsidRPr="00561B12" w:rsidRDefault="00E83B7F" w:rsidP="002B3F9E">
            <w:r w:rsidRPr="00561B12">
              <w:t>Colleagues were committed to workplace safety</w:t>
            </w:r>
          </w:p>
        </w:tc>
        <w:tc>
          <w:tcPr>
            <w:tcW w:w="2410" w:type="dxa"/>
            <w:noWrap/>
            <w:hideMark/>
          </w:tcPr>
          <w:p w14:paraId="22F4738D" w14:textId="77777777" w:rsidR="00E83B7F" w:rsidRPr="00561B12" w:rsidRDefault="00E83B7F" w:rsidP="002B3F9E">
            <w:pPr>
              <w:jc w:val="center"/>
            </w:pPr>
            <w:r w:rsidRPr="00561B12">
              <w:t>51%</w:t>
            </w:r>
          </w:p>
        </w:tc>
        <w:tc>
          <w:tcPr>
            <w:tcW w:w="3005" w:type="dxa"/>
            <w:noWrap/>
            <w:hideMark/>
          </w:tcPr>
          <w:p w14:paraId="1701BF5E" w14:textId="77777777" w:rsidR="00E83B7F" w:rsidRPr="00561B12" w:rsidRDefault="00E83B7F" w:rsidP="002B3F9E">
            <w:pPr>
              <w:jc w:val="center"/>
            </w:pPr>
            <w:r w:rsidRPr="00561B12">
              <w:t>35%</w:t>
            </w:r>
          </w:p>
        </w:tc>
      </w:tr>
      <w:tr w:rsidR="00E83B7F" w:rsidRPr="00561B12" w14:paraId="3CFEF530" w14:textId="77777777" w:rsidTr="00D54658">
        <w:trPr>
          <w:cnfStyle w:val="000000100000" w:firstRow="0" w:lastRow="0" w:firstColumn="0" w:lastColumn="0" w:oddVBand="0" w:evenVBand="0" w:oddHBand="1" w:evenHBand="0" w:firstRowFirstColumn="0" w:firstRowLastColumn="0" w:lastRowFirstColumn="0" w:lastRowLastColumn="0"/>
        </w:trPr>
        <w:tc>
          <w:tcPr>
            <w:tcW w:w="3794" w:type="dxa"/>
            <w:hideMark/>
          </w:tcPr>
          <w:p w14:paraId="4A84D75F" w14:textId="77777777" w:rsidR="00E83B7F" w:rsidRPr="00561B12" w:rsidRDefault="00E83B7F" w:rsidP="002B3F9E">
            <w:r w:rsidRPr="00561B12">
              <w:t>All things considered you were satisfied with your job</w:t>
            </w:r>
          </w:p>
        </w:tc>
        <w:tc>
          <w:tcPr>
            <w:tcW w:w="2410" w:type="dxa"/>
            <w:noWrap/>
            <w:hideMark/>
          </w:tcPr>
          <w:p w14:paraId="65473E9C" w14:textId="77777777" w:rsidR="00E83B7F" w:rsidRPr="00561B12" w:rsidRDefault="00E83B7F" w:rsidP="002B3F9E">
            <w:pPr>
              <w:jc w:val="center"/>
            </w:pPr>
            <w:r w:rsidRPr="00561B12">
              <w:t>42%</w:t>
            </w:r>
          </w:p>
        </w:tc>
        <w:tc>
          <w:tcPr>
            <w:tcW w:w="3005" w:type="dxa"/>
            <w:noWrap/>
            <w:hideMark/>
          </w:tcPr>
          <w:p w14:paraId="7939E479" w14:textId="77777777" w:rsidR="00E83B7F" w:rsidRPr="00561B12" w:rsidRDefault="00E83B7F" w:rsidP="002B3F9E">
            <w:pPr>
              <w:jc w:val="center"/>
            </w:pPr>
            <w:r w:rsidRPr="00561B12">
              <w:t>45%</w:t>
            </w:r>
          </w:p>
        </w:tc>
      </w:tr>
    </w:tbl>
    <w:p w14:paraId="0FBB7120" w14:textId="77777777" w:rsidR="00561B12" w:rsidRPr="00561B12" w:rsidRDefault="00561B12" w:rsidP="00561B12"/>
    <w:p w14:paraId="1C10F640" w14:textId="2E3AD484" w:rsidR="00E83B7F" w:rsidRPr="00561B12" w:rsidRDefault="005F3883" w:rsidP="00561B12">
      <w:r>
        <w:fldChar w:fldCharType="begin"/>
      </w:r>
      <w:r>
        <w:instrText xml:space="preserve"> REF _Ref494273384 \h </w:instrText>
      </w:r>
      <w:r>
        <w:fldChar w:fldCharType="separate"/>
      </w:r>
      <w:r w:rsidR="005D6308" w:rsidRPr="00EA4A3F">
        <w:t xml:space="preserve">Table </w:t>
      </w:r>
      <w:r w:rsidR="005D6308">
        <w:rPr>
          <w:noProof/>
        </w:rPr>
        <w:t>12</w:t>
      </w:r>
      <w:r>
        <w:fldChar w:fldCharType="end"/>
      </w:r>
      <w:r w:rsidR="00E83B7F" w:rsidRPr="00561B12">
        <w:t xml:space="preserve"> shows that the majority of employees said the work they did was valued by others at work. In contrast, only 31% indicated that employees and management were generally supportive of each other, and only 34% agreed that their supervisor was committed to workplace safety.</w:t>
      </w:r>
      <w:bookmarkStart w:id="75" w:name="_Ref430858246"/>
    </w:p>
    <w:p w14:paraId="51C3B77C" w14:textId="4D75A9F6" w:rsidR="00E83B7F" w:rsidRPr="00834A8F" w:rsidRDefault="00E83B7F" w:rsidP="00561B12">
      <w:pPr>
        <w:pStyle w:val="Caption"/>
        <w:rPr>
          <w:rFonts w:cs="Times New Roman"/>
        </w:rPr>
      </w:pPr>
      <w:bookmarkStart w:id="76" w:name="_Ref494273384"/>
      <w:bookmarkStart w:id="77" w:name="_Toc494358576"/>
      <w:r w:rsidRPr="00EA4A3F">
        <w:lastRenderedPageBreak/>
        <w:t xml:space="preserve">Table </w:t>
      </w:r>
      <w:r w:rsidR="005D6308">
        <w:fldChar w:fldCharType="begin"/>
      </w:r>
      <w:r w:rsidR="005D6308">
        <w:instrText xml:space="preserve"> SEQ Table \* ARABIC </w:instrText>
      </w:r>
      <w:r w:rsidR="005D6308">
        <w:fldChar w:fldCharType="separate"/>
      </w:r>
      <w:r w:rsidR="005D6308">
        <w:rPr>
          <w:noProof/>
        </w:rPr>
        <w:t>12</w:t>
      </w:r>
      <w:r w:rsidR="005D6308">
        <w:rPr>
          <w:noProof/>
        </w:rPr>
        <w:fldChar w:fldCharType="end"/>
      </w:r>
      <w:bookmarkEnd w:id="75"/>
      <w:bookmarkEnd w:id="76"/>
      <w:r w:rsidRPr="00EA4A3F">
        <w:t xml:space="preserve"> </w:t>
      </w:r>
      <w:r w:rsidR="00611153">
        <w:t>–</w:t>
      </w:r>
      <w:r w:rsidRPr="00EA4A3F">
        <w:rPr>
          <w:noProof/>
        </w:rPr>
        <w:t xml:space="preserve"> </w:t>
      </w:r>
      <w:r>
        <w:rPr>
          <w:noProof/>
        </w:rPr>
        <w:t xml:space="preserve">Percentage </w:t>
      </w:r>
      <w:r w:rsidRPr="00EA4A3F">
        <w:rPr>
          <w:noProof/>
        </w:rPr>
        <w:t xml:space="preserve">who agreed with individual questions about </w:t>
      </w:r>
      <w:r w:rsidRPr="00EA4A3F">
        <w:t>workplace culture prior to their injury</w:t>
      </w:r>
      <w:bookmarkEnd w:id="77"/>
    </w:p>
    <w:tbl>
      <w:tblPr>
        <w:tblStyle w:val="LightShading-Accent2"/>
        <w:tblW w:w="9209" w:type="dxa"/>
        <w:tblLook w:val="0620" w:firstRow="1" w:lastRow="0" w:firstColumn="0" w:lastColumn="0" w:noHBand="1" w:noVBand="1"/>
        <w:tblCaption w:val="Table 12: Percentage who agreed with individual questions about workplace culture prior to their injury"/>
        <w:tblDescription w:val="This table provides a percentage breakdown of employees who agreed with statements about workplace culture prior to sustaining an injury. "/>
      </w:tblPr>
      <w:tblGrid>
        <w:gridCol w:w="7508"/>
        <w:gridCol w:w="1701"/>
      </w:tblGrid>
      <w:tr w:rsidR="00E83B7F" w:rsidRPr="00561B12" w14:paraId="1DD88F2E" w14:textId="77777777" w:rsidTr="00062D2D">
        <w:trPr>
          <w:cnfStyle w:val="100000000000" w:firstRow="1" w:lastRow="0" w:firstColumn="0" w:lastColumn="0" w:oddVBand="0" w:evenVBand="0" w:oddHBand="0" w:evenHBand="0" w:firstRowFirstColumn="0" w:firstRowLastColumn="0" w:lastRowFirstColumn="0" w:lastRowLastColumn="0"/>
          <w:tblHeader/>
        </w:trPr>
        <w:tc>
          <w:tcPr>
            <w:tcW w:w="7508" w:type="dxa"/>
            <w:noWrap/>
            <w:hideMark/>
          </w:tcPr>
          <w:p w14:paraId="5C62FFC3" w14:textId="2C404C2F" w:rsidR="00E83B7F" w:rsidRPr="00561B12" w:rsidRDefault="00E83B7F" w:rsidP="00561B12">
            <w:pPr>
              <w:keepNext/>
              <w:keepLines/>
            </w:pPr>
            <w:r w:rsidRPr="00561B12">
              <w:t>Percentage who agreed with workplace culture questions prior to injury</w:t>
            </w:r>
            <w:r w:rsidR="00561B12">
              <w:t> </w:t>
            </w:r>
            <w:r w:rsidRPr="00561B12">
              <w:t>questions</w:t>
            </w:r>
          </w:p>
        </w:tc>
        <w:tc>
          <w:tcPr>
            <w:tcW w:w="1701" w:type="dxa"/>
            <w:noWrap/>
            <w:hideMark/>
          </w:tcPr>
          <w:p w14:paraId="5CFAD55F" w14:textId="77777777" w:rsidR="00E83B7F" w:rsidRPr="00561B12" w:rsidRDefault="00E83B7F" w:rsidP="00561B12">
            <w:pPr>
              <w:keepNext/>
              <w:keepLines/>
              <w:jc w:val="center"/>
            </w:pPr>
            <w:r w:rsidRPr="00561B12">
              <w:t>Agree</w:t>
            </w:r>
          </w:p>
        </w:tc>
      </w:tr>
      <w:tr w:rsidR="00E83B7F" w:rsidRPr="00561B12" w14:paraId="389F80D7" w14:textId="77777777" w:rsidTr="00062D2D">
        <w:tc>
          <w:tcPr>
            <w:tcW w:w="7508" w:type="dxa"/>
            <w:hideMark/>
          </w:tcPr>
          <w:p w14:paraId="17F9A03F" w14:textId="77777777" w:rsidR="00E83B7F" w:rsidRPr="00561B12" w:rsidRDefault="00E83B7F" w:rsidP="00561B12">
            <w:pPr>
              <w:keepNext/>
              <w:keepLines/>
            </w:pPr>
            <w:r w:rsidRPr="00561B12">
              <w:t>The work you were doing was valued by others at work</w:t>
            </w:r>
          </w:p>
        </w:tc>
        <w:tc>
          <w:tcPr>
            <w:tcW w:w="1701" w:type="dxa"/>
            <w:noWrap/>
            <w:hideMark/>
          </w:tcPr>
          <w:p w14:paraId="5E853DC4" w14:textId="77777777" w:rsidR="00E83B7F" w:rsidRPr="00561B12" w:rsidRDefault="00E83B7F" w:rsidP="00561B12">
            <w:pPr>
              <w:keepNext/>
              <w:keepLines/>
              <w:jc w:val="center"/>
            </w:pPr>
            <w:r w:rsidRPr="00561B12">
              <w:t>71%</w:t>
            </w:r>
          </w:p>
        </w:tc>
      </w:tr>
      <w:tr w:rsidR="00E83B7F" w:rsidRPr="00561B12" w14:paraId="14788128" w14:textId="77777777" w:rsidTr="00062D2D">
        <w:tc>
          <w:tcPr>
            <w:tcW w:w="7508" w:type="dxa"/>
            <w:shd w:val="clear" w:color="auto" w:fill="C9E5F7"/>
            <w:hideMark/>
          </w:tcPr>
          <w:p w14:paraId="5A1E7C84" w14:textId="77777777" w:rsidR="00E83B7F" w:rsidRPr="00561B12" w:rsidRDefault="00E83B7F" w:rsidP="00561B12">
            <w:pPr>
              <w:keepNext/>
              <w:keepLines/>
            </w:pPr>
            <w:r w:rsidRPr="00561B12">
              <w:t>Employees and management were generally supportive of each other</w:t>
            </w:r>
          </w:p>
        </w:tc>
        <w:tc>
          <w:tcPr>
            <w:tcW w:w="1701" w:type="dxa"/>
            <w:shd w:val="clear" w:color="auto" w:fill="C9E5F7"/>
            <w:noWrap/>
            <w:hideMark/>
          </w:tcPr>
          <w:p w14:paraId="5E9BA792" w14:textId="77777777" w:rsidR="00E83B7F" w:rsidRPr="00561B12" w:rsidRDefault="00E83B7F" w:rsidP="00561B12">
            <w:pPr>
              <w:keepNext/>
              <w:keepLines/>
              <w:jc w:val="center"/>
            </w:pPr>
            <w:r w:rsidRPr="00561B12">
              <w:t>31%</w:t>
            </w:r>
          </w:p>
        </w:tc>
      </w:tr>
      <w:tr w:rsidR="00E83B7F" w:rsidRPr="00561B12" w14:paraId="01140AE1" w14:textId="77777777" w:rsidTr="00062D2D">
        <w:tc>
          <w:tcPr>
            <w:tcW w:w="7508" w:type="dxa"/>
            <w:hideMark/>
          </w:tcPr>
          <w:p w14:paraId="6DFF8B55" w14:textId="77777777" w:rsidR="00E83B7F" w:rsidRPr="00561B12" w:rsidRDefault="00E83B7F" w:rsidP="00561B12">
            <w:pPr>
              <w:keepNext/>
              <w:keepLines/>
            </w:pPr>
            <w:r w:rsidRPr="00561B12">
              <w:t>Your immediate supervisor was committed to workplace safety</w:t>
            </w:r>
          </w:p>
        </w:tc>
        <w:tc>
          <w:tcPr>
            <w:tcW w:w="1701" w:type="dxa"/>
            <w:noWrap/>
            <w:hideMark/>
          </w:tcPr>
          <w:p w14:paraId="7F9137BB" w14:textId="77777777" w:rsidR="00E83B7F" w:rsidRPr="00561B12" w:rsidRDefault="00E83B7F" w:rsidP="00561B12">
            <w:pPr>
              <w:keepNext/>
              <w:keepLines/>
              <w:jc w:val="center"/>
            </w:pPr>
            <w:r w:rsidRPr="00561B12">
              <w:t>34%</w:t>
            </w:r>
          </w:p>
        </w:tc>
      </w:tr>
      <w:tr w:rsidR="00E83B7F" w:rsidRPr="00561B12" w14:paraId="2B54C913" w14:textId="77777777" w:rsidTr="00062D2D">
        <w:tc>
          <w:tcPr>
            <w:tcW w:w="7508" w:type="dxa"/>
            <w:shd w:val="clear" w:color="auto" w:fill="C9E5F7"/>
            <w:hideMark/>
          </w:tcPr>
          <w:p w14:paraId="78F21CA5" w14:textId="77777777" w:rsidR="00E83B7F" w:rsidRPr="00561B12" w:rsidRDefault="00E83B7F" w:rsidP="00561B12">
            <w:pPr>
              <w:keepNext/>
              <w:keepLines/>
            </w:pPr>
            <w:r w:rsidRPr="00561B12">
              <w:t>Colleagues were committed to workplace safety</w:t>
            </w:r>
          </w:p>
        </w:tc>
        <w:tc>
          <w:tcPr>
            <w:tcW w:w="1701" w:type="dxa"/>
            <w:shd w:val="clear" w:color="auto" w:fill="C9E5F7"/>
            <w:noWrap/>
            <w:hideMark/>
          </w:tcPr>
          <w:p w14:paraId="7B41EE02" w14:textId="77777777" w:rsidR="00E83B7F" w:rsidRPr="00561B12" w:rsidRDefault="00E83B7F" w:rsidP="00561B12">
            <w:pPr>
              <w:keepNext/>
              <w:keepLines/>
              <w:jc w:val="center"/>
            </w:pPr>
            <w:r w:rsidRPr="00561B12">
              <w:t>52%</w:t>
            </w:r>
          </w:p>
        </w:tc>
      </w:tr>
      <w:tr w:rsidR="00E83B7F" w:rsidRPr="00561B12" w14:paraId="360114C4" w14:textId="77777777" w:rsidTr="00062D2D">
        <w:tc>
          <w:tcPr>
            <w:tcW w:w="7508" w:type="dxa"/>
            <w:hideMark/>
          </w:tcPr>
          <w:p w14:paraId="6EB2AB9A" w14:textId="77777777" w:rsidR="00E83B7F" w:rsidRPr="00561B12" w:rsidRDefault="00E83B7F" w:rsidP="00561B12">
            <w:pPr>
              <w:keepNext/>
              <w:keepLines/>
            </w:pPr>
            <w:r w:rsidRPr="00561B12">
              <w:t>All things considered you were satisfied with your job</w:t>
            </w:r>
          </w:p>
        </w:tc>
        <w:tc>
          <w:tcPr>
            <w:tcW w:w="1701" w:type="dxa"/>
            <w:noWrap/>
            <w:hideMark/>
          </w:tcPr>
          <w:p w14:paraId="576E1AA5" w14:textId="77777777" w:rsidR="00E83B7F" w:rsidRPr="00561B12" w:rsidRDefault="00E83B7F" w:rsidP="00561B12">
            <w:pPr>
              <w:keepNext/>
              <w:keepLines/>
              <w:jc w:val="center"/>
            </w:pPr>
            <w:r w:rsidRPr="00561B12">
              <w:t>73%</w:t>
            </w:r>
          </w:p>
        </w:tc>
      </w:tr>
      <w:tr w:rsidR="00E83B7F" w:rsidRPr="00561B12" w14:paraId="682D410F" w14:textId="77777777" w:rsidTr="00062D2D">
        <w:tc>
          <w:tcPr>
            <w:tcW w:w="7508" w:type="dxa"/>
            <w:shd w:val="clear" w:color="auto" w:fill="C9E5F7"/>
          </w:tcPr>
          <w:p w14:paraId="62868176" w14:textId="77777777" w:rsidR="00E83B7F" w:rsidRPr="00561B12" w:rsidRDefault="00E83B7F" w:rsidP="00561B12">
            <w:r w:rsidRPr="00561B12">
              <w:t>The work you were doing was important to you *</w:t>
            </w:r>
          </w:p>
        </w:tc>
        <w:tc>
          <w:tcPr>
            <w:tcW w:w="1701" w:type="dxa"/>
            <w:shd w:val="clear" w:color="auto" w:fill="C9E5F7"/>
            <w:noWrap/>
          </w:tcPr>
          <w:p w14:paraId="5D217909" w14:textId="77777777" w:rsidR="00E83B7F" w:rsidRPr="00561B12" w:rsidRDefault="00E83B7F" w:rsidP="00561B12">
            <w:pPr>
              <w:jc w:val="center"/>
            </w:pPr>
            <w:r w:rsidRPr="00561B12">
              <w:t>95%</w:t>
            </w:r>
          </w:p>
        </w:tc>
      </w:tr>
    </w:tbl>
    <w:p w14:paraId="2B25C0C8" w14:textId="4ABC8041" w:rsidR="00E83B7F" w:rsidRDefault="00E83B7F" w:rsidP="00561B12">
      <w:pPr>
        <w:pStyle w:val="Caption"/>
      </w:pPr>
      <w:r w:rsidRPr="00DA307D">
        <w:t xml:space="preserve">*This question </w:t>
      </w:r>
      <w:r>
        <w:t>w</w:t>
      </w:r>
      <w:r w:rsidRPr="00DA307D">
        <w:t xml:space="preserve">as not included in </w:t>
      </w:r>
      <w:r w:rsidR="00611153">
        <w:fldChar w:fldCharType="begin"/>
      </w:r>
      <w:r w:rsidR="00611153">
        <w:instrText xml:space="preserve"> REF _Ref430857956 \h </w:instrText>
      </w:r>
      <w:r w:rsidR="00611153">
        <w:fldChar w:fldCharType="separate"/>
      </w:r>
      <w:r w:rsidR="005D6308" w:rsidRPr="00EA4A3F">
        <w:t xml:space="preserve">Table </w:t>
      </w:r>
      <w:r w:rsidR="005D6308">
        <w:rPr>
          <w:noProof/>
        </w:rPr>
        <w:t>10</w:t>
      </w:r>
      <w:r w:rsidR="00611153">
        <w:fldChar w:fldCharType="end"/>
      </w:r>
      <w:r w:rsidRPr="00DA307D">
        <w:t xml:space="preserve"> </w:t>
      </w:r>
      <w:r>
        <w:t>or</w:t>
      </w:r>
      <w:r w:rsidRPr="00DA307D">
        <w:t xml:space="preserve"> </w:t>
      </w:r>
      <w:r w:rsidR="00611153">
        <w:fldChar w:fldCharType="begin"/>
      </w:r>
      <w:r w:rsidR="00611153">
        <w:instrText xml:space="preserve"> REF _Ref494273369 \h </w:instrText>
      </w:r>
      <w:r w:rsidR="00611153">
        <w:fldChar w:fldCharType="separate"/>
      </w:r>
      <w:r w:rsidR="005D6308" w:rsidRPr="00EA4A3F">
        <w:t xml:space="preserve">Table </w:t>
      </w:r>
      <w:r w:rsidR="005D6308">
        <w:rPr>
          <w:noProof/>
        </w:rPr>
        <w:t>11</w:t>
      </w:r>
      <w:r w:rsidR="00611153">
        <w:fldChar w:fldCharType="end"/>
      </w:r>
      <w:r>
        <w:t xml:space="preserve"> as the number</w:t>
      </w:r>
      <w:r w:rsidRPr="00DA307D">
        <w:t xml:space="preserve"> who d</w:t>
      </w:r>
      <w:r>
        <w:t>id</w:t>
      </w:r>
      <w:r w:rsidRPr="00DA307D">
        <w:t xml:space="preserve"> not agree </w:t>
      </w:r>
      <w:r>
        <w:t>wa</w:t>
      </w:r>
      <w:r w:rsidRPr="00DA307D">
        <w:t>s too small to be</w:t>
      </w:r>
      <w:r w:rsidR="00E733F3">
        <w:t> </w:t>
      </w:r>
      <w:r w:rsidRPr="00DA307D">
        <w:t>meaningful</w:t>
      </w:r>
      <w:r w:rsidRPr="00834A8F">
        <w:t>.</w:t>
      </w:r>
    </w:p>
    <w:p w14:paraId="32E34070" w14:textId="77777777" w:rsidR="00561B12" w:rsidRPr="00561B12" w:rsidRDefault="00561B12" w:rsidP="00561B12"/>
    <w:p w14:paraId="62617472" w14:textId="72C469B3" w:rsidR="00E83B7F" w:rsidRPr="00561B12" w:rsidRDefault="00E83B7F" w:rsidP="00561B12">
      <w:r w:rsidRPr="00561B12">
        <w:t xml:space="preserve">The higher </w:t>
      </w:r>
      <w:proofErr w:type="gramStart"/>
      <w:r w:rsidRPr="00561B12">
        <w:t xml:space="preserve">rate of the worker being at work at the time of the interview, and higher rate of being at work for at least three months, seen in </w:t>
      </w:r>
      <w:r w:rsidR="00AF69DF">
        <w:fldChar w:fldCharType="begin"/>
      </w:r>
      <w:r w:rsidR="00AF69DF">
        <w:instrText xml:space="preserve"> REF _Ref430857922 \h </w:instrText>
      </w:r>
      <w:r w:rsidR="00AF69DF">
        <w:fldChar w:fldCharType="separate"/>
      </w:r>
      <w:r w:rsidR="005D6308" w:rsidRPr="00EA4A3F">
        <w:t xml:space="preserve">Figure </w:t>
      </w:r>
      <w:r w:rsidR="005D6308">
        <w:rPr>
          <w:noProof/>
        </w:rPr>
        <w:t>10</w:t>
      </w:r>
      <w:r w:rsidR="00AF69DF">
        <w:fldChar w:fldCharType="end"/>
      </w:r>
      <w:r w:rsidRPr="00561B12">
        <w:t>, are</w:t>
      </w:r>
      <w:proofErr w:type="gramEnd"/>
      <w:r w:rsidRPr="00561B12">
        <w:t xml:space="preserve"> again findings consistent with the literature review. As discussed in Section 4, workplaces that foster strengths, respectful interactions, positive work experiences, supportive leadership behaviours, and safety are associated with better employee engagement, reduced stress-related problems, and lower incidence of harassment and bullying. These factors are also associated with improved RTW results.</w:t>
      </w:r>
    </w:p>
    <w:p w14:paraId="4FBD37AB" w14:textId="4E7BACEB" w:rsidR="00E83B7F" w:rsidRPr="00DC1480" w:rsidRDefault="00E83B7F" w:rsidP="001A004E">
      <w:pPr>
        <w:pStyle w:val="Heading2"/>
      </w:pPr>
      <w:bookmarkStart w:id="78" w:name="_Toc473101897"/>
      <w:bookmarkStart w:id="79" w:name="_Toc497141023"/>
      <w:r w:rsidRPr="00DC1480">
        <w:t>System/Insurer quality</w:t>
      </w:r>
      <w:bookmarkEnd w:id="78"/>
      <w:bookmarkEnd w:id="79"/>
    </w:p>
    <w:p w14:paraId="290D776F" w14:textId="77777777" w:rsidR="00E83B7F" w:rsidRPr="00561B12" w:rsidRDefault="00E83B7F" w:rsidP="00313DF3">
      <w:pPr>
        <w:keepNext/>
        <w:keepLines/>
      </w:pPr>
      <w:r w:rsidRPr="00561B12">
        <w:t xml:space="preserve">Employees with a psychological injury claim rated the quality of their interaction with the scheme/claims organisation. Those who reported a more positive interaction with the scheme were more likely to be at work. </w:t>
      </w:r>
    </w:p>
    <w:p w14:paraId="04ABAEC6" w14:textId="438997B0" w:rsidR="00E83B7F" w:rsidRPr="00561B12" w:rsidRDefault="00E83B7F" w:rsidP="00313DF3">
      <w:pPr>
        <w:keepNext/>
        <w:keepLines/>
      </w:pPr>
      <w:r w:rsidRPr="00561B12">
        <w:t xml:space="preserve">As seen in </w:t>
      </w:r>
      <w:r w:rsidR="00AF69DF">
        <w:fldChar w:fldCharType="begin"/>
      </w:r>
      <w:r w:rsidR="00AF69DF">
        <w:instrText xml:space="preserve"> REF _Ref430869326 \h </w:instrText>
      </w:r>
      <w:r w:rsidR="00AF69DF">
        <w:fldChar w:fldCharType="separate"/>
      </w:r>
      <w:r w:rsidR="005D6308" w:rsidRPr="00153C28">
        <w:t xml:space="preserve">Figure </w:t>
      </w:r>
      <w:r w:rsidR="005D6308">
        <w:rPr>
          <w:noProof/>
        </w:rPr>
        <w:t>11</w:t>
      </w:r>
      <w:r w:rsidR="00AF69DF">
        <w:fldChar w:fldCharType="end"/>
      </w:r>
      <w:r w:rsidRPr="00561B12">
        <w:t>, at the time of the interview 62% of those who had a more positive view were at work, compared to 55% who had a less positive view. Forty-nine per</w:t>
      </w:r>
      <w:r w:rsidR="006067C2">
        <w:t xml:space="preserve"> </w:t>
      </w:r>
      <w:r w:rsidRPr="00561B12">
        <w:t xml:space="preserve">cent of those with a more positive view had been at work for three or more months at the time of the interview versus 39% with a less positive view. </w:t>
      </w:r>
    </w:p>
    <w:p w14:paraId="495CA66A" w14:textId="36063037" w:rsidR="00E83B7F" w:rsidRDefault="00E83B7F" w:rsidP="00561B12">
      <w:pPr>
        <w:pStyle w:val="Caption"/>
        <w:rPr>
          <w:noProof/>
        </w:rPr>
      </w:pPr>
      <w:bookmarkStart w:id="80" w:name="_Ref430869326"/>
      <w:bookmarkStart w:id="81" w:name="_Toc497141047"/>
      <w:r w:rsidRPr="00153C28">
        <w:t xml:space="preserve">Figure </w:t>
      </w:r>
      <w:r w:rsidR="005D6308">
        <w:fldChar w:fldCharType="begin"/>
      </w:r>
      <w:r w:rsidR="005D6308">
        <w:instrText xml:space="preserve"> SEQ Figure \* ARABIC </w:instrText>
      </w:r>
      <w:r w:rsidR="005D6308">
        <w:fldChar w:fldCharType="separate"/>
      </w:r>
      <w:r w:rsidR="005D6308">
        <w:rPr>
          <w:noProof/>
        </w:rPr>
        <w:t>11</w:t>
      </w:r>
      <w:r w:rsidR="005D6308">
        <w:rPr>
          <w:noProof/>
        </w:rPr>
        <w:fldChar w:fldCharType="end"/>
      </w:r>
      <w:bookmarkEnd w:id="80"/>
      <w:r w:rsidRPr="00153C28">
        <w:t xml:space="preserve"> </w:t>
      </w:r>
      <w:r w:rsidR="00FC1FA5">
        <w:t>–</w:t>
      </w:r>
      <w:r w:rsidRPr="00153C28">
        <w:rPr>
          <w:noProof/>
        </w:rPr>
        <w:t xml:space="preserve"> </w:t>
      </w:r>
      <w:r>
        <w:t xml:space="preserve">Percentage </w:t>
      </w:r>
      <w:r w:rsidRPr="00EA4A3F">
        <w:t xml:space="preserve">RTW </w:t>
      </w:r>
      <w:r>
        <w:t xml:space="preserve">by </w:t>
      </w:r>
      <w:r w:rsidRPr="00153C28">
        <w:rPr>
          <w:noProof/>
        </w:rPr>
        <w:t>Interaction with the scheme/claims organisation</w:t>
      </w:r>
      <w:bookmarkEnd w:id="81"/>
    </w:p>
    <w:p w14:paraId="02690B1A" w14:textId="1D21DC75" w:rsidR="00E83B7F" w:rsidRPr="00D66796" w:rsidRDefault="00E83B7F" w:rsidP="00E83B7F">
      <w:r>
        <w:rPr>
          <w:noProof/>
        </w:rPr>
        <w:drawing>
          <wp:inline distT="0" distB="0" distL="0" distR="0" wp14:anchorId="641BD493" wp14:editId="0F9748B1">
            <wp:extent cx="2736000" cy="2517569"/>
            <wp:effectExtent l="0" t="0" r="26670" b="16510"/>
            <wp:docPr id="81" name="Chart 81" descr="This table provides a percentage comparison of employees (at work at the time of interview) who expressed either a positive or negative view of the scheme or insurer." title="Figure 11: Percentage RTW by interaction with the scheme/claims organis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00541F93">
        <w:t xml:space="preserve"> </w:t>
      </w:r>
      <w:r w:rsidR="00DC531A">
        <w:rPr>
          <w:noProof/>
        </w:rPr>
        <w:drawing>
          <wp:inline distT="0" distB="0" distL="0" distR="0" wp14:anchorId="3713431B" wp14:editId="13F5AA55">
            <wp:extent cx="2736000" cy="2517569"/>
            <wp:effectExtent l="0" t="0" r="26670" b="16510"/>
            <wp:docPr id="82" name="Chart 82" descr="This table provides a percentage comparison of employees (at work for three months or more at the time of interview) who expressed either a positive or negative view of the scheme or insurer." title="Figure 11: Percentage RTW by interaction with the scheme/claims organis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2DB88B7" w14:textId="06AD5A71" w:rsidR="00E83B7F" w:rsidRPr="007C5E49" w:rsidRDefault="00E83B7F" w:rsidP="00561B12">
      <w:pPr>
        <w:pStyle w:val="Caption"/>
      </w:pPr>
      <w:r w:rsidRPr="007C5E49">
        <w:t xml:space="preserve">N = </w:t>
      </w:r>
      <w:r>
        <w:t>472</w:t>
      </w:r>
    </w:p>
    <w:p w14:paraId="19DA8B44" w14:textId="77777777" w:rsidR="00483EC4" w:rsidRDefault="00483EC4" w:rsidP="00561B12"/>
    <w:p w14:paraId="46A6305E" w14:textId="0558F92A" w:rsidR="00E83B7F" w:rsidRPr="00561B12" w:rsidRDefault="00E83B7F" w:rsidP="00561B12">
      <w:r w:rsidRPr="00561B12">
        <w:lastRenderedPageBreak/>
        <w:t>Important differentiating questions were: agreement on the process being open and honest, good communication, that the system was working to protect the worker's best interests, and that the system treated the employee fairly (</w:t>
      </w:r>
      <w:r w:rsidR="00611153">
        <w:fldChar w:fldCharType="begin"/>
      </w:r>
      <w:r w:rsidR="00611153">
        <w:instrText xml:space="preserve"> REF _Ref440894759 \h </w:instrText>
      </w:r>
      <w:r w:rsidR="00611153">
        <w:fldChar w:fldCharType="separate"/>
      </w:r>
      <w:r w:rsidR="005D6308" w:rsidRPr="00153C28">
        <w:t xml:space="preserve">Table </w:t>
      </w:r>
      <w:r w:rsidR="005D6308">
        <w:rPr>
          <w:noProof/>
        </w:rPr>
        <w:t>13</w:t>
      </w:r>
      <w:r w:rsidR="00611153">
        <w:fldChar w:fldCharType="end"/>
      </w:r>
      <w:r w:rsidRPr="00561B12">
        <w:t xml:space="preserve"> and </w:t>
      </w:r>
      <w:r w:rsidR="00611153">
        <w:fldChar w:fldCharType="begin"/>
      </w:r>
      <w:r w:rsidR="00611153">
        <w:instrText xml:space="preserve"> REF _Ref494273445 \h </w:instrText>
      </w:r>
      <w:r w:rsidR="00611153">
        <w:fldChar w:fldCharType="separate"/>
      </w:r>
      <w:r w:rsidR="005D6308" w:rsidRPr="00153C28">
        <w:t xml:space="preserve">Table </w:t>
      </w:r>
      <w:r w:rsidR="005D6308">
        <w:rPr>
          <w:noProof/>
        </w:rPr>
        <w:t>14</w:t>
      </w:r>
      <w:r w:rsidR="00611153">
        <w:fldChar w:fldCharType="end"/>
      </w:r>
      <w:r w:rsidRPr="00561B12">
        <w:t>).</w:t>
      </w:r>
    </w:p>
    <w:p w14:paraId="709A7258" w14:textId="26746C66" w:rsidR="00E83B7F" w:rsidRPr="00741898" w:rsidRDefault="00E83B7F" w:rsidP="00561B12">
      <w:pPr>
        <w:pStyle w:val="Caption"/>
        <w:rPr>
          <w:rFonts w:cstheme="majorBidi"/>
          <w:b/>
          <w:sz w:val="24"/>
          <w:szCs w:val="24"/>
        </w:rPr>
      </w:pPr>
      <w:bookmarkStart w:id="82" w:name="_Ref440894759"/>
      <w:bookmarkStart w:id="83" w:name="_Toc494358577"/>
      <w:r w:rsidRPr="00153C28">
        <w:t xml:space="preserve">Table </w:t>
      </w:r>
      <w:r w:rsidR="005D6308">
        <w:fldChar w:fldCharType="begin"/>
      </w:r>
      <w:r w:rsidR="005D6308">
        <w:instrText xml:space="preserve"> SEQ Table \* ARABIC </w:instrText>
      </w:r>
      <w:r w:rsidR="005D6308">
        <w:fldChar w:fldCharType="separate"/>
      </w:r>
      <w:r w:rsidR="005D6308">
        <w:rPr>
          <w:noProof/>
        </w:rPr>
        <w:t>13</w:t>
      </w:r>
      <w:r w:rsidR="005D6308">
        <w:rPr>
          <w:noProof/>
        </w:rPr>
        <w:fldChar w:fldCharType="end"/>
      </w:r>
      <w:bookmarkEnd w:id="82"/>
      <w:r w:rsidRPr="00153C28">
        <w:t xml:space="preserve"> </w:t>
      </w:r>
      <w:r w:rsidR="00F645E8">
        <w:t>–</w:t>
      </w:r>
      <w:r w:rsidRPr="00153C28">
        <w:t xml:space="preserve"> </w:t>
      </w:r>
      <w:r>
        <w:t>Percentage at work</w:t>
      </w:r>
      <w:r w:rsidRPr="00EA4A3F">
        <w:t xml:space="preserve"> at time of interview</w:t>
      </w:r>
      <w:r>
        <w:t xml:space="preserve"> by response</w:t>
      </w:r>
      <w:r w:rsidRPr="00153C28">
        <w:t xml:space="preserve"> </w:t>
      </w:r>
      <w:r>
        <w:t xml:space="preserve">to </w:t>
      </w:r>
      <w:r w:rsidRPr="00153C28">
        <w:t>Interaction</w:t>
      </w:r>
      <w:r w:rsidRPr="00153C28">
        <w:rPr>
          <w:noProof/>
        </w:rPr>
        <w:t xml:space="preserve"> with the scheme/claims organisation </w:t>
      </w:r>
      <w:r w:rsidRPr="00153C28">
        <w:t>individual questions</w:t>
      </w:r>
      <w:bookmarkEnd w:id="83"/>
    </w:p>
    <w:tbl>
      <w:tblPr>
        <w:tblStyle w:val="LightShading-Accent2"/>
        <w:tblW w:w="9214" w:type="dxa"/>
        <w:tblLayout w:type="fixed"/>
        <w:tblLook w:val="0420" w:firstRow="1" w:lastRow="0" w:firstColumn="0" w:lastColumn="0" w:noHBand="0" w:noVBand="1"/>
        <w:tblCaption w:val="Table 13: Percentage at work at time of interview by response to interaction with the scheme/claims organisation individual questions"/>
        <w:tblDescription w:val="This table provides a percentage breakdown of employees (at work at the time of interview) who either agreed or disagreed with statements relating to their interaction with the scheme/claims organisation. "/>
      </w:tblPr>
      <w:tblGrid>
        <w:gridCol w:w="3794"/>
        <w:gridCol w:w="2410"/>
        <w:gridCol w:w="3010"/>
      </w:tblGrid>
      <w:tr w:rsidR="00E83B7F" w:rsidRPr="00561B12" w14:paraId="2752DE6A" w14:textId="77777777" w:rsidTr="00D54658">
        <w:trPr>
          <w:cnfStyle w:val="100000000000" w:firstRow="1" w:lastRow="0" w:firstColumn="0" w:lastColumn="0" w:oddVBand="0" w:evenVBand="0" w:oddHBand="0" w:evenHBand="0" w:firstRowFirstColumn="0" w:firstRowLastColumn="0" w:lastRowFirstColumn="0" w:lastRowLastColumn="0"/>
          <w:tblHeader/>
        </w:trPr>
        <w:tc>
          <w:tcPr>
            <w:tcW w:w="3794" w:type="dxa"/>
            <w:hideMark/>
          </w:tcPr>
          <w:p w14:paraId="70217EE5" w14:textId="52B30D71" w:rsidR="00E83B7F" w:rsidRPr="00561B12" w:rsidRDefault="00E83B7F" w:rsidP="00304D0B">
            <w:r w:rsidRPr="00561B12">
              <w:t>System/Insurer quality questions</w:t>
            </w:r>
          </w:p>
        </w:tc>
        <w:tc>
          <w:tcPr>
            <w:tcW w:w="2410" w:type="dxa"/>
            <w:noWrap/>
            <w:hideMark/>
          </w:tcPr>
          <w:p w14:paraId="500E0ACE" w14:textId="77777777" w:rsidR="00E83B7F" w:rsidRPr="00561B12" w:rsidRDefault="00E83B7F" w:rsidP="00561B12">
            <w:pPr>
              <w:jc w:val="center"/>
            </w:pPr>
            <w:r w:rsidRPr="00561B12">
              <w:t>Of those who agreed, % at work</w:t>
            </w:r>
          </w:p>
        </w:tc>
        <w:tc>
          <w:tcPr>
            <w:tcW w:w="3010" w:type="dxa"/>
            <w:noWrap/>
            <w:hideMark/>
          </w:tcPr>
          <w:p w14:paraId="45C1652A" w14:textId="77777777" w:rsidR="00E83B7F" w:rsidRPr="00561B12" w:rsidRDefault="00E83B7F" w:rsidP="00561B12">
            <w:pPr>
              <w:jc w:val="center"/>
            </w:pPr>
            <w:r w:rsidRPr="00561B12">
              <w:t>Of those who did not agree, % at work</w:t>
            </w:r>
          </w:p>
        </w:tc>
      </w:tr>
      <w:tr w:rsidR="00E83B7F" w:rsidRPr="00561B12" w14:paraId="16768A12" w14:textId="77777777" w:rsidTr="00D54658">
        <w:trPr>
          <w:cnfStyle w:val="000000100000" w:firstRow="0" w:lastRow="0" w:firstColumn="0" w:lastColumn="0" w:oddVBand="0" w:evenVBand="0" w:oddHBand="1" w:evenHBand="0" w:firstRowFirstColumn="0" w:firstRowLastColumn="0" w:lastRowFirstColumn="0" w:lastRowLastColumn="0"/>
        </w:trPr>
        <w:tc>
          <w:tcPr>
            <w:tcW w:w="3794" w:type="dxa"/>
            <w:noWrap/>
            <w:hideMark/>
          </w:tcPr>
          <w:p w14:paraId="312B6066" w14:textId="77777777" w:rsidR="00E83B7F" w:rsidRPr="00561B12" w:rsidRDefault="00E83B7F" w:rsidP="00561B12">
            <w:r w:rsidRPr="00561B12">
              <w:t>The process was open and honest</w:t>
            </w:r>
          </w:p>
        </w:tc>
        <w:tc>
          <w:tcPr>
            <w:tcW w:w="2410" w:type="dxa"/>
            <w:noWrap/>
            <w:hideMark/>
          </w:tcPr>
          <w:p w14:paraId="681E055D" w14:textId="77777777" w:rsidR="00E83B7F" w:rsidRPr="00561B12" w:rsidRDefault="00E83B7F" w:rsidP="00561B12">
            <w:pPr>
              <w:jc w:val="center"/>
            </w:pPr>
            <w:r w:rsidRPr="00561B12">
              <w:t>61%</w:t>
            </w:r>
          </w:p>
        </w:tc>
        <w:tc>
          <w:tcPr>
            <w:tcW w:w="3010" w:type="dxa"/>
            <w:noWrap/>
            <w:hideMark/>
          </w:tcPr>
          <w:p w14:paraId="62C0B898" w14:textId="77777777" w:rsidR="00E83B7F" w:rsidRPr="00561B12" w:rsidRDefault="00E83B7F" w:rsidP="00561B12">
            <w:pPr>
              <w:jc w:val="center"/>
            </w:pPr>
            <w:r w:rsidRPr="00561B12">
              <w:t>54%</w:t>
            </w:r>
          </w:p>
        </w:tc>
      </w:tr>
      <w:tr w:rsidR="00E83B7F" w:rsidRPr="00561B12" w14:paraId="13C125B5" w14:textId="77777777" w:rsidTr="00D54658">
        <w:trPr>
          <w:cnfStyle w:val="000000010000" w:firstRow="0" w:lastRow="0" w:firstColumn="0" w:lastColumn="0" w:oddVBand="0" w:evenVBand="0" w:oddHBand="0" w:evenHBand="1" w:firstRowFirstColumn="0" w:firstRowLastColumn="0" w:lastRowFirstColumn="0" w:lastRowLastColumn="0"/>
        </w:trPr>
        <w:tc>
          <w:tcPr>
            <w:tcW w:w="3794" w:type="dxa"/>
            <w:noWrap/>
            <w:hideMark/>
          </w:tcPr>
          <w:p w14:paraId="5C9B88C3" w14:textId="77777777" w:rsidR="00E83B7F" w:rsidRPr="00561B12" w:rsidRDefault="00E83B7F" w:rsidP="00561B12">
            <w:r w:rsidRPr="00561B12">
              <w:t>Good communication between the various people I dealt with</w:t>
            </w:r>
          </w:p>
        </w:tc>
        <w:tc>
          <w:tcPr>
            <w:tcW w:w="2410" w:type="dxa"/>
            <w:noWrap/>
            <w:hideMark/>
          </w:tcPr>
          <w:p w14:paraId="55DA91D5" w14:textId="77777777" w:rsidR="00E83B7F" w:rsidRPr="00561B12" w:rsidRDefault="00E83B7F" w:rsidP="00561B12">
            <w:pPr>
              <w:jc w:val="center"/>
            </w:pPr>
            <w:r w:rsidRPr="00561B12">
              <w:t>65%</w:t>
            </w:r>
          </w:p>
        </w:tc>
        <w:tc>
          <w:tcPr>
            <w:tcW w:w="3010" w:type="dxa"/>
            <w:noWrap/>
            <w:hideMark/>
          </w:tcPr>
          <w:p w14:paraId="3D196EEC" w14:textId="77777777" w:rsidR="00E83B7F" w:rsidRPr="00561B12" w:rsidRDefault="00E83B7F" w:rsidP="00561B12">
            <w:pPr>
              <w:jc w:val="center"/>
            </w:pPr>
            <w:r w:rsidRPr="00561B12">
              <w:t>54%</w:t>
            </w:r>
          </w:p>
        </w:tc>
      </w:tr>
      <w:tr w:rsidR="00E83B7F" w:rsidRPr="00561B12" w14:paraId="064852F8" w14:textId="77777777" w:rsidTr="00D54658">
        <w:trPr>
          <w:cnfStyle w:val="000000100000" w:firstRow="0" w:lastRow="0" w:firstColumn="0" w:lastColumn="0" w:oddVBand="0" w:evenVBand="0" w:oddHBand="1" w:evenHBand="0" w:firstRowFirstColumn="0" w:firstRowLastColumn="0" w:lastRowFirstColumn="0" w:lastRowLastColumn="0"/>
        </w:trPr>
        <w:tc>
          <w:tcPr>
            <w:tcW w:w="3794" w:type="dxa"/>
            <w:noWrap/>
            <w:hideMark/>
          </w:tcPr>
          <w:p w14:paraId="73D05FA7" w14:textId="4C236084" w:rsidR="00E83B7F" w:rsidRPr="00561B12" w:rsidRDefault="00E83B7F" w:rsidP="00081812">
            <w:r w:rsidRPr="00561B12">
              <w:t>System was working to protect my best</w:t>
            </w:r>
            <w:r w:rsidR="00081812">
              <w:t> </w:t>
            </w:r>
            <w:r w:rsidRPr="00561B12">
              <w:t>interests</w:t>
            </w:r>
          </w:p>
        </w:tc>
        <w:tc>
          <w:tcPr>
            <w:tcW w:w="2410" w:type="dxa"/>
            <w:noWrap/>
            <w:hideMark/>
          </w:tcPr>
          <w:p w14:paraId="1BF26DC6" w14:textId="77777777" w:rsidR="00E83B7F" w:rsidRPr="00561B12" w:rsidRDefault="00E83B7F" w:rsidP="00561B12">
            <w:pPr>
              <w:jc w:val="center"/>
            </w:pPr>
            <w:r w:rsidRPr="00561B12">
              <w:t>64%</w:t>
            </w:r>
          </w:p>
        </w:tc>
        <w:tc>
          <w:tcPr>
            <w:tcW w:w="3010" w:type="dxa"/>
            <w:noWrap/>
            <w:hideMark/>
          </w:tcPr>
          <w:p w14:paraId="3E6A122E" w14:textId="77777777" w:rsidR="00E83B7F" w:rsidRPr="00561B12" w:rsidRDefault="00E83B7F" w:rsidP="00561B12">
            <w:pPr>
              <w:jc w:val="center"/>
            </w:pPr>
            <w:r w:rsidRPr="00561B12">
              <w:t>54%</w:t>
            </w:r>
          </w:p>
        </w:tc>
      </w:tr>
      <w:tr w:rsidR="00E83B7F" w:rsidRPr="00561B12" w14:paraId="7FFD3519" w14:textId="77777777" w:rsidTr="00D54658">
        <w:trPr>
          <w:cnfStyle w:val="000000010000" w:firstRow="0" w:lastRow="0" w:firstColumn="0" w:lastColumn="0" w:oddVBand="0" w:evenVBand="0" w:oddHBand="0" w:evenHBand="1" w:firstRowFirstColumn="0" w:firstRowLastColumn="0" w:lastRowFirstColumn="0" w:lastRowLastColumn="0"/>
        </w:trPr>
        <w:tc>
          <w:tcPr>
            <w:tcW w:w="3794" w:type="dxa"/>
            <w:noWrap/>
            <w:hideMark/>
          </w:tcPr>
          <w:p w14:paraId="1FA3A8EC" w14:textId="77777777" w:rsidR="00E83B7F" w:rsidRPr="00561B12" w:rsidRDefault="00E83B7F" w:rsidP="00561B12">
            <w:r w:rsidRPr="00561B12">
              <w:t>I believe the system treated me fairly</w:t>
            </w:r>
          </w:p>
        </w:tc>
        <w:tc>
          <w:tcPr>
            <w:tcW w:w="2410" w:type="dxa"/>
            <w:noWrap/>
            <w:hideMark/>
          </w:tcPr>
          <w:p w14:paraId="64941B62" w14:textId="77777777" w:rsidR="00E83B7F" w:rsidRPr="00561B12" w:rsidRDefault="00E83B7F" w:rsidP="00561B12">
            <w:pPr>
              <w:jc w:val="center"/>
            </w:pPr>
            <w:r w:rsidRPr="00561B12">
              <w:t>61%</w:t>
            </w:r>
          </w:p>
        </w:tc>
        <w:tc>
          <w:tcPr>
            <w:tcW w:w="3010" w:type="dxa"/>
            <w:noWrap/>
            <w:hideMark/>
          </w:tcPr>
          <w:p w14:paraId="20EB5A8A" w14:textId="77777777" w:rsidR="00E83B7F" w:rsidRPr="00561B12" w:rsidRDefault="00E83B7F" w:rsidP="00561B12">
            <w:pPr>
              <w:jc w:val="center"/>
            </w:pPr>
            <w:r w:rsidRPr="00561B12">
              <w:t>55%</w:t>
            </w:r>
          </w:p>
        </w:tc>
      </w:tr>
      <w:tr w:rsidR="00E83B7F" w:rsidRPr="00561B12" w14:paraId="53738CE3" w14:textId="77777777" w:rsidTr="00D54658">
        <w:trPr>
          <w:cnfStyle w:val="000000100000" w:firstRow="0" w:lastRow="0" w:firstColumn="0" w:lastColumn="0" w:oddVBand="0" w:evenVBand="0" w:oddHBand="1" w:evenHBand="0" w:firstRowFirstColumn="0" w:firstRowLastColumn="0" w:lastRowFirstColumn="0" w:lastRowLastColumn="0"/>
        </w:trPr>
        <w:tc>
          <w:tcPr>
            <w:tcW w:w="3794" w:type="dxa"/>
            <w:noWrap/>
            <w:hideMark/>
          </w:tcPr>
          <w:p w14:paraId="2FEAFF89" w14:textId="65BD4B30" w:rsidR="00E83B7F" w:rsidRPr="00561B12" w:rsidRDefault="00E83B7F" w:rsidP="00081D79">
            <w:r w:rsidRPr="00561B12">
              <w:t>I feel that the system helped me with my</w:t>
            </w:r>
            <w:r w:rsidR="00081D79">
              <w:t> </w:t>
            </w:r>
            <w:r w:rsidRPr="00561B12">
              <w:t>recovery</w:t>
            </w:r>
          </w:p>
        </w:tc>
        <w:tc>
          <w:tcPr>
            <w:tcW w:w="2410" w:type="dxa"/>
            <w:noWrap/>
            <w:hideMark/>
          </w:tcPr>
          <w:p w14:paraId="655A038F" w14:textId="77777777" w:rsidR="00E83B7F" w:rsidRPr="00561B12" w:rsidRDefault="00E83B7F" w:rsidP="00561B12">
            <w:pPr>
              <w:jc w:val="center"/>
            </w:pPr>
            <w:r w:rsidRPr="00561B12">
              <w:t>61%</w:t>
            </w:r>
          </w:p>
        </w:tc>
        <w:tc>
          <w:tcPr>
            <w:tcW w:w="3010" w:type="dxa"/>
            <w:noWrap/>
            <w:hideMark/>
          </w:tcPr>
          <w:p w14:paraId="49476827" w14:textId="77777777" w:rsidR="00E83B7F" w:rsidRPr="00561B12" w:rsidRDefault="00E83B7F" w:rsidP="00561B12">
            <w:pPr>
              <w:jc w:val="center"/>
            </w:pPr>
            <w:r w:rsidRPr="00561B12">
              <w:t>57%</w:t>
            </w:r>
          </w:p>
        </w:tc>
      </w:tr>
    </w:tbl>
    <w:p w14:paraId="2301E775" w14:textId="77777777" w:rsidR="00F645E8" w:rsidRPr="00F645E8" w:rsidRDefault="00F645E8" w:rsidP="00F645E8">
      <w:bookmarkStart w:id="84" w:name="_Ref430869361"/>
    </w:p>
    <w:p w14:paraId="12F0CFD0" w14:textId="01869E16" w:rsidR="00E83B7F" w:rsidRDefault="00E83B7F" w:rsidP="00313DF3">
      <w:pPr>
        <w:pStyle w:val="Caption"/>
      </w:pPr>
      <w:bookmarkStart w:id="85" w:name="_Ref494273445"/>
      <w:bookmarkStart w:id="86" w:name="_Toc494358578"/>
      <w:r w:rsidRPr="00153C28">
        <w:t xml:space="preserve">Table </w:t>
      </w:r>
      <w:r w:rsidR="005D6308">
        <w:fldChar w:fldCharType="begin"/>
      </w:r>
      <w:r w:rsidR="005D6308">
        <w:instrText xml:space="preserve"> SEQ Table \* ARABIC </w:instrText>
      </w:r>
      <w:r w:rsidR="005D6308">
        <w:fldChar w:fldCharType="separate"/>
      </w:r>
      <w:r w:rsidR="005D6308">
        <w:rPr>
          <w:noProof/>
        </w:rPr>
        <w:t>14</w:t>
      </w:r>
      <w:r w:rsidR="005D6308">
        <w:rPr>
          <w:noProof/>
        </w:rPr>
        <w:fldChar w:fldCharType="end"/>
      </w:r>
      <w:bookmarkEnd w:id="84"/>
      <w:bookmarkEnd w:id="85"/>
      <w:r>
        <w:rPr>
          <w:noProof/>
        </w:rPr>
        <w:t xml:space="preserve"> </w:t>
      </w:r>
      <w:r w:rsidR="00F645E8">
        <w:rPr>
          <w:noProof/>
        </w:rPr>
        <w:t>–</w:t>
      </w:r>
      <w:r w:rsidRPr="00153C28">
        <w:t xml:space="preserve"> </w:t>
      </w:r>
      <w:r>
        <w:t xml:space="preserve">Percentage </w:t>
      </w:r>
      <w:r w:rsidRPr="00EA4A3F">
        <w:t>RTW for three months or more at time of interview</w:t>
      </w:r>
      <w:r w:rsidRPr="00E5458D">
        <w:t xml:space="preserve"> </w:t>
      </w:r>
      <w:r>
        <w:t>by response to i</w:t>
      </w:r>
      <w:r w:rsidRPr="00153C28">
        <w:rPr>
          <w:noProof/>
        </w:rPr>
        <w:t xml:space="preserve">nteraction with the scheme/claims organisation </w:t>
      </w:r>
      <w:r>
        <w:t>individual questions</w:t>
      </w:r>
      <w:bookmarkEnd w:id="86"/>
    </w:p>
    <w:tbl>
      <w:tblPr>
        <w:tblStyle w:val="LightShading-Accent2"/>
        <w:tblW w:w="9214" w:type="dxa"/>
        <w:tblLayout w:type="fixed"/>
        <w:tblLook w:val="0420" w:firstRow="1" w:lastRow="0" w:firstColumn="0" w:lastColumn="0" w:noHBand="0" w:noVBand="1"/>
        <w:tblCaption w:val="Table 14: Percentage RTW for three months or more at time of interview by response to interaction with the scheme/claims organisation individual questions"/>
        <w:tblDescription w:val="This table provides a percentage breakdown of employees (at work for three months or more at the time of interview) who either agreed or disagreed with statements relating to their interaction with the scheme/claims organisation. "/>
      </w:tblPr>
      <w:tblGrid>
        <w:gridCol w:w="3794"/>
        <w:gridCol w:w="2410"/>
        <w:gridCol w:w="3010"/>
      </w:tblGrid>
      <w:tr w:rsidR="00E83B7F" w:rsidRPr="00561B12" w14:paraId="20E33D48" w14:textId="77777777" w:rsidTr="00D54658">
        <w:trPr>
          <w:cnfStyle w:val="100000000000" w:firstRow="1" w:lastRow="0" w:firstColumn="0" w:lastColumn="0" w:oddVBand="0" w:evenVBand="0" w:oddHBand="0" w:evenHBand="0" w:firstRowFirstColumn="0" w:firstRowLastColumn="0" w:lastRowFirstColumn="0" w:lastRowLastColumn="0"/>
          <w:tblHeader/>
        </w:trPr>
        <w:tc>
          <w:tcPr>
            <w:tcW w:w="3794" w:type="dxa"/>
            <w:hideMark/>
          </w:tcPr>
          <w:p w14:paraId="3B610EE4" w14:textId="32ADFBB3" w:rsidR="00E83B7F" w:rsidRPr="00561B12" w:rsidRDefault="00E83B7F" w:rsidP="00304D0B">
            <w:pPr>
              <w:keepNext/>
              <w:keepLines/>
            </w:pPr>
            <w:r w:rsidRPr="00561B12">
              <w:t>System/Insurer quality questions</w:t>
            </w:r>
          </w:p>
        </w:tc>
        <w:tc>
          <w:tcPr>
            <w:tcW w:w="2410" w:type="dxa"/>
            <w:noWrap/>
            <w:hideMark/>
          </w:tcPr>
          <w:p w14:paraId="158520BD" w14:textId="77777777" w:rsidR="00E83B7F" w:rsidRPr="00561B12" w:rsidRDefault="00E83B7F" w:rsidP="00313DF3">
            <w:pPr>
              <w:keepNext/>
              <w:keepLines/>
              <w:jc w:val="center"/>
            </w:pPr>
            <w:r w:rsidRPr="00561B12">
              <w:t>Of those who agreed, % at work 3+ months</w:t>
            </w:r>
          </w:p>
        </w:tc>
        <w:tc>
          <w:tcPr>
            <w:tcW w:w="3010" w:type="dxa"/>
            <w:noWrap/>
            <w:hideMark/>
          </w:tcPr>
          <w:p w14:paraId="2F45B952" w14:textId="77777777" w:rsidR="00E83B7F" w:rsidRPr="00561B12" w:rsidRDefault="00E83B7F" w:rsidP="00313DF3">
            <w:pPr>
              <w:keepNext/>
              <w:keepLines/>
              <w:jc w:val="center"/>
            </w:pPr>
            <w:r w:rsidRPr="00561B12">
              <w:t>Of those who did not agree, % at work 3+ months</w:t>
            </w:r>
          </w:p>
        </w:tc>
      </w:tr>
      <w:tr w:rsidR="00E83B7F" w:rsidRPr="00561B12" w14:paraId="7BE55F74" w14:textId="77777777" w:rsidTr="00D54658">
        <w:trPr>
          <w:cnfStyle w:val="000000100000" w:firstRow="0" w:lastRow="0" w:firstColumn="0" w:lastColumn="0" w:oddVBand="0" w:evenVBand="0" w:oddHBand="1" w:evenHBand="0" w:firstRowFirstColumn="0" w:firstRowLastColumn="0" w:lastRowFirstColumn="0" w:lastRowLastColumn="0"/>
        </w:trPr>
        <w:tc>
          <w:tcPr>
            <w:tcW w:w="3794" w:type="dxa"/>
            <w:noWrap/>
            <w:hideMark/>
          </w:tcPr>
          <w:p w14:paraId="48B2B95D" w14:textId="77777777" w:rsidR="00E83B7F" w:rsidRPr="00561B12" w:rsidRDefault="00E83B7F" w:rsidP="00561B12">
            <w:r w:rsidRPr="00561B12">
              <w:t>The process was open and honest</w:t>
            </w:r>
          </w:p>
        </w:tc>
        <w:tc>
          <w:tcPr>
            <w:tcW w:w="2410" w:type="dxa"/>
            <w:noWrap/>
            <w:hideMark/>
          </w:tcPr>
          <w:p w14:paraId="0B7E0632" w14:textId="77777777" w:rsidR="00E83B7F" w:rsidRPr="00561B12" w:rsidRDefault="00E83B7F" w:rsidP="00561B12">
            <w:pPr>
              <w:jc w:val="center"/>
            </w:pPr>
            <w:r w:rsidRPr="00561B12">
              <w:t>49%</w:t>
            </w:r>
          </w:p>
        </w:tc>
        <w:tc>
          <w:tcPr>
            <w:tcW w:w="3010" w:type="dxa"/>
            <w:noWrap/>
            <w:hideMark/>
          </w:tcPr>
          <w:p w14:paraId="7CC064BB" w14:textId="77777777" w:rsidR="00E83B7F" w:rsidRPr="00561B12" w:rsidRDefault="00E83B7F" w:rsidP="00561B12">
            <w:pPr>
              <w:jc w:val="center"/>
            </w:pPr>
            <w:r w:rsidRPr="00561B12">
              <w:t>37%</w:t>
            </w:r>
          </w:p>
        </w:tc>
      </w:tr>
      <w:tr w:rsidR="00E83B7F" w:rsidRPr="00561B12" w14:paraId="70991F5C" w14:textId="77777777" w:rsidTr="00D54658">
        <w:trPr>
          <w:cnfStyle w:val="000000010000" w:firstRow="0" w:lastRow="0" w:firstColumn="0" w:lastColumn="0" w:oddVBand="0" w:evenVBand="0" w:oddHBand="0" w:evenHBand="1" w:firstRowFirstColumn="0" w:firstRowLastColumn="0" w:lastRowFirstColumn="0" w:lastRowLastColumn="0"/>
        </w:trPr>
        <w:tc>
          <w:tcPr>
            <w:tcW w:w="3794" w:type="dxa"/>
            <w:noWrap/>
            <w:hideMark/>
          </w:tcPr>
          <w:p w14:paraId="298BD935" w14:textId="77777777" w:rsidR="00E83B7F" w:rsidRPr="00561B12" w:rsidRDefault="00E83B7F" w:rsidP="00561B12">
            <w:r w:rsidRPr="00561B12">
              <w:t>Good communication between the various people I dealt with</w:t>
            </w:r>
          </w:p>
        </w:tc>
        <w:tc>
          <w:tcPr>
            <w:tcW w:w="2410" w:type="dxa"/>
            <w:noWrap/>
            <w:hideMark/>
          </w:tcPr>
          <w:p w14:paraId="751887AA" w14:textId="77777777" w:rsidR="00E83B7F" w:rsidRPr="00561B12" w:rsidRDefault="00E83B7F" w:rsidP="00561B12">
            <w:pPr>
              <w:jc w:val="center"/>
            </w:pPr>
            <w:r w:rsidRPr="00561B12">
              <w:t>50%</w:t>
            </w:r>
          </w:p>
        </w:tc>
        <w:tc>
          <w:tcPr>
            <w:tcW w:w="3010" w:type="dxa"/>
            <w:noWrap/>
            <w:hideMark/>
          </w:tcPr>
          <w:p w14:paraId="4919748D" w14:textId="77777777" w:rsidR="00E83B7F" w:rsidRPr="00561B12" w:rsidRDefault="00E83B7F" w:rsidP="00561B12">
            <w:pPr>
              <w:jc w:val="center"/>
            </w:pPr>
            <w:r w:rsidRPr="00561B12">
              <w:t>40%</w:t>
            </w:r>
          </w:p>
        </w:tc>
      </w:tr>
      <w:tr w:rsidR="00E83B7F" w:rsidRPr="00561B12" w14:paraId="2D59783D" w14:textId="77777777" w:rsidTr="00D54658">
        <w:trPr>
          <w:cnfStyle w:val="000000100000" w:firstRow="0" w:lastRow="0" w:firstColumn="0" w:lastColumn="0" w:oddVBand="0" w:evenVBand="0" w:oddHBand="1" w:evenHBand="0" w:firstRowFirstColumn="0" w:firstRowLastColumn="0" w:lastRowFirstColumn="0" w:lastRowLastColumn="0"/>
        </w:trPr>
        <w:tc>
          <w:tcPr>
            <w:tcW w:w="3794" w:type="dxa"/>
            <w:noWrap/>
            <w:hideMark/>
          </w:tcPr>
          <w:p w14:paraId="3D54F9F8" w14:textId="53305ED0" w:rsidR="00E83B7F" w:rsidRPr="00561B12" w:rsidRDefault="00E83B7F" w:rsidP="00081812">
            <w:r w:rsidRPr="00561B12">
              <w:t>System was working to protect my best</w:t>
            </w:r>
            <w:r w:rsidR="00081812">
              <w:t> </w:t>
            </w:r>
            <w:r w:rsidRPr="00561B12">
              <w:t>interests</w:t>
            </w:r>
          </w:p>
        </w:tc>
        <w:tc>
          <w:tcPr>
            <w:tcW w:w="2410" w:type="dxa"/>
            <w:noWrap/>
            <w:hideMark/>
          </w:tcPr>
          <w:p w14:paraId="00066801" w14:textId="77777777" w:rsidR="00E83B7F" w:rsidRPr="00561B12" w:rsidRDefault="00E83B7F" w:rsidP="00561B12">
            <w:pPr>
              <w:jc w:val="center"/>
            </w:pPr>
            <w:r w:rsidRPr="00561B12">
              <w:t>51%</w:t>
            </w:r>
          </w:p>
        </w:tc>
        <w:tc>
          <w:tcPr>
            <w:tcW w:w="3010" w:type="dxa"/>
            <w:noWrap/>
            <w:hideMark/>
          </w:tcPr>
          <w:p w14:paraId="10D097BA" w14:textId="77777777" w:rsidR="00E83B7F" w:rsidRPr="00561B12" w:rsidRDefault="00E83B7F" w:rsidP="00561B12">
            <w:pPr>
              <w:jc w:val="center"/>
            </w:pPr>
            <w:r w:rsidRPr="00561B12">
              <w:t>39%</w:t>
            </w:r>
          </w:p>
        </w:tc>
      </w:tr>
      <w:tr w:rsidR="00E83B7F" w:rsidRPr="00561B12" w14:paraId="2337880B" w14:textId="77777777" w:rsidTr="00D54658">
        <w:trPr>
          <w:cnfStyle w:val="000000010000" w:firstRow="0" w:lastRow="0" w:firstColumn="0" w:lastColumn="0" w:oddVBand="0" w:evenVBand="0" w:oddHBand="0" w:evenHBand="1" w:firstRowFirstColumn="0" w:firstRowLastColumn="0" w:lastRowFirstColumn="0" w:lastRowLastColumn="0"/>
        </w:trPr>
        <w:tc>
          <w:tcPr>
            <w:tcW w:w="3794" w:type="dxa"/>
            <w:noWrap/>
            <w:hideMark/>
          </w:tcPr>
          <w:p w14:paraId="5C669019" w14:textId="77777777" w:rsidR="00E83B7F" w:rsidRPr="00561B12" w:rsidRDefault="00E83B7F" w:rsidP="00561B12">
            <w:r w:rsidRPr="00561B12">
              <w:t>I believe the system treated me fairly</w:t>
            </w:r>
          </w:p>
        </w:tc>
        <w:tc>
          <w:tcPr>
            <w:tcW w:w="2410" w:type="dxa"/>
            <w:noWrap/>
            <w:hideMark/>
          </w:tcPr>
          <w:p w14:paraId="65B2F1DF" w14:textId="77777777" w:rsidR="00E83B7F" w:rsidRPr="00561B12" w:rsidRDefault="00E83B7F" w:rsidP="00561B12">
            <w:pPr>
              <w:jc w:val="center"/>
            </w:pPr>
            <w:r w:rsidRPr="00561B12">
              <w:t>49%</w:t>
            </w:r>
          </w:p>
        </w:tc>
        <w:tc>
          <w:tcPr>
            <w:tcW w:w="3010" w:type="dxa"/>
            <w:noWrap/>
            <w:hideMark/>
          </w:tcPr>
          <w:p w14:paraId="1CF5F7FE" w14:textId="77777777" w:rsidR="00E83B7F" w:rsidRPr="00561B12" w:rsidRDefault="00E83B7F" w:rsidP="00561B12">
            <w:pPr>
              <w:jc w:val="center"/>
            </w:pPr>
            <w:r w:rsidRPr="00561B12">
              <w:t>38%</w:t>
            </w:r>
          </w:p>
        </w:tc>
      </w:tr>
      <w:tr w:rsidR="00E83B7F" w:rsidRPr="00561B12" w14:paraId="228A5B35" w14:textId="77777777" w:rsidTr="00D54658">
        <w:trPr>
          <w:cnfStyle w:val="000000100000" w:firstRow="0" w:lastRow="0" w:firstColumn="0" w:lastColumn="0" w:oddVBand="0" w:evenVBand="0" w:oddHBand="1" w:evenHBand="0" w:firstRowFirstColumn="0" w:firstRowLastColumn="0" w:lastRowFirstColumn="0" w:lastRowLastColumn="0"/>
        </w:trPr>
        <w:tc>
          <w:tcPr>
            <w:tcW w:w="3794" w:type="dxa"/>
            <w:noWrap/>
            <w:hideMark/>
          </w:tcPr>
          <w:p w14:paraId="246ACD63" w14:textId="02EC23DE" w:rsidR="00E83B7F" w:rsidRPr="00561B12" w:rsidRDefault="00E83B7F" w:rsidP="00081D79">
            <w:r w:rsidRPr="00561B12">
              <w:t>I feel that the system helped me with my</w:t>
            </w:r>
            <w:r w:rsidR="00081D79">
              <w:t> </w:t>
            </w:r>
            <w:r w:rsidRPr="00561B12">
              <w:t>recovery</w:t>
            </w:r>
          </w:p>
        </w:tc>
        <w:tc>
          <w:tcPr>
            <w:tcW w:w="2410" w:type="dxa"/>
            <w:noWrap/>
            <w:hideMark/>
          </w:tcPr>
          <w:p w14:paraId="30561C11" w14:textId="77777777" w:rsidR="00E83B7F" w:rsidRPr="00561B12" w:rsidRDefault="00E83B7F" w:rsidP="00561B12">
            <w:pPr>
              <w:jc w:val="center"/>
            </w:pPr>
            <w:r w:rsidRPr="00561B12">
              <w:t>48%</w:t>
            </w:r>
          </w:p>
        </w:tc>
        <w:tc>
          <w:tcPr>
            <w:tcW w:w="3010" w:type="dxa"/>
            <w:noWrap/>
            <w:hideMark/>
          </w:tcPr>
          <w:p w14:paraId="727F8E7E" w14:textId="77777777" w:rsidR="00E83B7F" w:rsidRPr="00561B12" w:rsidRDefault="00E83B7F" w:rsidP="00561B12">
            <w:pPr>
              <w:jc w:val="center"/>
            </w:pPr>
            <w:r w:rsidRPr="00561B12">
              <w:t>41%</w:t>
            </w:r>
          </w:p>
        </w:tc>
      </w:tr>
    </w:tbl>
    <w:p w14:paraId="0E984038" w14:textId="77777777" w:rsidR="00561B12" w:rsidRPr="00561B12" w:rsidRDefault="00561B12" w:rsidP="00561B12"/>
    <w:p w14:paraId="30D9B53B" w14:textId="4710548D" w:rsidR="00E83B7F" w:rsidRPr="00561B12" w:rsidRDefault="000B1F4F" w:rsidP="00561B12">
      <w:r>
        <w:fldChar w:fldCharType="begin"/>
      </w:r>
      <w:r>
        <w:instrText xml:space="preserve"> REF _Ref430804490 \h </w:instrText>
      </w:r>
      <w:r>
        <w:fldChar w:fldCharType="separate"/>
      </w:r>
      <w:r w:rsidR="005D6308" w:rsidRPr="00153C28">
        <w:t xml:space="preserve">Table </w:t>
      </w:r>
      <w:r w:rsidR="005D6308">
        <w:rPr>
          <w:noProof/>
        </w:rPr>
        <w:t>15</w:t>
      </w:r>
      <w:r>
        <w:fldChar w:fldCharType="end"/>
      </w:r>
      <w:r w:rsidR="00E83B7F" w:rsidRPr="00561B12">
        <w:t xml:space="preserve"> shows that about half of the employees interviewed gave positive responses to questions about their interaction with the scheme. </w:t>
      </w:r>
    </w:p>
    <w:p w14:paraId="2B0A5C05" w14:textId="17AFC004" w:rsidR="00E83B7F" w:rsidRDefault="00E83B7F" w:rsidP="00561B12">
      <w:pPr>
        <w:pStyle w:val="Caption"/>
      </w:pPr>
      <w:bookmarkStart w:id="87" w:name="_Ref430804490"/>
      <w:bookmarkStart w:id="88" w:name="_Toc494358579"/>
      <w:r w:rsidRPr="00153C28">
        <w:t xml:space="preserve">Table </w:t>
      </w:r>
      <w:r w:rsidR="005D6308">
        <w:fldChar w:fldCharType="begin"/>
      </w:r>
      <w:r w:rsidR="005D6308">
        <w:instrText xml:space="preserve"> </w:instrText>
      </w:r>
      <w:r w:rsidR="005D6308">
        <w:instrText xml:space="preserve">SEQ Table \* ARABIC </w:instrText>
      </w:r>
      <w:r w:rsidR="005D6308">
        <w:fldChar w:fldCharType="separate"/>
      </w:r>
      <w:r w:rsidR="005D6308">
        <w:rPr>
          <w:noProof/>
        </w:rPr>
        <w:t>15</w:t>
      </w:r>
      <w:r w:rsidR="005D6308">
        <w:rPr>
          <w:noProof/>
        </w:rPr>
        <w:fldChar w:fldCharType="end"/>
      </w:r>
      <w:bookmarkEnd w:id="87"/>
      <w:r w:rsidRPr="00153C28">
        <w:t xml:space="preserve"> </w:t>
      </w:r>
      <w:r w:rsidR="00236AE8">
        <w:t>–</w:t>
      </w:r>
      <w:r w:rsidRPr="00153C28">
        <w:rPr>
          <w:noProof/>
        </w:rPr>
        <w:t xml:space="preserve"> </w:t>
      </w:r>
      <w:r>
        <w:rPr>
          <w:noProof/>
        </w:rPr>
        <w:t xml:space="preserve">Percentage </w:t>
      </w:r>
      <w:r w:rsidRPr="00153C28">
        <w:rPr>
          <w:noProof/>
        </w:rPr>
        <w:t>who agreed with individual questions about their interaction with the scheme/claims</w:t>
      </w:r>
      <w:r w:rsidR="00846890">
        <w:rPr>
          <w:noProof/>
        </w:rPr>
        <w:t> </w:t>
      </w:r>
      <w:r w:rsidRPr="00153C28">
        <w:rPr>
          <w:noProof/>
        </w:rPr>
        <w:t>organisation</w:t>
      </w:r>
      <w:bookmarkEnd w:id="88"/>
    </w:p>
    <w:tbl>
      <w:tblPr>
        <w:tblStyle w:val="LightShading-Accent2"/>
        <w:tblW w:w="5000" w:type="pct"/>
        <w:tblLook w:val="0420" w:firstRow="1" w:lastRow="0" w:firstColumn="0" w:lastColumn="0" w:noHBand="0" w:noVBand="1"/>
        <w:tblCaption w:val="Table 15: Percentage who agreed with individual questions about their interaction with the scheme/claims organisation"/>
        <w:tblDescription w:val="This table provides a percentage breakdown of employees who agreed with statements about their interaction with the scheme/claims organisation. "/>
      </w:tblPr>
      <w:tblGrid>
        <w:gridCol w:w="6204"/>
        <w:gridCol w:w="2842"/>
      </w:tblGrid>
      <w:tr w:rsidR="00E83B7F" w:rsidRPr="00561B12" w14:paraId="7AD11ABE" w14:textId="77777777" w:rsidTr="00D54658">
        <w:trPr>
          <w:cnfStyle w:val="100000000000" w:firstRow="1" w:lastRow="0" w:firstColumn="0" w:lastColumn="0" w:oddVBand="0" w:evenVBand="0" w:oddHBand="0" w:evenHBand="0" w:firstRowFirstColumn="0" w:firstRowLastColumn="0" w:lastRowFirstColumn="0" w:lastRowLastColumn="0"/>
          <w:tblHeader/>
        </w:trPr>
        <w:tc>
          <w:tcPr>
            <w:tcW w:w="3429" w:type="pct"/>
            <w:noWrap/>
            <w:hideMark/>
          </w:tcPr>
          <w:p w14:paraId="4778FF83" w14:textId="2C83EF1D" w:rsidR="00E83B7F" w:rsidRPr="00561B12" w:rsidRDefault="00E83B7F" w:rsidP="00304D0B">
            <w:r w:rsidRPr="00561B12">
              <w:t>Scheme/claims organisation questions</w:t>
            </w:r>
          </w:p>
        </w:tc>
        <w:tc>
          <w:tcPr>
            <w:tcW w:w="1571" w:type="pct"/>
            <w:noWrap/>
            <w:hideMark/>
          </w:tcPr>
          <w:p w14:paraId="07EF1A50" w14:textId="77777777" w:rsidR="00E83B7F" w:rsidRPr="00561B12" w:rsidRDefault="00E83B7F" w:rsidP="00561B12">
            <w:pPr>
              <w:jc w:val="center"/>
            </w:pPr>
            <w:r w:rsidRPr="00561B12">
              <w:t>Agree</w:t>
            </w:r>
          </w:p>
        </w:tc>
      </w:tr>
      <w:tr w:rsidR="00E83B7F" w:rsidRPr="00561B12" w14:paraId="37FC2335" w14:textId="77777777" w:rsidTr="00D54658">
        <w:trPr>
          <w:cnfStyle w:val="000000100000" w:firstRow="0" w:lastRow="0" w:firstColumn="0" w:lastColumn="0" w:oddVBand="0" w:evenVBand="0" w:oddHBand="1" w:evenHBand="0" w:firstRowFirstColumn="0" w:firstRowLastColumn="0" w:lastRowFirstColumn="0" w:lastRowLastColumn="0"/>
        </w:trPr>
        <w:tc>
          <w:tcPr>
            <w:tcW w:w="3429" w:type="pct"/>
            <w:hideMark/>
          </w:tcPr>
          <w:p w14:paraId="42FBE741" w14:textId="77777777" w:rsidR="00E83B7F" w:rsidRPr="00561B12" w:rsidRDefault="00E83B7F" w:rsidP="00561B12">
            <w:r w:rsidRPr="00561B12">
              <w:t>The process was open and honest</w:t>
            </w:r>
          </w:p>
        </w:tc>
        <w:tc>
          <w:tcPr>
            <w:tcW w:w="1571" w:type="pct"/>
            <w:noWrap/>
            <w:hideMark/>
          </w:tcPr>
          <w:p w14:paraId="54E38898" w14:textId="77777777" w:rsidR="00E83B7F" w:rsidRPr="00561B12" w:rsidRDefault="00E83B7F" w:rsidP="00561B12">
            <w:pPr>
              <w:jc w:val="center"/>
            </w:pPr>
            <w:r w:rsidRPr="00561B12">
              <w:t>60%</w:t>
            </w:r>
          </w:p>
        </w:tc>
      </w:tr>
      <w:tr w:rsidR="00E83B7F" w:rsidRPr="00561B12" w14:paraId="7F9377A8" w14:textId="77777777" w:rsidTr="00D54658">
        <w:trPr>
          <w:cnfStyle w:val="000000010000" w:firstRow="0" w:lastRow="0" w:firstColumn="0" w:lastColumn="0" w:oddVBand="0" w:evenVBand="0" w:oddHBand="0" w:evenHBand="1" w:firstRowFirstColumn="0" w:firstRowLastColumn="0" w:lastRowFirstColumn="0" w:lastRowLastColumn="0"/>
        </w:trPr>
        <w:tc>
          <w:tcPr>
            <w:tcW w:w="3429" w:type="pct"/>
            <w:hideMark/>
          </w:tcPr>
          <w:p w14:paraId="5EDF88FC" w14:textId="77777777" w:rsidR="00E83B7F" w:rsidRPr="00561B12" w:rsidRDefault="00E83B7F" w:rsidP="00561B12">
            <w:r w:rsidRPr="00561B12">
              <w:t>Good communication between the various people I dealt with</w:t>
            </w:r>
          </w:p>
        </w:tc>
        <w:tc>
          <w:tcPr>
            <w:tcW w:w="1571" w:type="pct"/>
            <w:noWrap/>
            <w:hideMark/>
          </w:tcPr>
          <w:p w14:paraId="4097187E" w14:textId="77777777" w:rsidR="00E83B7F" w:rsidRPr="00561B12" w:rsidRDefault="00E83B7F" w:rsidP="00561B12">
            <w:pPr>
              <w:jc w:val="center"/>
            </w:pPr>
            <w:r w:rsidRPr="00561B12">
              <w:t>48%</w:t>
            </w:r>
          </w:p>
        </w:tc>
      </w:tr>
      <w:tr w:rsidR="00E83B7F" w:rsidRPr="00561B12" w14:paraId="5EE1109D" w14:textId="77777777" w:rsidTr="00D54658">
        <w:trPr>
          <w:cnfStyle w:val="000000100000" w:firstRow="0" w:lastRow="0" w:firstColumn="0" w:lastColumn="0" w:oddVBand="0" w:evenVBand="0" w:oddHBand="1" w:evenHBand="0" w:firstRowFirstColumn="0" w:firstRowLastColumn="0" w:lastRowFirstColumn="0" w:lastRowLastColumn="0"/>
        </w:trPr>
        <w:tc>
          <w:tcPr>
            <w:tcW w:w="3429" w:type="pct"/>
            <w:hideMark/>
          </w:tcPr>
          <w:p w14:paraId="576258B9" w14:textId="77777777" w:rsidR="00E83B7F" w:rsidRPr="00561B12" w:rsidRDefault="00E83B7F" w:rsidP="00561B12">
            <w:r w:rsidRPr="00561B12">
              <w:t>System was working to protect my best interests</w:t>
            </w:r>
          </w:p>
        </w:tc>
        <w:tc>
          <w:tcPr>
            <w:tcW w:w="1571" w:type="pct"/>
            <w:noWrap/>
            <w:hideMark/>
          </w:tcPr>
          <w:p w14:paraId="72F2923D" w14:textId="77777777" w:rsidR="00E83B7F" w:rsidRPr="00561B12" w:rsidRDefault="00E83B7F" w:rsidP="00561B12">
            <w:pPr>
              <w:jc w:val="center"/>
            </w:pPr>
            <w:r w:rsidRPr="00561B12">
              <w:t>45%</w:t>
            </w:r>
          </w:p>
        </w:tc>
      </w:tr>
      <w:tr w:rsidR="00E83B7F" w:rsidRPr="00561B12" w14:paraId="121A6AEC" w14:textId="77777777" w:rsidTr="00D54658">
        <w:trPr>
          <w:cnfStyle w:val="000000010000" w:firstRow="0" w:lastRow="0" w:firstColumn="0" w:lastColumn="0" w:oddVBand="0" w:evenVBand="0" w:oddHBand="0" w:evenHBand="1" w:firstRowFirstColumn="0" w:firstRowLastColumn="0" w:lastRowFirstColumn="0" w:lastRowLastColumn="0"/>
        </w:trPr>
        <w:tc>
          <w:tcPr>
            <w:tcW w:w="3429" w:type="pct"/>
            <w:hideMark/>
          </w:tcPr>
          <w:p w14:paraId="7B474ACC" w14:textId="77777777" w:rsidR="00E83B7F" w:rsidRPr="00561B12" w:rsidRDefault="00E83B7F" w:rsidP="00561B12">
            <w:r w:rsidRPr="00561B12">
              <w:t>I believe the system treated me fairly</w:t>
            </w:r>
          </w:p>
        </w:tc>
        <w:tc>
          <w:tcPr>
            <w:tcW w:w="1571" w:type="pct"/>
            <w:noWrap/>
            <w:hideMark/>
          </w:tcPr>
          <w:p w14:paraId="790D664C" w14:textId="77777777" w:rsidR="00E83B7F" w:rsidRPr="00561B12" w:rsidRDefault="00E83B7F" w:rsidP="00561B12">
            <w:pPr>
              <w:jc w:val="center"/>
            </w:pPr>
            <w:r w:rsidRPr="00561B12">
              <w:t>56%</w:t>
            </w:r>
          </w:p>
        </w:tc>
      </w:tr>
      <w:tr w:rsidR="00E83B7F" w:rsidRPr="00561B12" w14:paraId="26E58BE7" w14:textId="77777777" w:rsidTr="00D54658">
        <w:trPr>
          <w:cnfStyle w:val="000000100000" w:firstRow="0" w:lastRow="0" w:firstColumn="0" w:lastColumn="0" w:oddVBand="0" w:evenVBand="0" w:oddHBand="1" w:evenHBand="0" w:firstRowFirstColumn="0" w:firstRowLastColumn="0" w:lastRowFirstColumn="0" w:lastRowLastColumn="0"/>
        </w:trPr>
        <w:tc>
          <w:tcPr>
            <w:tcW w:w="3429" w:type="pct"/>
            <w:hideMark/>
          </w:tcPr>
          <w:p w14:paraId="1A849636" w14:textId="77777777" w:rsidR="00E83B7F" w:rsidRPr="00561B12" w:rsidRDefault="00E83B7F" w:rsidP="00561B12">
            <w:r w:rsidRPr="00561B12">
              <w:t>I feel that the system helped me with my recovery</w:t>
            </w:r>
          </w:p>
        </w:tc>
        <w:tc>
          <w:tcPr>
            <w:tcW w:w="1571" w:type="pct"/>
            <w:noWrap/>
            <w:hideMark/>
          </w:tcPr>
          <w:p w14:paraId="6B834B1D" w14:textId="77777777" w:rsidR="00E83B7F" w:rsidRPr="00561B12" w:rsidRDefault="00E83B7F" w:rsidP="00561B12">
            <w:pPr>
              <w:jc w:val="center"/>
            </w:pPr>
            <w:r w:rsidRPr="00561B12">
              <w:t>50%</w:t>
            </w:r>
          </w:p>
        </w:tc>
      </w:tr>
    </w:tbl>
    <w:p w14:paraId="38AFBE6A" w14:textId="77777777" w:rsidR="00E83B7F" w:rsidRPr="00DC1480" w:rsidRDefault="00E83B7F" w:rsidP="001A004E">
      <w:pPr>
        <w:pStyle w:val="Heading2"/>
      </w:pPr>
      <w:bookmarkStart w:id="89" w:name="_Toc473101898"/>
      <w:bookmarkStart w:id="90" w:name="_Toc497141024"/>
      <w:r w:rsidRPr="00DC1480">
        <w:lastRenderedPageBreak/>
        <w:t>Disputes</w:t>
      </w:r>
      <w:bookmarkEnd w:id="89"/>
      <w:bookmarkEnd w:id="90"/>
    </w:p>
    <w:p w14:paraId="4928C425" w14:textId="77777777" w:rsidR="00E83B7F" w:rsidRPr="00561B12" w:rsidRDefault="00E83B7F" w:rsidP="00561B12">
      <w:r w:rsidRPr="00561B12">
        <w:t xml:space="preserve">Disputation interferes with RTW. Disputes can often result in reduced cooperation, less constructive communication, and incur delays in treatment and rehabilitation. The Survey data show rates of RTW are lower when disputes exist. </w:t>
      </w:r>
    </w:p>
    <w:p w14:paraId="3BF99EE7" w14:textId="5D57209B" w:rsidR="00E83B7F" w:rsidRPr="00561B12" w:rsidRDefault="00E83B7F" w:rsidP="00561B12">
      <w:r w:rsidRPr="00561B12">
        <w:t xml:space="preserve">As shown in </w:t>
      </w:r>
      <w:r w:rsidR="00AF69DF">
        <w:fldChar w:fldCharType="begin"/>
      </w:r>
      <w:r w:rsidR="00AF69DF">
        <w:instrText xml:space="preserve"> REF _Ref430869550 \h </w:instrText>
      </w:r>
      <w:r w:rsidR="00AF69DF">
        <w:fldChar w:fldCharType="separate"/>
      </w:r>
      <w:r w:rsidR="005D6308" w:rsidRPr="00153C28">
        <w:t xml:space="preserve">Figure </w:t>
      </w:r>
      <w:r w:rsidR="005D6308">
        <w:rPr>
          <w:noProof/>
        </w:rPr>
        <w:t>12</w:t>
      </w:r>
      <w:r w:rsidR="00AF69DF">
        <w:fldChar w:fldCharType="end"/>
      </w:r>
      <w:r w:rsidRPr="00561B12">
        <w:t>, 63% of employees with a psychological claim advised that there was no difference of opinion of the RTW at the time of the interview compared</w:t>
      </w:r>
      <w:r w:rsidR="00B14071">
        <w:t xml:space="preserve"> to 51% where a dispute existed</w:t>
      </w:r>
      <w:r w:rsidRPr="00561B12">
        <w:t xml:space="preserve">. Of those who were back at work for three or more months 48% didn’t have a difference of opinion compared to 39% who did. As shown in </w:t>
      </w:r>
      <w:r w:rsidR="000B1F4F">
        <w:fldChar w:fldCharType="begin"/>
      </w:r>
      <w:r w:rsidR="000B1F4F">
        <w:instrText xml:space="preserve"> REF _Ref430776600 \h </w:instrText>
      </w:r>
      <w:r w:rsidR="000B1F4F">
        <w:fldChar w:fldCharType="separate"/>
      </w:r>
      <w:r w:rsidR="005D6308" w:rsidRPr="00EA4A3F">
        <w:t xml:space="preserve">Table </w:t>
      </w:r>
      <w:r w:rsidR="005D6308">
        <w:rPr>
          <w:noProof/>
        </w:rPr>
        <w:t>9</w:t>
      </w:r>
      <w:r w:rsidR="000B1F4F">
        <w:fldChar w:fldCharType="end"/>
      </w:r>
      <w:r w:rsidRPr="00561B12">
        <w:t xml:space="preserve">, 51% of employees with a psychological claim indicated there was a difference of opinion with their employer/claim organisation. </w:t>
      </w:r>
    </w:p>
    <w:p w14:paraId="7251C720" w14:textId="7B97E98E" w:rsidR="00E83B7F" w:rsidRDefault="00E83B7F" w:rsidP="00561B12">
      <w:pPr>
        <w:pStyle w:val="Caption"/>
      </w:pPr>
      <w:bookmarkStart w:id="91" w:name="_Ref430869550"/>
      <w:bookmarkStart w:id="92" w:name="_Toc497141048"/>
      <w:r w:rsidRPr="00153C28">
        <w:t xml:space="preserve">Figure </w:t>
      </w:r>
      <w:r w:rsidR="005D6308">
        <w:fldChar w:fldCharType="begin"/>
      </w:r>
      <w:r w:rsidR="005D6308">
        <w:instrText xml:space="preserve"> SEQ Figure \* ARABIC </w:instrText>
      </w:r>
      <w:r w:rsidR="005D6308">
        <w:fldChar w:fldCharType="separate"/>
      </w:r>
      <w:r w:rsidR="005D6308">
        <w:rPr>
          <w:noProof/>
        </w:rPr>
        <w:t>12</w:t>
      </w:r>
      <w:r w:rsidR="005D6308">
        <w:rPr>
          <w:noProof/>
        </w:rPr>
        <w:fldChar w:fldCharType="end"/>
      </w:r>
      <w:bookmarkEnd w:id="91"/>
      <w:r w:rsidRPr="00153C28">
        <w:t xml:space="preserve"> </w:t>
      </w:r>
      <w:r w:rsidR="00BD5C43">
        <w:t>–</w:t>
      </w:r>
      <w:r w:rsidRPr="00153C28">
        <w:t xml:space="preserve"> </w:t>
      </w:r>
      <w:r>
        <w:t xml:space="preserve">Percentage </w:t>
      </w:r>
      <w:r w:rsidRPr="00EA4A3F">
        <w:t xml:space="preserve">RTW </w:t>
      </w:r>
      <w:r>
        <w:t>by d</w:t>
      </w:r>
      <w:r w:rsidRPr="00153C28">
        <w:t>ifference of opinion</w:t>
      </w:r>
      <w:bookmarkEnd w:id="92"/>
    </w:p>
    <w:p w14:paraId="46511434" w14:textId="284851AC" w:rsidR="00E83B7F" w:rsidRPr="00D66796" w:rsidRDefault="00E83B7F" w:rsidP="00E83B7F">
      <w:r>
        <w:rPr>
          <w:noProof/>
        </w:rPr>
        <w:drawing>
          <wp:inline distT="0" distB="0" distL="0" distR="0" wp14:anchorId="0E168C0C" wp14:editId="44B35AA4">
            <wp:extent cx="2736000" cy="2517569"/>
            <wp:effectExtent l="0" t="0" r="26670" b="16510"/>
            <wp:docPr id="87" name="Chart 87" descr="This graph provides a percentage comparison of employees (at work at the time of interview) who expressed not having a dispute with the employer/claim organisation compared with those who expressed a dispute existed. " title="Figure 12: Percentage RTW by difference of opin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00DC531A">
        <w:t xml:space="preserve"> </w:t>
      </w:r>
      <w:r w:rsidR="00DC531A">
        <w:rPr>
          <w:noProof/>
        </w:rPr>
        <w:drawing>
          <wp:inline distT="0" distB="0" distL="0" distR="0" wp14:anchorId="7971F75E" wp14:editId="62D26481">
            <wp:extent cx="2736000" cy="2517569"/>
            <wp:effectExtent l="0" t="0" r="26670" b="16510"/>
            <wp:docPr id="88" name="Chart 88" descr="This graph provides a percentage comparison of employees (at work for three months or more at the time of interview) who expressed not having a dispute with the employer/claim organisation compared with those who expressed a dispute existed. " title="Figure 12: Percentage RTW by difference of opin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F80F937" w14:textId="77777777" w:rsidR="00E83B7F" w:rsidRDefault="00E83B7F" w:rsidP="00561B12">
      <w:pPr>
        <w:pStyle w:val="Caption"/>
      </w:pPr>
      <w:r w:rsidRPr="007C5E49">
        <w:t xml:space="preserve">N = </w:t>
      </w:r>
      <w:r>
        <w:t>541</w:t>
      </w:r>
    </w:p>
    <w:p w14:paraId="180AAF4D" w14:textId="77777777" w:rsidR="00561B12" w:rsidRPr="00561B12" w:rsidRDefault="00561B12" w:rsidP="00561B12"/>
    <w:p w14:paraId="01E58328" w14:textId="6BFFDB96" w:rsidR="00E83B7F" w:rsidRPr="00561B12" w:rsidRDefault="00E83B7F" w:rsidP="00561B12">
      <w:r w:rsidRPr="00561B12">
        <w:t>Of those who had a dispute, data analysis showed 71% required assistance to resolve it. When assistance was required RTW results were again lower. When assistance was needed to resolve the dispute situation the magnitude of the difference was larger (</w:t>
      </w:r>
      <w:r w:rsidR="00AF69DF">
        <w:fldChar w:fldCharType="begin"/>
      </w:r>
      <w:r w:rsidR="00AF69DF">
        <w:instrText xml:space="preserve"> REF _Ref430939388 \h </w:instrText>
      </w:r>
      <w:r w:rsidR="00AF69DF">
        <w:fldChar w:fldCharType="separate"/>
      </w:r>
      <w:r w:rsidR="005D6308" w:rsidRPr="00153C28">
        <w:t xml:space="preserve">Figure </w:t>
      </w:r>
      <w:r w:rsidR="005D6308">
        <w:rPr>
          <w:noProof/>
        </w:rPr>
        <w:t>13</w:t>
      </w:r>
      <w:r w:rsidR="00AF69DF">
        <w:fldChar w:fldCharType="end"/>
      </w:r>
      <w:r w:rsidRPr="00561B12">
        <w:t xml:space="preserve">). </w:t>
      </w:r>
      <w:bookmarkStart w:id="93" w:name="_Ref430869568"/>
    </w:p>
    <w:p w14:paraId="5CE556A4" w14:textId="1E2CE9AE" w:rsidR="00E83B7F" w:rsidRDefault="00E83B7F" w:rsidP="00561B12">
      <w:pPr>
        <w:pStyle w:val="Caption"/>
      </w:pPr>
      <w:bookmarkStart w:id="94" w:name="_Ref430939388"/>
      <w:bookmarkStart w:id="95" w:name="_Toc497141049"/>
      <w:r w:rsidRPr="00153C28">
        <w:t xml:space="preserve">Figure </w:t>
      </w:r>
      <w:r w:rsidR="005D6308">
        <w:fldChar w:fldCharType="begin"/>
      </w:r>
      <w:r w:rsidR="005D6308">
        <w:instrText xml:space="preserve"> SEQ Figure \* ARABIC </w:instrText>
      </w:r>
      <w:r w:rsidR="005D6308">
        <w:fldChar w:fldCharType="separate"/>
      </w:r>
      <w:r w:rsidR="005D6308">
        <w:rPr>
          <w:noProof/>
        </w:rPr>
        <w:t>13</w:t>
      </w:r>
      <w:r w:rsidR="005D6308">
        <w:rPr>
          <w:noProof/>
        </w:rPr>
        <w:fldChar w:fldCharType="end"/>
      </w:r>
      <w:bookmarkEnd w:id="93"/>
      <w:bookmarkEnd w:id="94"/>
      <w:r w:rsidRPr="00153C28">
        <w:t xml:space="preserve"> </w:t>
      </w:r>
      <w:r w:rsidR="00BD5C43">
        <w:t>–</w:t>
      </w:r>
      <w:r w:rsidRPr="00153C28">
        <w:t xml:space="preserve"> </w:t>
      </w:r>
      <w:r>
        <w:t xml:space="preserve">Percentage </w:t>
      </w:r>
      <w:r w:rsidRPr="00EA4A3F">
        <w:t xml:space="preserve">RTW </w:t>
      </w:r>
      <w:r>
        <w:t>by needed a</w:t>
      </w:r>
      <w:r w:rsidRPr="00153C28">
        <w:t>ssistance to resolve dispute</w:t>
      </w:r>
      <w:r>
        <w:t>s</w:t>
      </w:r>
      <w:bookmarkEnd w:id="95"/>
    </w:p>
    <w:p w14:paraId="6539CBDD" w14:textId="5F3D6214" w:rsidR="00E83B7F" w:rsidRPr="00D66796" w:rsidRDefault="00E83B7F" w:rsidP="00E83B7F">
      <w:r>
        <w:rPr>
          <w:noProof/>
        </w:rPr>
        <w:drawing>
          <wp:inline distT="0" distB="0" distL="0" distR="0" wp14:anchorId="027FAC42" wp14:editId="4DAF8098">
            <wp:extent cx="2736000" cy="2517568"/>
            <wp:effectExtent l="0" t="0" r="26670" b="16510"/>
            <wp:docPr id="90" name="Chart 90" descr="This graph provides a percentage comparison of employees (at work at the time of interview) who expressed having a dispute with the employer or claim organisation and whether or not assistance was required to resolve it. &#10;" title="Figure 13: Percentage RTW by needed assistance to resolve dispu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00DC531A">
        <w:t xml:space="preserve"> </w:t>
      </w:r>
      <w:r w:rsidR="00DC531A">
        <w:rPr>
          <w:noProof/>
        </w:rPr>
        <w:drawing>
          <wp:inline distT="0" distB="0" distL="0" distR="0" wp14:anchorId="50E88277" wp14:editId="699F9A3D">
            <wp:extent cx="2736000" cy="2517569"/>
            <wp:effectExtent l="0" t="0" r="26670" b="16510"/>
            <wp:docPr id="91" name="Chart 91" descr="This graph provides a percentage comparison of employees (at work at the time of interview) who expressed having a dispute with the employer or claim organisation and whether or not assistance was required to resolve it. &#10;" title="Figure 13: Percentage RTW by needed assistance to resolve dispu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54EB88B" w14:textId="77777777" w:rsidR="00E83B7F" w:rsidRPr="007C5E49" w:rsidRDefault="00E83B7F" w:rsidP="00561B12">
      <w:pPr>
        <w:pStyle w:val="Caption"/>
      </w:pPr>
      <w:r w:rsidRPr="007C5E49">
        <w:t xml:space="preserve">N = </w:t>
      </w:r>
      <w:r>
        <w:t>275</w:t>
      </w:r>
    </w:p>
    <w:p w14:paraId="7321B3E5" w14:textId="77777777" w:rsidR="00561B12" w:rsidRPr="00561B12" w:rsidRDefault="00561B12" w:rsidP="00561B12">
      <w:bookmarkStart w:id="96" w:name="_Toc473101899"/>
    </w:p>
    <w:p w14:paraId="680AB5D6" w14:textId="77777777" w:rsidR="00E83B7F" w:rsidRPr="00DC1480" w:rsidRDefault="00E83B7F" w:rsidP="001A004E">
      <w:pPr>
        <w:pStyle w:val="Heading2"/>
      </w:pPr>
      <w:bookmarkStart w:id="97" w:name="_Toc497141025"/>
      <w:r w:rsidRPr="00DC1480">
        <w:lastRenderedPageBreak/>
        <w:t>Resilience</w:t>
      </w:r>
      <w:bookmarkEnd w:id="96"/>
      <w:bookmarkEnd w:id="97"/>
    </w:p>
    <w:p w14:paraId="7DEED0FE" w14:textId="77777777" w:rsidR="00E83B7F" w:rsidRPr="00561B12" w:rsidRDefault="00E83B7F" w:rsidP="002263C3">
      <w:pPr>
        <w:keepNext/>
        <w:keepLines/>
      </w:pPr>
      <w:r w:rsidRPr="00561B12">
        <w:t>The Brief Resilience Scale</w:t>
      </w:r>
      <w:r w:rsidRPr="00A20EE9">
        <w:rPr>
          <w:rStyle w:val="EndnoteReference"/>
        </w:rPr>
        <w:endnoteReference w:id="5"/>
      </w:r>
      <w:r w:rsidRPr="00561B12">
        <w:t xml:space="preserve"> is a validated measure of resilience, made up of six questions. High scores are positively related to coping, strong social relations and health. High scores are inversely related to anxiety, depression, negative affect and physical symptoms. </w:t>
      </w:r>
    </w:p>
    <w:p w14:paraId="4DD4A2F3" w14:textId="728AB63E" w:rsidR="00E83B7F" w:rsidRPr="00561B12" w:rsidRDefault="00E83B7F" w:rsidP="00561B12">
      <w:r w:rsidRPr="00561B12">
        <w:t xml:space="preserve">The Brief Resilience Scale questions are included in the Survey. Employees with higher levels of resilience were more likely to RTW, as seen in </w:t>
      </w:r>
      <w:r w:rsidR="00AF69DF">
        <w:fldChar w:fldCharType="begin"/>
      </w:r>
      <w:r w:rsidR="00AF69DF">
        <w:instrText xml:space="preserve"> REF _Ref430869267 \h </w:instrText>
      </w:r>
      <w:r w:rsidR="00AF69DF">
        <w:fldChar w:fldCharType="separate"/>
      </w:r>
      <w:r w:rsidR="005D6308" w:rsidRPr="00EA4A3F">
        <w:t xml:space="preserve">Figure </w:t>
      </w:r>
      <w:r w:rsidR="005D6308">
        <w:rPr>
          <w:noProof/>
        </w:rPr>
        <w:t>14</w:t>
      </w:r>
      <w:r w:rsidR="00AF69DF">
        <w:fldChar w:fldCharType="end"/>
      </w:r>
      <w:r w:rsidRPr="00561B12">
        <w:t>.</w:t>
      </w:r>
    </w:p>
    <w:p w14:paraId="717C15B9" w14:textId="48908297" w:rsidR="00E83B7F" w:rsidRDefault="00E83B7F" w:rsidP="00561B12">
      <w:pPr>
        <w:pStyle w:val="Caption"/>
        <w:rPr>
          <w:noProof/>
        </w:rPr>
      </w:pPr>
      <w:bookmarkStart w:id="98" w:name="_Ref430869267"/>
      <w:bookmarkStart w:id="99" w:name="_Toc497141050"/>
      <w:r w:rsidRPr="00EA4A3F">
        <w:t xml:space="preserve">Figure </w:t>
      </w:r>
      <w:r w:rsidR="005D6308">
        <w:fldChar w:fldCharType="begin"/>
      </w:r>
      <w:r w:rsidR="005D6308">
        <w:instrText xml:space="preserve"> SEQ Figure \</w:instrText>
      </w:r>
      <w:r w:rsidR="005D6308">
        <w:instrText xml:space="preserve">* ARABIC </w:instrText>
      </w:r>
      <w:r w:rsidR="005D6308">
        <w:fldChar w:fldCharType="separate"/>
      </w:r>
      <w:r w:rsidR="005D6308">
        <w:rPr>
          <w:noProof/>
        </w:rPr>
        <w:t>14</w:t>
      </w:r>
      <w:r w:rsidR="005D6308">
        <w:rPr>
          <w:noProof/>
        </w:rPr>
        <w:fldChar w:fldCharType="end"/>
      </w:r>
      <w:bookmarkEnd w:id="98"/>
      <w:r>
        <w:rPr>
          <w:noProof/>
        </w:rPr>
        <w:t xml:space="preserve"> </w:t>
      </w:r>
      <w:r w:rsidR="00BD5C43">
        <w:rPr>
          <w:noProof/>
        </w:rPr>
        <w:t>–</w:t>
      </w:r>
      <w:r w:rsidRPr="00EA4A3F">
        <w:rPr>
          <w:noProof/>
        </w:rPr>
        <w:t xml:space="preserve"> </w:t>
      </w:r>
      <w:r>
        <w:t>Percentage RTW</w:t>
      </w:r>
      <w:r w:rsidRPr="00EA4A3F">
        <w:t xml:space="preserve"> </w:t>
      </w:r>
      <w:r>
        <w:t xml:space="preserve">by </w:t>
      </w:r>
      <w:r>
        <w:rPr>
          <w:noProof/>
        </w:rPr>
        <w:t>l</w:t>
      </w:r>
      <w:r w:rsidRPr="00EA4A3F">
        <w:rPr>
          <w:noProof/>
        </w:rPr>
        <w:t>evels of resilience</w:t>
      </w:r>
      <w:bookmarkEnd w:id="99"/>
    </w:p>
    <w:p w14:paraId="405A450E" w14:textId="0792EDAE" w:rsidR="00E83B7F" w:rsidRPr="00375F47" w:rsidRDefault="00E83B7F" w:rsidP="00375F47">
      <w:r w:rsidRPr="00375F47">
        <w:rPr>
          <w:noProof/>
        </w:rPr>
        <w:drawing>
          <wp:inline distT="0" distB="0" distL="0" distR="0" wp14:anchorId="38FB752F" wp14:editId="09B29652">
            <wp:extent cx="2755075" cy="2517569"/>
            <wp:effectExtent l="0" t="0" r="26670" b="16510"/>
            <wp:docPr id="99" name="Chart 99" descr="This graph provides a percentage comparison of employees (at work at the time of interview) who reported having either a high level or low level of resilience. " title="Figure 14: Percentage RTW by levels of resilience "/>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00DC531A" w:rsidRPr="00375F47">
        <w:t xml:space="preserve"> </w:t>
      </w:r>
      <w:r w:rsidR="00DC531A" w:rsidRPr="00375F47">
        <w:rPr>
          <w:noProof/>
        </w:rPr>
        <w:drawing>
          <wp:inline distT="0" distB="0" distL="0" distR="0" wp14:anchorId="2AB4E41C" wp14:editId="3171BEB6">
            <wp:extent cx="2736000" cy="2517569"/>
            <wp:effectExtent l="0" t="0" r="26670" b="16510"/>
            <wp:docPr id="100" name="Chart 100" descr="This graph provides a percentage comparison of employees (at work for three months or more at the time of interview) who reported having either a high level or low level of resilience. " title="Figure 14: Percentage RTW by levels of resilie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21804AC" w14:textId="77777777" w:rsidR="00E83B7F" w:rsidRPr="00EA4A3F" w:rsidRDefault="00E83B7F" w:rsidP="00561B12">
      <w:pPr>
        <w:pStyle w:val="Caption"/>
        <w:rPr>
          <w:rStyle w:val="SubtleReference"/>
          <w:rFonts w:asciiTheme="minorHAnsi" w:hAnsiTheme="minorHAnsi" w:cstheme="majorBidi"/>
          <w:i/>
          <w:color w:val="365F91" w:themeColor="accent1" w:themeShade="BF"/>
        </w:rPr>
      </w:pPr>
      <w:r w:rsidRPr="00EA4A3F">
        <w:t>N =</w:t>
      </w:r>
      <w:r>
        <w:t>434</w:t>
      </w:r>
    </w:p>
    <w:p w14:paraId="3A5432B4" w14:textId="77777777" w:rsidR="00561B12" w:rsidRPr="00561B12" w:rsidRDefault="00561B12" w:rsidP="00561B12"/>
    <w:p w14:paraId="4E782B7A" w14:textId="3D28A250" w:rsidR="00E83B7F" w:rsidRPr="00561B12" w:rsidRDefault="00E83B7F" w:rsidP="00561B12">
      <w:r w:rsidRPr="00561B12">
        <w:t xml:space="preserve">The Brief Resilience Scale includes three statements against which the employee is asked to rate their positive coping abilities (e.g. ‘I tend to bounce back quickly after hard times’) and three statements asking the employee about their difficulties coping (e.g. ‘I have a hard time making it through stressful events’). Scoring adds the levels of agreement with ‘ability to cope’ questions and disagreement with ‘difficulty in coping’ questions. The individual questions are in </w:t>
      </w:r>
      <w:r w:rsidR="000B1F4F">
        <w:fldChar w:fldCharType="begin"/>
      </w:r>
      <w:r w:rsidR="000B1F4F">
        <w:instrText xml:space="preserve"> REF _Ref430802547 \h </w:instrText>
      </w:r>
      <w:r w:rsidR="000B1F4F">
        <w:fldChar w:fldCharType="separate"/>
      </w:r>
      <w:r w:rsidR="005D6308" w:rsidRPr="00EA4A3F">
        <w:t xml:space="preserve">Table </w:t>
      </w:r>
      <w:r w:rsidR="005D6308">
        <w:rPr>
          <w:noProof/>
        </w:rPr>
        <w:t>16</w:t>
      </w:r>
      <w:r w:rsidR="000B1F4F">
        <w:fldChar w:fldCharType="end"/>
      </w:r>
      <w:r w:rsidRPr="00561B12">
        <w:t xml:space="preserve"> and </w:t>
      </w:r>
      <w:r w:rsidR="000B1F4F">
        <w:fldChar w:fldCharType="begin"/>
      </w:r>
      <w:r w:rsidR="000B1F4F">
        <w:instrText xml:space="preserve"> REF _Ref494273659 \h </w:instrText>
      </w:r>
      <w:r w:rsidR="000B1F4F">
        <w:fldChar w:fldCharType="separate"/>
      </w:r>
      <w:r w:rsidR="005D6308" w:rsidRPr="00153C28">
        <w:t xml:space="preserve">Table </w:t>
      </w:r>
      <w:r w:rsidR="005D6308">
        <w:rPr>
          <w:noProof/>
        </w:rPr>
        <w:t>17</w:t>
      </w:r>
      <w:r w:rsidR="000B1F4F">
        <w:fldChar w:fldCharType="end"/>
      </w:r>
      <w:r w:rsidRPr="00561B12">
        <w:t xml:space="preserve"> below. </w:t>
      </w:r>
    </w:p>
    <w:p w14:paraId="7328BDDC" w14:textId="77777777" w:rsidR="00E83B7F" w:rsidRPr="00561B12" w:rsidRDefault="00E83B7F" w:rsidP="00561B12">
      <w:r w:rsidRPr="00561B12">
        <w:t xml:space="preserve">For ease of identification, responses indicating greater resilience are in bold in the tables below. Higher resilience was associated with better RTW results. </w:t>
      </w:r>
    </w:p>
    <w:p w14:paraId="7D089941" w14:textId="107C9B4B" w:rsidR="00E83B7F" w:rsidRPr="00561B12" w:rsidRDefault="00E83B7F" w:rsidP="00561B12">
      <w:r w:rsidRPr="00561B12">
        <w:t>Sixty-five per</w:t>
      </w:r>
      <w:r w:rsidR="006067C2">
        <w:t xml:space="preserve"> </w:t>
      </w:r>
      <w:r w:rsidRPr="00561B12">
        <w:t>cent of employees who agreed that they bounce back quickly from hard times were at work at the time of the interview, versus 46% who did not agree (</w:t>
      </w:r>
      <w:r w:rsidR="000B1F4F">
        <w:fldChar w:fldCharType="begin"/>
      </w:r>
      <w:r w:rsidR="000B1F4F">
        <w:instrText xml:space="preserve"> REF _Ref430802547 \h </w:instrText>
      </w:r>
      <w:r w:rsidR="000B1F4F">
        <w:fldChar w:fldCharType="separate"/>
      </w:r>
      <w:r w:rsidR="005D6308" w:rsidRPr="00EA4A3F">
        <w:t xml:space="preserve">Table </w:t>
      </w:r>
      <w:r w:rsidR="005D6308">
        <w:rPr>
          <w:noProof/>
        </w:rPr>
        <w:t>16</w:t>
      </w:r>
      <w:r w:rsidR="000B1F4F">
        <w:fldChar w:fldCharType="end"/>
      </w:r>
      <w:r w:rsidRPr="00561B12">
        <w:t>). Fifty per</w:t>
      </w:r>
      <w:r w:rsidR="006067C2">
        <w:t xml:space="preserve"> </w:t>
      </w:r>
      <w:r w:rsidRPr="00561B12">
        <w:t>cent of those who agreed with this question were back at work for at least three months at the time of the survey interview, versus 38% who did not agree (</w:t>
      </w:r>
      <w:r w:rsidR="000B1F4F">
        <w:fldChar w:fldCharType="begin"/>
      </w:r>
      <w:r w:rsidR="000B1F4F">
        <w:instrText xml:space="preserve"> REF _Ref430802547 \h </w:instrText>
      </w:r>
      <w:r w:rsidR="000B1F4F">
        <w:fldChar w:fldCharType="separate"/>
      </w:r>
      <w:r w:rsidR="005D6308" w:rsidRPr="00EA4A3F">
        <w:t xml:space="preserve">Table </w:t>
      </w:r>
      <w:r w:rsidR="005D6308">
        <w:rPr>
          <w:noProof/>
        </w:rPr>
        <w:t>16</w:t>
      </w:r>
      <w:r w:rsidR="000B1F4F">
        <w:fldChar w:fldCharType="end"/>
      </w:r>
      <w:r w:rsidRPr="00561B12">
        <w:t xml:space="preserve"> and </w:t>
      </w:r>
      <w:r w:rsidR="000B1F4F">
        <w:fldChar w:fldCharType="begin"/>
      </w:r>
      <w:r w:rsidR="000B1F4F">
        <w:instrText xml:space="preserve"> REF _Ref494273659 \h </w:instrText>
      </w:r>
      <w:r w:rsidR="000B1F4F">
        <w:fldChar w:fldCharType="separate"/>
      </w:r>
      <w:r w:rsidR="005D6308" w:rsidRPr="00153C28">
        <w:t xml:space="preserve">Table </w:t>
      </w:r>
      <w:r w:rsidR="005D6308">
        <w:rPr>
          <w:noProof/>
        </w:rPr>
        <w:t>17</w:t>
      </w:r>
      <w:r w:rsidR="000B1F4F">
        <w:fldChar w:fldCharType="end"/>
      </w:r>
      <w:r w:rsidRPr="00561B12">
        <w:t>).</w:t>
      </w:r>
    </w:p>
    <w:p w14:paraId="4DEC47E0" w14:textId="0168C618" w:rsidR="00E83B7F" w:rsidRDefault="00E83B7F" w:rsidP="00081812">
      <w:pPr>
        <w:pStyle w:val="Caption"/>
      </w:pPr>
      <w:bookmarkStart w:id="100" w:name="_Ref430802547"/>
      <w:bookmarkStart w:id="101" w:name="_Toc494358580"/>
      <w:r w:rsidRPr="00EA4A3F">
        <w:lastRenderedPageBreak/>
        <w:t xml:space="preserve">Table </w:t>
      </w:r>
      <w:r w:rsidR="005D6308">
        <w:fldChar w:fldCharType="begin"/>
      </w:r>
      <w:r w:rsidR="005D6308">
        <w:instrText xml:space="preserve"> SEQ Table \* ARABIC </w:instrText>
      </w:r>
      <w:r w:rsidR="005D6308">
        <w:fldChar w:fldCharType="separate"/>
      </w:r>
      <w:r w:rsidR="005D6308">
        <w:rPr>
          <w:noProof/>
        </w:rPr>
        <w:t>16</w:t>
      </w:r>
      <w:r w:rsidR="005D6308">
        <w:rPr>
          <w:noProof/>
        </w:rPr>
        <w:fldChar w:fldCharType="end"/>
      </w:r>
      <w:bookmarkEnd w:id="100"/>
      <w:r w:rsidRPr="00EA4A3F">
        <w:t xml:space="preserve"> </w:t>
      </w:r>
      <w:r w:rsidR="00AF773C">
        <w:t>–</w:t>
      </w:r>
      <w:r w:rsidRPr="00EA4A3F">
        <w:t xml:space="preserve"> </w:t>
      </w:r>
      <w:r>
        <w:t>Percentage at work</w:t>
      </w:r>
      <w:r w:rsidRPr="00EA4A3F">
        <w:t xml:space="preserve"> at time of interview</w:t>
      </w:r>
      <w:r>
        <w:t xml:space="preserve"> by response</w:t>
      </w:r>
      <w:r w:rsidRPr="00EA4A3F">
        <w:t xml:space="preserve"> </w:t>
      </w:r>
      <w:r>
        <w:t>to r</w:t>
      </w:r>
      <w:r w:rsidRPr="00EA4A3F">
        <w:t>esilience individual questions</w:t>
      </w:r>
      <w:bookmarkStart w:id="102" w:name="_Ref430802566"/>
      <w:bookmarkStart w:id="103" w:name="_Ref442776864"/>
      <w:bookmarkEnd w:id="101"/>
    </w:p>
    <w:tbl>
      <w:tblPr>
        <w:tblStyle w:val="LightShading-Accent2"/>
        <w:tblW w:w="9214" w:type="dxa"/>
        <w:tblLayout w:type="fixed"/>
        <w:tblLook w:val="0620" w:firstRow="1" w:lastRow="0" w:firstColumn="0" w:lastColumn="0" w:noHBand="1" w:noVBand="1"/>
        <w:tblCaption w:val="Table 16: Percentage at work at time of interview by response to resilience individual questions"/>
        <w:tblDescription w:val="This table provides a percentage breakdown of employee (at work at the time of the interview) responses who either agreed or did not agree with statements relating to resilience.   "/>
      </w:tblPr>
      <w:tblGrid>
        <w:gridCol w:w="3936"/>
        <w:gridCol w:w="2409"/>
        <w:gridCol w:w="2869"/>
      </w:tblGrid>
      <w:tr w:rsidR="00E83B7F" w:rsidRPr="00561B12" w14:paraId="69C77EBB" w14:textId="77777777" w:rsidTr="00C36A80">
        <w:trPr>
          <w:cnfStyle w:val="100000000000" w:firstRow="1" w:lastRow="0" w:firstColumn="0" w:lastColumn="0" w:oddVBand="0" w:evenVBand="0" w:oddHBand="0" w:evenHBand="0" w:firstRowFirstColumn="0" w:firstRowLastColumn="0" w:lastRowFirstColumn="0" w:lastRowLastColumn="0"/>
          <w:tblHeader/>
        </w:trPr>
        <w:tc>
          <w:tcPr>
            <w:tcW w:w="3936" w:type="dxa"/>
            <w:vAlign w:val="center"/>
            <w:hideMark/>
          </w:tcPr>
          <w:p w14:paraId="7C8E408D" w14:textId="77777777" w:rsidR="00E83B7F" w:rsidRPr="00561B12" w:rsidRDefault="00E83B7F" w:rsidP="00081812">
            <w:pPr>
              <w:keepNext/>
              <w:keepLines/>
            </w:pPr>
            <w:r w:rsidRPr="00561B12">
              <w:t>Resilience questions</w:t>
            </w:r>
          </w:p>
        </w:tc>
        <w:tc>
          <w:tcPr>
            <w:tcW w:w="2409" w:type="dxa"/>
            <w:noWrap/>
            <w:hideMark/>
          </w:tcPr>
          <w:p w14:paraId="784F5BCD" w14:textId="77777777" w:rsidR="00E83B7F" w:rsidRPr="00561B12" w:rsidRDefault="00E83B7F" w:rsidP="00081812">
            <w:pPr>
              <w:keepNext/>
              <w:keepLines/>
              <w:jc w:val="center"/>
            </w:pPr>
            <w:r w:rsidRPr="00561B12">
              <w:t>Of those who agreed, % at work</w:t>
            </w:r>
          </w:p>
        </w:tc>
        <w:tc>
          <w:tcPr>
            <w:tcW w:w="2869" w:type="dxa"/>
            <w:noWrap/>
            <w:hideMark/>
          </w:tcPr>
          <w:p w14:paraId="1781CDF9" w14:textId="77777777" w:rsidR="00E83B7F" w:rsidRPr="00561B12" w:rsidRDefault="00E83B7F" w:rsidP="00081812">
            <w:pPr>
              <w:keepNext/>
              <w:keepLines/>
              <w:jc w:val="center"/>
            </w:pPr>
            <w:r w:rsidRPr="00561B12">
              <w:t>Of those who did not agree, % at work</w:t>
            </w:r>
          </w:p>
        </w:tc>
      </w:tr>
      <w:tr w:rsidR="00E83B7F" w:rsidRPr="00561B12" w14:paraId="5BE9A7AC" w14:textId="77777777" w:rsidTr="00C36A80">
        <w:tc>
          <w:tcPr>
            <w:tcW w:w="3936" w:type="dxa"/>
            <w:noWrap/>
            <w:hideMark/>
          </w:tcPr>
          <w:p w14:paraId="2555AB65" w14:textId="0B7FD40E" w:rsidR="00E83B7F" w:rsidRPr="00561B12" w:rsidRDefault="00E83B7F" w:rsidP="00081812">
            <w:pPr>
              <w:keepNext/>
              <w:keepLines/>
            </w:pPr>
            <w:r w:rsidRPr="00561B12">
              <w:t>I tend to bounce back quickly after hard</w:t>
            </w:r>
            <w:r w:rsidR="00081D79">
              <w:t> </w:t>
            </w:r>
            <w:r w:rsidRPr="00561B12">
              <w:t>times</w:t>
            </w:r>
          </w:p>
        </w:tc>
        <w:tc>
          <w:tcPr>
            <w:tcW w:w="2409" w:type="dxa"/>
            <w:noWrap/>
            <w:hideMark/>
          </w:tcPr>
          <w:p w14:paraId="629D04E6" w14:textId="77777777" w:rsidR="00E83B7F" w:rsidRPr="00561B12" w:rsidRDefault="00E83B7F" w:rsidP="00081812">
            <w:pPr>
              <w:keepNext/>
              <w:keepLines/>
              <w:jc w:val="center"/>
            </w:pPr>
            <w:r w:rsidRPr="00561B12">
              <w:t>65%</w:t>
            </w:r>
          </w:p>
        </w:tc>
        <w:tc>
          <w:tcPr>
            <w:tcW w:w="2869" w:type="dxa"/>
            <w:noWrap/>
            <w:hideMark/>
          </w:tcPr>
          <w:p w14:paraId="3CD1E923" w14:textId="77777777" w:rsidR="00E83B7F" w:rsidRPr="00561B12" w:rsidRDefault="00E83B7F" w:rsidP="00081812">
            <w:pPr>
              <w:keepNext/>
              <w:keepLines/>
              <w:jc w:val="center"/>
            </w:pPr>
            <w:r w:rsidRPr="00561B12">
              <w:t>46%</w:t>
            </w:r>
          </w:p>
        </w:tc>
      </w:tr>
      <w:tr w:rsidR="00E83B7F" w:rsidRPr="00561B12" w14:paraId="6EB689E1" w14:textId="77777777" w:rsidTr="00C36A80">
        <w:tc>
          <w:tcPr>
            <w:tcW w:w="3936" w:type="dxa"/>
            <w:shd w:val="clear" w:color="auto" w:fill="C9E5F7"/>
            <w:noWrap/>
            <w:hideMark/>
          </w:tcPr>
          <w:p w14:paraId="2DD26806" w14:textId="77777777" w:rsidR="00E83B7F" w:rsidRPr="00561B12" w:rsidRDefault="00E83B7F" w:rsidP="00081812">
            <w:pPr>
              <w:keepNext/>
              <w:keepLines/>
            </w:pPr>
            <w:r w:rsidRPr="00561B12">
              <w:t>Does not take long for me to recover from a stressful event</w:t>
            </w:r>
          </w:p>
        </w:tc>
        <w:tc>
          <w:tcPr>
            <w:tcW w:w="2409" w:type="dxa"/>
            <w:shd w:val="clear" w:color="auto" w:fill="C9E5F7"/>
            <w:noWrap/>
            <w:hideMark/>
          </w:tcPr>
          <w:p w14:paraId="7BED6F4A" w14:textId="77777777" w:rsidR="00E83B7F" w:rsidRPr="00561B12" w:rsidRDefault="00E83B7F" w:rsidP="00081812">
            <w:pPr>
              <w:keepNext/>
              <w:keepLines/>
              <w:jc w:val="center"/>
            </w:pPr>
            <w:r w:rsidRPr="00561B12">
              <w:t>65%</w:t>
            </w:r>
          </w:p>
        </w:tc>
        <w:tc>
          <w:tcPr>
            <w:tcW w:w="2869" w:type="dxa"/>
            <w:shd w:val="clear" w:color="auto" w:fill="C9E5F7"/>
            <w:noWrap/>
            <w:hideMark/>
          </w:tcPr>
          <w:p w14:paraId="5ED3642A" w14:textId="77777777" w:rsidR="00E83B7F" w:rsidRPr="00561B12" w:rsidRDefault="00E83B7F" w:rsidP="00081812">
            <w:pPr>
              <w:keepNext/>
              <w:keepLines/>
              <w:jc w:val="center"/>
            </w:pPr>
            <w:r w:rsidRPr="00561B12">
              <w:t>50%</w:t>
            </w:r>
          </w:p>
        </w:tc>
      </w:tr>
      <w:tr w:rsidR="00E83B7F" w:rsidRPr="00561B12" w14:paraId="42658DA2" w14:textId="77777777" w:rsidTr="00C36A80">
        <w:tc>
          <w:tcPr>
            <w:tcW w:w="3936" w:type="dxa"/>
            <w:noWrap/>
            <w:hideMark/>
          </w:tcPr>
          <w:p w14:paraId="6BD468C8" w14:textId="77777777" w:rsidR="00E83B7F" w:rsidRPr="00561B12" w:rsidRDefault="00E83B7F" w:rsidP="00081812">
            <w:pPr>
              <w:keepNext/>
              <w:keepLines/>
            </w:pPr>
            <w:r w:rsidRPr="00561B12">
              <w:t>I usually come through difficult times with little trouble</w:t>
            </w:r>
          </w:p>
        </w:tc>
        <w:tc>
          <w:tcPr>
            <w:tcW w:w="2409" w:type="dxa"/>
            <w:noWrap/>
            <w:hideMark/>
          </w:tcPr>
          <w:p w14:paraId="4EC4BE03" w14:textId="77777777" w:rsidR="00E83B7F" w:rsidRPr="00561B12" w:rsidRDefault="00E83B7F" w:rsidP="00081812">
            <w:pPr>
              <w:keepNext/>
              <w:keepLines/>
              <w:jc w:val="center"/>
            </w:pPr>
            <w:r w:rsidRPr="00561B12">
              <w:t>60%</w:t>
            </w:r>
          </w:p>
        </w:tc>
        <w:tc>
          <w:tcPr>
            <w:tcW w:w="2869" w:type="dxa"/>
            <w:noWrap/>
            <w:hideMark/>
          </w:tcPr>
          <w:p w14:paraId="6CBA4E95" w14:textId="77777777" w:rsidR="00E83B7F" w:rsidRPr="00561B12" w:rsidRDefault="00E83B7F" w:rsidP="00081812">
            <w:pPr>
              <w:keepNext/>
              <w:keepLines/>
              <w:jc w:val="center"/>
            </w:pPr>
            <w:r w:rsidRPr="00561B12">
              <w:t>53%</w:t>
            </w:r>
          </w:p>
        </w:tc>
      </w:tr>
      <w:tr w:rsidR="00E83B7F" w:rsidRPr="00561B12" w14:paraId="3F5A5AC4" w14:textId="77777777" w:rsidTr="00C36A80">
        <w:tc>
          <w:tcPr>
            <w:tcW w:w="3936" w:type="dxa"/>
            <w:shd w:val="clear" w:color="auto" w:fill="C9E5F7"/>
            <w:noWrap/>
            <w:hideMark/>
          </w:tcPr>
          <w:p w14:paraId="4CF76215" w14:textId="77777777" w:rsidR="00E83B7F" w:rsidRPr="00561B12" w:rsidRDefault="00E83B7F" w:rsidP="00081812">
            <w:pPr>
              <w:keepNext/>
              <w:keepLines/>
            </w:pPr>
            <w:r w:rsidRPr="00561B12">
              <w:t>I have a hard time making it through stressful events</w:t>
            </w:r>
          </w:p>
        </w:tc>
        <w:tc>
          <w:tcPr>
            <w:tcW w:w="2409" w:type="dxa"/>
            <w:shd w:val="clear" w:color="auto" w:fill="C9E5F7"/>
            <w:noWrap/>
            <w:hideMark/>
          </w:tcPr>
          <w:p w14:paraId="497A9E7D" w14:textId="77777777" w:rsidR="00E83B7F" w:rsidRPr="00561B12" w:rsidRDefault="00E83B7F" w:rsidP="00081812">
            <w:pPr>
              <w:keepNext/>
              <w:keepLines/>
              <w:jc w:val="center"/>
            </w:pPr>
            <w:r w:rsidRPr="00561B12">
              <w:t>58%</w:t>
            </w:r>
          </w:p>
        </w:tc>
        <w:tc>
          <w:tcPr>
            <w:tcW w:w="2869" w:type="dxa"/>
            <w:shd w:val="clear" w:color="auto" w:fill="C9E5F7"/>
            <w:noWrap/>
            <w:hideMark/>
          </w:tcPr>
          <w:p w14:paraId="001EF99B" w14:textId="77777777" w:rsidR="00E83B7F" w:rsidRPr="00561B12" w:rsidRDefault="00E83B7F" w:rsidP="00081812">
            <w:pPr>
              <w:keepNext/>
              <w:keepLines/>
              <w:jc w:val="center"/>
            </w:pPr>
            <w:r w:rsidRPr="00561B12">
              <w:t>56%</w:t>
            </w:r>
          </w:p>
        </w:tc>
      </w:tr>
      <w:tr w:rsidR="00E83B7F" w:rsidRPr="00561B12" w14:paraId="3C133A52" w14:textId="77777777" w:rsidTr="00C36A80">
        <w:tc>
          <w:tcPr>
            <w:tcW w:w="3936" w:type="dxa"/>
            <w:noWrap/>
            <w:hideMark/>
          </w:tcPr>
          <w:p w14:paraId="0858F889" w14:textId="77777777" w:rsidR="00E83B7F" w:rsidRPr="00561B12" w:rsidRDefault="00E83B7F" w:rsidP="00081812">
            <w:pPr>
              <w:keepNext/>
              <w:keepLines/>
            </w:pPr>
            <w:r w:rsidRPr="00561B12">
              <w:t>It is hard for me to snap back when something bad happens</w:t>
            </w:r>
          </w:p>
        </w:tc>
        <w:tc>
          <w:tcPr>
            <w:tcW w:w="2409" w:type="dxa"/>
            <w:noWrap/>
            <w:hideMark/>
          </w:tcPr>
          <w:p w14:paraId="58434DC6" w14:textId="77777777" w:rsidR="00E83B7F" w:rsidRPr="00561B12" w:rsidRDefault="00E83B7F" w:rsidP="00081812">
            <w:pPr>
              <w:keepNext/>
              <w:keepLines/>
              <w:jc w:val="center"/>
            </w:pPr>
            <w:r w:rsidRPr="00561B12">
              <w:t>56%</w:t>
            </w:r>
          </w:p>
        </w:tc>
        <w:tc>
          <w:tcPr>
            <w:tcW w:w="2869" w:type="dxa"/>
            <w:noWrap/>
            <w:hideMark/>
          </w:tcPr>
          <w:p w14:paraId="290B9300" w14:textId="77777777" w:rsidR="00E83B7F" w:rsidRPr="00561B12" w:rsidRDefault="00E83B7F" w:rsidP="00081812">
            <w:pPr>
              <w:keepNext/>
              <w:keepLines/>
              <w:jc w:val="center"/>
            </w:pPr>
            <w:r w:rsidRPr="00561B12">
              <w:t>59%</w:t>
            </w:r>
          </w:p>
        </w:tc>
      </w:tr>
      <w:tr w:rsidR="00E83B7F" w:rsidRPr="00561B12" w14:paraId="58D98E1F" w14:textId="77777777" w:rsidTr="00C36A80">
        <w:tc>
          <w:tcPr>
            <w:tcW w:w="3936" w:type="dxa"/>
            <w:shd w:val="clear" w:color="auto" w:fill="C9E5F7"/>
            <w:noWrap/>
            <w:hideMark/>
          </w:tcPr>
          <w:p w14:paraId="48B13507" w14:textId="77777777" w:rsidR="00E83B7F" w:rsidRPr="00561B12" w:rsidRDefault="00E83B7F" w:rsidP="00561B12">
            <w:r w:rsidRPr="00561B12">
              <w:t>I tend to take a long time to get over setbacks in my life</w:t>
            </w:r>
          </w:p>
        </w:tc>
        <w:tc>
          <w:tcPr>
            <w:tcW w:w="2409" w:type="dxa"/>
            <w:shd w:val="clear" w:color="auto" w:fill="C9E5F7"/>
            <w:noWrap/>
            <w:hideMark/>
          </w:tcPr>
          <w:p w14:paraId="514C3432" w14:textId="77777777" w:rsidR="00E83B7F" w:rsidRPr="00561B12" w:rsidRDefault="00E83B7F" w:rsidP="00561B12">
            <w:pPr>
              <w:jc w:val="center"/>
            </w:pPr>
            <w:r w:rsidRPr="00561B12">
              <w:t>59%</w:t>
            </w:r>
          </w:p>
        </w:tc>
        <w:tc>
          <w:tcPr>
            <w:tcW w:w="2869" w:type="dxa"/>
            <w:shd w:val="clear" w:color="auto" w:fill="C9E5F7"/>
            <w:noWrap/>
            <w:hideMark/>
          </w:tcPr>
          <w:p w14:paraId="737B3628" w14:textId="77777777" w:rsidR="00E83B7F" w:rsidRPr="00561B12" w:rsidRDefault="00E83B7F" w:rsidP="00561B12">
            <w:pPr>
              <w:jc w:val="center"/>
            </w:pPr>
            <w:r w:rsidRPr="00561B12">
              <w:t>55%</w:t>
            </w:r>
          </w:p>
        </w:tc>
      </w:tr>
    </w:tbl>
    <w:p w14:paraId="2D2E2330" w14:textId="77777777" w:rsidR="00E83B7F" w:rsidRPr="00561B12" w:rsidRDefault="00E83B7F" w:rsidP="00561B12"/>
    <w:p w14:paraId="5E08BFCD" w14:textId="2B8442AA" w:rsidR="00E83B7F" w:rsidRDefault="00E83B7F" w:rsidP="00561B12">
      <w:pPr>
        <w:pStyle w:val="Caption"/>
      </w:pPr>
      <w:bookmarkStart w:id="104" w:name="_Ref494273659"/>
      <w:bookmarkStart w:id="105" w:name="_Toc494358581"/>
      <w:r w:rsidRPr="00153C28">
        <w:t xml:space="preserve">Table </w:t>
      </w:r>
      <w:r w:rsidR="005D6308">
        <w:fldChar w:fldCharType="begin"/>
      </w:r>
      <w:r w:rsidR="005D6308">
        <w:instrText xml:space="preserve"> SEQ Table \* ARABIC </w:instrText>
      </w:r>
      <w:r w:rsidR="005D6308">
        <w:fldChar w:fldCharType="separate"/>
      </w:r>
      <w:r w:rsidR="005D6308">
        <w:rPr>
          <w:noProof/>
        </w:rPr>
        <w:t>17</w:t>
      </w:r>
      <w:r w:rsidR="005D6308">
        <w:rPr>
          <w:noProof/>
        </w:rPr>
        <w:fldChar w:fldCharType="end"/>
      </w:r>
      <w:bookmarkEnd w:id="102"/>
      <w:bookmarkEnd w:id="103"/>
      <w:bookmarkEnd w:id="104"/>
      <w:r w:rsidRPr="00153C28">
        <w:t xml:space="preserve"> </w:t>
      </w:r>
      <w:r w:rsidR="00AF773C">
        <w:t>–</w:t>
      </w:r>
      <w:r w:rsidRPr="00153C28">
        <w:t xml:space="preserve"> </w:t>
      </w:r>
      <w:r>
        <w:t xml:space="preserve">Percentage </w:t>
      </w:r>
      <w:r w:rsidRPr="00EA4A3F">
        <w:t>RTW for three months or more at time of interview</w:t>
      </w:r>
      <w:r w:rsidRPr="00E5458D">
        <w:t xml:space="preserve"> </w:t>
      </w:r>
      <w:r>
        <w:t>by response to r</w:t>
      </w:r>
      <w:r w:rsidRPr="00153C28">
        <w:t>esi</w:t>
      </w:r>
      <w:r>
        <w:t>lience individual</w:t>
      </w:r>
      <w:r w:rsidR="00AF773C">
        <w:t> </w:t>
      </w:r>
      <w:r>
        <w:t>questions</w:t>
      </w:r>
      <w:bookmarkEnd w:id="105"/>
    </w:p>
    <w:tbl>
      <w:tblPr>
        <w:tblStyle w:val="LightShading-Accent2"/>
        <w:tblW w:w="9214" w:type="dxa"/>
        <w:tblLayout w:type="fixed"/>
        <w:tblLook w:val="0620" w:firstRow="1" w:lastRow="0" w:firstColumn="0" w:lastColumn="0" w:noHBand="1" w:noVBand="1"/>
        <w:tblCaption w:val="Table 17: Percentage RTW for three months or more at time of interview by response to resilience individual questions"/>
        <w:tblDescription w:val="This table provides a percentage breakdown of employee (at work for three months or more at the time of interview) responses who either agreed or did not agree with statements relating to resilience.   "/>
      </w:tblPr>
      <w:tblGrid>
        <w:gridCol w:w="3936"/>
        <w:gridCol w:w="2409"/>
        <w:gridCol w:w="2869"/>
      </w:tblGrid>
      <w:tr w:rsidR="00E83B7F" w:rsidRPr="00561B12" w14:paraId="2549B87D" w14:textId="77777777" w:rsidTr="00C36A80">
        <w:trPr>
          <w:cnfStyle w:val="100000000000" w:firstRow="1" w:lastRow="0" w:firstColumn="0" w:lastColumn="0" w:oddVBand="0" w:evenVBand="0" w:oddHBand="0" w:evenHBand="0" w:firstRowFirstColumn="0" w:firstRowLastColumn="0" w:lastRowFirstColumn="0" w:lastRowLastColumn="0"/>
          <w:tblHeader/>
        </w:trPr>
        <w:tc>
          <w:tcPr>
            <w:tcW w:w="3936" w:type="dxa"/>
            <w:noWrap/>
            <w:vAlign w:val="center"/>
            <w:hideMark/>
          </w:tcPr>
          <w:p w14:paraId="10B313BC" w14:textId="77777777" w:rsidR="00E83B7F" w:rsidRPr="00561B12" w:rsidRDefault="00E83B7F" w:rsidP="00561B12">
            <w:r w:rsidRPr="00561B12">
              <w:t>Resilience questions</w:t>
            </w:r>
          </w:p>
        </w:tc>
        <w:tc>
          <w:tcPr>
            <w:tcW w:w="2409" w:type="dxa"/>
            <w:noWrap/>
            <w:hideMark/>
          </w:tcPr>
          <w:p w14:paraId="4108DB3A" w14:textId="77777777" w:rsidR="00E83B7F" w:rsidRPr="00561B12" w:rsidRDefault="00E83B7F" w:rsidP="00561B12">
            <w:pPr>
              <w:jc w:val="center"/>
            </w:pPr>
            <w:r w:rsidRPr="00561B12">
              <w:t>Of those who agreed, % at work 3+ months</w:t>
            </w:r>
          </w:p>
        </w:tc>
        <w:tc>
          <w:tcPr>
            <w:tcW w:w="2869" w:type="dxa"/>
            <w:noWrap/>
            <w:hideMark/>
          </w:tcPr>
          <w:p w14:paraId="0BCF284D" w14:textId="77777777" w:rsidR="00E83B7F" w:rsidRPr="00561B12" w:rsidRDefault="00E83B7F" w:rsidP="00561B12">
            <w:pPr>
              <w:jc w:val="center"/>
            </w:pPr>
            <w:r w:rsidRPr="00561B12">
              <w:t>Of those who did not agree, % at work 3+ months</w:t>
            </w:r>
          </w:p>
        </w:tc>
      </w:tr>
      <w:tr w:rsidR="00E83B7F" w:rsidRPr="00561B12" w14:paraId="752E3BBF" w14:textId="77777777" w:rsidTr="00C36A80">
        <w:tc>
          <w:tcPr>
            <w:tcW w:w="3936" w:type="dxa"/>
            <w:noWrap/>
            <w:hideMark/>
          </w:tcPr>
          <w:p w14:paraId="183754D3" w14:textId="32F709A5" w:rsidR="00E83B7F" w:rsidRPr="00561B12" w:rsidRDefault="00E83B7F" w:rsidP="00081D79">
            <w:r w:rsidRPr="00561B12">
              <w:t>I tend to bounce back quickly after hard</w:t>
            </w:r>
            <w:r w:rsidR="00081D79">
              <w:t> </w:t>
            </w:r>
            <w:r w:rsidRPr="00561B12">
              <w:t>times</w:t>
            </w:r>
          </w:p>
        </w:tc>
        <w:tc>
          <w:tcPr>
            <w:tcW w:w="2409" w:type="dxa"/>
            <w:noWrap/>
            <w:hideMark/>
          </w:tcPr>
          <w:p w14:paraId="1DBDEC16" w14:textId="77777777" w:rsidR="00E83B7F" w:rsidRPr="00561B12" w:rsidRDefault="00E83B7F" w:rsidP="00561B12">
            <w:pPr>
              <w:jc w:val="center"/>
            </w:pPr>
            <w:r w:rsidRPr="00561B12">
              <w:t>50%</w:t>
            </w:r>
          </w:p>
        </w:tc>
        <w:tc>
          <w:tcPr>
            <w:tcW w:w="2869" w:type="dxa"/>
            <w:noWrap/>
            <w:hideMark/>
          </w:tcPr>
          <w:p w14:paraId="1A16BBC5" w14:textId="77777777" w:rsidR="00E83B7F" w:rsidRPr="00561B12" w:rsidRDefault="00E83B7F" w:rsidP="00561B12">
            <w:pPr>
              <w:jc w:val="center"/>
            </w:pPr>
            <w:r w:rsidRPr="00561B12">
              <w:t>38%</w:t>
            </w:r>
          </w:p>
        </w:tc>
      </w:tr>
      <w:tr w:rsidR="00E83B7F" w:rsidRPr="00561B12" w14:paraId="2983189E" w14:textId="77777777" w:rsidTr="00C36A80">
        <w:tc>
          <w:tcPr>
            <w:tcW w:w="3936" w:type="dxa"/>
            <w:shd w:val="clear" w:color="auto" w:fill="C9E5F7"/>
            <w:noWrap/>
            <w:hideMark/>
          </w:tcPr>
          <w:p w14:paraId="09B6FDA9" w14:textId="77777777" w:rsidR="00E83B7F" w:rsidRPr="00561B12" w:rsidRDefault="00E83B7F" w:rsidP="00561B12">
            <w:r w:rsidRPr="00561B12">
              <w:t>Does not take long for me to recover from a stressful event</w:t>
            </w:r>
          </w:p>
        </w:tc>
        <w:tc>
          <w:tcPr>
            <w:tcW w:w="2409" w:type="dxa"/>
            <w:shd w:val="clear" w:color="auto" w:fill="C9E5F7"/>
            <w:noWrap/>
            <w:hideMark/>
          </w:tcPr>
          <w:p w14:paraId="4C2DE5D4" w14:textId="77777777" w:rsidR="00E83B7F" w:rsidRPr="00561B12" w:rsidRDefault="00E83B7F" w:rsidP="00561B12">
            <w:pPr>
              <w:jc w:val="center"/>
            </w:pPr>
            <w:r w:rsidRPr="00561B12">
              <w:t>50%</w:t>
            </w:r>
          </w:p>
        </w:tc>
        <w:tc>
          <w:tcPr>
            <w:tcW w:w="2869" w:type="dxa"/>
            <w:shd w:val="clear" w:color="auto" w:fill="C9E5F7"/>
            <w:noWrap/>
            <w:hideMark/>
          </w:tcPr>
          <w:p w14:paraId="17D6E104" w14:textId="77777777" w:rsidR="00E83B7F" w:rsidRPr="00561B12" w:rsidRDefault="00E83B7F" w:rsidP="00561B12">
            <w:pPr>
              <w:jc w:val="center"/>
            </w:pPr>
            <w:r w:rsidRPr="00561B12">
              <w:t>40%</w:t>
            </w:r>
          </w:p>
        </w:tc>
      </w:tr>
      <w:tr w:rsidR="00E83B7F" w:rsidRPr="00561B12" w14:paraId="55331053" w14:textId="77777777" w:rsidTr="00C36A80">
        <w:tc>
          <w:tcPr>
            <w:tcW w:w="3936" w:type="dxa"/>
            <w:noWrap/>
            <w:hideMark/>
          </w:tcPr>
          <w:p w14:paraId="255427C9" w14:textId="77777777" w:rsidR="00E83B7F" w:rsidRPr="00561B12" w:rsidRDefault="00E83B7F" w:rsidP="00561B12">
            <w:r w:rsidRPr="00561B12">
              <w:t>I usually come through difficult times with little trouble</w:t>
            </w:r>
          </w:p>
        </w:tc>
        <w:tc>
          <w:tcPr>
            <w:tcW w:w="2409" w:type="dxa"/>
            <w:noWrap/>
            <w:hideMark/>
          </w:tcPr>
          <w:p w14:paraId="28872150" w14:textId="77777777" w:rsidR="00E83B7F" w:rsidRPr="00561B12" w:rsidRDefault="00E83B7F" w:rsidP="00561B12">
            <w:pPr>
              <w:jc w:val="center"/>
            </w:pPr>
            <w:r w:rsidRPr="00561B12">
              <w:t>46%</w:t>
            </w:r>
          </w:p>
        </w:tc>
        <w:tc>
          <w:tcPr>
            <w:tcW w:w="2869" w:type="dxa"/>
            <w:noWrap/>
            <w:hideMark/>
          </w:tcPr>
          <w:p w14:paraId="6315C4FD" w14:textId="77777777" w:rsidR="00E83B7F" w:rsidRPr="00561B12" w:rsidRDefault="00E83B7F" w:rsidP="00561B12">
            <w:pPr>
              <w:jc w:val="center"/>
            </w:pPr>
            <w:r w:rsidRPr="00561B12">
              <w:t>44%</w:t>
            </w:r>
          </w:p>
        </w:tc>
      </w:tr>
      <w:tr w:rsidR="00E83B7F" w:rsidRPr="00561B12" w14:paraId="06B2C37B" w14:textId="77777777" w:rsidTr="00C36A80">
        <w:tc>
          <w:tcPr>
            <w:tcW w:w="3936" w:type="dxa"/>
            <w:shd w:val="clear" w:color="auto" w:fill="C9E5F7"/>
            <w:noWrap/>
            <w:hideMark/>
          </w:tcPr>
          <w:p w14:paraId="23062801" w14:textId="77777777" w:rsidR="00E83B7F" w:rsidRPr="00561B12" w:rsidRDefault="00E83B7F" w:rsidP="00561B12">
            <w:r w:rsidRPr="00561B12">
              <w:t>I have a hard time making it through stressful events</w:t>
            </w:r>
          </w:p>
        </w:tc>
        <w:tc>
          <w:tcPr>
            <w:tcW w:w="2409" w:type="dxa"/>
            <w:shd w:val="clear" w:color="auto" w:fill="C9E5F7"/>
            <w:noWrap/>
            <w:hideMark/>
          </w:tcPr>
          <w:p w14:paraId="3E397EC3" w14:textId="77777777" w:rsidR="00E83B7F" w:rsidRPr="00561B12" w:rsidRDefault="00E83B7F" w:rsidP="00561B12">
            <w:pPr>
              <w:jc w:val="center"/>
            </w:pPr>
            <w:r w:rsidRPr="00561B12">
              <w:t>46%</w:t>
            </w:r>
          </w:p>
        </w:tc>
        <w:tc>
          <w:tcPr>
            <w:tcW w:w="2869" w:type="dxa"/>
            <w:shd w:val="clear" w:color="auto" w:fill="C9E5F7"/>
            <w:noWrap/>
            <w:hideMark/>
          </w:tcPr>
          <w:p w14:paraId="3EC0D4DC" w14:textId="77777777" w:rsidR="00E83B7F" w:rsidRPr="00561B12" w:rsidRDefault="00E83B7F" w:rsidP="00561B12">
            <w:pPr>
              <w:jc w:val="center"/>
            </w:pPr>
            <w:r w:rsidRPr="00561B12">
              <w:t>42%</w:t>
            </w:r>
          </w:p>
        </w:tc>
      </w:tr>
      <w:tr w:rsidR="00E83B7F" w:rsidRPr="00561B12" w14:paraId="1CE901DD" w14:textId="77777777" w:rsidTr="00C36A80">
        <w:tc>
          <w:tcPr>
            <w:tcW w:w="3936" w:type="dxa"/>
            <w:noWrap/>
            <w:hideMark/>
          </w:tcPr>
          <w:p w14:paraId="13020B12" w14:textId="77777777" w:rsidR="00E83B7F" w:rsidRPr="00561B12" w:rsidRDefault="00E83B7F" w:rsidP="00561B12">
            <w:r w:rsidRPr="00561B12">
              <w:t>It is hard for me to snap back when something bad happens</w:t>
            </w:r>
          </w:p>
        </w:tc>
        <w:tc>
          <w:tcPr>
            <w:tcW w:w="2409" w:type="dxa"/>
            <w:noWrap/>
            <w:hideMark/>
          </w:tcPr>
          <w:p w14:paraId="506F6CA8" w14:textId="77777777" w:rsidR="00E83B7F" w:rsidRPr="00561B12" w:rsidRDefault="00E83B7F" w:rsidP="00561B12">
            <w:pPr>
              <w:jc w:val="center"/>
            </w:pPr>
            <w:r w:rsidRPr="00561B12">
              <w:t>46%</w:t>
            </w:r>
          </w:p>
        </w:tc>
        <w:tc>
          <w:tcPr>
            <w:tcW w:w="2869" w:type="dxa"/>
            <w:noWrap/>
            <w:hideMark/>
          </w:tcPr>
          <w:p w14:paraId="5DA84EEF" w14:textId="77777777" w:rsidR="00E83B7F" w:rsidRPr="00561B12" w:rsidRDefault="00E83B7F" w:rsidP="00561B12">
            <w:pPr>
              <w:jc w:val="center"/>
            </w:pPr>
            <w:r w:rsidRPr="00561B12">
              <w:t>45%</w:t>
            </w:r>
          </w:p>
        </w:tc>
      </w:tr>
      <w:tr w:rsidR="00E83B7F" w:rsidRPr="00561B12" w14:paraId="3E1FB564" w14:textId="77777777" w:rsidTr="00C36A80">
        <w:tc>
          <w:tcPr>
            <w:tcW w:w="3936" w:type="dxa"/>
            <w:shd w:val="clear" w:color="auto" w:fill="C9E5F7"/>
            <w:noWrap/>
            <w:hideMark/>
          </w:tcPr>
          <w:p w14:paraId="31F9495D" w14:textId="77777777" w:rsidR="00E83B7F" w:rsidRPr="00561B12" w:rsidRDefault="00E83B7F" w:rsidP="00561B12">
            <w:r w:rsidRPr="00561B12">
              <w:t>I tend to take a long time to get over setbacks in my life</w:t>
            </w:r>
          </w:p>
        </w:tc>
        <w:tc>
          <w:tcPr>
            <w:tcW w:w="2409" w:type="dxa"/>
            <w:shd w:val="clear" w:color="auto" w:fill="C9E5F7"/>
            <w:noWrap/>
            <w:hideMark/>
          </w:tcPr>
          <w:p w14:paraId="4380329A" w14:textId="77777777" w:rsidR="00E83B7F" w:rsidRPr="00561B12" w:rsidRDefault="00E83B7F" w:rsidP="00561B12">
            <w:pPr>
              <w:jc w:val="center"/>
            </w:pPr>
            <w:r w:rsidRPr="00561B12">
              <w:t>48%</w:t>
            </w:r>
          </w:p>
        </w:tc>
        <w:tc>
          <w:tcPr>
            <w:tcW w:w="2869" w:type="dxa"/>
            <w:shd w:val="clear" w:color="auto" w:fill="C9E5F7"/>
            <w:noWrap/>
            <w:hideMark/>
          </w:tcPr>
          <w:p w14:paraId="2822122B" w14:textId="77777777" w:rsidR="00E83B7F" w:rsidRPr="00561B12" w:rsidRDefault="00E83B7F" w:rsidP="00561B12">
            <w:pPr>
              <w:jc w:val="center"/>
            </w:pPr>
            <w:r w:rsidRPr="00561B12">
              <w:t>41%</w:t>
            </w:r>
          </w:p>
        </w:tc>
      </w:tr>
    </w:tbl>
    <w:p w14:paraId="5AD191A5" w14:textId="77777777" w:rsidR="00561B12" w:rsidRPr="00561B12" w:rsidRDefault="00561B12" w:rsidP="00561B12"/>
    <w:p w14:paraId="617E98E4" w14:textId="4ADE6112" w:rsidR="00E83B7F" w:rsidRPr="00561B12" w:rsidRDefault="000B1F4F" w:rsidP="002263C3">
      <w:pPr>
        <w:keepNext/>
        <w:keepLines/>
      </w:pPr>
      <w:r>
        <w:lastRenderedPageBreak/>
        <w:fldChar w:fldCharType="begin"/>
      </w:r>
      <w:r>
        <w:instrText xml:space="preserve"> REF _Ref430869299 \h </w:instrText>
      </w:r>
      <w:r>
        <w:fldChar w:fldCharType="separate"/>
      </w:r>
      <w:r w:rsidR="005D6308" w:rsidRPr="00153C28">
        <w:t xml:space="preserve">Table </w:t>
      </w:r>
      <w:r w:rsidR="005D6308">
        <w:rPr>
          <w:noProof/>
        </w:rPr>
        <w:t>18</w:t>
      </w:r>
      <w:r>
        <w:fldChar w:fldCharType="end"/>
      </w:r>
      <w:r w:rsidR="00E83B7F" w:rsidRPr="00561B12">
        <w:t xml:space="preserve"> shows the overall responses to the six questions which make up the resilience measure. Only the positive (high resilience) responses are included. </w:t>
      </w:r>
    </w:p>
    <w:p w14:paraId="50BC3B51" w14:textId="6757BB3E" w:rsidR="00E83B7F" w:rsidRPr="00631F29" w:rsidRDefault="00E83B7F" w:rsidP="00081812">
      <w:pPr>
        <w:pStyle w:val="Caption"/>
      </w:pPr>
      <w:bookmarkStart w:id="106" w:name="_Ref430869299"/>
      <w:bookmarkStart w:id="107" w:name="_Toc494358582"/>
      <w:r w:rsidRPr="00153C28">
        <w:t xml:space="preserve">Table </w:t>
      </w:r>
      <w:r w:rsidR="005D6308">
        <w:fldChar w:fldCharType="begin"/>
      </w:r>
      <w:r w:rsidR="005D6308">
        <w:instrText xml:space="preserve"> SEQ Table \* ARABIC </w:instrText>
      </w:r>
      <w:r w:rsidR="005D6308">
        <w:fldChar w:fldCharType="separate"/>
      </w:r>
      <w:r w:rsidR="005D6308">
        <w:rPr>
          <w:noProof/>
        </w:rPr>
        <w:t>18</w:t>
      </w:r>
      <w:r w:rsidR="005D6308">
        <w:rPr>
          <w:noProof/>
        </w:rPr>
        <w:fldChar w:fldCharType="end"/>
      </w:r>
      <w:bookmarkEnd w:id="106"/>
      <w:r w:rsidRPr="00153C28">
        <w:t xml:space="preserve"> </w:t>
      </w:r>
      <w:r w:rsidR="00AF773C">
        <w:t>–</w:t>
      </w:r>
      <w:r w:rsidRPr="00153C28">
        <w:rPr>
          <w:noProof/>
        </w:rPr>
        <w:t xml:space="preserve"> </w:t>
      </w:r>
      <w:r>
        <w:rPr>
          <w:noProof/>
        </w:rPr>
        <w:t xml:space="preserve">Percentage </w:t>
      </w:r>
      <w:r w:rsidRPr="00153C28">
        <w:rPr>
          <w:noProof/>
        </w:rPr>
        <w:t xml:space="preserve">who agreed with individual questions about </w:t>
      </w:r>
      <w:r w:rsidRPr="00153C28">
        <w:t>their level of resilience</w:t>
      </w:r>
      <w:bookmarkEnd w:id="107"/>
    </w:p>
    <w:tbl>
      <w:tblPr>
        <w:tblStyle w:val="LightShading-Accent2"/>
        <w:tblW w:w="9214" w:type="dxa"/>
        <w:tblLayout w:type="fixed"/>
        <w:tblLook w:val="0620" w:firstRow="1" w:lastRow="0" w:firstColumn="0" w:lastColumn="0" w:noHBand="1" w:noVBand="1"/>
        <w:tblCaption w:val="Table 18: Percentage who agreed with individual questions about their level of resilience"/>
        <w:tblDescription w:val="This table provides a percentage breakdown of employee (overall) responses who either agreed or did not agree with statements relating to resilience.   "/>
      </w:tblPr>
      <w:tblGrid>
        <w:gridCol w:w="5637"/>
        <w:gridCol w:w="1788"/>
        <w:gridCol w:w="1789"/>
      </w:tblGrid>
      <w:tr w:rsidR="00E83B7F" w:rsidRPr="00561B12" w14:paraId="6836FEFF" w14:textId="77777777" w:rsidTr="003730C6">
        <w:trPr>
          <w:cnfStyle w:val="100000000000" w:firstRow="1" w:lastRow="0" w:firstColumn="0" w:lastColumn="0" w:oddVBand="0" w:evenVBand="0" w:oddHBand="0" w:evenHBand="0" w:firstRowFirstColumn="0" w:firstRowLastColumn="0" w:lastRowFirstColumn="0" w:lastRowLastColumn="0"/>
          <w:tblHeader/>
        </w:trPr>
        <w:tc>
          <w:tcPr>
            <w:tcW w:w="5637" w:type="dxa"/>
            <w:noWrap/>
            <w:hideMark/>
          </w:tcPr>
          <w:p w14:paraId="603C801F" w14:textId="77777777" w:rsidR="00E83B7F" w:rsidRPr="00561B12" w:rsidRDefault="00E83B7F" w:rsidP="00081812">
            <w:pPr>
              <w:keepNext/>
              <w:keepLines/>
            </w:pPr>
            <w:r w:rsidRPr="00561B12">
              <w:t>Resilience questions</w:t>
            </w:r>
          </w:p>
        </w:tc>
        <w:tc>
          <w:tcPr>
            <w:tcW w:w="1788" w:type="dxa"/>
            <w:noWrap/>
            <w:hideMark/>
          </w:tcPr>
          <w:p w14:paraId="0C0BFC1B" w14:textId="77777777" w:rsidR="00E83B7F" w:rsidRPr="00561B12" w:rsidRDefault="00E83B7F" w:rsidP="00081812">
            <w:pPr>
              <w:keepNext/>
              <w:keepLines/>
              <w:jc w:val="center"/>
            </w:pPr>
            <w:r w:rsidRPr="00561B12">
              <w:t>Agree</w:t>
            </w:r>
          </w:p>
        </w:tc>
        <w:tc>
          <w:tcPr>
            <w:tcW w:w="1789" w:type="dxa"/>
          </w:tcPr>
          <w:p w14:paraId="41FB7EA9" w14:textId="134CF0F1" w:rsidR="00E83B7F" w:rsidRPr="00561B12" w:rsidRDefault="00E83B7F" w:rsidP="00081812">
            <w:pPr>
              <w:keepNext/>
              <w:keepLines/>
              <w:jc w:val="center"/>
            </w:pPr>
            <w:r w:rsidRPr="00561B12">
              <w:t>Do not</w:t>
            </w:r>
            <w:r w:rsidR="004D00F0">
              <w:t xml:space="preserve"> </w:t>
            </w:r>
            <w:r w:rsidRPr="00561B12">
              <w:t>agree</w:t>
            </w:r>
          </w:p>
        </w:tc>
      </w:tr>
      <w:tr w:rsidR="00E83B7F" w:rsidRPr="00561B12" w14:paraId="07321B9F" w14:textId="77777777" w:rsidTr="003730C6">
        <w:tc>
          <w:tcPr>
            <w:tcW w:w="5637" w:type="dxa"/>
            <w:hideMark/>
          </w:tcPr>
          <w:p w14:paraId="20E1622B" w14:textId="77777777" w:rsidR="00E83B7F" w:rsidRPr="00561B12" w:rsidRDefault="00E83B7F" w:rsidP="00081812">
            <w:pPr>
              <w:keepNext/>
              <w:keepLines/>
            </w:pPr>
            <w:r w:rsidRPr="00561B12">
              <w:t>I tend to bounce back quickly after hard times</w:t>
            </w:r>
          </w:p>
        </w:tc>
        <w:tc>
          <w:tcPr>
            <w:tcW w:w="1788" w:type="dxa"/>
            <w:noWrap/>
            <w:hideMark/>
          </w:tcPr>
          <w:p w14:paraId="017FC3D2" w14:textId="77777777" w:rsidR="00E83B7F" w:rsidRPr="00561B12" w:rsidRDefault="00E83B7F" w:rsidP="00081812">
            <w:pPr>
              <w:keepNext/>
              <w:keepLines/>
              <w:jc w:val="center"/>
            </w:pPr>
            <w:r w:rsidRPr="00561B12">
              <w:t>60%</w:t>
            </w:r>
          </w:p>
        </w:tc>
        <w:tc>
          <w:tcPr>
            <w:tcW w:w="1789" w:type="dxa"/>
          </w:tcPr>
          <w:p w14:paraId="1D880B9C" w14:textId="77777777" w:rsidR="00E83B7F" w:rsidRPr="00561B12" w:rsidRDefault="00E83B7F" w:rsidP="00081812">
            <w:pPr>
              <w:keepNext/>
              <w:keepLines/>
              <w:jc w:val="center"/>
            </w:pPr>
          </w:p>
        </w:tc>
      </w:tr>
      <w:tr w:rsidR="00E83B7F" w:rsidRPr="00561B12" w14:paraId="54EB628B" w14:textId="77777777" w:rsidTr="003730C6">
        <w:tc>
          <w:tcPr>
            <w:tcW w:w="5637" w:type="dxa"/>
            <w:shd w:val="clear" w:color="auto" w:fill="C9E5F7"/>
            <w:hideMark/>
          </w:tcPr>
          <w:p w14:paraId="285A475E" w14:textId="77777777" w:rsidR="00E83B7F" w:rsidRPr="00561B12" w:rsidRDefault="00E83B7F" w:rsidP="00081812">
            <w:pPr>
              <w:keepNext/>
              <w:keepLines/>
            </w:pPr>
            <w:r w:rsidRPr="00561B12">
              <w:t>Does not take long for me to recover from a stressful event</w:t>
            </w:r>
          </w:p>
        </w:tc>
        <w:tc>
          <w:tcPr>
            <w:tcW w:w="1788" w:type="dxa"/>
            <w:shd w:val="clear" w:color="auto" w:fill="C9E5F7"/>
            <w:noWrap/>
            <w:hideMark/>
          </w:tcPr>
          <w:p w14:paraId="2A709D81" w14:textId="77777777" w:rsidR="00E83B7F" w:rsidRPr="00561B12" w:rsidRDefault="00E83B7F" w:rsidP="00081812">
            <w:pPr>
              <w:keepNext/>
              <w:keepLines/>
              <w:jc w:val="center"/>
            </w:pPr>
            <w:r w:rsidRPr="00561B12">
              <w:t>45%</w:t>
            </w:r>
          </w:p>
        </w:tc>
        <w:tc>
          <w:tcPr>
            <w:tcW w:w="1789" w:type="dxa"/>
            <w:shd w:val="clear" w:color="auto" w:fill="C9E5F7"/>
          </w:tcPr>
          <w:p w14:paraId="3D573079" w14:textId="77777777" w:rsidR="00E83B7F" w:rsidRPr="00561B12" w:rsidRDefault="00E83B7F" w:rsidP="00081812">
            <w:pPr>
              <w:keepNext/>
              <w:keepLines/>
              <w:jc w:val="center"/>
            </w:pPr>
          </w:p>
        </w:tc>
      </w:tr>
      <w:tr w:rsidR="00E83B7F" w:rsidRPr="00561B12" w14:paraId="3B74A647" w14:textId="77777777" w:rsidTr="003730C6">
        <w:tc>
          <w:tcPr>
            <w:tcW w:w="5637" w:type="dxa"/>
            <w:hideMark/>
          </w:tcPr>
          <w:p w14:paraId="653042CA" w14:textId="77777777" w:rsidR="00E83B7F" w:rsidRPr="00561B12" w:rsidRDefault="00E83B7F" w:rsidP="00081812">
            <w:pPr>
              <w:keepNext/>
              <w:keepLines/>
            </w:pPr>
            <w:r w:rsidRPr="00561B12">
              <w:t>I usually come through difficult times with little trouble</w:t>
            </w:r>
          </w:p>
        </w:tc>
        <w:tc>
          <w:tcPr>
            <w:tcW w:w="1788" w:type="dxa"/>
            <w:noWrap/>
            <w:hideMark/>
          </w:tcPr>
          <w:p w14:paraId="077F267D" w14:textId="77777777" w:rsidR="00E83B7F" w:rsidRPr="00561B12" w:rsidRDefault="00E83B7F" w:rsidP="00081812">
            <w:pPr>
              <w:keepNext/>
              <w:keepLines/>
              <w:jc w:val="center"/>
            </w:pPr>
            <w:r w:rsidRPr="00561B12">
              <w:t>53%</w:t>
            </w:r>
          </w:p>
        </w:tc>
        <w:tc>
          <w:tcPr>
            <w:tcW w:w="1789" w:type="dxa"/>
          </w:tcPr>
          <w:p w14:paraId="33F43A7D" w14:textId="77777777" w:rsidR="00E83B7F" w:rsidRPr="00561B12" w:rsidRDefault="00E83B7F" w:rsidP="00081812">
            <w:pPr>
              <w:keepNext/>
              <w:keepLines/>
              <w:jc w:val="center"/>
            </w:pPr>
          </w:p>
        </w:tc>
      </w:tr>
      <w:tr w:rsidR="00E83B7F" w:rsidRPr="00561B12" w14:paraId="4BB0AA27" w14:textId="77777777" w:rsidTr="003730C6">
        <w:tc>
          <w:tcPr>
            <w:tcW w:w="5637" w:type="dxa"/>
            <w:shd w:val="clear" w:color="auto" w:fill="C9E5F7"/>
            <w:hideMark/>
          </w:tcPr>
          <w:p w14:paraId="051BB59B" w14:textId="77777777" w:rsidR="00E83B7F" w:rsidRPr="00561B12" w:rsidRDefault="00E83B7F" w:rsidP="00561B12">
            <w:r w:rsidRPr="00561B12">
              <w:t>I have a hard time making it through stressful events</w:t>
            </w:r>
          </w:p>
        </w:tc>
        <w:tc>
          <w:tcPr>
            <w:tcW w:w="1788" w:type="dxa"/>
            <w:shd w:val="clear" w:color="auto" w:fill="C9E5F7"/>
            <w:noWrap/>
            <w:hideMark/>
          </w:tcPr>
          <w:p w14:paraId="1312BD8C" w14:textId="77777777" w:rsidR="00E83B7F" w:rsidRPr="00561B12" w:rsidRDefault="00E83B7F" w:rsidP="004D00F0">
            <w:pPr>
              <w:jc w:val="center"/>
            </w:pPr>
          </w:p>
        </w:tc>
        <w:tc>
          <w:tcPr>
            <w:tcW w:w="1789" w:type="dxa"/>
            <w:shd w:val="clear" w:color="auto" w:fill="C9E5F7"/>
          </w:tcPr>
          <w:p w14:paraId="50FE6D37" w14:textId="77777777" w:rsidR="00E83B7F" w:rsidRPr="00561B12" w:rsidRDefault="00E83B7F" w:rsidP="004D00F0">
            <w:pPr>
              <w:jc w:val="center"/>
            </w:pPr>
            <w:r w:rsidRPr="00561B12">
              <w:t>61%</w:t>
            </w:r>
          </w:p>
        </w:tc>
      </w:tr>
      <w:tr w:rsidR="00E83B7F" w:rsidRPr="00561B12" w14:paraId="680E484D" w14:textId="77777777" w:rsidTr="003730C6">
        <w:tc>
          <w:tcPr>
            <w:tcW w:w="5637" w:type="dxa"/>
            <w:hideMark/>
          </w:tcPr>
          <w:p w14:paraId="537C6578" w14:textId="77777777" w:rsidR="00E83B7F" w:rsidRPr="00561B12" w:rsidRDefault="00E83B7F" w:rsidP="00561B12">
            <w:r w:rsidRPr="00561B12">
              <w:t>It is hard for me to snap back when something bad happens</w:t>
            </w:r>
          </w:p>
        </w:tc>
        <w:tc>
          <w:tcPr>
            <w:tcW w:w="1788" w:type="dxa"/>
            <w:noWrap/>
            <w:hideMark/>
          </w:tcPr>
          <w:p w14:paraId="664D9B7C" w14:textId="77777777" w:rsidR="00E83B7F" w:rsidRPr="00561B12" w:rsidRDefault="00E83B7F" w:rsidP="004D00F0">
            <w:pPr>
              <w:jc w:val="center"/>
            </w:pPr>
          </w:p>
        </w:tc>
        <w:tc>
          <w:tcPr>
            <w:tcW w:w="1789" w:type="dxa"/>
          </w:tcPr>
          <w:p w14:paraId="4A52DDA8" w14:textId="77777777" w:rsidR="00E83B7F" w:rsidRPr="00561B12" w:rsidRDefault="00E83B7F" w:rsidP="004D00F0">
            <w:pPr>
              <w:jc w:val="center"/>
            </w:pPr>
            <w:r w:rsidRPr="00561B12">
              <w:t>59%</w:t>
            </w:r>
          </w:p>
        </w:tc>
      </w:tr>
      <w:tr w:rsidR="00E83B7F" w:rsidRPr="00561B12" w14:paraId="0C11447E" w14:textId="77777777" w:rsidTr="003730C6">
        <w:tc>
          <w:tcPr>
            <w:tcW w:w="5637" w:type="dxa"/>
            <w:shd w:val="clear" w:color="auto" w:fill="C9E5F7"/>
          </w:tcPr>
          <w:p w14:paraId="06F89CC0" w14:textId="77777777" w:rsidR="00E83B7F" w:rsidRPr="00561B12" w:rsidRDefault="00E83B7F" w:rsidP="00561B12">
            <w:r w:rsidRPr="00561B12">
              <w:t>I tend to take a long time to get over setbacks in my life</w:t>
            </w:r>
          </w:p>
        </w:tc>
        <w:tc>
          <w:tcPr>
            <w:tcW w:w="1788" w:type="dxa"/>
            <w:shd w:val="clear" w:color="auto" w:fill="C9E5F7"/>
            <w:noWrap/>
          </w:tcPr>
          <w:p w14:paraId="0AA21F03" w14:textId="77777777" w:rsidR="00E83B7F" w:rsidRPr="00561B12" w:rsidRDefault="00E83B7F" w:rsidP="004D00F0">
            <w:pPr>
              <w:jc w:val="center"/>
            </w:pPr>
          </w:p>
        </w:tc>
        <w:tc>
          <w:tcPr>
            <w:tcW w:w="1789" w:type="dxa"/>
            <w:shd w:val="clear" w:color="auto" w:fill="C9E5F7"/>
          </w:tcPr>
          <w:p w14:paraId="088C5E7B" w14:textId="77777777" w:rsidR="00E83B7F" w:rsidRPr="00561B12" w:rsidRDefault="00E83B7F" w:rsidP="004D00F0">
            <w:pPr>
              <w:jc w:val="center"/>
            </w:pPr>
            <w:r w:rsidRPr="00561B12">
              <w:t>61%</w:t>
            </w:r>
          </w:p>
        </w:tc>
      </w:tr>
    </w:tbl>
    <w:p w14:paraId="0D7D44E8" w14:textId="77777777" w:rsidR="00E83B7F" w:rsidRPr="004D00F0" w:rsidRDefault="00E83B7F" w:rsidP="004D00F0"/>
    <w:p w14:paraId="19C9356D" w14:textId="796D9D21" w:rsidR="00E83B7F" w:rsidRPr="004D00F0" w:rsidRDefault="00E83B7F" w:rsidP="004D00F0">
      <w:r w:rsidRPr="004D00F0">
        <w:t>The questions about coping abilities are associated with a greater difference in the RTW results (</w:t>
      </w:r>
      <w:r w:rsidR="00AF69DF">
        <w:fldChar w:fldCharType="begin"/>
      </w:r>
      <w:r w:rsidR="00AF69DF">
        <w:instrText xml:space="preserve"> REF _Ref430954587 \h </w:instrText>
      </w:r>
      <w:r w:rsidR="00AF69DF">
        <w:fldChar w:fldCharType="separate"/>
      </w:r>
      <w:r w:rsidR="005D6308" w:rsidRPr="00153C28">
        <w:t xml:space="preserve">Figure </w:t>
      </w:r>
      <w:r w:rsidR="005D6308">
        <w:rPr>
          <w:noProof/>
        </w:rPr>
        <w:t>15</w:t>
      </w:r>
      <w:r w:rsidR="00AF69DF">
        <w:fldChar w:fldCharType="end"/>
      </w:r>
      <w:r w:rsidRPr="004D00F0">
        <w:t>). The reasons for this are not obvious. It may be that positively worded questions are a better differentiator of high versus low levels of resilience. This was not noted in the original paper assessing the validity of the Brief Resilience Scale.</w:t>
      </w:r>
    </w:p>
    <w:p w14:paraId="57135277" w14:textId="7006EA1F" w:rsidR="00E83B7F" w:rsidRDefault="00E83B7F" w:rsidP="004D00F0">
      <w:pPr>
        <w:pStyle w:val="Caption"/>
        <w:rPr>
          <w:noProof/>
        </w:rPr>
      </w:pPr>
      <w:bookmarkStart w:id="108" w:name="_Ref430954587"/>
      <w:bookmarkStart w:id="109" w:name="_Toc497141051"/>
      <w:r w:rsidRPr="00153C28">
        <w:t xml:space="preserve">Figure </w:t>
      </w:r>
      <w:r w:rsidR="005D6308">
        <w:fldChar w:fldCharType="begin"/>
      </w:r>
      <w:r w:rsidR="005D6308">
        <w:instrText xml:space="preserve"> SEQ Figure \* ARABIC </w:instrText>
      </w:r>
      <w:r w:rsidR="005D6308">
        <w:fldChar w:fldCharType="separate"/>
      </w:r>
      <w:r w:rsidR="005D6308">
        <w:rPr>
          <w:noProof/>
        </w:rPr>
        <w:t>15</w:t>
      </w:r>
      <w:r w:rsidR="005D6308">
        <w:rPr>
          <w:noProof/>
        </w:rPr>
        <w:fldChar w:fldCharType="end"/>
      </w:r>
      <w:bookmarkEnd w:id="108"/>
      <w:r w:rsidRPr="00153C28">
        <w:t xml:space="preserve"> </w:t>
      </w:r>
      <w:r w:rsidR="00B40DBE">
        <w:t>–</w:t>
      </w:r>
      <w:r>
        <w:t xml:space="preserve"> Percentage </w:t>
      </w:r>
      <w:r w:rsidRPr="00EA4A3F">
        <w:t>RTW</w:t>
      </w:r>
      <w:r>
        <w:t xml:space="preserve"> by</w:t>
      </w:r>
      <w:r w:rsidRPr="00153C28">
        <w:t xml:space="preserve"> </w:t>
      </w:r>
      <w:r w:rsidRPr="00153C28">
        <w:rPr>
          <w:noProof/>
        </w:rPr>
        <w:t>Levels of resilience as measured by postively frame questions only</w:t>
      </w:r>
      <w:bookmarkEnd w:id="109"/>
    </w:p>
    <w:p w14:paraId="1B4F7E18" w14:textId="4BE375DA" w:rsidR="00E83B7F" w:rsidRPr="00D66796" w:rsidRDefault="00E83B7F" w:rsidP="00E83B7F">
      <w:r>
        <w:rPr>
          <w:noProof/>
        </w:rPr>
        <w:drawing>
          <wp:inline distT="0" distB="0" distL="0" distR="0" wp14:anchorId="6D6B2B1F" wp14:editId="7F003BFA">
            <wp:extent cx="2736000" cy="2517569"/>
            <wp:effectExtent l="0" t="0" r="26670" b="16510"/>
            <wp:docPr id="104" name="Chart 104" descr="The graph provides a comparison between the percentage of employees (at work at the time of interview) who expressed either a high or low resilience response to positively worded questions. &#10;" title="Figure 15: Percentage RTW by levels of resilience as measured by positively framed questions only"/>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00DC531A">
        <w:t xml:space="preserve"> </w:t>
      </w:r>
      <w:r w:rsidR="00DC531A">
        <w:rPr>
          <w:noProof/>
        </w:rPr>
        <w:drawing>
          <wp:inline distT="0" distB="0" distL="0" distR="0" wp14:anchorId="702D0C2D" wp14:editId="66517E9E">
            <wp:extent cx="2736000" cy="2517569"/>
            <wp:effectExtent l="0" t="0" r="26670" b="16510"/>
            <wp:docPr id="105" name="Chart 105" descr="The graph provides a comparison between the percentage of employees (at work for three months or more at the time of interview) who expressed either a high or low resilience response to positively worded questions. " title="Figure 15: Percentage RTW by levels of resilience as measured by positively frame questions only"/>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53A5108C" w14:textId="77777777" w:rsidR="00E83B7F" w:rsidRPr="004D00F0" w:rsidRDefault="00E83B7F" w:rsidP="004D00F0">
      <w:pPr>
        <w:pStyle w:val="Caption"/>
      </w:pPr>
      <w:r w:rsidRPr="004D00F0">
        <w:t>N =434</w:t>
      </w:r>
    </w:p>
    <w:p w14:paraId="2109564E" w14:textId="77777777" w:rsidR="004D00F0" w:rsidRPr="004D00F0" w:rsidRDefault="004D00F0" w:rsidP="004D00F0"/>
    <w:p w14:paraId="7E789CAD" w14:textId="77777777" w:rsidR="00E83B7F" w:rsidRPr="004D00F0" w:rsidRDefault="00E83B7F" w:rsidP="004D00F0">
      <w:r w:rsidRPr="004D00F0">
        <w:t xml:space="preserve">The value of assessing resilience is a subject of debate in the literature. Whether resilience is a modifiable trait of the individual remains an unanswered question. </w:t>
      </w:r>
    </w:p>
    <w:p w14:paraId="741FA689" w14:textId="77777777" w:rsidR="00E83B7F" w:rsidRPr="004D00F0" w:rsidRDefault="00E83B7F" w:rsidP="004D00F0">
      <w:r w:rsidRPr="004D00F0">
        <w:t>As discussed in the literature review, individuals with higher levels of resilience who sustain a psychological injury cope more effectively and RTW earlier than employees with low levels of resilience.</w:t>
      </w:r>
      <w:r w:rsidRPr="00A20EE9">
        <w:rPr>
          <w:rStyle w:val="EndnoteReference"/>
        </w:rPr>
        <w:endnoteReference w:id="6"/>
      </w:r>
      <w:r w:rsidRPr="004D00F0">
        <w:t xml:space="preserve"> While personal resilience may yet be shown to be a modifiable factor, it is known to correlate strongly with self-efficacy, higher levels of positive emotions, problem-solving abilities and confidence, social support and adaptability;</w:t>
      </w:r>
      <w:r w:rsidRPr="00A20EE9">
        <w:rPr>
          <w:rStyle w:val="EndnoteReference"/>
        </w:rPr>
        <w:endnoteReference w:id="7"/>
      </w:r>
      <w:r w:rsidRPr="004D00F0">
        <w:t xml:space="preserve"> these are potentially modifiable characteristics. </w:t>
      </w:r>
    </w:p>
    <w:p w14:paraId="7D44C230" w14:textId="77777777" w:rsidR="00E83B7F" w:rsidRPr="00DC1480" w:rsidRDefault="00E83B7F" w:rsidP="001A004E">
      <w:pPr>
        <w:pStyle w:val="Heading2"/>
      </w:pPr>
      <w:bookmarkStart w:id="110" w:name="_Toc473101900"/>
      <w:bookmarkStart w:id="111" w:name="_Toc497141026"/>
      <w:r w:rsidRPr="00DC1480">
        <w:lastRenderedPageBreak/>
        <w:t>Medical care focus on RTW</w:t>
      </w:r>
      <w:bookmarkEnd w:id="110"/>
      <w:bookmarkEnd w:id="111"/>
      <w:r w:rsidRPr="00DC1480">
        <w:t xml:space="preserve"> </w:t>
      </w:r>
    </w:p>
    <w:p w14:paraId="51DAA558" w14:textId="77777777" w:rsidR="00E83B7F" w:rsidRPr="004D00F0" w:rsidRDefault="00E83B7F" w:rsidP="002263C3">
      <w:pPr>
        <w:keepNext/>
        <w:keepLines/>
      </w:pPr>
      <w:r w:rsidRPr="004D00F0">
        <w:t xml:space="preserve">The association between medical care being focused on RTW and the RTW results has been challenging to assess. The difficulty with this potential influencer of RTW is that the vast majority of workers felt that their medical care included a focus on resuming work. </w:t>
      </w:r>
    </w:p>
    <w:p w14:paraId="4C060F30" w14:textId="4E7E63DB" w:rsidR="00E83B7F" w:rsidRPr="004D00F0" w:rsidRDefault="00E83B7F" w:rsidP="002263C3">
      <w:pPr>
        <w:keepNext/>
        <w:keepLines/>
      </w:pPr>
      <w:r w:rsidRPr="004D00F0">
        <w:t>Further, the sample size of Survey respondents with psychological claims is 575, and the sample size for those answering ‘no’ to questions in this section was approximately 40. The lopsided nature of the response, along with the small number of those answering ‘no’, means the results are unreliable and difficult to interpret. The larger sample size of physical claims allows a more robust assessment.</w:t>
      </w:r>
    </w:p>
    <w:p w14:paraId="1F8185B2" w14:textId="3B799729" w:rsidR="00E83B7F" w:rsidRPr="004D00F0" w:rsidRDefault="00E83B7F" w:rsidP="004D00F0">
      <w:r w:rsidRPr="004D00F0">
        <w:t xml:space="preserve">Many jurisdictions have developed initiatives to improve certification and medical practitioners’ interaction with the scheme. While the results should be interpreted with caution, they have been included in the second report, </w:t>
      </w:r>
      <w:r w:rsidRPr="00FE19AF">
        <w:rPr>
          <w:i/>
        </w:rPr>
        <w:t>Return to work: a comparison of psychological and physical injury</w:t>
      </w:r>
      <w:r w:rsidR="00C066B8" w:rsidRPr="00FE19AF">
        <w:rPr>
          <w:i/>
        </w:rPr>
        <w:t> </w:t>
      </w:r>
      <w:r w:rsidRPr="00FE19AF">
        <w:rPr>
          <w:i/>
        </w:rPr>
        <w:t>claims</w:t>
      </w:r>
      <w:r w:rsidRPr="004D00F0">
        <w:t xml:space="preserve">. </w:t>
      </w:r>
    </w:p>
    <w:p w14:paraId="46F2CEA9" w14:textId="77777777" w:rsidR="00E83B7F" w:rsidRPr="00DC1480" w:rsidRDefault="00E83B7F" w:rsidP="001A004E">
      <w:pPr>
        <w:pStyle w:val="Heading2"/>
      </w:pPr>
      <w:bookmarkStart w:id="112" w:name="_Toc473101901"/>
      <w:bookmarkStart w:id="113" w:name="_Toc497141027"/>
      <w:r w:rsidRPr="00DC1480">
        <w:t>Return to work plans</w:t>
      </w:r>
      <w:bookmarkEnd w:id="112"/>
      <w:bookmarkEnd w:id="113"/>
    </w:p>
    <w:p w14:paraId="6BEF10CB" w14:textId="61C9A1A6" w:rsidR="00E83B7F" w:rsidRPr="004D00F0" w:rsidRDefault="00E83B7F" w:rsidP="004D00F0">
      <w:r w:rsidRPr="004D00F0">
        <w:t>The Survey</w:t>
      </w:r>
      <w:r w:rsidRPr="004D00F0" w:rsidDel="00502854">
        <w:t xml:space="preserve"> </w:t>
      </w:r>
      <w:r w:rsidRPr="004D00F0">
        <w:t>contains numerous questions about RTW plans. The difficulty in analysing the impact of RTW plans is that the methods by which they are developed and used vary. Some jurisdictions requ</w:t>
      </w:r>
      <w:r w:rsidR="00FE19AF">
        <w:t>ire them at certain time points;</w:t>
      </w:r>
      <w:r w:rsidRPr="004D00F0">
        <w:t xml:space="preserve"> others do not. </w:t>
      </w:r>
    </w:p>
    <w:p w14:paraId="4D642F0F" w14:textId="77777777" w:rsidR="00E83B7F" w:rsidRPr="004D00F0" w:rsidRDefault="00E83B7F" w:rsidP="004D00F0">
      <w:r w:rsidRPr="004D00F0">
        <w:t>When a worker is certified totally unfit for work, most employers do not develop a RTW plan. On the other hand, some do so as a way of preparing for the future, or influencing the treating practitioner. Some employees may not be aware that a RTW plan has been developed, particularly if they have been off work for only a short period.</w:t>
      </w:r>
    </w:p>
    <w:p w14:paraId="176E4145" w14:textId="77777777" w:rsidR="00E83B7F" w:rsidRPr="004D00F0" w:rsidRDefault="00E83B7F" w:rsidP="004D00F0">
      <w:r w:rsidRPr="004D00F0">
        <w:t>Thus, RTW plans can be influenced by certification, and at times they can influence certification and RTW. Analysing RTW results by whether employees have a RTW plan in place is therefore not helpful. This report therefore describes analysis of selected questions about RTW plans.</w:t>
      </w:r>
    </w:p>
    <w:p w14:paraId="7BCAC057" w14:textId="4B7AC47F" w:rsidR="00E83B7F" w:rsidRPr="004D00F0" w:rsidRDefault="00E83B7F" w:rsidP="004D00F0">
      <w:r w:rsidRPr="004D00F0">
        <w:t>If employees considered the RTW plan helpful, RTW was more likely (</w:t>
      </w:r>
      <w:r w:rsidR="000B1F4F">
        <w:fldChar w:fldCharType="begin"/>
      </w:r>
      <w:r w:rsidR="000B1F4F">
        <w:instrText xml:space="preserve"> REF _Ref440301220 \h </w:instrText>
      </w:r>
      <w:r w:rsidR="000B1F4F">
        <w:fldChar w:fldCharType="separate"/>
      </w:r>
      <w:r w:rsidR="005D6308" w:rsidRPr="00153C28">
        <w:t xml:space="preserve">Table </w:t>
      </w:r>
      <w:r w:rsidR="005D6308">
        <w:rPr>
          <w:noProof/>
        </w:rPr>
        <w:t>19</w:t>
      </w:r>
      <w:r w:rsidR="000B1F4F">
        <w:fldChar w:fldCharType="end"/>
      </w:r>
      <w:r w:rsidRPr="004D00F0">
        <w:t>). The same findings were noted when the employee thought their views were taken into account (</w:t>
      </w:r>
      <w:r w:rsidR="000B1F4F">
        <w:fldChar w:fldCharType="begin"/>
      </w:r>
      <w:r w:rsidR="000B1F4F">
        <w:instrText xml:space="preserve"> REF _Ref494273726 \h </w:instrText>
      </w:r>
      <w:r w:rsidR="000B1F4F">
        <w:fldChar w:fldCharType="separate"/>
      </w:r>
      <w:r w:rsidR="005D6308" w:rsidRPr="004E5B0C">
        <w:t xml:space="preserve">Table </w:t>
      </w:r>
      <w:r w:rsidR="005D6308">
        <w:rPr>
          <w:noProof/>
        </w:rPr>
        <w:t>20</w:t>
      </w:r>
      <w:r w:rsidR="000B1F4F">
        <w:fldChar w:fldCharType="end"/>
      </w:r>
      <w:r w:rsidRPr="004D00F0">
        <w:t xml:space="preserve">). </w:t>
      </w:r>
    </w:p>
    <w:p w14:paraId="2C41C65D" w14:textId="6304CDF4" w:rsidR="00E83B7F" w:rsidRDefault="00E83B7F" w:rsidP="004D00F0">
      <w:pPr>
        <w:pStyle w:val="Caption"/>
      </w:pPr>
      <w:bookmarkStart w:id="114" w:name="_Ref440301220"/>
      <w:bookmarkStart w:id="115" w:name="_Toc494358583"/>
      <w:r w:rsidRPr="00153C28">
        <w:t xml:space="preserve">Table </w:t>
      </w:r>
      <w:r w:rsidR="005D6308">
        <w:fldChar w:fldCharType="begin"/>
      </w:r>
      <w:r w:rsidR="005D6308">
        <w:instrText xml:space="preserve"> SEQ Table \* ARABIC </w:instrText>
      </w:r>
      <w:r w:rsidR="005D6308">
        <w:fldChar w:fldCharType="separate"/>
      </w:r>
      <w:r w:rsidR="005D6308">
        <w:rPr>
          <w:noProof/>
        </w:rPr>
        <w:t>19</w:t>
      </w:r>
      <w:r w:rsidR="005D6308">
        <w:rPr>
          <w:noProof/>
        </w:rPr>
        <w:fldChar w:fldCharType="end"/>
      </w:r>
      <w:bookmarkEnd w:id="114"/>
      <w:r w:rsidRPr="00153C28">
        <w:t xml:space="preserve"> </w:t>
      </w:r>
      <w:r w:rsidR="00B40DBE">
        <w:t>–</w:t>
      </w:r>
      <w:r w:rsidRPr="00153C28">
        <w:t xml:space="preserve"> </w:t>
      </w:r>
      <w:r>
        <w:t xml:space="preserve">Percentage </w:t>
      </w:r>
      <w:r w:rsidRPr="00EA4A3F">
        <w:t xml:space="preserve">RTW </w:t>
      </w:r>
      <w:r>
        <w:t xml:space="preserve">by </w:t>
      </w:r>
      <w:r w:rsidRPr="00153C28">
        <w:t>helpful</w:t>
      </w:r>
      <w:r>
        <w:t>ness of</w:t>
      </w:r>
      <w:r w:rsidRPr="00153C28">
        <w:t xml:space="preserve"> return to work plan</w:t>
      </w:r>
      <w:bookmarkEnd w:id="115"/>
    </w:p>
    <w:tbl>
      <w:tblPr>
        <w:tblStyle w:val="LightShading-Accent2"/>
        <w:tblW w:w="5000" w:type="pct"/>
        <w:tblLook w:val="0620" w:firstRow="1" w:lastRow="0" w:firstColumn="0" w:lastColumn="0" w:noHBand="1" w:noVBand="1"/>
        <w:tblCaption w:val="Table 19: Percentage RTW by helpfulness of return to work plan "/>
        <w:tblDescription w:val="This table provides a percentage breakdown of employee responses about whether their RTW plan was helpful. "/>
      </w:tblPr>
      <w:tblGrid>
        <w:gridCol w:w="2148"/>
        <w:gridCol w:w="2746"/>
        <w:gridCol w:w="2178"/>
        <w:gridCol w:w="1974"/>
      </w:tblGrid>
      <w:tr w:rsidR="00E83B7F" w:rsidRPr="004D00F0" w14:paraId="646D7F42" w14:textId="77777777" w:rsidTr="003730C6">
        <w:trPr>
          <w:cnfStyle w:val="100000000000" w:firstRow="1" w:lastRow="0" w:firstColumn="0" w:lastColumn="0" w:oddVBand="0" w:evenVBand="0" w:oddHBand="0" w:evenHBand="0" w:firstRowFirstColumn="0" w:firstRowLastColumn="0" w:lastRowFirstColumn="0" w:lastRowLastColumn="0"/>
          <w:tblHeader/>
        </w:trPr>
        <w:tc>
          <w:tcPr>
            <w:tcW w:w="1187" w:type="pct"/>
            <w:vAlign w:val="center"/>
          </w:tcPr>
          <w:p w14:paraId="7263A1E4" w14:textId="77777777" w:rsidR="00E83B7F" w:rsidRPr="004D00F0" w:rsidRDefault="00E83B7F" w:rsidP="00333BB1">
            <w:r w:rsidRPr="004D00F0">
              <w:t>RTW plan helpful?</w:t>
            </w:r>
          </w:p>
        </w:tc>
        <w:tc>
          <w:tcPr>
            <w:tcW w:w="1518" w:type="pct"/>
          </w:tcPr>
          <w:p w14:paraId="7346AC4C" w14:textId="4897418B" w:rsidR="00E83B7F" w:rsidRPr="004D00F0" w:rsidRDefault="00E83B7F" w:rsidP="00D54658">
            <w:pPr>
              <w:jc w:val="center"/>
            </w:pPr>
            <w:r w:rsidRPr="004D00F0">
              <w:t>At work at time of</w:t>
            </w:r>
            <w:r w:rsidR="00D54658">
              <w:t> </w:t>
            </w:r>
            <w:r w:rsidRPr="004D00F0">
              <w:t>interview</w:t>
            </w:r>
          </w:p>
        </w:tc>
        <w:tc>
          <w:tcPr>
            <w:tcW w:w="1204" w:type="pct"/>
            <w:vAlign w:val="center"/>
          </w:tcPr>
          <w:p w14:paraId="794CE534" w14:textId="77777777" w:rsidR="00E83B7F" w:rsidRPr="004D00F0" w:rsidRDefault="00E83B7F" w:rsidP="00333BB1">
            <w:r w:rsidRPr="004D00F0">
              <w:t>RTW plan helpful?</w:t>
            </w:r>
          </w:p>
        </w:tc>
        <w:tc>
          <w:tcPr>
            <w:tcW w:w="1091" w:type="pct"/>
          </w:tcPr>
          <w:p w14:paraId="1601F700" w14:textId="59E2330E" w:rsidR="00E83B7F" w:rsidRPr="004D00F0" w:rsidRDefault="00E83B7F" w:rsidP="00D54658">
            <w:pPr>
              <w:jc w:val="center"/>
            </w:pPr>
            <w:r w:rsidRPr="004D00F0">
              <w:t>At work 3+</w:t>
            </w:r>
            <w:r w:rsidR="00D54658">
              <w:t> </w:t>
            </w:r>
            <w:r w:rsidRPr="004D00F0">
              <w:t>months</w:t>
            </w:r>
          </w:p>
        </w:tc>
      </w:tr>
      <w:tr w:rsidR="00E83B7F" w:rsidRPr="004D00F0" w14:paraId="1E335F12" w14:textId="77777777" w:rsidTr="003730C6">
        <w:tc>
          <w:tcPr>
            <w:tcW w:w="1187" w:type="pct"/>
          </w:tcPr>
          <w:p w14:paraId="57B7F306" w14:textId="77777777" w:rsidR="00E83B7F" w:rsidRPr="004D00F0" w:rsidRDefault="00E83B7F" w:rsidP="004D00F0">
            <w:r w:rsidRPr="004D00F0">
              <w:t>Very helpful</w:t>
            </w:r>
          </w:p>
        </w:tc>
        <w:tc>
          <w:tcPr>
            <w:tcW w:w="1518" w:type="pct"/>
          </w:tcPr>
          <w:p w14:paraId="46F3042C" w14:textId="77777777" w:rsidR="00E83B7F" w:rsidRPr="004D00F0" w:rsidRDefault="00E83B7F" w:rsidP="004D00F0">
            <w:pPr>
              <w:jc w:val="center"/>
            </w:pPr>
            <w:r w:rsidRPr="004D00F0">
              <w:t>81%</w:t>
            </w:r>
          </w:p>
        </w:tc>
        <w:tc>
          <w:tcPr>
            <w:tcW w:w="1204" w:type="pct"/>
          </w:tcPr>
          <w:p w14:paraId="73F3E166" w14:textId="77777777" w:rsidR="00E83B7F" w:rsidRPr="004D00F0" w:rsidRDefault="00E83B7F" w:rsidP="004D00F0">
            <w:r w:rsidRPr="004D00F0">
              <w:t>Very helpful</w:t>
            </w:r>
          </w:p>
        </w:tc>
        <w:tc>
          <w:tcPr>
            <w:tcW w:w="1091" w:type="pct"/>
          </w:tcPr>
          <w:p w14:paraId="6E1B08F4" w14:textId="77777777" w:rsidR="00E83B7F" w:rsidRPr="004D00F0" w:rsidRDefault="00E83B7F" w:rsidP="004D00F0">
            <w:pPr>
              <w:jc w:val="center"/>
            </w:pPr>
            <w:r w:rsidRPr="004D00F0">
              <w:t>65%</w:t>
            </w:r>
          </w:p>
        </w:tc>
      </w:tr>
      <w:tr w:rsidR="00E83B7F" w:rsidRPr="004D00F0" w14:paraId="57C86487" w14:textId="77777777" w:rsidTr="003730C6">
        <w:tc>
          <w:tcPr>
            <w:tcW w:w="1187" w:type="pct"/>
            <w:shd w:val="clear" w:color="auto" w:fill="C9E5F7"/>
          </w:tcPr>
          <w:p w14:paraId="33D2F4B4" w14:textId="77777777" w:rsidR="00E83B7F" w:rsidRPr="004D00F0" w:rsidRDefault="00E83B7F" w:rsidP="004D00F0">
            <w:r w:rsidRPr="004D00F0">
              <w:t>Helpful</w:t>
            </w:r>
          </w:p>
        </w:tc>
        <w:tc>
          <w:tcPr>
            <w:tcW w:w="1518" w:type="pct"/>
            <w:shd w:val="clear" w:color="auto" w:fill="C9E5F7"/>
          </w:tcPr>
          <w:p w14:paraId="3F027BF3" w14:textId="77777777" w:rsidR="00E83B7F" w:rsidRPr="004D00F0" w:rsidRDefault="00E83B7F" w:rsidP="004D00F0">
            <w:pPr>
              <w:jc w:val="center"/>
            </w:pPr>
            <w:r w:rsidRPr="004D00F0">
              <w:t>71%</w:t>
            </w:r>
          </w:p>
        </w:tc>
        <w:tc>
          <w:tcPr>
            <w:tcW w:w="1204" w:type="pct"/>
            <w:shd w:val="clear" w:color="auto" w:fill="C9E5F7"/>
          </w:tcPr>
          <w:p w14:paraId="5D59FBF5" w14:textId="77777777" w:rsidR="00E83B7F" w:rsidRPr="004D00F0" w:rsidRDefault="00E83B7F" w:rsidP="004D00F0">
            <w:r w:rsidRPr="004D00F0">
              <w:t>Helpful</w:t>
            </w:r>
          </w:p>
        </w:tc>
        <w:tc>
          <w:tcPr>
            <w:tcW w:w="1091" w:type="pct"/>
            <w:shd w:val="clear" w:color="auto" w:fill="C9E5F7"/>
          </w:tcPr>
          <w:p w14:paraId="6023C84F" w14:textId="77777777" w:rsidR="00E83B7F" w:rsidRPr="004D00F0" w:rsidRDefault="00E83B7F" w:rsidP="004D00F0">
            <w:pPr>
              <w:jc w:val="center"/>
            </w:pPr>
            <w:r w:rsidRPr="004D00F0">
              <w:t>58%</w:t>
            </w:r>
          </w:p>
        </w:tc>
      </w:tr>
      <w:tr w:rsidR="00E83B7F" w:rsidRPr="004D00F0" w14:paraId="3A9115CB" w14:textId="77777777" w:rsidTr="003730C6">
        <w:tc>
          <w:tcPr>
            <w:tcW w:w="1187" w:type="pct"/>
          </w:tcPr>
          <w:p w14:paraId="3DC5631D" w14:textId="77777777" w:rsidR="00E83B7F" w:rsidRPr="004D00F0" w:rsidRDefault="00E83B7F" w:rsidP="004D00F0">
            <w:r w:rsidRPr="004D00F0">
              <w:t>Not particularly helpful</w:t>
            </w:r>
          </w:p>
        </w:tc>
        <w:tc>
          <w:tcPr>
            <w:tcW w:w="1518" w:type="pct"/>
          </w:tcPr>
          <w:p w14:paraId="587821BB" w14:textId="77777777" w:rsidR="00E83B7F" w:rsidRPr="004D00F0" w:rsidRDefault="00E83B7F" w:rsidP="004D00F0">
            <w:pPr>
              <w:jc w:val="center"/>
            </w:pPr>
            <w:r w:rsidRPr="004D00F0">
              <w:t>73%</w:t>
            </w:r>
          </w:p>
        </w:tc>
        <w:tc>
          <w:tcPr>
            <w:tcW w:w="1204" w:type="pct"/>
          </w:tcPr>
          <w:p w14:paraId="13B2E6BE" w14:textId="22A2D36B" w:rsidR="00E83B7F" w:rsidRPr="004D00F0" w:rsidRDefault="00E83B7F" w:rsidP="00081812">
            <w:r w:rsidRPr="004D00F0">
              <w:t>Not particularly</w:t>
            </w:r>
            <w:r w:rsidR="00081812">
              <w:t> </w:t>
            </w:r>
            <w:r w:rsidRPr="004D00F0">
              <w:t>helpful</w:t>
            </w:r>
          </w:p>
        </w:tc>
        <w:tc>
          <w:tcPr>
            <w:tcW w:w="1091" w:type="pct"/>
          </w:tcPr>
          <w:p w14:paraId="514AB867" w14:textId="77777777" w:rsidR="00E83B7F" w:rsidRPr="004D00F0" w:rsidRDefault="00E83B7F" w:rsidP="004D00F0">
            <w:pPr>
              <w:jc w:val="center"/>
            </w:pPr>
            <w:r w:rsidRPr="004D00F0">
              <w:t>58%</w:t>
            </w:r>
          </w:p>
        </w:tc>
      </w:tr>
      <w:tr w:rsidR="00E83B7F" w:rsidRPr="004D00F0" w14:paraId="41E23A6C" w14:textId="77777777" w:rsidTr="003730C6">
        <w:tc>
          <w:tcPr>
            <w:tcW w:w="1187" w:type="pct"/>
            <w:shd w:val="clear" w:color="auto" w:fill="C9E5F7"/>
          </w:tcPr>
          <w:p w14:paraId="6AFDE66F" w14:textId="77777777" w:rsidR="00E83B7F" w:rsidRPr="004D00F0" w:rsidRDefault="00E83B7F" w:rsidP="004D00F0">
            <w:r w:rsidRPr="004D00F0">
              <w:t>Not at all helpful</w:t>
            </w:r>
          </w:p>
        </w:tc>
        <w:tc>
          <w:tcPr>
            <w:tcW w:w="1518" w:type="pct"/>
            <w:shd w:val="clear" w:color="auto" w:fill="C9E5F7"/>
          </w:tcPr>
          <w:p w14:paraId="297E1A6D" w14:textId="77777777" w:rsidR="00E83B7F" w:rsidRPr="004D00F0" w:rsidRDefault="00E83B7F" w:rsidP="004D00F0">
            <w:pPr>
              <w:jc w:val="center"/>
            </w:pPr>
            <w:r w:rsidRPr="004D00F0">
              <w:t>58%</w:t>
            </w:r>
          </w:p>
        </w:tc>
        <w:tc>
          <w:tcPr>
            <w:tcW w:w="1204" w:type="pct"/>
            <w:shd w:val="clear" w:color="auto" w:fill="C9E5F7"/>
          </w:tcPr>
          <w:p w14:paraId="65C882DD" w14:textId="77777777" w:rsidR="00E83B7F" w:rsidRPr="004D00F0" w:rsidRDefault="00E83B7F" w:rsidP="004D00F0">
            <w:r w:rsidRPr="004D00F0">
              <w:t>Not at all helpful</w:t>
            </w:r>
          </w:p>
        </w:tc>
        <w:tc>
          <w:tcPr>
            <w:tcW w:w="1091" w:type="pct"/>
            <w:shd w:val="clear" w:color="auto" w:fill="C9E5F7"/>
          </w:tcPr>
          <w:p w14:paraId="58514C20" w14:textId="77777777" w:rsidR="00E83B7F" w:rsidRPr="004D00F0" w:rsidRDefault="00E83B7F" w:rsidP="004D00F0">
            <w:pPr>
              <w:jc w:val="center"/>
            </w:pPr>
            <w:r w:rsidRPr="004D00F0">
              <w:t>42%</w:t>
            </w:r>
          </w:p>
        </w:tc>
      </w:tr>
    </w:tbl>
    <w:p w14:paraId="4ED0054F" w14:textId="77777777" w:rsidR="004D00F0" w:rsidRPr="004D00F0" w:rsidRDefault="004D00F0" w:rsidP="004D00F0">
      <w:bookmarkStart w:id="116" w:name="_Ref440301259"/>
    </w:p>
    <w:p w14:paraId="1EE81010" w14:textId="7396CC64" w:rsidR="00E83B7F" w:rsidRDefault="00E83B7F" w:rsidP="004D00F0">
      <w:pPr>
        <w:pStyle w:val="Caption"/>
      </w:pPr>
      <w:bookmarkStart w:id="117" w:name="_Ref494273726"/>
      <w:bookmarkStart w:id="118" w:name="_Toc494358584"/>
      <w:r w:rsidRPr="004E5B0C">
        <w:t xml:space="preserve">Table </w:t>
      </w:r>
      <w:r w:rsidR="005D6308">
        <w:fldChar w:fldCharType="begin"/>
      </w:r>
      <w:r w:rsidR="005D6308">
        <w:instrText xml:space="preserve"> SEQ Table \* ARABIC </w:instrText>
      </w:r>
      <w:r w:rsidR="005D6308">
        <w:fldChar w:fldCharType="separate"/>
      </w:r>
      <w:r w:rsidR="005D6308">
        <w:rPr>
          <w:noProof/>
        </w:rPr>
        <w:t>20</w:t>
      </w:r>
      <w:r w:rsidR="005D6308">
        <w:rPr>
          <w:noProof/>
        </w:rPr>
        <w:fldChar w:fldCharType="end"/>
      </w:r>
      <w:bookmarkEnd w:id="116"/>
      <w:bookmarkEnd w:id="117"/>
      <w:r w:rsidRPr="004E5B0C">
        <w:t xml:space="preserve"> </w:t>
      </w:r>
      <w:r w:rsidR="00B40DBE">
        <w:t>–</w:t>
      </w:r>
      <w:r w:rsidRPr="004E5B0C">
        <w:t xml:space="preserve"> </w:t>
      </w:r>
      <w:r>
        <w:t xml:space="preserve">Percentage </w:t>
      </w:r>
      <w:r w:rsidRPr="00EA4A3F">
        <w:t xml:space="preserve">RTW </w:t>
      </w:r>
      <w:r>
        <w:t>by whether</w:t>
      </w:r>
      <w:r w:rsidRPr="004E5B0C">
        <w:t xml:space="preserve"> views were considered during RTW</w:t>
      </w:r>
      <w:bookmarkEnd w:id="118"/>
    </w:p>
    <w:tbl>
      <w:tblPr>
        <w:tblStyle w:val="LightShading-Accent2"/>
        <w:tblW w:w="5000" w:type="pct"/>
        <w:tblLook w:val="0620" w:firstRow="1" w:lastRow="0" w:firstColumn="0" w:lastColumn="0" w:noHBand="1" w:noVBand="1"/>
        <w:tblCaption w:val="Table 20: Percentage RTW by whether views were considered during RTW"/>
        <w:tblDescription w:val="This table provides a percentage breakdown of employee responses about whether their views were considered during RTW. "/>
      </w:tblPr>
      <w:tblGrid>
        <w:gridCol w:w="2152"/>
        <w:gridCol w:w="2758"/>
        <w:gridCol w:w="2211"/>
        <w:gridCol w:w="1925"/>
      </w:tblGrid>
      <w:tr w:rsidR="004D00F0" w:rsidRPr="004D00F0" w14:paraId="4E71C665" w14:textId="77777777" w:rsidTr="003730C6">
        <w:trPr>
          <w:cnfStyle w:val="100000000000" w:firstRow="1" w:lastRow="0" w:firstColumn="0" w:lastColumn="0" w:oddVBand="0" w:evenVBand="0" w:oddHBand="0" w:evenHBand="0" w:firstRowFirstColumn="0" w:firstRowLastColumn="0" w:lastRowFirstColumn="0" w:lastRowLastColumn="0"/>
          <w:tblHeader/>
        </w:trPr>
        <w:tc>
          <w:tcPr>
            <w:tcW w:w="1189" w:type="pct"/>
          </w:tcPr>
          <w:p w14:paraId="35CD07DE" w14:textId="064CE3E9" w:rsidR="00E83B7F" w:rsidRPr="004D00F0" w:rsidRDefault="00E83B7F" w:rsidP="004D00F0">
            <w:r w:rsidRPr="004D00F0">
              <w:t>Views considered during RTW</w:t>
            </w:r>
          </w:p>
        </w:tc>
        <w:tc>
          <w:tcPr>
            <w:tcW w:w="1524" w:type="pct"/>
          </w:tcPr>
          <w:p w14:paraId="15B38D2B" w14:textId="1C902EF2" w:rsidR="00E83B7F" w:rsidRPr="004D00F0" w:rsidRDefault="00E83B7F" w:rsidP="00D54658">
            <w:pPr>
              <w:jc w:val="center"/>
            </w:pPr>
            <w:r w:rsidRPr="004D00F0">
              <w:t>At work at time of</w:t>
            </w:r>
            <w:r w:rsidR="00D54658">
              <w:t> </w:t>
            </w:r>
            <w:r w:rsidRPr="004D00F0">
              <w:t>interview</w:t>
            </w:r>
          </w:p>
        </w:tc>
        <w:tc>
          <w:tcPr>
            <w:tcW w:w="1222" w:type="pct"/>
          </w:tcPr>
          <w:p w14:paraId="243B62F8" w14:textId="77777777" w:rsidR="00E83B7F" w:rsidRPr="004D00F0" w:rsidRDefault="00E83B7F" w:rsidP="004D00F0">
            <w:r w:rsidRPr="004D00F0">
              <w:t>Views considered during RTW</w:t>
            </w:r>
          </w:p>
        </w:tc>
        <w:tc>
          <w:tcPr>
            <w:tcW w:w="1064" w:type="pct"/>
          </w:tcPr>
          <w:p w14:paraId="15508E5A" w14:textId="24D1043B" w:rsidR="00E83B7F" w:rsidRPr="004D00F0" w:rsidRDefault="00E83B7F" w:rsidP="00D54658">
            <w:pPr>
              <w:jc w:val="center"/>
            </w:pPr>
            <w:r w:rsidRPr="004D00F0">
              <w:t>At work 3+</w:t>
            </w:r>
            <w:r w:rsidR="00D54658">
              <w:t> </w:t>
            </w:r>
            <w:r w:rsidRPr="004D00F0">
              <w:t>months</w:t>
            </w:r>
          </w:p>
        </w:tc>
      </w:tr>
      <w:tr w:rsidR="004D00F0" w:rsidRPr="004D00F0" w14:paraId="41566454" w14:textId="77777777" w:rsidTr="003730C6">
        <w:tc>
          <w:tcPr>
            <w:tcW w:w="1189" w:type="pct"/>
          </w:tcPr>
          <w:p w14:paraId="7DD4F744" w14:textId="77777777" w:rsidR="00E83B7F" w:rsidRPr="004D00F0" w:rsidRDefault="00E83B7F" w:rsidP="004D00F0">
            <w:r w:rsidRPr="004D00F0">
              <w:t>Fully</w:t>
            </w:r>
          </w:p>
        </w:tc>
        <w:tc>
          <w:tcPr>
            <w:tcW w:w="1524" w:type="pct"/>
          </w:tcPr>
          <w:p w14:paraId="6E1EDF17" w14:textId="77777777" w:rsidR="00E83B7F" w:rsidRPr="004D00F0" w:rsidRDefault="00E83B7F" w:rsidP="004D00F0">
            <w:pPr>
              <w:jc w:val="center"/>
            </w:pPr>
            <w:r w:rsidRPr="004D00F0">
              <w:t>65%</w:t>
            </w:r>
          </w:p>
        </w:tc>
        <w:tc>
          <w:tcPr>
            <w:tcW w:w="1222" w:type="pct"/>
          </w:tcPr>
          <w:p w14:paraId="31616B12" w14:textId="77777777" w:rsidR="00E83B7F" w:rsidRPr="004D00F0" w:rsidRDefault="00E83B7F" w:rsidP="004D00F0">
            <w:r w:rsidRPr="004D00F0">
              <w:t>Fully</w:t>
            </w:r>
          </w:p>
        </w:tc>
        <w:tc>
          <w:tcPr>
            <w:tcW w:w="1064" w:type="pct"/>
          </w:tcPr>
          <w:p w14:paraId="015552CE" w14:textId="77777777" w:rsidR="00E83B7F" w:rsidRPr="004D00F0" w:rsidRDefault="00E83B7F" w:rsidP="004D00F0">
            <w:pPr>
              <w:jc w:val="center"/>
            </w:pPr>
            <w:r w:rsidRPr="004D00F0">
              <w:t>50%</w:t>
            </w:r>
          </w:p>
        </w:tc>
      </w:tr>
      <w:tr w:rsidR="004D00F0" w:rsidRPr="004D00F0" w14:paraId="0FD41115" w14:textId="77777777" w:rsidTr="003730C6">
        <w:tc>
          <w:tcPr>
            <w:tcW w:w="1189" w:type="pct"/>
            <w:shd w:val="clear" w:color="auto" w:fill="C9E5F7"/>
          </w:tcPr>
          <w:p w14:paraId="2A53CCE6" w14:textId="77777777" w:rsidR="00E83B7F" w:rsidRPr="004D00F0" w:rsidRDefault="00E83B7F" w:rsidP="004D00F0">
            <w:r w:rsidRPr="004D00F0">
              <w:t>Almost fully</w:t>
            </w:r>
          </w:p>
        </w:tc>
        <w:tc>
          <w:tcPr>
            <w:tcW w:w="1524" w:type="pct"/>
            <w:shd w:val="clear" w:color="auto" w:fill="C9E5F7"/>
          </w:tcPr>
          <w:p w14:paraId="6BE86573" w14:textId="77777777" w:rsidR="00E83B7F" w:rsidRPr="004D00F0" w:rsidRDefault="00E83B7F" w:rsidP="004D00F0">
            <w:pPr>
              <w:jc w:val="center"/>
            </w:pPr>
            <w:r w:rsidRPr="004D00F0">
              <w:t>65%</w:t>
            </w:r>
          </w:p>
        </w:tc>
        <w:tc>
          <w:tcPr>
            <w:tcW w:w="1222" w:type="pct"/>
            <w:shd w:val="clear" w:color="auto" w:fill="C9E5F7"/>
          </w:tcPr>
          <w:p w14:paraId="4D88DB12" w14:textId="77777777" w:rsidR="00E83B7F" w:rsidRPr="004D00F0" w:rsidRDefault="00E83B7F" w:rsidP="004D00F0">
            <w:r w:rsidRPr="004D00F0">
              <w:t>Almost fully</w:t>
            </w:r>
          </w:p>
        </w:tc>
        <w:tc>
          <w:tcPr>
            <w:tcW w:w="1064" w:type="pct"/>
            <w:shd w:val="clear" w:color="auto" w:fill="C9E5F7"/>
          </w:tcPr>
          <w:p w14:paraId="164929C4" w14:textId="77777777" w:rsidR="00E83B7F" w:rsidRPr="004D00F0" w:rsidRDefault="00E83B7F" w:rsidP="004D00F0">
            <w:pPr>
              <w:jc w:val="center"/>
            </w:pPr>
            <w:r w:rsidRPr="004D00F0">
              <w:t>55%</w:t>
            </w:r>
          </w:p>
        </w:tc>
      </w:tr>
      <w:tr w:rsidR="004D00F0" w:rsidRPr="004D00F0" w14:paraId="142D823F" w14:textId="77777777" w:rsidTr="003730C6">
        <w:tc>
          <w:tcPr>
            <w:tcW w:w="1189" w:type="pct"/>
          </w:tcPr>
          <w:p w14:paraId="55A0140A" w14:textId="77777777" w:rsidR="00E83B7F" w:rsidRPr="004D00F0" w:rsidRDefault="00E83B7F" w:rsidP="004D00F0">
            <w:r w:rsidRPr="004D00F0">
              <w:t>Only partially</w:t>
            </w:r>
          </w:p>
        </w:tc>
        <w:tc>
          <w:tcPr>
            <w:tcW w:w="1524" w:type="pct"/>
          </w:tcPr>
          <w:p w14:paraId="792DB36C" w14:textId="77777777" w:rsidR="00E83B7F" w:rsidRPr="004D00F0" w:rsidRDefault="00E83B7F" w:rsidP="004D00F0">
            <w:pPr>
              <w:jc w:val="center"/>
            </w:pPr>
            <w:r w:rsidRPr="004D00F0">
              <w:t>65%</w:t>
            </w:r>
          </w:p>
        </w:tc>
        <w:tc>
          <w:tcPr>
            <w:tcW w:w="1222" w:type="pct"/>
          </w:tcPr>
          <w:p w14:paraId="694936BC" w14:textId="77777777" w:rsidR="00E83B7F" w:rsidRPr="004D00F0" w:rsidRDefault="00E83B7F" w:rsidP="004D00F0">
            <w:r w:rsidRPr="004D00F0">
              <w:t>Only partially</w:t>
            </w:r>
          </w:p>
        </w:tc>
        <w:tc>
          <w:tcPr>
            <w:tcW w:w="1064" w:type="pct"/>
          </w:tcPr>
          <w:p w14:paraId="38C5B7EB" w14:textId="77777777" w:rsidR="00E83B7F" w:rsidRPr="004D00F0" w:rsidRDefault="00E83B7F" w:rsidP="004D00F0">
            <w:pPr>
              <w:jc w:val="center"/>
            </w:pPr>
            <w:r w:rsidRPr="004D00F0">
              <w:t>44%</w:t>
            </w:r>
          </w:p>
        </w:tc>
      </w:tr>
      <w:tr w:rsidR="004D00F0" w:rsidRPr="004D00F0" w14:paraId="6411A870" w14:textId="77777777" w:rsidTr="003730C6">
        <w:tc>
          <w:tcPr>
            <w:tcW w:w="1189" w:type="pct"/>
            <w:shd w:val="clear" w:color="auto" w:fill="C9E5F7"/>
          </w:tcPr>
          <w:p w14:paraId="30EA767E" w14:textId="77777777" w:rsidR="00E83B7F" w:rsidRPr="004D00F0" w:rsidRDefault="00E83B7F" w:rsidP="004D00F0">
            <w:r w:rsidRPr="004D00F0">
              <w:t>Not at all</w:t>
            </w:r>
          </w:p>
        </w:tc>
        <w:tc>
          <w:tcPr>
            <w:tcW w:w="1524" w:type="pct"/>
            <w:shd w:val="clear" w:color="auto" w:fill="C9E5F7"/>
          </w:tcPr>
          <w:p w14:paraId="2DD07DD1" w14:textId="77777777" w:rsidR="00E83B7F" w:rsidRPr="004D00F0" w:rsidRDefault="00E83B7F" w:rsidP="004D00F0">
            <w:pPr>
              <w:jc w:val="center"/>
            </w:pPr>
            <w:r w:rsidRPr="004D00F0">
              <w:t>48%</w:t>
            </w:r>
          </w:p>
        </w:tc>
        <w:tc>
          <w:tcPr>
            <w:tcW w:w="1222" w:type="pct"/>
            <w:shd w:val="clear" w:color="auto" w:fill="C9E5F7"/>
          </w:tcPr>
          <w:p w14:paraId="32777DB0" w14:textId="77777777" w:rsidR="00E83B7F" w:rsidRPr="004D00F0" w:rsidRDefault="00E83B7F" w:rsidP="004D00F0">
            <w:r w:rsidRPr="004D00F0">
              <w:t>Not at all</w:t>
            </w:r>
          </w:p>
        </w:tc>
        <w:tc>
          <w:tcPr>
            <w:tcW w:w="1064" w:type="pct"/>
            <w:shd w:val="clear" w:color="auto" w:fill="C9E5F7"/>
          </w:tcPr>
          <w:p w14:paraId="2D1D9CB5" w14:textId="77777777" w:rsidR="00E83B7F" w:rsidRPr="004D00F0" w:rsidRDefault="00E83B7F" w:rsidP="004D00F0">
            <w:pPr>
              <w:jc w:val="center"/>
            </w:pPr>
            <w:r w:rsidRPr="004D00F0">
              <w:t>29%</w:t>
            </w:r>
          </w:p>
        </w:tc>
      </w:tr>
    </w:tbl>
    <w:p w14:paraId="7E40AFF8" w14:textId="77777777" w:rsidR="004D00F0" w:rsidRDefault="004D00F0" w:rsidP="004D00F0">
      <w:bookmarkStart w:id="119" w:name="_Toc473101902"/>
    </w:p>
    <w:p w14:paraId="1477C4FB" w14:textId="77777777" w:rsidR="00E83B7F" w:rsidRPr="00DC1480" w:rsidRDefault="00E83B7F" w:rsidP="001A004E">
      <w:pPr>
        <w:pStyle w:val="Heading2"/>
      </w:pPr>
      <w:bookmarkStart w:id="120" w:name="_Toc497141028"/>
      <w:r w:rsidRPr="00DC1480">
        <w:lastRenderedPageBreak/>
        <w:t>Return to work results and demographic factors</w:t>
      </w:r>
      <w:bookmarkEnd w:id="119"/>
      <w:bookmarkEnd w:id="120"/>
    </w:p>
    <w:p w14:paraId="51CC8110" w14:textId="14D0C854" w:rsidR="00E83B7F" w:rsidRPr="004D00F0" w:rsidRDefault="00AF69DF" w:rsidP="004D00F0">
      <w:r>
        <w:fldChar w:fldCharType="begin"/>
      </w:r>
      <w:r>
        <w:instrText xml:space="preserve"> REF _Ref440894867 \h </w:instrText>
      </w:r>
      <w:r>
        <w:fldChar w:fldCharType="separate"/>
      </w:r>
      <w:r w:rsidR="005D6308" w:rsidRPr="004A76B4">
        <w:t xml:space="preserve">Figure </w:t>
      </w:r>
      <w:r w:rsidR="005D6308">
        <w:rPr>
          <w:noProof/>
        </w:rPr>
        <w:t>16</w:t>
      </w:r>
      <w:r>
        <w:fldChar w:fldCharType="end"/>
      </w:r>
      <w:r w:rsidR="00E83B7F" w:rsidRPr="004D00F0">
        <w:t xml:space="preserve"> shows that 69% of workers with a psychological claim had returned to work at some point between lodging their claim and the time of the interview. Fifty eight per</w:t>
      </w:r>
      <w:r w:rsidR="006067C2">
        <w:t xml:space="preserve"> </w:t>
      </w:r>
      <w:r w:rsidR="00E83B7F" w:rsidRPr="004D00F0">
        <w:t>cent were at work at the time of the interview. Eleven per</w:t>
      </w:r>
      <w:r w:rsidR="006067C2">
        <w:t xml:space="preserve"> </w:t>
      </w:r>
      <w:r w:rsidR="00E83B7F" w:rsidRPr="004D00F0">
        <w:t>cent (69% minus 58%) had been back to work but ceased work before the interview (this was termed non-durable RTW in the RTW Monitor). Forty-four per</w:t>
      </w:r>
      <w:r w:rsidR="006067C2">
        <w:t xml:space="preserve"> </w:t>
      </w:r>
      <w:r w:rsidR="00E83B7F" w:rsidRPr="004D00F0">
        <w:t xml:space="preserve">cent had been back at work for at least three months at the time of the survey interview. </w:t>
      </w:r>
    </w:p>
    <w:p w14:paraId="2D801F47" w14:textId="3CBDCD39" w:rsidR="00E83B7F" w:rsidRPr="004A76B4" w:rsidRDefault="00E83B7F" w:rsidP="004D00F0">
      <w:pPr>
        <w:pStyle w:val="Caption"/>
      </w:pPr>
      <w:bookmarkStart w:id="121" w:name="_Ref440894867"/>
      <w:bookmarkStart w:id="122" w:name="_Toc497141052"/>
      <w:r w:rsidRPr="004A76B4">
        <w:t xml:space="preserve">Figure </w:t>
      </w:r>
      <w:r w:rsidR="005D6308">
        <w:fldChar w:fldCharType="begin"/>
      </w:r>
      <w:r w:rsidR="005D6308">
        <w:instrText xml:space="preserve"> SEQ Figure \* ARABIC </w:instrText>
      </w:r>
      <w:r w:rsidR="005D6308">
        <w:fldChar w:fldCharType="separate"/>
      </w:r>
      <w:r w:rsidR="005D6308">
        <w:rPr>
          <w:noProof/>
        </w:rPr>
        <w:t>16</w:t>
      </w:r>
      <w:r w:rsidR="005D6308">
        <w:rPr>
          <w:noProof/>
        </w:rPr>
        <w:fldChar w:fldCharType="end"/>
      </w:r>
      <w:bookmarkEnd w:id="121"/>
      <w:r w:rsidRPr="004A76B4">
        <w:t xml:space="preserve"> </w:t>
      </w:r>
      <w:r w:rsidR="00B40DBE">
        <w:t>–</w:t>
      </w:r>
      <w:r w:rsidRPr="004A76B4">
        <w:t xml:space="preserve"> </w:t>
      </w:r>
      <w:r w:rsidRPr="004A76B4">
        <w:rPr>
          <w:bCs/>
        </w:rPr>
        <w:t>RTW results psychological claims</w:t>
      </w:r>
      <w:bookmarkEnd w:id="122"/>
      <w:r w:rsidRPr="004A76B4">
        <w:rPr>
          <w:bCs/>
        </w:rPr>
        <w:t xml:space="preserve"> </w:t>
      </w:r>
    </w:p>
    <w:p w14:paraId="273C9FD1" w14:textId="77777777" w:rsidR="00E83B7F" w:rsidRDefault="00E83B7F" w:rsidP="00E83B7F">
      <w:pPr>
        <w:autoSpaceDE w:val="0"/>
        <w:autoSpaceDN w:val="0"/>
        <w:adjustRightInd w:val="0"/>
        <w:spacing w:after="200" w:line="276" w:lineRule="auto"/>
        <w:rPr>
          <w:rFonts w:ascii="Calibri" w:hAnsi="Calibri" w:cs="Calibri"/>
          <w:lang w:val="en"/>
        </w:rPr>
      </w:pPr>
      <w:r>
        <w:rPr>
          <w:noProof/>
        </w:rPr>
        <w:drawing>
          <wp:inline distT="0" distB="0" distL="0" distR="0" wp14:anchorId="089C7707" wp14:editId="411BFAB8">
            <wp:extent cx="5735117" cy="2845613"/>
            <wp:effectExtent l="0" t="0" r="18415" b="12065"/>
            <wp:docPr id="107" name="Chart 107" descr="This graph provides a percentage breakdown of employees with a psychological claim who had returned to work at some point between lodging their claim and the time of the interview. " title="Figure 16: RTW results psychological claims "/>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BCBD12B" w14:textId="77777777" w:rsidR="00E83B7F" w:rsidRPr="00DC531A" w:rsidRDefault="00E83B7F" w:rsidP="00DC531A"/>
    <w:p w14:paraId="352439F6" w14:textId="188B8810" w:rsidR="00E83B7F" w:rsidRPr="004D00F0" w:rsidRDefault="00E83B7F" w:rsidP="004D00F0">
      <w:r w:rsidRPr="004D00F0">
        <w:t>Women were more likely to claim psychological conditions than men: data analysis showed that 60% of claimants were female and 40% male. However, women were</w:t>
      </w:r>
      <w:r w:rsidR="00FE19AF">
        <w:t xml:space="preserve"> slightly more likely to RTW </w:t>
      </w:r>
      <w:r w:rsidRPr="004D00F0">
        <w:t>than men (</w:t>
      </w:r>
      <w:r w:rsidR="00AF69DF">
        <w:fldChar w:fldCharType="begin"/>
      </w:r>
      <w:r w:rsidR="00AF69DF">
        <w:instrText xml:space="preserve"> REF _Ref431825302 \h </w:instrText>
      </w:r>
      <w:r w:rsidR="00AF69DF">
        <w:fldChar w:fldCharType="separate"/>
      </w:r>
      <w:r w:rsidR="005D6308">
        <w:t xml:space="preserve">Figure </w:t>
      </w:r>
      <w:r w:rsidR="005D6308">
        <w:rPr>
          <w:noProof/>
        </w:rPr>
        <w:t>17</w:t>
      </w:r>
      <w:r w:rsidR="00AF69DF">
        <w:fldChar w:fldCharType="end"/>
      </w:r>
      <w:r w:rsidRPr="004D00F0">
        <w:t>).</w:t>
      </w:r>
    </w:p>
    <w:p w14:paraId="49D055F4" w14:textId="27AB0FC7" w:rsidR="00E83B7F" w:rsidRDefault="00E83B7F" w:rsidP="004D00F0">
      <w:pPr>
        <w:pStyle w:val="Caption"/>
      </w:pPr>
      <w:bookmarkStart w:id="123" w:name="_Ref431825302"/>
      <w:bookmarkStart w:id="124" w:name="_Toc497141053"/>
      <w:r>
        <w:t xml:space="preserve">Figure </w:t>
      </w:r>
      <w:r w:rsidR="005D6308">
        <w:fldChar w:fldCharType="begin"/>
      </w:r>
      <w:r w:rsidR="005D6308">
        <w:instrText xml:space="preserve"> SEQ Figure \* ARABIC </w:instrText>
      </w:r>
      <w:r w:rsidR="005D6308">
        <w:fldChar w:fldCharType="separate"/>
      </w:r>
      <w:r w:rsidR="005D6308">
        <w:rPr>
          <w:noProof/>
        </w:rPr>
        <w:t>17</w:t>
      </w:r>
      <w:r w:rsidR="005D6308">
        <w:rPr>
          <w:noProof/>
        </w:rPr>
        <w:fldChar w:fldCharType="end"/>
      </w:r>
      <w:bookmarkEnd w:id="123"/>
      <w:r>
        <w:rPr>
          <w:noProof/>
        </w:rPr>
        <w:t xml:space="preserve"> </w:t>
      </w:r>
      <w:r w:rsidR="00B40DBE">
        <w:rPr>
          <w:noProof/>
        </w:rPr>
        <w:t>–</w:t>
      </w:r>
      <w:r>
        <w:t xml:space="preserve"> Percentage RTW results by gender</w:t>
      </w:r>
      <w:bookmarkEnd w:id="124"/>
    </w:p>
    <w:p w14:paraId="587E4556" w14:textId="1D55306A" w:rsidR="00E83B7F" w:rsidRDefault="00E83B7F" w:rsidP="00E83B7F">
      <w:pPr>
        <w:rPr>
          <w:rFonts w:ascii="Calibri" w:hAnsi="Calibri" w:cs="Calibri"/>
          <w:lang w:val="en"/>
        </w:rPr>
      </w:pPr>
      <w:r>
        <w:rPr>
          <w:noProof/>
        </w:rPr>
        <w:drawing>
          <wp:inline distT="0" distB="0" distL="0" distR="0" wp14:anchorId="076675D5" wp14:editId="3D1EDFD7">
            <wp:extent cx="2736000" cy="2517569"/>
            <wp:effectExtent l="0" t="0" r="26670" b="16510"/>
            <wp:docPr id="110" name="Chart 110" descr="This graph provides a percentage comparison of RTW for employees (at work at time of interview) based on gender (female and male)." title="Figure 17: Percentage RTW results by gende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00DC531A">
        <w:rPr>
          <w:rFonts w:ascii="Calibri" w:hAnsi="Calibri" w:cs="Calibri"/>
          <w:lang w:val="en"/>
        </w:rPr>
        <w:t xml:space="preserve"> </w:t>
      </w:r>
      <w:r w:rsidR="00DC531A">
        <w:rPr>
          <w:noProof/>
        </w:rPr>
        <w:drawing>
          <wp:inline distT="0" distB="0" distL="0" distR="0" wp14:anchorId="682F09CE" wp14:editId="79FA0F4D">
            <wp:extent cx="2736000" cy="2517569"/>
            <wp:effectExtent l="0" t="0" r="26670" b="16510"/>
            <wp:docPr id="111" name="Chart 111" descr="This graph provides a percentage comparison of RTW for employees (at work for three months or more at time of interview) based on gender (female and male)." title="Figure 17: Percentage RTW results by gender "/>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E2523AB" w14:textId="77777777" w:rsidR="004D00F0" w:rsidRDefault="004D00F0" w:rsidP="004D00F0"/>
    <w:p w14:paraId="7F36C9F5" w14:textId="72A972BA" w:rsidR="00E83B7F" w:rsidRPr="004D00F0" w:rsidRDefault="00E83B7F" w:rsidP="004D00F0">
      <w:r w:rsidRPr="004D00F0">
        <w:t>Return to work was more likely at large employers, followed by small employers where the payroll was less than $1 million (</w:t>
      </w:r>
      <w:r w:rsidR="00AF69DF">
        <w:fldChar w:fldCharType="begin"/>
      </w:r>
      <w:r w:rsidR="00AF69DF">
        <w:instrText xml:space="preserve"> REF _Ref431362411 \h </w:instrText>
      </w:r>
      <w:r w:rsidR="00AF69DF">
        <w:fldChar w:fldCharType="separate"/>
      </w:r>
      <w:r w:rsidR="005D6308">
        <w:t xml:space="preserve">Figure </w:t>
      </w:r>
      <w:r w:rsidR="005D6308">
        <w:rPr>
          <w:noProof/>
        </w:rPr>
        <w:t>18</w:t>
      </w:r>
      <w:r w:rsidR="00AF69DF">
        <w:fldChar w:fldCharType="end"/>
      </w:r>
      <w:r w:rsidRPr="004D00F0">
        <w:t>). The likelihood of an individual being back at work was lowest at employers of $1</w:t>
      </w:r>
      <w:r w:rsidR="00FE19AF">
        <w:t xml:space="preserve"> million </w:t>
      </w:r>
      <w:r w:rsidRPr="004D00F0">
        <w:t xml:space="preserve">to $20 </w:t>
      </w:r>
      <w:r w:rsidR="00541F93" w:rsidRPr="004D00F0">
        <w:t>million</w:t>
      </w:r>
      <w:r w:rsidR="00541F93">
        <w:t xml:space="preserve"> </w:t>
      </w:r>
      <w:r w:rsidR="00541F93" w:rsidRPr="004D00F0">
        <w:t>payroll</w:t>
      </w:r>
      <w:r w:rsidRPr="004D00F0">
        <w:t xml:space="preserve">. </w:t>
      </w:r>
    </w:p>
    <w:p w14:paraId="73EEB469" w14:textId="1AAA0CAC" w:rsidR="00E83B7F" w:rsidRDefault="00E83B7F" w:rsidP="004D00F0">
      <w:pPr>
        <w:pStyle w:val="Caption"/>
      </w:pPr>
      <w:bookmarkStart w:id="125" w:name="_Ref431362411"/>
      <w:bookmarkStart w:id="126" w:name="_Toc497141054"/>
      <w:r>
        <w:lastRenderedPageBreak/>
        <w:t xml:space="preserve">Figure </w:t>
      </w:r>
      <w:r w:rsidR="005D6308">
        <w:fldChar w:fldCharType="begin"/>
      </w:r>
      <w:r w:rsidR="005D6308">
        <w:instrText xml:space="preserve"> SEQ Figure \* ARABIC </w:instrText>
      </w:r>
      <w:r w:rsidR="005D6308">
        <w:fldChar w:fldCharType="separate"/>
      </w:r>
      <w:r w:rsidR="005D6308">
        <w:rPr>
          <w:noProof/>
        </w:rPr>
        <w:t>18</w:t>
      </w:r>
      <w:r w:rsidR="005D6308">
        <w:rPr>
          <w:noProof/>
        </w:rPr>
        <w:fldChar w:fldCharType="end"/>
      </w:r>
      <w:bookmarkEnd w:id="125"/>
      <w:r>
        <w:t xml:space="preserve"> </w:t>
      </w:r>
      <w:r w:rsidR="00B40DBE">
        <w:t>–</w:t>
      </w:r>
      <w:r>
        <w:t xml:space="preserve"> Percentage RTW results by employer size</w:t>
      </w:r>
      <w:bookmarkEnd w:id="126"/>
    </w:p>
    <w:p w14:paraId="278C1C74" w14:textId="5E7E732A" w:rsidR="00E83B7F" w:rsidRPr="00375F47" w:rsidRDefault="00E83B7F" w:rsidP="00375F47">
      <w:r w:rsidRPr="00375F47">
        <w:rPr>
          <w:noProof/>
        </w:rPr>
        <w:drawing>
          <wp:inline distT="0" distB="0" distL="0" distR="0" wp14:anchorId="6EDB40BC" wp14:editId="5521FE35">
            <wp:extent cx="2736000" cy="3467819"/>
            <wp:effectExtent l="0" t="0" r="26670" b="18415"/>
            <wp:docPr id="114" name="Chart 114" descr="The graph provides a percentage breakdown of employee (at work at time of interview) RTW results by employer size. " title="Figure 18: Percentage RTW results by employer size "/>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00DC531A" w:rsidRPr="00375F47">
        <w:t xml:space="preserve"> </w:t>
      </w:r>
      <w:r w:rsidR="00DC531A" w:rsidRPr="00375F47">
        <w:rPr>
          <w:noProof/>
        </w:rPr>
        <w:drawing>
          <wp:inline distT="0" distB="0" distL="0" distR="0" wp14:anchorId="3414F4F0" wp14:editId="107BF7FA">
            <wp:extent cx="2736000" cy="3467819"/>
            <wp:effectExtent l="0" t="0" r="26670" b="18415"/>
            <wp:docPr id="115" name="Chart 115" descr="The graph provides a percentage breakdown of employee (at work for three months at time of interview) RTW results by employer size. " title="Figure 18: Percentage RTW results by employer size "/>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452C4ECE" w14:textId="39978124" w:rsidR="00E83B7F" w:rsidRPr="00EC6C30" w:rsidRDefault="00E83B7F" w:rsidP="00EC6C30">
      <w:pPr>
        <w:rPr>
          <w:rFonts w:eastAsiaTheme="majorEastAsia"/>
        </w:rPr>
      </w:pPr>
    </w:p>
    <w:p w14:paraId="4FD8054F" w14:textId="0364558D" w:rsidR="00E83B7F" w:rsidRPr="00DC1480" w:rsidRDefault="00E83B7F" w:rsidP="005275C5">
      <w:pPr>
        <w:pStyle w:val="Heading1"/>
      </w:pPr>
      <w:bookmarkStart w:id="127" w:name="_Toc473101903"/>
      <w:bookmarkStart w:id="128" w:name="_Toc497141029"/>
      <w:r w:rsidRPr="00DC1480">
        <w:lastRenderedPageBreak/>
        <w:t xml:space="preserve">Literature review </w:t>
      </w:r>
      <w:r w:rsidR="00B40DBE">
        <w:t>–</w:t>
      </w:r>
      <w:r w:rsidRPr="00DC1480">
        <w:t xml:space="preserve"> Workplace factors facilitating and hindering return to work of employees with psychological</w:t>
      </w:r>
      <w:r w:rsidR="005275C5">
        <w:rPr>
          <w:rFonts w:hint="eastAsia"/>
        </w:rPr>
        <w:t> </w:t>
      </w:r>
      <w:r w:rsidRPr="00DC1480">
        <w:t>injuries</w:t>
      </w:r>
      <w:bookmarkEnd w:id="127"/>
      <w:bookmarkEnd w:id="128"/>
    </w:p>
    <w:p w14:paraId="2D5084B0" w14:textId="77777777" w:rsidR="00E83B7F" w:rsidRPr="005275C5" w:rsidRDefault="00E83B7F" w:rsidP="001A004E">
      <w:pPr>
        <w:pStyle w:val="Heading2"/>
      </w:pPr>
      <w:bookmarkStart w:id="129" w:name="_Toc473101904"/>
      <w:bookmarkStart w:id="130" w:name="_Toc497141030"/>
      <w:r w:rsidRPr="005275C5">
        <w:t>Key points</w:t>
      </w:r>
      <w:bookmarkEnd w:id="129"/>
      <w:bookmarkEnd w:id="130"/>
    </w:p>
    <w:p w14:paraId="04FF1760" w14:textId="77777777" w:rsidR="00E83B7F" w:rsidRPr="00EC6C30" w:rsidRDefault="00E83B7F" w:rsidP="00D57E73">
      <w:pPr>
        <w:pStyle w:val="SWABullets"/>
      </w:pPr>
      <w:r w:rsidRPr="00EC6C30">
        <w:t>Positive organisational responses to work injuries, such as support from management and co-workers and availability of suitable duties, facilitate RTW.</w:t>
      </w:r>
    </w:p>
    <w:p w14:paraId="493083A2" w14:textId="77777777" w:rsidR="00E83B7F" w:rsidRPr="00EC6C30" w:rsidRDefault="00E83B7F" w:rsidP="00D57E73">
      <w:pPr>
        <w:pStyle w:val="SWABullets"/>
      </w:pPr>
      <w:r w:rsidRPr="00EC6C30">
        <w:t>There is little direct research on the employer’s response to psychological claims.</w:t>
      </w:r>
    </w:p>
    <w:p w14:paraId="6536BBCF" w14:textId="3EFE84DF" w:rsidR="00E83B7F" w:rsidRPr="00EC6C30" w:rsidRDefault="00E83B7F" w:rsidP="00D57E73">
      <w:pPr>
        <w:pStyle w:val="SWABullets"/>
      </w:pPr>
      <w:r w:rsidRPr="00EC6C30">
        <w:t>A positive workplace culture – in terms of fairness, supervisor support, and policies and practices that protect employees’ psychological health – maximises employees’ mental</w:t>
      </w:r>
      <w:r w:rsidR="00D57E73">
        <w:t> </w:t>
      </w:r>
      <w:r w:rsidRPr="00EC6C30">
        <w:t>health.</w:t>
      </w:r>
    </w:p>
    <w:p w14:paraId="7FCFEBDB" w14:textId="77777777" w:rsidR="00E83B7F" w:rsidRPr="00EC6C30" w:rsidRDefault="00E83B7F" w:rsidP="00D57E73">
      <w:pPr>
        <w:pStyle w:val="SWABullets"/>
      </w:pPr>
      <w:r w:rsidRPr="00EC6C30">
        <w:t>Supervisor support and early contact improve RTW results.</w:t>
      </w:r>
    </w:p>
    <w:p w14:paraId="669833D5" w14:textId="77777777" w:rsidR="00E83B7F" w:rsidRPr="00EC6C30" w:rsidRDefault="00E83B7F" w:rsidP="00D57E73">
      <w:pPr>
        <w:pStyle w:val="SWABullets"/>
      </w:pPr>
      <w:r w:rsidRPr="00EC6C30">
        <w:t>Risk factors for prolonged work absence are similar for employees with mental health disorders and musculoskeletal conditions.</w:t>
      </w:r>
    </w:p>
    <w:p w14:paraId="78095535" w14:textId="77777777" w:rsidR="00E83B7F" w:rsidRPr="00EC6C30" w:rsidRDefault="00E83B7F" w:rsidP="00D57E73">
      <w:pPr>
        <w:pStyle w:val="SWABullets"/>
      </w:pPr>
      <w:r w:rsidRPr="00EC6C30">
        <w:t xml:space="preserve">An approach using positive psychology principles, resulting in increased levels of supportive leadership, employee decision-making involvement, and improved organisational morale, has been associated with significant reduction in psychological injury compensation claim costs. </w:t>
      </w:r>
    </w:p>
    <w:p w14:paraId="1916C280" w14:textId="77777777" w:rsidR="00E83B7F" w:rsidRPr="00EC6C30" w:rsidRDefault="00E83B7F" w:rsidP="00D57E73">
      <w:pPr>
        <w:pStyle w:val="SWABullets"/>
      </w:pPr>
      <w:r w:rsidRPr="00EC6C30">
        <w:t>Employees with high levels of resilience can cope more effectively, and RTW earlier, than employees with low levels of resilience.</w:t>
      </w:r>
    </w:p>
    <w:p w14:paraId="19305FBA" w14:textId="77777777" w:rsidR="00E83B7F" w:rsidRPr="00DC1480" w:rsidRDefault="00E83B7F" w:rsidP="001A004E">
      <w:pPr>
        <w:pStyle w:val="Heading2"/>
      </w:pPr>
      <w:bookmarkStart w:id="131" w:name="_Toc473101905"/>
      <w:bookmarkStart w:id="132" w:name="_Toc497141031"/>
      <w:r w:rsidRPr="00DC1480">
        <w:t>Context</w:t>
      </w:r>
      <w:bookmarkEnd w:id="131"/>
      <w:bookmarkEnd w:id="132"/>
    </w:p>
    <w:p w14:paraId="6FD51106" w14:textId="77777777" w:rsidR="00E83B7F" w:rsidRPr="00EC6C30" w:rsidRDefault="00E83B7F" w:rsidP="00EC6C30">
      <w:r w:rsidRPr="00EC6C30">
        <w:t>Psychological injury (or mental injury) is essentially a diagnosable mental health disorder which is significantly influenced by work-related factors (excluding any and all effects of ‘reasonable management action’). As such, psychological injury is a subset of the broader range of workplace mental health issues. Some 20% of working Australians experience a diagnosable mental health disorder at any one time.</w:t>
      </w:r>
      <w:r w:rsidRPr="00A20EE9">
        <w:rPr>
          <w:rStyle w:val="EndnoteReference"/>
        </w:rPr>
        <w:endnoteReference w:id="8"/>
      </w:r>
      <w:r w:rsidRPr="00EC6C30">
        <w:t xml:space="preserve"> </w:t>
      </w:r>
    </w:p>
    <w:p w14:paraId="5BFB04B2" w14:textId="77777777" w:rsidR="00E83B7F" w:rsidRPr="00EC6C30" w:rsidRDefault="00E83B7F" w:rsidP="00EC6C30">
      <w:r w:rsidRPr="00EC6C30">
        <w:t>Work-related factors are one among many possible contributing factors. Many employees will experience a mental health problem irrespective of their work. The workplace incidence of mental health disorders tends to be skewed, with increasing incidence in lower-skilled occupations.</w:t>
      </w:r>
      <w:r w:rsidRPr="00A20EE9">
        <w:rPr>
          <w:rStyle w:val="EndnoteReference"/>
        </w:rPr>
        <w:endnoteReference w:id="9"/>
      </w:r>
      <w:r w:rsidRPr="00EC6C30">
        <w:t xml:space="preserve"> </w:t>
      </w:r>
    </w:p>
    <w:p w14:paraId="47F001B2" w14:textId="49DA9F7D" w:rsidR="00E83B7F" w:rsidRPr="00EC6C30" w:rsidRDefault="00E83B7F" w:rsidP="00EC6C30">
      <w:r w:rsidRPr="00EC6C30">
        <w:t>It is clear that work-related factors such as exposure to challenging clients, potentially traumatic events, persistently high levels of work demands and poor-quality peo</w:t>
      </w:r>
      <w:r w:rsidR="008F5F12">
        <w:t>ple management contribute to onset</w:t>
      </w:r>
      <w:r w:rsidRPr="00EC6C30">
        <w:t xml:space="preserve"> and exacerbate existing psychological distress symptoms in employees. Further, these factors increase the risk of poor RTW outcomes.</w:t>
      </w:r>
      <w:r w:rsidRPr="00A20EE9">
        <w:rPr>
          <w:rStyle w:val="EndnoteReference"/>
        </w:rPr>
        <w:endnoteReference w:id="10"/>
      </w:r>
      <w:r w:rsidRPr="00EC6C30">
        <w:t xml:space="preserve"> </w:t>
      </w:r>
      <w:r w:rsidRPr="00A20EE9">
        <w:rPr>
          <w:rStyle w:val="EndnoteReference"/>
        </w:rPr>
        <w:endnoteReference w:id="11"/>
      </w:r>
      <w:r w:rsidRPr="00EC6C30">
        <w:t xml:space="preserve"> </w:t>
      </w:r>
      <w:r w:rsidRPr="00A20EE9">
        <w:rPr>
          <w:rStyle w:val="EndnoteReference"/>
        </w:rPr>
        <w:endnoteReference w:id="12"/>
      </w:r>
      <w:r w:rsidRPr="00EC6C30">
        <w:t xml:space="preserve"> </w:t>
      </w:r>
      <w:r w:rsidRPr="00A20EE9">
        <w:rPr>
          <w:rStyle w:val="EndnoteReference"/>
        </w:rPr>
        <w:endnoteReference w:id="13"/>
      </w:r>
      <w:r w:rsidRPr="00EC6C30">
        <w:t xml:space="preserve"> </w:t>
      </w:r>
    </w:p>
    <w:p w14:paraId="5D7DEC1E" w14:textId="77777777" w:rsidR="00E83B7F" w:rsidRPr="00EC6C30" w:rsidRDefault="00E83B7F" w:rsidP="00EC6C30">
      <w:r w:rsidRPr="00EC6C30">
        <w:t>The incidence of psychological injury claims fluctuates from year to year across jurisdictions, and has recently been increasing.</w:t>
      </w:r>
      <w:r w:rsidRPr="00A20EE9">
        <w:rPr>
          <w:rStyle w:val="EndnoteReference"/>
        </w:rPr>
        <w:endnoteReference w:id="14"/>
      </w:r>
      <w:r w:rsidRPr="00EC6C30">
        <w:t xml:space="preserve"> However, claim submission rates may not be a true reflection of the actual incidence of psychological injury. There are indications of under-reporting, for example, among casual employees, which may be linked to fears about job tenure.</w:t>
      </w:r>
      <w:r w:rsidRPr="00A20EE9">
        <w:rPr>
          <w:rStyle w:val="EndnoteReference"/>
        </w:rPr>
        <w:endnoteReference w:id="15"/>
      </w:r>
      <w:r w:rsidRPr="00EC6C30">
        <w:t xml:space="preserve"> Notwithstanding the fluctuating levels of psychological injury reporting nationally, RTW outcomes have largely flatlined, without any significant improvement over the past several years.</w:t>
      </w:r>
      <w:r w:rsidRPr="00A20EE9">
        <w:rPr>
          <w:rStyle w:val="EndnoteReference"/>
        </w:rPr>
        <w:endnoteReference w:id="16"/>
      </w:r>
      <w:r w:rsidRPr="00EC6C30">
        <w:t xml:space="preserve"> </w:t>
      </w:r>
    </w:p>
    <w:p w14:paraId="42D82EAA" w14:textId="77777777" w:rsidR="00E83B7F" w:rsidRPr="00EC6C30" w:rsidRDefault="00E83B7F" w:rsidP="00EC6C30">
      <w:r w:rsidRPr="00EC6C30">
        <w:t>Researchers have examined characteristics of workers, the impact of treatment, as well as RTW practices.</w:t>
      </w:r>
      <w:r w:rsidRPr="00A20EE9">
        <w:rPr>
          <w:rStyle w:val="EndnoteReference"/>
        </w:rPr>
        <w:endnoteReference w:id="17"/>
      </w:r>
      <w:r w:rsidRPr="00EC6C30">
        <w:t xml:space="preserve"> </w:t>
      </w:r>
      <w:r w:rsidRPr="00A20EE9">
        <w:rPr>
          <w:rStyle w:val="EndnoteReference"/>
        </w:rPr>
        <w:endnoteReference w:id="18"/>
      </w:r>
      <w:r w:rsidRPr="00EC6C30">
        <w:t xml:space="preserve"> </w:t>
      </w:r>
      <w:r w:rsidRPr="00A20EE9">
        <w:rPr>
          <w:rStyle w:val="EndnoteReference"/>
        </w:rPr>
        <w:endnoteReference w:id="19"/>
      </w:r>
      <w:r w:rsidRPr="00EC6C30">
        <w:t xml:space="preserve"> However, research on the specific impact of work-related factors is sparse.</w:t>
      </w:r>
      <w:r w:rsidRPr="00A20EE9">
        <w:rPr>
          <w:rStyle w:val="EndnoteReference"/>
        </w:rPr>
        <w:endnoteReference w:id="20"/>
      </w:r>
      <w:r w:rsidRPr="00EC6C30">
        <w:t xml:space="preserve"> There has been little research on the important component of the employer’s response to psychological injuries. Existing research on work injuries and RTW has generally been focused on physical injuries rather than psychological injuries. </w:t>
      </w:r>
    </w:p>
    <w:p w14:paraId="7A82FB95" w14:textId="77777777" w:rsidR="00E83B7F" w:rsidRPr="00EC6C30" w:rsidRDefault="00E83B7F" w:rsidP="00EC6C30">
      <w:r w:rsidRPr="00EC6C30">
        <w:t xml:space="preserve">The focus of this review is work-related factors which facilitate or hinder RTW of individuals with psychological injury. </w:t>
      </w:r>
    </w:p>
    <w:p w14:paraId="0DFA7C71" w14:textId="77777777" w:rsidR="00E83B7F" w:rsidRPr="00EC6C30" w:rsidRDefault="00E83B7F" w:rsidP="00EC6C30">
      <w:r w:rsidRPr="00EC6C30">
        <w:t xml:space="preserve">In spite of the under-developed research literature, relevant models and findings from the broader workplace mental health and organisational behaviour literatures can guide the examination of the workplace impact on psychological injury RTW outcomes. These are briefly reviewed before turning specifically to work-related factors which have been shown to influence RTW outcomes for employees with psychological injury. </w:t>
      </w:r>
    </w:p>
    <w:p w14:paraId="5D84B186" w14:textId="77777777" w:rsidR="00E83B7F" w:rsidRPr="00DC1480" w:rsidRDefault="00E83B7F" w:rsidP="001A004E">
      <w:pPr>
        <w:pStyle w:val="Heading2"/>
      </w:pPr>
      <w:bookmarkStart w:id="133" w:name="_Toc473101906"/>
      <w:bookmarkStart w:id="134" w:name="_Toc497141032"/>
      <w:r w:rsidRPr="00DC1480">
        <w:lastRenderedPageBreak/>
        <w:t>Preliminary considerations and contextual factors</w:t>
      </w:r>
      <w:bookmarkEnd w:id="133"/>
      <w:bookmarkEnd w:id="134"/>
    </w:p>
    <w:p w14:paraId="469B3D8B" w14:textId="77777777" w:rsidR="00E83B7F" w:rsidRPr="00EC6C30" w:rsidRDefault="00E83B7F" w:rsidP="00313DF3">
      <w:pPr>
        <w:keepNext/>
        <w:keepLines/>
      </w:pPr>
      <w:r w:rsidRPr="00EC6C30">
        <w:t>The Organisation for Economic Co-operation and Development (OECD) has recently noted that there is a significant disconnect between mental health treatment services and employment services across OECD countries, including Australia.</w:t>
      </w:r>
      <w:r w:rsidRPr="00A20EE9">
        <w:rPr>
          <w:rStyle w:val="EndnoteReference"/>
        </w:rPr>
        <w:endnoteReference w:id="21"/>
      </w:r>
      <w:r w:rsidRPr="00EC6C30">
        <w:t xml:space="preserve"> The OECD has called for a focus on policy which will foster the development of “employment oriented mental health care system(s)”. </w:t>
      </w:r>
    </w:p>
    <w:p w14:paraId="4C94CB7F" w14:textId="77777777" w:rsidR="00E83B7F" w:rsidRPr="00EC6C30" w:rsidRDefault="00E83B7F" w:rsidP="00EC6C30">
      <w:r w:rsidRPr="00EC6C30">
        <w:t xml:space="preserve">It is envisaged that the integration of mental health treatment services and employment services (along with the education sector) will “help those employed but struggling in their jobs, and prevent long term sickness, unemployment and disability.” The mental health of the unemployed and </w:t>
      </w:r>
      <w:proofErr w:type="gramStart"/>
      <w:r w:rsidRPr="00EC6C30">
        <w:t>those</w:t>
      </w:r>
      <w:proofErr w:type="gramEnd"/>
      <w:r w:rsidRPr="00EC6C30">
        <w:t xml:space="preserve"> on long-term compensation is significantly worse than the mental health of individuals engaged in employment.</w:t>
      </w:r>
      <w:r w:rsidRPr="00A20EE9">
        <w:rPr>
          <w:rStyle w:val="EndnoteReference"/>
        </w:rPr>
        <w:endnoteReference w:id="22"/>
      </w:r>
      <w:r w:rsidRPr="00EC6C30">
        <w:t xml:space="preserve"> </w:t>
      </w:r>
      <w:r w:rsidRPr="00A20EE9">
        <w:rPr>
          <w:rStyle w:val="EndnoteReference"/>
        </w:rPr>
        <w:endnoteReference w:id="23"/>
      </w:r>
      <w:r w:rsidRPr="00EC6C30">
        <w:t xml:space="preserve"> Hence, engagement in employment is generally good for employee mental health and wellbeing.</w:t>
      </w:r>
      <w:r w:rsidRPr="00A20EE9">
        <w:rPr>
          <w:rStyle w:val="EndnoteReference"/>
        </w:rPr>
        <w:endnoteReference w:id="24"/>
      </w:r>
      <w:r w:rsidRPr="00EC6C30">
        <w:t xml:space="preserve"> </w:t>
      </w:r>
    </w:p>
    <w:p w14:paraId="034FA45A" w14:textId="77777777" w:rsidR="00E83B7F" w:rsidRPr="00EC6C30" w:rsidRDefault="00E83B7F" w:rsidP="00EC6C30">
      <w:r w:rsidRPr="00EC6C30">
        <w:t>The OECD findings resonate with recent interest across workers’ compensation jurisdictions in the emergence of what has come to be known as work-focused treatments.</w:t>
      </w:r>
      <w:r w:rsidRPr="00A20EE9">
        <w:rPr>
          <w:rStyle w:val="EndnoteReference"/>
        </w:rPr>
        <w:endnoteReference w:id="25"/>
      </w:r>
      <w:r w:rsidRPr="00EC6C30">
        <w:t xml:space="preserve"> </w:t>
      </w:r>
      <w:r w:rsidRPr="00A20EE9">
        <w:rPr>
          <w:rStyle w:val="EndnoteReference"/>
        </w:rPr>
        <w:endnoteReference w:id="26"/>
      </w:r>
      <w:r w:rsidRPr="00EC6C30">
        <w:t xml:space="preserve"> </w:t>
      </w:r>
      <w:r w:rsidRPr="00A20EE9">
        <w:rPr>
          <w:rStyle w:val="EndnoteReference"/>
        </w:rPr>
        <w:endnoteReference w:id="27"/>
      </w:r>
      <w:r w:rsidRPr="00EC6C30">
        <w:t xml:space="preserve"> There is evidence that work-focused treatments improve RTW outcomes for employees who have been off work with common mental health problems.</w:t>
      </w:r>
      <w:r w:rsidRPr="00A20EE9">
        <w:rPr>
          <w:rStyle w:val="EndnoteReference"/>
        </w:rPr>
        <w:endnoteReference w:id="28"/>
      </w:r>
      <w:r w:rsidRPr="00EC6C30">
        <w:t xml:space="preserve"> The work-focused component involves identifying RTW barriers, eliminating them, and undertaking incremental exposure to the workplace – in addition to delivery of standard Cognitive Behavioural Therapy-related strategies and techniques to manage mood-related symptoms. </w:t>
      </w:r>
      <w:r w:rsidRPr="00A20EE9">
        <w:rPr>
          <w:rStyle w:val="EndnoteReference"/>
        </w:rPr>
        <w:endnoteReference w:id="29"/>
      </w:r>
      <w:r w:rsidRPr="00EC6C30">
        <w:t xml:space="preserve"> </w:t>
      </w:r>
    </w:p>
    <w:p w14:paraId="2160C2AD" w14:textId="77777777" w:rsidR="00E83B7F" w:rsidRPr="00EC6C30" w:rsidRDefault="00E83B7F" w:rsidP="00EC6C30">
      <w:r w:rsidRPr="00EC6C30">
        <w:t xml:space="preserve">Currently in Australia, mental health treatment services (outpatient and inpatient) provided to employees with psychological injuries typically lack any focus on RTW as an integral component of the treatment. One exception is Orygen Youth Health, which works with people with non-work-related illness. The population aged </w:t>
      </w:r>
      <w:proofErr w:type="gramStart"/>
      <w:r w:rsidRPr="00EC6C30">
        <w:t>under</w:t>
      </w:r>
      <w:proofErr w:type="gramEnd"/>
      <w:r w:rsidRPr="00EC6C30">
        <w:t xml:space="preserve"> 25 years exhibits more serious psychopathology than the general population. Orygen provides targeted treatment based on a structured treatment plan focused on functioning, and regards engagement with employment as a core aspect of the treatment: “participation in work ... is a key element of the recovery process.”</w:t>
      </w:r>
      <w:r w:rsidRPr="00A20EE9">
        <w:rPr>
          <w:rStyle w:val="EndnoteReference"/>
        </w:rPr>
        <w:endnoteReference w:id="30"/>
      </w:r>
      <w:r w:rsidRPr="00EC6C30">
        <w:t xml:space="preserve"> </w:t>
      </w:r>
    </w:p>
    <w:p w14:paraId="1819203F" w14:textId="77777777" w:rsidR="00E83B7F" w:rsidRPr="00EC6C30" w:rsidRDefault="00E83B7F" w:rsidP="00EC6C30">
      <w:r w:rsidRPr="00EC6C30">
        <w:t>Work-focused treatment may be an important component in improving outcomes for psychological injury, but the impact of workplace factors also needs to be explored. Positive organisational responses to work injuries, support from the immediate manager, and availability of appropriate job accommodations facilitate RTW.</w:t>
      </w:r>
      <w:r w:rsidRPr="00A20EE9">
        <w:rPr>
          <w:rStyle w:val="EndnoteReference"/>
        </w:rPr>
        <w:endnoteReference w:id="31"/>
      </w:r>
      <w:r w:rsidRPr="00EC6C30">
        <w:t xml:space="preserve"> Conversely, unwillingness to address workplace psychosocial risk factors, lack of demonstrated employer commitment, and lack of support from managers and co-workers can hinder and delay RTW.</w:t>
      </w:r>
      <w:r w:rsidRPr="00A20EE9">
        <w:rPr>
          <w:rStyle w:val="EndnoteReference"/>
        </w:rPr>
        <w:endnoteReference w:id="32"/>
      </w:r>
      <w:r w:rsidRPr="00EC6C30">
        <w:t xml:space="preserve"> </w:t>
      </w:r>
    </w:p>
    <w:p w14:paraId="16F6E09D" w14:textId="133135B5" w:rsidR="00E83B7F" w:rsidRPr="00EC6C30" w:rsidRDefault="00E83B7F" w:rsidP="00EC6C30">
      <w:r w:rsidRPr="00EC6C30">
        <w:t>One influential approach to understanding the psychological impact of work, with a 30-year research history, centres on Perceived Organisational Support (POS). POS is defined as the extent to which employees believe that their employer values their contribution and cares about their wellbeing.</w:t>
      </w:r>
      <w:r w:rsidR="008F5F12" w:rsidRPr="00A20EE9">
        <w:rPr>
          <w:rStyle w:val="EndnoteReference"/>
        </w:rPr>
        <w:endnoteReference w:id="33"/>
      </w:r>
      <w:r w:rsidRPr="00EC6C30">
        <w:t xml:space="preserve"> </w:t>
      </w:r>
    </w:p>
    <w:p w14:paraId="1813A4B4" w14:textId="77777777" w:rsidR="00E83B7F" w:rsidRPr="00EC6C30" w:rsidRDefault="00E83B7F" w:rsidP="00EC6C30">
      <w:r w:rsidRPr="00EC6C30">
        <w:t>Increased levels of POS have been found to improve employee moods, reduce stress and absenteeism, and increase levels of job satisfaction.</w:t>
      </w:r>
      <w:r w:rsidRPr="00A20EE9">
        <w:rPr>
          <w:rStyle w:val="EndnoteReference"/>
        </w:rPr>
        <w:endnoteReference w:id="34"/>
      </w:r>
      <w:r w:rsidRPr="00EC6C30">
        <w:t xml:space="preserve"> The key antecedents of POS include supervisory support, perceptions of organisational fairness, and favourable human resource policies (e.g. rewards and conditions, availability of training and development experiences). </w:t>
      </w:r>
    </w:p>
    <w:p w14:paraId="44A253AC" w14:textId="474756F8" w:rsidR="00E83B7F" w:rsidRPr="00EC6C30" w:rsidRDefault="00E83B7F" w:rsidP="00EC6C30">
      <w:r w:rsidRPr="00EC6C30">
        <w:t>Another construct, related to POS, is Psychosocial Safety Climate (PSC). This refers to employees’ shared perceptions about the extent to which their organisation has policies, practices and procedures that protect their psychological health and safety, and supports employees with mental health-related problems.</w:t>
      </w:r>
      <w:r w:rsidRPr="00A20EE9">
        <w:rPr>
          <w:rStyle w:val="EndnoteReference"/>
        </w:rPr>
        <w:endnoteReference w:id="35"/>
      </w:r>
      <w:r w:rsidRPr="00EC6C30">
        <w:t xml:space="preserve"> High PSC has been linked with better employee engagement, fewer stress-related problems and less harassment and bullying.</w:t>
      </w:r>
      <w:r w:rsidRPr="00A20EE9">
        <w:rPr>
          <w:rStyle w:val="EndnoteReference"/>
        </w:rPr>
        <w:endnoteReference w:id="36"/>
      </w:r>
      <w:r w:rsidRPr="007C3492">
        <w:rPr>
          <w:rStyle w:val="EndnoteReference"/>
        </w:rPr>
        <w:t xml:space="preserve"> </w:t>
      </w:r>
      <w:r w:rsidR="007C3492">
        <w:rPr>
          <w:rStyle w:val="EndnoteReference"/>
        </w:rPr>
        <w:endnoteReference w:id="37"/>
      </w:r>
    </w:p>
    <w:p w14:paraId="2270D5DD" w14:textId="77777777" w:rsidR="00E83B7F" w:rsidRPr="00EC6C30" w:rsidRDefault="00E83B7F" w:rsidP="00EC6C30">
      <w:r w:rsidRPr="00EC6C30">
        <w:t>The Mentally Healthy Workplace Alliance</w:t>
      </w:r>
      <w:r w:rsidRPr="00A20EE9">
        <w:rPr>
          <w:rStyle w:val="EndnoteReference"/>
        </w:rPr>
        <w:endnoteReference w:id="38"/>
      </w:r>
      <w:r w:rsidRPr="00EC6C30">
        <w:t xml:space="preserve"> is an Australian consortium of government, business and mental health groups. Mentally healthy workplaces have been broadly defined as those workplaces that have a documented mental health strategy, promote mental health literacy, actively work towards minimising risks to employee mental health, support employees experiencing mental health problems, and prevent discrimination. </w:t>
      </w:r>
    </w:p>
    <w:p w14:paraId="5DC933BC" w14:textId="77777777" w:rsidR="00E83B7F" w:rsidRPr="00EC6C30" w:rsidRDefault="00E83B7F" w:rsidP="00EC6C30">
      <w:r w:rsidRPr="00EC6C30">
        <w:t>Mentally healthy workplaces have been shown to increase employee morale and engagement, reduce time off work for employees with mental health conditions, and significantly reduce workers compensation claim costs.</w:t>
      </w:r>
      <w:r w:rsidRPr="00A20EE9">
        <w:rPr>
          <w:rStyle w:val="EndnoteReference"/>
        </w:rPr>
        <w:endnoteReference w:id="39"/>
      </w:r>
      <w:r w:rsidRPr="00EC6C30">
        <w:t xml:space="preserve"> In particular, “the support of a manager or supervisor is the most crucial factor for people with a mental health condition remaining at or returning to work.”</w:t>
      </w:r>
      <w:r w:rsidRPr="00A20EE9">
        <w:rPr>
          <w:rStyle w:val="EndnoteReference"/>
        </w:rPr>
        <w:endnoteReference w:id="40"/>
      </w:r>
      <w:r w:rsidRPr="00EC6C30">
        <w:t xml:space="preserve"> </w:t>
      </w:r>
    </w:p>
    <w:p w14:paraId="0AD292D6" w14:textId="77777777" w:rsidR="00E83B7F" w:rsidRPr="00EC6C30" w:rsidRDefault="00E83B7F" w:rsidP="00313DF3">
      <w:pPr>
        <w:keepNext/>
        <w:keepLines/>
      </w:pPr>
      <w:r w:rsidRPr="00EC6C30">
        <w:lastRenderedPageBreak/>
        <w:t>Another approach gaining traction across a range of industry sectors is centred on the promotion of ‘positive mental health’ in the workplace.</w:t>
      </w:r>
      <w:r w:rsidRPr="00A20EE9">
        <w:rPr>
          <w:rStyle w:val="EndnoteReference"/>
        </w:rPr>
        <w:endnoteReference w:id="41"/>
      </w:r>
      <w:r w:rsidRPr="00EC6C30">
        <w:t xml:space="preserve"> This approach is linked with positive/organisational psychology research that focuses on the study of human strengths, virtues and health protective factors, and the organisational conditions that foster these. </w:t>
      </w:r>
    </w:p>
    <w:p w14:paraId="4B57BF8F" w14:textId="77777777" w:rsidR="00E83B7F" w:rsidRPr="00EC6C30" w:rsidRDefault="00E83B7F" w:rsidP="00EC6C30">
      <w:r w:rsidRPr="00EC6C30">
        <w:t>Workplaces which enhance positive mental health are typically those that have a documented mental health and wellbeing strategy, promote effective bottom-up as well as top-down communication, foster strengths and respectful interactions and minimise incivility, appreciate positive work experiences, promote positive and supportive leadership behaviours, and attend to the psychosocial aspects of job design.</w:t>
      </w:r>
      <w:r w:rsidRPr="006B23AC">
        <w:rPr>
          <w:rStyle w:val="EndnoteReference"/>
        </w:rPr>
        <w:endnoteReference w:id="42"/>
      </w:r>
      <w:r w:rsidRPr="00EC6C30">
        <w:t xml:space="preserve"> In addition, positive and supportive leadership styles have been found to significantly enhance levels of employee wellbeing.</w:t>
      </w:r>
      <w:r w:rsidRPr="006B23AC">
        <w:rPr>
          <w:rStyle w:val="EndnoteReference"/>
        </w:rPr>
        <w:endnoteReference w:id="43"/>
      </w:r>
      <w:r w:rsidRPr="00EC6C30">
        <w:t xml:space="preserve"> </w:t>
      </w:r>
    </w:p>
    <w:p w14:paraId="005CA40D" w14:textId="77777777" w:rsidR="00E83B7F" w:rsidRPr="00EC6C30" w:rsidRDefault="00E83B7F" w:rsidP="00EC6C30">
      <w:r w:rsidRPr="00EC6C30">
        <w:t>Hart et al.</w:t>
      </w:r>
      <w:r w:rsidRPr="006B23AC">
        <w:rPr>
          <w:rStyle w:val="EndnoteReference"/>
        </w:rPr>
        <w:endnoteReference w:id="44"/>
      </w:r>
      <w:r w:rsidRPr="00EC6C30">
        <w:t xml:space="preserve"> detailed an intervention program which utilised positive psychology principles, a bottom-up engagement strategy, team-based coaching, and an all-staff approach to designing interventions using accurate workplace diagnostic data. The intervention resulted in increased levels of supportive leadership, employee decision-making involvement, and improved overall organisational climate and morale. These improvements were found to be associated with a significant reduction in psychological injury compensation claims costs. </w:t>
      </w:r>
    </w:p>
    <w:p w14:paraId="7D0E24B1" w14:textId="77777777" w:rsidR="00E83B7F" w:rsidRPr="00EC6C30" w:rsidRDefault="00E83B7F" w:rsidP="00EC6C30">
      <w:r w:rsidRPr="00EC6C30">
        <w:t xml:space="preserve">Linked with the emergence of positive psychology approaches is the burgeoning interest in ‘resilience’ (i.e., psychological resistance to stressors and bouncing back rapidly from exposure to any adverse experiences). Some jobs involve interacting with very challenging clients and exposure to potentially traumatic events (e.g., police, ambulance officers, fire brigades, staff in hospital emergency units, child protection workers). There are limits to some of the workplace health and safety measures that can be implemented in the physical environment, and hence there is growing interest in the extent to which employees can prospectively build resilience, to manage more effectively subsequent exposure to some of these operational stressors. </w:t>
      </w:r>
    </w:p>
    <w:p w14:paraId="22A28D52" w14:textId="77777777" w:rsidR="00E83B7F" w:rsidRPr="00EC6C30" w:rsidRDefault="00E83B7F" w:rsidP="00EC6C30">
      <w:r w:rsidRPr="00EC6C30">
        <w:t>Key components of personal resilience include: self-efficacy and high levels of positive emotions, sense of purposefulness, social support and adaptability.</w:t>
      </w:r>
      <w:r w:rsidRPr="006B23AC">
        <w:rPr>
          <w:rStyle w:val="EndnoteReference"/>
        </w:rPr>
        <w:endnoteReference w:id="45"/>
      </w:r>
      <w:r w:rsidRPr="00EC6C30">
        <w:t xml:space="preserve"> </w:t>
      </w:r>
      <w:proofErr w:type="gramStart"/>
      <w:r w:rsidRPr="00EC6C30">
        <w:t>Individuals with higher pre-existing levels of personal resilience, and who sustain a psychological injury, cope more effectively and RTW earlier than employees with low levels of resilience.</w:t>
      </w:r>
      <w:proofErr w:type="gramEnd"/>
      <w:r w:rsidRPr="006B23AC">
        <w:rPr>
          <w:rStyle w:val="EndnoteReference"/>
        </w:rPr>
        <w:endnoteReference w:id="46"/>
      </w:r>
      <w:r w:rsidRPr="00EC6C30">
        <w:t xml:space="preserve"> </w:t>
      </w:r>
    </w:p>
    <w:p w14:paraId="51143D9B" w14:textId="5BF1D4AB" w:rsidR="00E83B7F" w:rsidRPr="00EC6C30" w:rsidRDefault="00E83B7F" w:rsidP="00EC6C30">
      <w:r w:rsidRPr="00EC6C30">
        <w:t>The recent People at Work project,</w:t>
      </w:r>
      <w:r w:rsidRPr="006B23AC">
        <w:rPr>
          <w:rStyle w:val="EndnoteReference"/>
        </w:rPr>
        <w:endnoteReference w:id="47"/>
      </w:r>
      <w:r w:rsidRPr="00EC6C30">
        <w:t xml:space="preserve"> a collaboration be</w:t>
      </w:r>
      <w:r w:rsidR="00961613">
        <w:t>tween university researchers,</w:t>
      </w:r>
      <w:r w:rsidRPr="00EC6C30">
        <w:t xml:space="preserve"> a workers’ compensation authority</w:t>
      </w:r>
      <w:r w:rsidR="000F6B61">
        <w:t xml:space="preserve"> and Safe Work Australia</w:t>
      </w:r>
      <w:r w:rsidRPr="00EC6C30">
        <w:t xml:space="preserve">, utilised a 13-factor psychosocial hazard survey (incorporating seven job demand related factors and six job resource related factors) with a national sample of 4425 workers from 33 different organisations. The project aimed to identify key risks for: </w:t>
      </w:r>
    </w:p>
    <w:p w14:paraId="108C53B4" w14:textId="51148936" w:rsidR="00E83B7F" w:rsidRPr="00EC6C30" w:rsidRDefault="00E83B7F" w:rsidP="00EC6C30">
      <w:pPr>
        <w:pStyle w:val="SWABullets"/>
      </w:pPr>
      <w:r w:rsidRPr="00EC6C30">
        <w:t>employee psychological strain (a key risk fa</w:t>
      </w:r>
      <w:r w:rsidR="00483EC4">
        <w:t>ctor for psychological injury)</w:t>
      </w:r>
    </w:p>
    <w:p w14:paraId="7273E58C" w14:textId="19CC9543" w:rsidR="00E83B7F" w:rsidRPr="00EC6C30" w:rsidRDefault="00E83B7F" w:rsidP="00EC6C30">
      <w:pPr>
        <w:pStyle w:val="SWABullets"/>
      </w:pPr>
      <w:r w:rsidRPr="00EC6C30">
        <w:t>burnout</w:t>
      </w:r>
      <w:r w:rsidR="00483EC4">
        <w:t>,</w:t>
      </w:r>
      <w:r w:rsidRPr="00EC6C30">
        <w:t xml:space="preserve"> and </w:t>
      </w:r>
    </w:p>
    <w:p w14:paraId="633A1ECC" w14:textId="77777777" w:rsidR="00E83B7F" w:rsidRPr="00EC6C30" w:rsidRDefault="00E83B7F" w:rsidP="00EC6C30">
      <w:pPr>
        <w:pStyle w:val="SWABullets"/>
      </w:pPr>
      <w:proofErr w:type="gramStart"/>
      <w:r w:rsidRPr="00EC6C30">
        <w:t>musculoskeletal</w:t>
      </w:r>
      <w:proofErr w:type="gramEnd"/>
      <w:r w:rsidRPr="00EC6C30">
        <w:t xml:space="preserve"> symptoms. </w:t>
      </w:r>
    </w:p>
    <w:p w14:paraId="47BC6A60" w14:textId="77777777" w:rsidR="00E83B7F" w:rsidRPr="00EC6C30" w:rsidRDefault="00E83B7F" w:rsidP="00EC6C30">
      <w:r w:rsidRPr="00EC6C30">
        <w:t>Role overload and excessive work demands emerged as the key predictors of all three outcomes measured. Role ambiguity (poor role clarity, competing priorities, etc.) was the strongest predictor of psychological distress. High job demands and role conflict have also been found to be important antecedents of bullying behaviours, but job resources such as decision authority and co-worker support positively moderate this relationship.</w:t>
      </w:r>
      <w:r w:rsidRPr="006B23AC">
        <w:rPr>
          <w:rStyle w:val="EndnoteReference"/>
        </w:rPr>
        <w:endnoteReference w:id="48"/>
      </w:r>
      <w:r w:rsidRPr="00EC6C30">
        <w:t xml:space="preserve"> </w:t>
      </w:r>
    </w:p>
    <w:p w14:paraId="2249BECB" w14:textId="77777777" w:rsidR="00E83B7F" w:rsidRPr="00EC6C30" w:rsidRDefault="00E83B7F" w:rsidP="00EC6C30">
      <w:r w:rsidRPr="00EC6C30">
        <w:t>Key workplace psychosocial risks for psychological injury are</w:t>
      </w:r>
      <w:r w:rsidRPr="006B23AC">
        <w:rPr>
          <w:rStyle w:val="EndnoteReference"/>
        </w:rPr>
        <w:endnoteReference w:id="49"/>
      </w:r>
      <w:r w:rsidRPr="00EC6C30">
        <w:t xml:space="preserve">: </w:t>
      </w:r>
    </w:p>
    <w:p w14:paraId="02292407" w14:textId="4907CAA2" w:rsidR="00E83B7F" w:rsidRPr="00EC6C30" w:rsidRDefault="00E83B7F" w:rsidP="00EC6C30">
      <w:pPr>
        <w:pStyle w:val="SWABullets"/>
      </w:pPr>
      <w:r w:rsidRPr="00EC6C30">
        <w:t xml:space="preserve">excessive </w:t>
      </w:r>
      <w:r w:rsidR="00483EC4">
        <w:t>work demands</w:t>
      </w:r>
    </w:p>
    <w:p w14:paraId="7F57CF72" w14:textId="46C35C0F" w:rsidR="00E83B7F" w:rsidRPr="00EC6C30" w:rsidRDefault="00E83B7F" w:rsidP="00EC6C30">
      <w:pPr>
        <w:pStyle w:val="SWABullets"/>
      </w:pPr>
      <w:r w:rsidRPr="00EC6C30">
        <w:t>lack of involvement in decision-mak</w:t>
      </w:r>
      <w:r w:rsidR="00483EC4">
        <w:t>ing about how work is performed</w:t>
      </w:r>
    </w:p>
    <w:p w14:paraId="66BE3D61" w14:textId="1DB5A13E" w:rsidR="00E83B7F" w:rsidRPr="00EC6C30" w:rsidRDefault="00483EC4" w:rsidP="00EC6C30">
      <w:pPr>
        <w:pStyle w:val="SWABullets"/>
      </w:pPr>
      <w:r>
        <w:t>lack of managerial support</w:t>
      </w:r>
    </w:p>
    <w:p w14:paraId="2B459179" w14:textId="44C58C2A" w:rsidR="00E83B7F" w:rsidRPr="00EC6C30" w:rsidRDefault="00483EC4" w:rsidP="00EC6C30">
      <w:pPr>
        <w:pStyle w:val="SWABullets"/>
      </w:pPr>
      <w:r>
        <w:t>negative work relationships</w:t>
      </w:r>
    </w:p>
    <w:p w14:paraId="26EAA3A1" w14:textId="1621D4ED" w:rsidR="00E83B7F" w:rsidRPr="00EC6C30" w:rsidRDefault="00483EC4" w:rsidP="00EC6C30">
      <w:pPr>
        <w:pStyle w:val="SWABullets"/>
      </w:pPr>
      <w:r>
        <w:t>poor role clarity</w:t>
      </w:r>
    </w:p>
    <w:p w14:paraId="129414B5" w14:textId="2BFAF005" w:rsidR="00E83B7F" w:rsidRPr="00EC6C30" w:rsidRDefault="00E83B7F" w:rsidP="00EC6C30">
      <w:pPr>
        <w:pStyle w:val="SWABullets"/>
      </w:pPr>
      <w:r w:rsidRPr="00EC6C30">
        <w:t>poor orga</w:t>
      </w:r>
      <w:r w:rsidR="00483EC4">
        <w:t>nisational management of change</w:t>
      </w:r>
    </w:p>
    <w:p w14:paraId="55EB2697" w14:textId="4F0E832F" w:rsidR="00E83B7F" w:rsidRPr="00EC6C30" w:rsidRDefault="00E83B7F" w:rsidP="00EC6C30">
      <w:pPr>
        <w:pStyle w:val="SWABullets"/>
      </w:pPr>
      <w:r w:rsidRPr="00EC6C30">
        <w:t>low recognition and reward</w:t>
      </w:r>
      <w:r w:rsidR="00483EC4">
        <w:t>,</w:t>
      </w:r>
      <w:r w:rsidRPr="00EC6C30">
        <w:t xml:space="preserve"> and</w:t>
      </w:r>
    </w:p>
    <w:p w14:paraId="39344998" w14:textId="77777777" w:rsidR="00E83B7F" w:rsidRPr="00EC6C30" w:rsidRDefault="00E83B7F" w:rsidP="00EC6C30">
      <w:pPr>
        <w:pStyle w:val="SWABullets"/>
      </w:pPr>
      <w:proofErr w:type="gramStart"/>
      <w:r w:rsidRPr="00EC6C30">
        <w:t>organisational</w:t>
      </w:r>
      <w:proofErr w:type="gramEnd"/>
      <w:r w:rsidRPr="00EC6C30">
        <w:t xml:space="preserve"> injustice. </w:t>
      </w:r>
    </w:p>
    <w:p w14:paraId="25F824C9" w14:textId="77777777" w:rsidR="00E83B7F" w:rsidRPr="00EC6C30" w:rsidRDefault="00E83B7F" w:rsidP="00313DF3">
      <w:pPr>
        <w:keepNext/>
        <w:keepLines/>
      </w:pPr>
      <w:r w:rsidRPr="00EC6C30">
        <w:lastRenderedPageBreak/>
        <w:t xml:space="preserve">It is reasonable to surmise that the presence of such psychosocial risks increases employee psychological strain, and thus delays or undermines RTW programs for employees with psychological injuries. The corollary is that improvements in these factors will contribute towards improving RTW outcomes. </w:t>
      </w:r>
    </w:p>
    <w:p w14:paraId="3BA80152" w14:textId="77777777" w:rsidR="00E83B7F" w:rsidRPr="00EC6C30" w:rsidRDefault="00E83B7F" w:rsidP="00EC6C30">
      <w:r w:rsidRPr="00EC6C30">
        <w:t>A final consideration is the extent to which the workplace factors that influence RTW for psychological injuries overlap with workplace factors impacting on physical injuries. Franche</w:t>
      </w:r>
      <w:r w:rsidRPr="006B23AC">
        <w:rPr>
          <w:rStyle w:val="EndnoteReference"/>
        </w:rPr>
        <w:endnoteReference w:id="50"/>
      </w:r>
      <w:r w:rsidRPr="00EC6C30">
        <w:t xml:space="preserve"> concluded that “by and large, the predictors of prolonged work absence for workers with mental health disorders emerge as being very similar for musculoskeletal disorders.” </w:t>
      </w:r>
    </w:p>
    <w:p w14:paraId="37477983" w14:textId="77777777" w:rsidR="00E83B7F" w:rsidRPr="00EC6C30" w:rsidRDefault="00E83B7F" w:rsidP="00EC6C30">
      <w:r w:rsidRPr="00EC6C30">
        <w:t xml:space="preserve">Against this backdrop we can now consider specific work-related factors that have been found to facilitate or hinder RTW. </w:t>
      </w:r>
    </w:p>
    <w:p w14:paraId="4C0D5E72" w14:textId="77777777" w:rsidR="00E83B7F" w:rsidRPr="00DC1480" w:rsidRDefault="00E83B7F" w:rsidP="001A004E">
      <w:pPr>
        <w:pStyle w:val="Heading2"/>
      </w:pPr>
      <w:bookmarkStart w:id="135" w:name="_Toc473101907"/>
      <w:bookmarkStart w:id="136" w:name="_Toc497141033"/>
      <w:r w:rsidRPr="00DC1480">
        <w:t>Key workplace factors that facilitate or hinder return to work of employees with psychological injuries</w:t>
      </w:r>
      <w:bookmarkEnd w:id="135"/>
      <w:bookmarkEnd w:id="136"/>
      <w:r w:rsidRPr="00DC1480">
        <w:t xml:space="preserve"> </w:t>
      </w:r>
    </w:p>
    <w:p w14:paraId="37ED1CAC" w14:textId="77777777" w:rsidR="00E83B7F" w:rsidRPr="001F2A1F" w:rsidRDefault="00E83B7F" w:rsidP="001F2A1F">
      <w:r w:rsidRPr="001F2A1F">
        <w:t>Franche</w:t>
      </w:r>
      <w:r w:rsidRPr="006B23AC">
        <w:rPr>
          <w:rStyle w:val="EndnoteReference"/>
        </w:rPr>
        <w:endnoteReference w:id="51"/>
      </w:r>
      <w:r w:rsidRPr="001F2A1F">
        <w:t xml:space="preserve"> detailed key workplace factors which have been found to influence RTW outcomes for psychological injury (as well as chronic musculoskeletal injuries). The following summary is structured around the seven factors she delineated. </w:t>
      </w:r>
    </w:p>
    <w:p w14:paraId="1E71C37C" w14:textId="77777777" w:rsidR="00E83B7F" w:rsidRPr="001F2A1F" w:rsidRDefault="00E83B7F" w:rsidP="00D57E73">
      <w:pPr>
        <w:pStyle w:val="ListNumber"/>
      </w:pPr>
      <w:r w:rsidRPr="001F2A1F">
        <w:t xml:space="preserve">Availability of suitable alternative work and modified duties </w:t>
      </w:r>
    </w:p>
    <w:p w14:paraId="0D652D17" w14:textId="77777777" w:rsidR="00E83B7F" w:rsidRPr="001F2A1F" w:rsidRDefault="00E83B7F" w:rsidP="00D57E73">
      <w:pPr>
        <w:ind w:left="426"/>
      </w:pPr>
      <w:r w:rsidRPr="001F2A1F">
        <w:t>The lack of availability of appropriate alternative duties or not adhering to indicated medical restrictions or workplace accommodations is associated with poorer RTW and an increased risk for failed RTW programs.</w:t>
      </w:r>
      <w:r w:rsidRPr="006B23AC">
        <w:rPr>
          <w:rStyle w:val="EndnoteReference"/>
        </w:rPr>
        <w:endnoteReference w:id="52"/>
      </w:r>
      <w:r w:rsidRPr="001F2A1F">
        <w:t xml:space="preserve"> </w:t>
      </w:r>
      <w:r w:rsidRPr="006B23AC">
        <w:rPr>
          <w:rStyle w:val="EndnoteReference"/>
        </w:rPr>
        <w:endnoteReference w:id="53"/>
      </w:r>
      <w:r w:rsidRPr="001F2A1F">
        <w:t xml:space="preserve"> </w:t>
      </w:r>
    </w:p>
    <w:p w14:paraId="7D7F71F1" w14:textId="77777777" w:rsidR="00E83B7F" w:rsidRPr="001F2A1F" w:rsidRDefault="00E83B7F" w:rsidP="00D57E73">
      <w:pPr>
        <w:pStyle w:val="ListNumber"/>
      </w:pPr>
      <w:r w:rsidRPr="001F2A1F">
        <w:t xml:space="preserve">Role of supervisor </w:t>
      </w:r>
    </w:p>
    <w:p w14:paraId="1D43194C" w14:textId="77777777" w:rsidR="00E83B7F" w:rsidRPr="001F2A1F" w:rsidRDefault="00E83B7F" w:rsidP="00D57E73">
      <w:pPr>
        <w:ind w:left="426"/>
      </w:pPr>
      <w:r w:rsidRPr="001F2A1F">
        <w:t>This includes active immediate manager involvement in the RTW process and provision of support. Early contact from the employer is often linked with supervisory support. This resonates with the POS model and emphasis on supportive management in the mental health approaches discussed above. Poor immediate manager support is associated with lower levels of psychological wellbeing, and delayed and worse RTW outcomes.</w:t>
      </w:r>
      <w:r w:rsidRPr="006B23AC">
        <w:rPr>
          <w:rStyle w:val="EndnoteReference"/>
        </w:rPr>
        <w:endnoteReference w:id="54"/>
      </w:r>
      <w:r w:rsidRPr="001F2A1F">
        <w:t xml:space="preserve"> </w:t>
      </w:r>
      <w:r w:rsidRPr="006B23AC">
        <w:rPr>
          <w:rStyle w:val="EndnoteReference"/>
        </w:rPr>
        <w:endnoteReference w:id="55"/>
      </w:r>
      <w:r w:rsidRPr="001F2A1F">
        <w:t xml:space="preserve"> </w:t>
      </w:r>
      <w:r w:rsidRPr="006B23AC">
        <w:rPr>
          <w:rStyle w:val="EndnoteReference"/>
        </w:rPr>
        <w:endnoteReference w:id="56"/>
      </w:r>
      <w:r w:rsidRPr="001F2A1F">
        <w:t xml:space="preserve"> </w:t>
      </w:r>
    </w:p>
    <w:p w14:paraId="322E3DEB" w14:textId="5F67BAC6" w:rsidR="00E83B7F" w:rsidRPr="001F2A1F" w:rsidRDefault="00E83B7F" w:rsidP="00D57E73">
      <w:pPr>
        <w:ind w:left="426"/>
      </w:pPr>
      <w:r w:rsidRPr="001F2A1F">
        <w:t>Shaw et al.</w:t>
      </w:r>
      <w:r w:rsidRPr="006B23AC">
        <w:rPr>
          <w:rStyle w:val="EndnoteReference"/>
        </w:rPr>
        <w:endnoteReference w:id="57"/>
      </w:r>
      <w:r w:rsidRPr="001F2A1F">
        <w:t xml:space="preserve"> have shown supervisor training improves RTW results and increases supervisors’ job satisfaction. Johnston et al.</w:t>
      </w:r>
      <w:r w:rsidRPr="006B23AC">
        <w:rPr>
          <w:rStyle w:val="EndnoteReference"/>
        </w:rPr>
        <w:endnoteReference w:id="58"/>
      </w:r>
      <w:r w:rsidRPr="001F2A1F">
        <w:t xml:space="preserve"> studied supervisor competencies in RTW of musculoskeletal and mental health claims. There was almost universal agreement that supervisors need extra training to support RTW. Line managers may also require </w:t>
      </w:r>
      <w:r w:rsidR="00B0695D">
        <w:t xml:space="preserve">extra support and training to assist </w:t>
      </w:r>
      <w:r w:rsidRPr="001F2A1F">
        <w:t xml:space="preserve">employees with psychological conditions returning to work. </w:t>
      </w:r>
    </w:p>
    <w:p w14:paraId="330A3AE3" w14:textId="77777777" w:rsidR="00E83B7F" w:rsidRPr="001F2A1F" w:rsidRDefault="00E83B7F" w:rsidP="00D57E73">
      <w:pPr>
        <w:pStyle w:val="ListNumber"/>
      </w:pPr>
      <w:r w:rsidRPr="001F2A1F">
        <w:t xml:space="preserve">Work demands (high demands/low control) </w:t>
      </w:r>
    </w:p>
    <w:p w14:paraId="2A81DA20" w14:textId="77777777" w:rsidR="00E83B7F" w:rsidRPr="001F2A1F" w:rsidRDefault="00E83B7F" w:rsidP="00D57E73">
      <w:pPr>
        <w:ind w:left="426"/>
      </w:pPr>
      <w:r w:rsidRPr="001F2A1F">
        <w:t>Jobs which involve high work demands and negligible or no input in decision-making are associated with increased psychological strain and an increased risk of psychological injury. Contrariwise, manageable demands and employee voice/being able to have a say in how the work is done have been found to moderate the impact of work demands and reduce reported stress levels.</w:t>
      </w:r>
      <w:r w:rsidRPr="006B23AC">
        <w:rPr>
          <w:rStyle w:val="EndnoteReference"/>
        </w:rPr>
        <w:endnoteReference w:id="59"/>
      </w:r>
      <w:r w:rsidRPr="001F2A1F">
        <w:t xml:space="preserve"> </w:t>
      </w:r>
      <w:r w:rsidRPr="006B23AC">
        <w:rPr>
          <w:rStyle w:val="EndnoteReference"/>
        </w:rPr>
        <w:endnoteReference w:id="60"/>
      </w:r>
      <w:r w:rsidRPr="001F2A1F">
        <w:t xml:space="preserve"> </w:t>
      </w:r>
      <w:r w:rsidRPr="006B23AC">
        <w:rPr>
          <w:rStyle w:val="EndnoteReference"/>
        </w:rPr>
        <w:endnoteReference w:id="61"/>
      </w:r>
      <w:r w:rsidRPr="001F2A1F">
        <w:t xml:space="preserve"> </w:t>
      </w:r>
      <w:r w:rsidRPr="006B23AC">
        <w:rPr>
          <w:rStyle w:val="EndnoteReference"/>
        </w:rPr>
        <w:endnoteReference w:id="62"/>
      </w:r>
    </w:p>
    <w:p w14:paraId="5299D84A" w14:textId="77777777" w:rsidR="00E83B7F" w:rsidRPr="001F2A1F" w:rsidRDefault="00E83B7F" w:rsidP="00D57E73">
      <w:pPr>
        <w:pStyle w:val="ListNumber"/>
      </w:pPr>
      <w:r w:rsidRPr="001F2A1F">
        <w:t xml:space="preserve">Organisational culture (respect and support) </w:t>
      </w:r>
    </w:p>
    <w:p w14:paraId="730B607A" w14:textId="77777777" w:rsidR="00E83B7F" w:rsidRPr="001F2A1F" w:rsidRDefault="00E83B7F" w:rsidP="00D57E73">
      <w:pPr>
        <w:ind w:left="426"/>
      </w:pPr>
      <w:r w:rsidRPr="001F2A1F">
        <w:t>This is often referred to as the context in which people work: the psychosocial work environment. It is included as a critical component in some of the models noted above and has a strong influence on how employees manage their operational experiences.</w:t>
      </w:r>
      <w:r w:rsidRPr="006B23AC">
        <w:rPr>
          <w:rStyle w:val="EndnoteReference"/>
        </w:rPr>
        <w:endnoteReference w:id="63"/>
      </w:r>
      <w:r w:rsidRPr="001F2A1F">
        <w:t xml:space="preserve"> </w:t>
      </w:r>
      <w:r w:rsidRPr="006B23AC">
        <w:rPr>
          <w:rStyle w:val="EndnoteReference"/>
        </w:rPr>
        <w:endnoteReference w:id="64"/>
      </w:r>
      <w:r w:rsidRPr="001F2A1F">
        <w:t xml:space="preserve"> </w:t>
      </w:r>
      <w:r w:rsidRPr="006B23AC">
        <w:rPr>
          <w:rStyle w:val="EndnoteReference"/>
        </w:rPr>
        <w:endnoteReference w:id="65"/>
      </w:r>
      <w:r w:rsidRPr="001F2A1F">
        <w:t xml:space="preserve"> </w:t>
      </w:r>
    </w:p>
    <w:p w14:paraId="1681211C" w14:textId="77777777" w:rsidR="00E83B7F" w:rsidRPr="001F2A1F" w:rsidRDefault="00E83B7F" w:rsidP="00D57E73">
      <w:pPr>
        <w:ind w:left="426"/>
      </w:pPr>
      <w:r w:rsidRPr="001F2A1F">
        <w:t>As noted above, positive employee perceptions of the extent to which their employer cares about their wellbeing promote a culture of respect and minimises incivility, tend to be a facilitating factors in RTW. Indeed, fostering a respectful culture and employer support for employee wellbeing has been found to reduce the risk for bullying behaviours.</w:t>
      </w:r>
      <w:r w:rsidRPr="006B23AC">
        <w:rPr>
          <w:rStyle w:val="EndnoteReference"/>
        </w:rPr>
        <w:endnoteReference w:id="66"/>
      </w:r>
      <w:r w:rsidRPr="001F2A1F">
        <w:t xml:space="preserve"> </w:t>
      </w:r>
    </w:p>
    <w:p w14:paraId="72DFDB27" w14:textId="77777777" w:rsidR="00E83B7F" w:rsidRPr="001F2A1F" w:rsidRDefault="00E83B7F" w:rsidP="00D57E73">
      <w:pPr>
        <w:pStyle w:val="ListNumber"/>
      </w:pPr>
      <w:r w:rsidRPr="001F2A1F">
        <w:t xml:space="preserve">Presence of abuse/violence at the workplace </w:t>
      </w:r>
    </w:p>
    <w:p w14:paraId="10E758EA" w14:textId="77777777" w:rsidR="00E83B7F" w:rsidRPr="001F2A1F" w:rsidRDefault="00E83B7F" w:rsidP="00D57E73">
      <w:pPr>
        <w:ind w:left="426"/>
      </w:pPr>
      <w:r w:rsidRPr="001F2A1F">
        <w:t>Ongoing exposure to incidents of abuse or violence hinders RTW and increases the risk of failed RTW.</w:t>
      </w:r>
      <w:r w:rsidRPr="006B23AC">
        <w:rPr>
          <w:rStyle w:val="EndnoteReference"/>
        </w:rPr>
        <w:endnoteReference w:id="67"/>
      </w:r>
      <w:r w:rsidRPr="001F2A1F">
        <w:t xml:space="preserve"> </w:t>
      </w:r>
    </w:p>
    <w:p w14:paraId="164AB225" w14:textId="77777777" w:rsidR="00E83B7F" w:rsidRPr="001F2A1F" w:rsidRDefault="00E83B7F" w:rsidP="00D57E73">
      <w:pPr>
        <w:pStyle w:val="ListNumber"/>
      </w:pPr>
      <w:r w:rsidRPr="001F2A1F">
        <w:t>Perceived injustice</w:t>
      </w:r>
    </w:p>
    <w:p w14:paraId="4AA10491" w14:textId="77777777" w:rsidR="00E83B7F" w:rsidRPr="001F2A1F" w:rsidRDefault="00E83B7F" w:rsidP="00D57E73">
      <w:pPr>
        <w:ind w:left="426"/>
      </w:pPr>
      <w:r w:rsidRPr="001F2A1F">
        <w:t>Perceptions of unfair treatment by the employer increase the risk of psychological injury and protracted time away from work.</w:t>
      </w:r>
      <w:r w:rsidRPr="006B23AC">
        <w:rPr>
          <w:rStyle w:val="EndnoteReference"/>
        </w:rPr>
        <w:endnoteReference w:id="68"/>
      </w:r>
      <w:r w:rsidRPr="001F2A1F">
        <w:t xml:space="preserve"> Hepburn et al.</w:t>
      </w:r>
      <w:r w:rsidRPr="006B23AC">
        <w:rPr>
          <w:rStyle w:val="EndnoteReference"/>
        </w:rPr>
        <w:endnoteReference w:id="69"/>
      </w:r>
      <w:r w:rsidRPr="001F2A1F">
        <w:t xml:space="preserve"> found that employees’ perceptions of fairness significantly influenced RTW outcomes. </w:t>
      </w:r>
    </w:p>
    <w:p w14:paraId="1E390153" w14:textId="77777777" w:rsidR="00E83B7F" w:rsidRPr="001F2A1F" w:rsidRDefault="00E83B7F" w:rsidP="00D478BB">
      <w:pPr>
        <w:pStyle w:val="ListNumber"/>
        <w:keepNext/>
        <w:keepLines/>
        <w:ind w:left="357" w:hanging="357"/>
      </w:pPr>
      <w:r w:rsidRPr="001F2A1F">
        <w:lastRenderedPageBreak/>
        <w:t xml:space="preserve">Job satisfaction </w:t>
      </w:r>
    </w:p>
    <w:p w14:paraId="0BF48E0B" w14:textId="77777777" w:rsidR="00E83B7F" w:rsidRPr="001F2A1F" w:rsidRDefault="00E83B7F" w:rsidP="00D57E73">
      <w:pPr>
        <w:ind w:left="426"/>
      </w:pPr>
      <w:r w:rsidRPr="001F2A1F">
        <w:t>This refers to the extent to which employees enjoy their work and are satisfied with their job role. Low job satisfaction hinders RTW and prolongs absenteeism. Injured individuals who are dissatisfied with their pre-injury job role could be expected to be resistant to returning to the same role.</w:t>
      </w:r>
      <w:r w:rsidRPr="006B23AC">
        <w:rPr>
          <w:rStyle w:val="EndnoteReference"/>
        </w:rPr>
        <w:endnoteReference w:id="70"/>
      </w:r>
      <w:r w:rsidRPr="001F2A1F">
        <w:t xml:space="preserve"> </w:t>
      </w:r>
    </w:p>
    <w:p w14:paraId="3FF9FB03" w14:textId="77777777" w:rsidR="00E83B7F" w:rsidRPr="00DC1480" w:rsidRDefault="00E83B7F" w:rsidP="001A004E">
      <w:pPr>
        <w:pStyle w:val="Heading2"/>
      </w:pPr>
      <w:bookmarkStart w:id="137" w:name="_Toc473101908"/>
      <w:bookmarkStart w:id="138" w:name="_Toc497141034"/>
      <w:r w:rsidRPr="00DC1480">
        <w:t>Literature review conclusion</w:t>
      </w:r>
      <w:bookmarkEnd w:id="137"/>
      <w:bookmarkEnd w:id="138"/>
    </w:p>
    <w:p w14:paraId="741F72B6" w14:textId="2A722E70" w:rsidR="00E83B7F" w:rsidRPr="001F2A1F" w:rsidRDefault="00E83B7F" w:rsidP="001F2A1F">
      <w:r w:rsidRPr="001F2A1F">
        <w:t xml:space="preserve">There is sufficient evidence, from a range of workplace mental health and RTW research, to conclude that the timeliness and supportiveness of the employer response, perceptions of employer support and fairness, decision-making involvement, levels of work demands, and the quality of the people management environment (or organisational climate) significantly facilitate or hinder RTW of individuals with psychological injuries. Further, strong pre-existing levels of individual resilience contribute to earlier RTW outcomes. </w:t>
      </w:r>
    </w:p>
    <w:p w14:paraId="796C4C89" w14:textId="7B8982C4" w:rsidR="005275C5" w:rsidRDefault="005275C5" w:rsidP="001F2A1F">
      <w:pPr>
        <w:rPr>
          <w:rFonts w:eastAsiaTheme="majorEastAsia"/>
        </w:rPr>
      </w:pPr>
      <w:r>
        <w:rPr>
          <w:rFonts w:eastAsiaTheme="majorEastAsia"/>
        </w:rPr>
        <w:br w:type="page"/>
      </w:r>
    </w:p>
    <w:p w14:paraId="75809B09" w14:textId="77777777" w:rsidR="00E83B7F" w:rsidRPr="001F2A1F" w:rsidRDefault="00E83B7F" w:rsidP="005275C5">
      <w:pPr>
        <w:pStyle w:val="Heading1"/>
        <w:numPr>
          <w:ilvl w:val="0"/>
          <w:numId w:val="0"/>
        </w:numPr>
      </w:pPr>
      <w:bookmarkStart w:id="139" w:name="_Toc473101909"/>
      <w:bookmarkStart w:id="140" w:name="_Toc497141035"/>
      <w:r w:rsidRPr="001F2A1F">
        <w:lastRenderedPageBreak/>
        <w:t>Appendix – Survey methodology</w:t>
      </w:r>
      <w:bookmarkEnd w:id="139"/>
      <w:bookmarkEnd w:id="140"/>
    </w:p>
    <w:p w14:paraId="61C8B043" w14:textId="77777777" w:rsidR="00E83B7F" w:rsidRPr="001F2A1F" w:rsidRDefault="00E83B7F" w:rsidP="001F2A1F">
      <w:r w:rsidRPr="001F2A1F">
        <w:t>Questions that related to a particular area that may influence RTW (themes) were checked for correlation using SPSS.</w:t>
      </w:r>
    </w:p>
    <w:p w14:paraId="6B1EEE40" w14:textId="77777777" w:rsidR="00E83B7F" w:rsidRPr="001F2A1F" w:rsidRDefault="00E83B7F" w:rsidP="001F2A1F">
      <w:r w:rsidRPr="001F2A1F">
        <w:t>All questions within the themes correlated at P &lt;.001 when the entire sample of over 9000 cases was used. Questions within themes generally correlated at P &lt;.001 using only the psychological claims sample, though a few correlated at P &lt; .005.</w:t>
      </w:r>
    </w:p>
    <w:p w14:paraId="1CA70D61" w14:textId="77777777" w:rsidR="00E83B7F" w:rsidRPr="001F2A1F" w:rsidRDefault="00E83B7F" w:rsidP="001F2A1F">
      <w:r w:rsidRPr="001F2A1F">
        <w:t>Likert scale questions were generally dichotomised as follows:</w:t>
      </w:r>
    </w:p>
    <w:p w14:paraId="4AC11968" w14:textId="057F90FA" w:rsidR="001F2A1F" w:rsidRDefault="001F2A1F" w:rsidP="001F2A1F">
      <w:pPr>
        <w:autoSpaceDE w:val="0"/>
        <w:autoSpaceDN w:val="0"/>
        <w:adjustRightInd w:val="0"/>
        <w:spacing w:before="120" w:line="276" w:lineRule="auto"/>
        <w:ind w:left="284" w:hanging="284"/>
        <w:rPr>
          <w:rFonts w:ascii="Calibri" w:hAnsi="Calibri" w:cs="Calibri"/>
          <w:lang w:val="en"/>
        </w:rPr>
      </w:pPr>
      <w:r>
        <w:rPr>
          <w:rFonts w:ascii="Calibri" w:hAnsi="Calibri" w:cs="Calibri"/>
          <w:noProof/>
        </w:rPr>
        <w:drawing>
          <wp:inline distT="0" distB="0" distL="0" distR="0" wp14:anchorId="09E97EA5" wp14:editId="1B43774D">
            <wp:extent cx="5486400" cy="1426191"/>
            <wp:effectExtent l="0" t="0" r="0" b="3175"/>
            <wp:docPr id="2" name="Diagram 2" descr="This table shows how responses to interview questions were dichotomised. " title="Likert scal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6CF88B5D" w14:textId="50420139" w:rsidR="001F2A1F" w:rsidRPr="00416995" w:rsidRDefault="001F2A1F" w:rsidP="00416995"/>
    <w:p w14:paraId="12CA0685" w14:textId="180CE86F" w:rsidR="00E83B7F" w:rsidRPr="00416995" w:rsidRDefault="00E83B7F" w:rsidP="00416995">
      <w:r w:rsidRPr="00416995">
        <w:t xml:space="preserve">Potential influencing factors were assessed by comparing RTW results according to employee responses, such as ‘agree’ or ‘do not agree’. </w:t>
      </w:r>
    </w:p>
    <w:p w14:paraId="6B68D7E2" w14:textId="77777777" w:rsidR="00E83B7F" w:rsidRPr="00416995" w:rsidRDefault="00E83B7F" w:rsidP="00416995">
      <w:r w:rsidRPr="00416995">
        <w:t xml:space="preserve">Where a theme response is reported, the response represents the mean of the ‘agree’ or ‘do not agree’ responses to the individual questions that make up the theme. </w:t>
      </w:r>
      <w:bookmarkStart w:id="141" w:name="_GoBack"/>
      <w:bookmarkEnd w:id="141"/>
    </w:p>
    <w:p w14:paraId="302EE274" w14:textId="77777777" w:rsidR="00E83B7F" w:rsidRPr="00416995" w:rsidRDefault="00E83B7F" w:rsidP="00416995">
      <w:r w:rsidRPr="00092BFE">
        <w:rPr>
          <w:rStyle w:val="Strong"/>
        </w:rPr>
        <w:t>The Brief Resilience Scale</w:t>
      </w:r>
      <w:r w:rsidRPr="00416995">
        <w:t xml:space="preserve"> is a validated measure of resilience. In the original paper devising and testing the scale there was good internal consistency, with Cronbach’s alpha ranging from .80–.91 across four different groups (undergraduate students, cardiac rehabilitation patients, women with fibromyalgia and healthy controls). </w:t>
      </w:r>
    </w:p>
    <w:p w14:paraId="11B23E75" w14:textId="27C6FF06" w:rsidR="00E83B7F" w:rsidRPr="00416995" w:rsidRDefault="00E83B7F" w:rsidP="00416995">
      <w:r w:rsidRPr="00416995">
        <w:t xml:space="preserve">In the Survey whole sample, Cronbach’s alpha was .661. While the correlation between questions was less in the Survey than in the original Brief Resilience Scale paper, the questions have been used as an overall resilience measure, partially noting their correlation with other personality characteristics that can influence claim outcomes. </w:t>
      </w:r>
    </w:p>
    <w:p w14:paraId="7E12B876" w14:textId="77777777" w:rsidR="00E83B7F" w:rsidRPr="00416995" w:rsidRDefault="00E83B7F" w:rsidP="00416995">
      <w:r w:rsidRPr="00416995">
        <w:t xml:space="preserve">In the original paper, higher scores on the Brief Resilience Scale were positively correlated with: </w:t>
      </w:r>
    </w:p>
    <w:p w14:paraId="2F3B7C48" w14:textId="090294FB" w:rsidR="00E83B7F" w:rsidRPr="00416995" w:rsidRDefault="00547E14" w:rsidP="00416995">
      <w:pPr>
        <w:pStyle w:val="SWABullets"/>
      </w:pPr>
      <w:r>
        <w:t>optimism</w:t>
      </w:r>
    </w:p>
    <w:p w14:paraId="181BA1E9" w14:textId="5C3DF60E" w:rsidR="00E83B7F" w:rsidRPr="00416995" w:rsidRDefault="00547E14" w:rsidP="00416995">
      <w:pPr>
        <w:pStyle w:val="SWABullets"/>
      </w:pPr>
      <w:r>
        <w:t>purpose in life</w:t>
      </w:r>
    </w:p>
    <w:p w14:paraId="771F339E" w14:textId="5DF0B8B5" w:rsidR="00E83B7F" w:rsidRPr="00416995" w:rsidRDefault="00547E14" w:rsidP="00416995">
      <w:pPr>
        <w:pStyle w:val="SWABullets"/>
      </w:pPr>
      <w:r>
        <w:t>social support</w:t>
      </w:r>
    </w:p>
    <w:p w14:paraId="030C3BA6" w14:textId="2A439CB6" w:rsidR="00E83B7F" w:rsidRPr="00416995" w:rsidRDefault="00E83B7F" w:rsidP="00416995">
      <w:pPr>
        <w:pStyle w:val="SWABullets"/>
      </w:pPr>
      <w:r w:rsidRPr="00416995">
        <w:t>active coping</w:t>
      </w:r>
      <w:r w:rsidR="00547E14">
        <w:t>,</w:t>
      </w:r>
      <w:r w:rsidRPr="00416995">
        <w:t xml:space="preserve"> and</w:t>
      </w:r>
    </w:p>
    <w:p w14:paraId="0758FD8A" w14:textId="77777777" w:rsidR="00E83B7F" w:rsidRPr="00416995" w:rsidRDefault="00E83B7F" w:rsidP="00416995">
      <w:pPr>
        <w:pStyle w:val="SWABullets"/>
      </w:pPr>
      <w:proofErr w:type="gramStart"/>
      <w:r w:rsidRPr="00416995">
        <w:t>positive</w:t>
      </w:r>
      <w:proofErr w:type="gramEnd"/>
      <w:r w:rsidRPr="00416995">
        <w:t xml:space="preserve"> affect in three of the four samples and with exercise days per week in the cardiac rehabilitation sample.</w:t>
      </w:r>
    </w:p>
    <w:p w14:paraId="7C034D61" w14:textId="77777777" w:rsidR="00E83B7F" w:rsidRPr="00416995" w:rsidRDefault="00E83B7F" w:rsidP="00416995">
      <w:r w:rsidRPr="00416995">
        <w:t>They were negatively correlated with:</w:t>
      </w:r>
    </w:p>
    <w:p w14:paraId="25BC868E" w14:textId="66F731D5" w:rsidR="00E83B7F" w:rsidRPr="00416995" w:rsidRDefault="00E83B7F" w:rsidP="00416995">
      <w:pPr>
        <w:pStyle w:val="SWABullets"/>
      </w:pPr>
      <w:r w:rsidRPr="00416995">
        <w:t>p</w:t>
      </w:r>
      <w:r w:rsidR="00547E14">
        <w:t>essimism</w:t>
      </w:r>
    </w:p>
    <w:p w14:paraId="4C82B799" w14:textId="0BA47D49" w:rsidR="00E83B7F" w:rsidRPr="00416995" w:rsidRDefault="00547E14" w:rsidP="00416995">
      <w:pPr>
        <w:pStyle w:val="SWABullets"/>
      </w:pPr>
      <w:r>
        <w:t>alexithymia</w:t>
      </w:r>
    </w:p>
    <w:p w14:paraId="4DCA4365" w14:textId="4FA07F52" w:rsidR="00E83B7F" w:rsidRPr="00416995" w:rsidRDefault="00547E14" w:rsidP="00416995">
      <w:pPr>
        <w:pStyle w:val="SWABullets"/>
      </w:pPr>
      <w:r>
        <w:t>behavioural disengagement</w:t>
      </w:r>
    </w:p>
    <w:p w14:paraId="63885939" w14:textId="73C64E92" w:rsidR="00E83B7F" w:rsidRPr="00416995" w:rsidRDefault="00547E14" w:rsidP="00416995">
      <w:pPr>
        <w:pStyle w:val="SWABullets"/>
      </w:pPr>
      <w:r>
        <w:t>denial</w:t>
      </w:r>
    </w:p>
    <w:p w14:paraId="00D3D041" w14:textId="20DF0066" w:rsidR="00E83B7F" w:rsidRPr="00416995" w:rsidRDefault="00547E14" w:rsidP="00416995">
      <w:pPr>
        <w:pStyle w:val="SWABullets"/>
      </w:pPr>
      <w:r>
        <w:t>self-blame</w:t>
      </w:r>
    </w:p>
    <w:p w14:paraId="58E8FA58" w14:textId="7B8B5C85" w:rsidR="00E83B7F" w:rsidRPr="00416995" w:rsidRDefault="00E83B7F" w:rsidP="00416995">
      <w:pPr>
        <w:pStyle w:val="SWABullets"/>
      </w:pPr>
      <w:r w:rsidRPr="00416995">
        <w:t>perceived stress, anxiety, depression, negativ</w:t>
      </w:r>
      <w:r w:rsidR="00547E14">
        <w:t>e affect and physical symptoms</w:t>
      </w:r>
    </w:p>
    <w:p w14:paraId="7CD8ECAA" w14:textId="6171E107" w:rsidR="00E83B7F" w:rsidRPr="00416995" w:rsidRDefault="00E83B7F" w:rsidP="00416995">
      <w:pPr>
        <w:pStyle w:val="SWABullets"/>
      </w:pPr>
      <w:r w:rsidRPr="00416995">
        <w:t>fatigue in the cardiac sample</w:t>
      </w:r>
      <w:r w:rsidR="00547E14">
        <w:t>,</w:t>
      </w:r>
      <w:r w:rsidRPr="00416995">
        <w:t xml:space="preserve"> and </w:t>
      </w:r>
    </w:p>
    <w:p w14:paraId="28FC343D" w14:textId="77777777" w:rsidR="00E83B7F" w:rsidRPr="00416995" w:rsidRDefault="00E83B7F" w:rsidP="00416995">
      <w:pPr>
        <w:pStyle w:val="SWABullets"/>
      </w:pPr>
      <w:proofErr w:type="gramStart"/>
      <w:r w:rsidRPr="00416995">
        <w:t>fatigue</w:t>
      </w:r>
      <w:proofErr w:type="gramEnd"/>
      <w:r w:rsidRPr="00416995">
        <w:t xml:space="preserve"> and pain in the sample of middle-aged women.</w:t>
      </w:r>
    </w:p>
    <w:p w14:paraId="4DAD818B" w14:textId="49D683B9" w:rsidR="00416995" w:rsidRDefault="00E83B7F" w:rsidP="00E04D4C">
      <w:pPr>
        <w:keepNext/>
        <w:keepLines/>
      </w:pPr>
      <w:r w:rsidRPr="00E04D4C">
        <w:lastRenderedPageBreak/>
        <w:t xml:space="preserve">There were several questions about the quality of rehabilitation services provided by external rehabilitation providers, but only 58 employees with a psychological claim had received them. The sample size was too small to assess the effect on RTW. In addition, complex cases are more likely to be referred to </w:t>
      </w:r>
      <w:r w:rsidR="004D631B">
        <w:t xml:space="preserve">an </w:t>
      </w:r>
      <w:r w:rsidRPr="00E04D4C">
        <w:t xml:space="preserve">external rehabilitation service, which distorts the results. Rehabilitation service </w:t>
      </w:r>
      <w:proofErr w:type="gramStart"/>
      <w:r w:rsidRPr="00E04D4C">
        <w:t>result ha</w:t>
      </w:r>
      <w:r w:rsidR="006529CB">
        <w:t>ve</w:t>
      </w:r>
      <w:proofErr w:type="gramEnd"/>
      <w:r w:rsidR="006529CB">
        <w:t xml:space="preserve"> therefore not been included in</w:t>
      </w:r>
      <w:r w:rsidRPr="00E04D4C">
        <w:t xml:space="preserve"> this analysis.</w:t>
      </w:r>
    </w:p>
    <w:p w14:paraId="46DC4D52" w14:textId="6BB4225A" w:rsidR="005275C5" w:rsidRDefault="005275C5" w:rsidP="00E04D4C">
      <w:pPr>
        <w:keepNext/>
        <w:keepLines/>
      </w:pPr>
      <w:r>
        <w:br w:type="page"/>
      </w:r>
    </w:p>
    <w:p w14:paraId="6E6CD303" w14:textId="67ED8D47" w:rsidR="00E83B7F" w:rsidRPr="00416995" w:rsidRDefault="00E83B7F" w:rsidP="005275C5">
      <w:pPr>
        <w:pStyle w:val="Heading1"/>
        <w:numPr>
          <w:ilvl w:val="0"/>
          <w:numId w:val="0"/>
        </w:numPr>
      </w:pPr>
      <w:bookmarkStart w:id="142" w:name="_Toc473101910"/>
      <w:bookmarkStart w:id="143" w:name="_Toc497141036"/>
      <w:r w:rsidRPr="00416995">
        <w:lastRenderedPageBreak/>
        <w:t>References</w:t>
      </w:r>
      <w:bookmarkEnd w:id="142"/>
      <w:bookmarkEnd w:id="143"/>
    </w:p>
    <w:sectPr w:rsidR="00E83B7F" w:rsidRPr="00416995" w:rsidSect="00E83B7F">
      <w:headerReference w:type="first" r:id="rId63"/>
      <w:footerReference w:type="first" r:id="rId64"/>
      <w:endnotePr>
        <w:numFmt w:val="decimal"/>
      </w:endnotePr>
      <w:pgSz w:w="11906" w:h="16838"/>
      <w:pgMar w:top="993" w:right="1800" w:bottom="1440" w:left="1276" w:header="708" w:footer="708" w:gutter="0"/>
      <w:cols w:space="24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B83D2" w14:textId="77777777" w:rsidR="007C3492" w:rsidRPr="00036AA1" w:rsidRDefault="007C3492" w:rsidP="00036AA1">
      <w:pPr>
        <w:pStyle w:val="Footer"/>
      </w:pPr>
    </w:p>
  </w:endnote>
  <w:endnote w:type="continuationSeparator" w:id="0">
    <w:p w14:paraId="2BDBF4AC" w14:textId="77777777" w:rsidR="007C3492" w:rsidRPr="00036AA1" w:rsidRDefault="007C3492" w:rsidP="00036AA1">
      <w:pPr>
        <w:pStyle w:val="Footer"/>
      </w:pPr>
    </w:p>
  </w:endnote>
  <w:endnote w:id="1">
    <w:p w14:paraId="793A9B19"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The Social Research Centre.</w:t>
      </w:r>
      <w:proofErr w:type="gramEnd"/>
      <w:r w:rsidRPr="006B23AC">
        <w:rPr>
          <w:rStyle w:val="EndnoteTextChar"/>
        </w:rPr>
        <w:t xml:space="preserve"> www.srcentre.com.au</w:t>
      </w:r>
    </w:p>
  </w:endnote>
  <w:endnote w:id="2">
    <w:p w14:paraId="487957ED" w14:textId="77777777" w:rsidR="007C3492" w:rsidRPr="006B23AC" w:rsidRDefault="007C3492" w:rsidP="00E83B7F">
      <w:pPr>
        <w:spacing w:before="120"/>
        <w:rPr>
          <w:rStyle w:val="EndnoteTextChar"/>
        </w:rPr>
      </w:pPr>
      <w:r w:rsidRPr="006B23AC">
        <w:rPr>
          <w:rStyle w:val="EndnoteReference"/>
        </w:rPr>
        <w:endnoteRef/>
      </w:r>
      <w:r>
        <w:t xml:space="preserve"> </w:t>
      </w:r>
      <w:proofErr w:type="gramStart"/>
      <w:r w:rsidRPr="006B23AC">
        <w:rPr>
          <w:rStyle w:val="EndnoteTextChar"/>
        </w:rPr>
        <w:t>Safe Work Australia April (2013).</w:t>
      </w:r>
      <w:proofErr w:type="gramEnd"/>
      <w:r w:rsidRPr="006B23AC">
        <w:rPr>
          <w:rStyle w:val="EndnoteTextChar"/>
        </w:rPr>
        <w:t xml:space="preserve"> </w:t>
      </w:r>
      <w:proofErr w:type="gramStart"/>
      <w:r w:rsidRPr="006B23AC">
        <w:rPr>
          <w:rStyle w:val="EndnoteTextChar"/>
        </w:rPr>
        <w:t>The Incidence of Accepted Workers’ Compensation Claims for Mental Stress in Australia.</w:t>
      </w:r>
      <w:proofErr w:type="gramEnd"/>
      <w:r w:rsidRPr="006B23AC">
        <w:rPr>
          <w:rStyle w:val="EndnoteTextChar"/>
        </w:rPr>
        <w:t xml:space="preserve"> </w:t>
      </w:r>
    </w:p>
  </w:endnote>
  <w:endnote w:id="3">
    <w:p w14:paraId="722EED3F"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Safe Work Australia (2013).</w:t>
      </w:r>
      <w:proofErr w:type="gramEnd"/>
      <w:r w:rsidRPr="006B23AC">
        <w:rPr>
          <w:rStyle w:val="EndnoteTextChar"/>
        </w:rPr>
        <w:t xml:space="preserve"> The National Return to Work Survey: The role of the employer and Workplace Australia and New Zealand.</w:t>
      </w:r>
    </w:p>
  </w:endnote>
  <w:endnote w:id="4">
    <w:p w14:paraId="0D50750A" w14:textId="5E6E41FD"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Butler RJ, Johnson WG &amp; Côté P (2007).</w:t>
      </w:r>
      <w:proofErr w:type="gramEnd"/>
      <w:r w:rsidRPr="006B23AC">
        <w:rPr>
          <w:rStyle w:val="EndnoteTextChar"/>
        </w:rPr>
        <w:t xml:space="preserve"> It pays to be nice: employer-worker relationships and the management of back pain claims. J Occup Environ Med, 49(2):214</w:t>
      </w:r>
      <w:r>
        <w:rPr>
          <w:rStyle w:val="EndnoteTextChar"/>
        </w:rPr>
        <w:noBreakHyphen/>
      </w:r>
      <w:r w:rsidRPr="006B23AC">
        <w:rPr>
          <w:rStyle w:val="EndnoteTextChar"/>
        </w:rPr>
        <w:t>25.</w:t>
      </w:r>
    </w:p>
  </w:endnote>
  <w:endnote w:id="5">
    <w:p w14:paraId="62A6AA5E" w14:textId="171CCCF2"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Smith BW, Dalen J, Wiggins K, Tooley E, Christopher P &amp; Bernard J (2008) The Brief Resilience Scale: Assessing the ability to bounce back. International Journal of Behavioral Medicine, 15, 194</w:t>
      </w:r>
      <w:r>
        <w:rPr>
          <w:rStyle w:val="EndnoteTextChar"/>
        </w:rPr>
        <w:noBreakHyphen/>
      </w:r>
      <w:r w:rsidRPr="006B23AC">
        <w:rPr>
          <w:rStyle w:val="EndnoteTextChar"/>
        </w:rPr>
        <w:t>200</w:t>
      </w:r>
    </w:p>
  </w:endnote>
  <w:endnote w:id="6">
    <w:p w14:paraId="2EE2B8A8" w14:textId="77777777"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 xml:space="preserve">Odgers, P (2013). </w:t>
      </w:r>
      <w:proofErr w:type="gramStart"/>
      <w:r w:rsidRPr="006B23AC">
        <w:rPr>
          <w:rStyle w:val="EndnoteTextChar"/>
        </w:rPr>
        <w:t>The role of resilience in workers compensation.</w:t>
      </w:r>
      <w:proofErr w:type="gramEnd"/>
      <w:r w:rsidRPr="006B23AC">
        <w:rPr>
          <w:rStyle w:val="EndnoteTextChar"/>
        </w:rPr>
        <w:t xml:space="preserve"> </w:t>
      </w:r>
      <w:proofErr w:type="gramStart"/>
      <w:r w:rsidRPr="006B23AC">
        <w:rPr>
          <w:rStyle w:val="EndnoteTextChar"/>
        </w:rPr>
        <w:t>Comcare.</w:t>
      </w:r>
      <w:proofErr w:type="gramEnd"/>
      <w:r w:rsidRPr="006B23AC">
        <w:rPr>
          <w:rStyle w:val="EndnoteTextChar"/>
        </w:rPr>
        <w:t xml:space="preserve"> </w:t>
      </w:r>
      <w:proofErr w:type="gramStart"/>
      <w:r w:rsidRPr="006B23AC">
        <w:rPr>
          <w:rStyle w:val="EndnoteTextChar"/>
        </w:rPr>
        <w:t>Australasian Compensation Health Research Forum.</w:t>
      </w:r>
      <w:proofErr w:type="gramEnd"/>
      <w:r w:rsidRPr="006B23AC">
        <w:rPr>
          <w:rStyle w:val="EndnoteTextChar"/>
        </w:rPr>
        <w:t xml:space="preserve"> October, 2013.</w:t>
      </w:r>
    </w:p>
  </w:endnote>
  <w:endnote w:id="7">
    <w:p w14:paraId="4AD2DD12"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Flint-Taylor J &amp; Davda A (2015).</w:t>
      </w:r>
      <w:proofErr w:type="gramEnd"/>
      <w:r w:rsidRPr="006B23AC">
        <w:rPr>
          <w:rStyle w:val="EndnoteTextChar"/>
        </w:rPr>
        <w:t xml:space="preserve"> </w:t>
      </w:r>
      <w:proofErr w:type="gramStart"/>
      <w:r w:rsidRPr="006B23AC">
        <w:rPr>
          <w:rStyle w:val="EndnoteTextChar"/>
        </w:rPr>
        <w:t>Understanding and developing personal resilience.</w:t>
      </w:r>
      <w:proofErr w:type="gramEnd"/>
      <w:r w:rsidRPr="006B23AC">
        <w:rPr>
          <w:rStyle w:val="EndnoteTextChar"/>
        </w:rPr>
        <w:t xml:space="preserve"> </w:t>
      </w:r>
      <w:proofErr w:type="gramStart"/>
      <w:r w:rsidRPr="006B23AC">
        <w:rPr>
          <w:rStyle w:val="EndnoteTextChar"/>
        </w:rPr>
        <w:t>In Burke RJ, Page KM &amp; Cooper CL (Eds) Flourishing in life, work and careers.</w:t>
      </w:r>
      <w:proofErr w:type="gramEnd"/>
      <w:r w:rsidRPr="006B23AC">
        <w:rPr>
          <w:rStyle w:val="EndnoteTextChar"/>
        </w:rPr>
        <w:t xml:space="preserve"> Cheltenham UK: Edgar Elgar.</w:t>
      </w:r>
    </w:p>
  </w:endnote>
  <w:endnote w:id="8">
    <w:p w14:paraId="1677E5CA"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Australia’s Health (2012).</w:t>
      </w:r>
      <w:proofErr w:type="gramEnd"/>
      <w:r w:rsidRPr="006B23AC">
        <w:rPr>
          <w:rStyle w:val="EndnoteTextChar"/>
        </w:rPr>
        <w:t xml:space="preserve"> </w:t>
      </w:r>
      <w:proofErr w:type="gramStart"/>
      <w:r w:rsidRPr="006B23AC">
        <w:rPr>
          <w:rStyle w:val="EndnoteTextChar"/>
        </w:rPr>
        <w:t>Australian Institute of Health and Welfare.</w:t>
      </w:r>
      <w:proofErr w:type="gramEnd"/>
    </w:p>
  </w:endnote>
  <w:endnote w:id="9">
    <w:p w14:paraId="10B73F97"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LaMontagne AD, Keegal T, Vallance D, Ostry A &amp; Wolfe R (2008).</w:t>
      </w:r>
      <w:proofErr w:type="gramEnd"/>
      <w:r w:rsidRPr="006B23AC">
        <w:rPr>
          <w:rStyle w:val="EndnoteTextChar"/>
        </w:rPr>
        <w:t xml:space="preserve"> Job strain – Attributable depression in a sample of working Australians: Assessing the cost of health inequalities, BMC Public Health 8, 181.</w:t>
      </w:r>
    </w:p>
  </w:endnote>
  <w:endnote w:id="10">
    <w:p w14:paraId="610F4916" w14:textId="7460D583"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 xml:space="preserve">Hepburn CG, Kelloway EK &amp; Franche RL (2010) </w:t>
      </w:r>
      <w:proofErr w:type="gramStart"/>
      <w:r w:rsidRPr="006B23AC">
        <w:rPr>
          <w:rStyle w:val="EndnoteTextChar"/>
        </w:rPr>
        <w:t>Early</w:t>
      </w:r>
      <w:proofErr w:type="gramEnd"/>
      <w:r w:rsidRPr="006B23AC">
        <w:rPr>
          <w:rStyle w:val="EndnoteTextChar"/>
        </w:rPr>
        <w:t xml:space="preserve"> employer response to workplace injury: What injured workers perceive as fair and why these perceptions matter. </w:t>
      </w:r>
      <w:proofErr w:type="gramStart"/>
      <w:r w:rsidRPr="006B23AC">
        <w:rPr>
          <w:rStyle w:val="EndnoteTextChar"/>
        </w:rPr>
        <w:t>Journal of Occupational Health Psychology, 15(4), 409</w:t>
      </w:r>
      <w:r>
        <w:rPr>
          <w:rStyle w:val="EndnoteTextChar"/>
        </w:rPr>
        <w:noBreakHyphen/>
      </w:r>
      <w:r w:rsidRPr="006B23AC">
        <w:rPr>
          <w:rStyle w:val="EndnoteTextChar"/>
        </w:rPr>
        <w:t>420.</w:t>
      </w:r>
      <w:proofErr w:type="gramEnd"/>
      <w:r w:rsidRPr="006B23AC">
        <w:rPr>
          <w:rStyle w:val="EndnoteTextChar"/>
        </w:rPr>
        <w:t xml:space="preserve"> </w:t>
      </w:r>
    </w:p>
  </w:endnote>
  <w:endnote w:id="11">
    <w:p w14:paraId="2273CAE7" w14:textId="1BB3EE84"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LaMontagne A, Keegel T, Louie AM &amp; Ostry A (2010).</w:t>
      </w:r>
      <w:proofErr w:type="gramEnd"/>
      <w:r w:rsidRPr="006B23AC">
        <w:rPr>
          <w:rStyle w:val="EndnoteTextChar"/>
        </w:rPr>
        <w:t xml:space="preserve"> Job stress as a preventable upstream determinant of common mental disorders: A review for practitioners and policy-makers. </w:t>
      </w:r>
      <w:proofErr w:type="gramStart"/>
      <w:r w:rsidRPr="006B23AC">
        <w:rPr>
          <w:rStyle w:val="EndnoteTextChar"/>
        </w:rPr>
        <w:t>Advances in Mental Health, 9(1), 17</w:t>
      </w:r>
      <w:r>
        <w:rPr>
          <w:rStyle w:val="EndnoteTextChar"/>
        </w:rPr>
        <w:noBreakHyphen/>
      </w:r>
      <w:r w:rsidRPr="006B23AC">
        <w:rPr>
          <w:rStyle w:val="EndnoteTextChar"/>
        </w:rPr>
        <w:t>35.</w:t>
      </w:r>
      <w:proofErr w:type="gramEnd"/>
    </w:p>
  </w:endnote>
  <w:endnote w:id="12">
    <w:p w14:paraId="4F3BC7B3" w14:textId="3007A830"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 xml:space="preserve">Nieuwenhuijsen K, Noordik E, van Dijk FJ &amp; van der Klink JJ (2013). </w:t>
      </w:r>
      <w:proofErr w:type="gramStart"/>
      <w:r w:rsidRPr="006B23AC">
        <w:rPr>
          <w:rStyle w:val="EndnoteTextChar"/>
        </w:rPr>
        <w:t>Return to work perceptions and actual return to work in workers with common mental disorders.</w:t>
      </w:r>
      <w:proofErr w:type="gramEnd"/>
      <w:r w:rsidRPr="006B23AC">
        <w:rPr>
          <w:rStyle w:val="EndnoteTextChar"/>
        </w:rPr>
        <w:t xml:space="preserve"> </w:t>
      </w:r>
      <w:proofErr w:type="gramStart"/>
      <w:r w:rsidRPr="006B23AC">
        <w:rPr>
          <w:rStyle w:val="EndnoteTextChar"/>
        </w:rPr>
        <w:t>Journal of Occupational Rehabilitation, 23, 290</w:t>
      </w:r>
      <w:r>
        <w:rPr>
          <w:rStyle w:val="EndnoteTextChar"/>
        </w:rPr>
        <w:noBreakHyphen/>
      </w:r>
      <w:r w:rsidRPr="006B23AC">
        <w:rPr>
          <w:rStyle w:val="EndnoteTextChar"/>
        </w:rPr>
        <w:t>299.</w:t>
      </w:r>
      <w:proofErr w:type="gramEnd"/>
    </w:p>
  </w:endnote>
  <w:endnote w:id="13">
    <w:p w14:paraId="4368F851"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Tuckey, MR, Winwood C &amp; Dollard MF (2012).</w:t>
      </w:r>
      <w:proofErr w:type="gramEnd"/>
      <w:r w:rsidRPr="006B23AC">
        <w:rPr>
          <w:rStyle w:val="EndnoteTextChar"/>
        </w:rPr>
        <w:t xml:space="preserve"> </w:t>
      </w:r>
      <w:proofErr w:type="gramStart"/>
      <w:r w:rsidRPr="006B23AC">
        <w:rPr>
          <w:rStyle w:val="EndnoteTextChar"/>
        </w:rPr>
        <w:t>Psychosocial culture and pathways to psychological injury within policing.</w:t>
      </w:r>
      <w:proofErr w:type="gramEnd"/>
      <w:r w:rsidRPr="006B23AC">
        <w:rPr>
          <w:rStyle w:val="EndnoteTextChar"/>
        </w:rPr>
        <w:t xml:space="preserve"> </w:t>
      </w:r>
      <w:proofErr w:type="gramStart"/>
      <w:r w:rsidRPr="006B23AC">
        <w:rPr>
          <w:rStyle w:val="EndnoteTextChar"/>
        </w:rPr>
        <w:t>Police Practice and Research, 13, 3.</w:t>
      </w:r>
      <w:proofErr w:type="gramEnd"/>
    </w:p>
  </w:endnote>
  <w:endnote w:id="14">
    <w:p w14:paraId="2D0B108C"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Safe Work Australia (2013).</w:t>
      </w:r>
      <w:proofErr w:type="gramEnd"/>
      <w:r w:rsidRPr="006B23AC">
        <w:rPr>
          <w:rStyle w:val="EndnoteTextChar"/>
        </w:rPr>
        <w:t xml:space="preserve"> The incidence of accepted workers compensation claims for mental stress in Australia, April 2013. </w:t>
      </w:r>
    </w:p>
  </w:endnote>
  <w:endnote w:id="15">
    <w:p w14:paraId="1C868B86" w14:textId="781384B9"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LaMontagne A, Keegel T, Louie AM &amp; Ostry A (2010).</w:t>
      </w:r>
      <w:proofErr w:type="gramEnd"/>
      <w:r w:rsidRPr="006B23AC">
        <w:rPr>
          <w:rStyle w:val="EndnoteTextChar"/>
        </w:rPr>
        <w:t xml:space="preserve"> Job stress as a preventable upstream determinant of common mental disorders: A review for practitioners and policy-makers. </w:t>
      </w:r>
      <w:proofErr w:type="gramStart"/>
      <w:r w:rsidRPr="006B23AC">
        <w:rPr>
          <w:rStyle w:val="EndnoteTextChar"/>
        </w:rPr>
        <w:t>Advances in Mental Health, 9(1), 17</w:t>
      </w:r>
      <w:r>
        <w:rPr>
          <w:rStyle w:val="EndnoteTextChar"/>
        </w:rPr>
        <w:noBreakHyphen/>
      </w:r>
      <w:r w:rsidRPr="006B23AC">
        <w:rPr>
          <w:rStyle w:val="EndnoteTextChar"/>
        </w:rPr>
        <w:t>35.</w:t>
      </w:r>
      <w:proofErr w:type="gramEnd"/>
      <w:r w:rsidRPr="006B23AC">
        <w:rPr>
          <w:rStyle w:val="EndnoteTextChar"/>
        </w:rPr>
        <w:t xml:space="preserve"> </w:t>
      </w:r>
    </w:p>
  </w:endnote>
  <w:endnote w:id="16">
    <w:p w14:paraId="70A36426"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Safe Work Australia (2013).</w:t>
      </w:r>
      <w:proofErr w:type="gramEnd"/>
      <w:r w:rsidRPr="006B23AC">
        <w:rPr>
          <w:rStyle w:val="EndnoteTextChar"/>
        </w:rPr>
        <w:t xml:space="preserve"> The incidence of accepted workers compensation claims for mental stress in Australia, April 2013. </w:t>
      </w:r>
    </w:p>
  </w:endnote>
  <w:endnote w:id="17">
    <w:p w14:paraId="47460927" w14:textId="2EC73E02"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Huang Y, Pransky GS, Shaw WS, Benjamin KL &amp; Savageau JA (2006).</w:t>
      </w:r>
      <w:proofErr w:type="gramEnd"/>
      <w:r w:rsidRPr="006B23AC">
        <w:rPr>
          <w:rStyle w:val="EndnoteTextChar"/>
        </w:rPr>
        <w:t xml:space="preserve"> </w:t>
      </w:r>
      <w:proofErr w:type="gramStart"/>
      <w:r w:rsidRPr="006B23AC">
        <w:rPr>
          <w:rStyle w:val="EndnoteTextChar"/>
        </w:rPr>
        <w:t>Factors affecting the organisational responses of employers to workers with injuries.</w:t>
      </w:r>
      <w:proofErr w:type="gramEnd"/>
      <w:r w:rsidRPr="006B23AC">
        <w:rPr>
          <w:rStyle w:val="EndnoteTextChar"/>
        </w:rPr>
        <w:t xml:space="preserve"> </w:t>
      </w:r>
      <w:proofErr w:type="gramStart"/>
      <w:r w:rsidRPr="006B23AC">
        <w:rPr>
          <w:rStyle w:val="EndnoteTextChar"/>
        </w:rPr>
        <w:t>Work, 26, 75</w:t>
      </w:r>
      <w:r>
        <w:rPr>
          <w:rStyle w:val="EndnoteTextChar"/>
        </w:rPr>
        <w:noBreakHyphen/>
      </w:r>
      <w:r w:rsidRPr="006B23AC">
        <w:rPr>
          <w:rStyle w:val="EndnoteTextChar"/>
        </w:rPr>
        <w:t>84.</w:t>
      </w:r>
      <w:proofErr w:type="gramEnd"/>
    </w:p>
  </w:endnote>
  <w:endnote w:id="18">
    <w:p w14:paraId="64DA070A" w14:textId="083BA322"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Briand C, Durand MJ, StArnaud L &amp; Corbiere M (2007).</w:t>
      </w:r>
      <w:proofErr w:type="gramEnd"/>
      <w:r w:rsidRPr="006B23AC">
        <w:rPr>
          <w:rStyle w:val="EndnoteTextChar"/>
        </w:rPr>
        <w:t xml:space="preserve"> Work and mental health: Learning from return to work rehabilitation programs designed for workers with musculoskeletal disorders. </w:t>
      </w:r>
      <w:proofErr w:type="gramStart"/>
      <w:r w:rsidRPr="006B23AC">
        <w:rPr>
          <w:rStyle w:val="EndnoteTextChar"/>
        </w:rPr>
        <w:t>International Journal of Law and Psychiatry, 30, 444</w:t>
      </w:r>
      <w:r>
        <w:rPr>
          <w:rStyle w:val="EndnoteTextChar"/>
        </w:rPr>
        <w:noBreakHyphen/>
      </w:r>
      <w:r w:rsidRPr="006B23AC">
        <w:rPr>
          <w:rStyle w:val="EndnoteTextChar"/>
        </w:rPr>
        <w:t>457.</w:t>
      </w:r>
      <w:proofErr w:type="gramEnd"/>
    </w:p>
  </w:endnote>
  <w:endnote w:id="19">
    <w:p w14:paraId="1B4CFDBA" w14:textId="77777777"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Franche RL (2014). Innovative practices to improve recovery and return to work of workers: psychosocial factors at the front end and tail end of the claim. Australasian Compensation Health Research Forum November 19.</w:t>
      </w:r>
    </w:p>
  </w:endnote>
  <w:endnote w:id="20">
    <w:p w14:paraId="73AE7C0B" w14:textId="75E63BCD"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 xml:space="preserve">Loisel P (2005). </w:t>
      </w:r>
      <w:proofErr w:type="gramStart"/>
      <w:r w:rsidRPr="006B23AC">
        <w:rPr>
          <w:rStyle w:val="EndnoteTextChar"/>
        </w:rPr>
        <w:t>Interventions for return to work.</w:t>
      </w:r>
      <w:proofErr w:type="gramEnd"/>
      <w:r w:rsidRPr="006B23AC">
        <w:rPr>
          <w:rStyle w:val="EndnoteTextChar"/>
        </w:rPr>
        <w:t xml:space="preserve"> What is really effective? </w:t>
      </w:r>
      <w:proofErr w:type="gramStart"/>
      <w:r w:rsidRPr="006B23AC">
        <w:rPr>
          <w:rStyle w:val="EndnoteTextChar"/>
        </w:rPr>
        <w:t>Scandinavian Journal of Work, Environment and Health, 31, 245</w:t>
      </w:r>
      <w:r>
        <w:rPr>
          <w:rStyle w:val="EndnoteTextChar"/>
        </w:rPr>
        <w:noBreakHyphen/>
      </w:r>
      <w:r w:rsidRPr="006B23AC">
        <w:rPr>
          <w:rStyle w:val="EndnoteTextChar"/>
        </w:rPr>
        <w:t>247.</w:t>
      </w:r>
      <w:proofErr w:type="gramEnd"/>
    </w:p>
  </w:endnote>
  <w:endnote w:id="21">
    <w:p w14:paraId="07D9AA09"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OECD (2015).</w:t>
      </w:r>
      <w:proofErr w:type="gramEnd"/>
      <w:r w:rsidRPr="006B23AC">
        <w:rPr>
          <w:rStyle w:val="EndnoteTextChar"/>
        </w:rPr>
        <w:t xml:space="preserve"> Fit Mind Fit Job: From evidence to practice in mental health and work, OECD Publishing, Paris.</w:t>
      </w:r>
    </w:p>
  </w:endnote>
  <w:endnote w:id="22">
    <w:p w14:paraId="445CCE4C"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AFOEM (2010).</w:t>
      </w:r>
      <w:proofErr w:type="gramEnd"/>
      <w:r w:rsidRPr="006B23AC">
        <w:rPr>
          <w:rStyle w:val="EndnoteTextChar"/>
        </w:rPr>
        <w:t xml:space="preserve"> </w:t>
      </w:r>
      <w:proofErr w:type="gramStart"/>
      <w:r w:rsidRPr="006B23AC">
        <w:rPr>
          <w:rStyle w:val="EndnoteTextChar"/>
        </w:rPr>
        <w:t>Policy on preventing work disability.</w:t>
      </w:r>
      <w:proofErr w:type="gramEnd"/>
      <w:r w:rsidRPr="006B23AC">
        <w:rPr>
          <w:rStyle w:val="EndnoteTextChar"/>
        </w:rPr>
        <w:t xml:space="preserve"> Healing people return to work; </w:t>
      </w:r>
      <w:proofErr w:type="gramStart"/>
      <w:r w:rsidRPr="006B23AC">
        <w:rPr>
          <w:rStyle w:val="EndnoteTextChar"/>
        </w:rPr>
        <w:t>Using</w:t>
      </w:r>
      <w:proofErr w:type="gramEnd"/>
      <w:r w:rsidRPr="006B23AC">
        <w:rPr>
          <w:rStyle w:val="EndnoteTextChar"/>
        </w:rPr>
        <w:t xml:space="preserve"> evidence for better outcomes. </w:t>
      </w:r>
      <w:proofErr w:type="gramStart"/>
      <w:r w:rsidRPr="006B23AC">
        <w:rPr>
          <w:rStyle w:val="EndnoteTextChar"/>
        </w:rPr>
        <w:t>Australian Faculty of Occupational and Environmental Medicine.</w:t>
      </w:r>
      <w:proofErr w:type="gramEnd"/>
    </w:p>
  </w:endnote>
  <w:endnote w:id="23">
    <w:p w14:paraId="376307D6" w14:textId="43835E2C"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Paul KI &amp; Moser K (2009).</w:t>
      </w:r>
      <w:proofErr w:type="gramEnd"/>
      <w:r w:rsidRPr="006B23AC">
        <w:rPr>
          <w:rStyle w:val="EndnoteTextChar"/>
        </w:rPr>
        <w:t xml:space="preserve"> </w:t>
      </w:r>
      <w:proofErr w:type="gramStart"/>
      <w:r w:rsidRPr="006B23AC">
        <w:rPr>
          <w:rStyle w:val="EndnoteTextChar"/>
        </w:rPr>
        <w:t>Unemployment and mental health.</w:t>
      </w:r>
      <w:proofErr w:type="gramEnd"/>
      <w:r w:rsidRPr="006B23AC">
        <w:rPr>
          <w:rStyle w:val="EndnoteTextChar"/>
        </w:rPr>
        <w:t xml:space="preserve"> </w:t>
      </w:r>
      <w:proofErr w:type="gramStart"/>
      <w:r w:rsidRPr="006B23AC">
        <w:rPr>
          <w:rStyle w:val="EndnoteTextChar"/>
        </w:rPr>
        <w:t>Journal of Vocational Behaviour, 74(3), 264</w:t>
      </w:r>
      <w:r>
        <w:rPr>
          <w:rStyle w:val="EndnoteTextChar"/>
        </w:rPr>
        <w:noBreakHyphen/>
      </w:r>
      <w:r w:rsidRPr="006B23AC">
        <w:rPr>
          <w:rStyle w:val="EndnoteTextChar"/>
        </w:rPr>
        <w:t>282.</w:t>
      </w:r>
      <w:proofErr w:type="gramEnd"/>
    </w:p>
  </w:endnote>
  <w:endnote w:id="24">
    <w:p w14:paraId="6D30687E"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AFOEM (2012).</w:t>
      </w:r>
      <w:proofErr w:type="gramEnd"/>
      <w:r w:rsidRPr="006B23AC">
        <w:rPr>
          <w:rStyle w:val="EndnoteTextChar"/>
        </w:rPr>
        <w:t xml:space="preserve"> Consensus Statement: The Health Benefits of Work, Australian Faculty of Occupational and Environmental Medicine</w:t>
      </w:r>
    </w:p>
  </w:endnote>
  <w:endnote w:id="25">
    <w:p w14:paraId="75259C1C" w14:textId="77777777"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Cotton P (2014). Workplace psychological health and wellbeing: An overview of key trends. InPsych, Australian Psychological Society, December, 2014.</w:t>
      </w:r>
    </w:p>
  </w:endnote>
  <w:endnote w:id="26">
    <w:p w14:paraId="3EE2E56B" w14:textId="77777777"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Franche RL (2014) Innovative practices to improve recovery and return to work of workers: psychosocial factors at the front end and tail end of the claim. Australasian Compensation Health Research Forum November 19.</w:t>
      </w:r>
    </w:p>
  </w:endnote>
  <w:endnote w:id="27">
    <w:p w14:paraId="21880E78"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Sullivan MJL &amp; Hyman MH (2014).</w:t>
      </w:r>
      <w:proofErr w:type="gramEnd"/>
      <w:r w:rsidRPr="006B23AC">
        <w:rPr>
          <w:rStyle w:val="EndnoteTextChar"/>
        </w:rPr>
        <w:t xml:space="preserve"> Return to work as a treatment objective for patients with chronic pain? </w:t>
      </w:r>
      <w:proofErr w:type="gramStart"/>
      <w:r w:rsidRPr="006B23AC">
        <w:rPr>
          <w:rStyle w:val="EndnoteTextChar"/>
        </w:rPr>
        <w:t>Journal of Pain and Relief 3, 130.</w:t>
      </w:r>
      <w:proofErr w:type="gramEnd"/>
      <w:r w:rsidRPr="006B23AC">
        <w:rPr>
          <w:rStyle w:val="EndnoteTextChar"/>
        </w:rPr>
        <w:t xml:space="preserve"> Doi: 10.4172/2167-0846. 1000130. </w:t>
      </w:r>
    </w:p>
  </w:endnote>
  <w:endnote w:id="28">
    <w:p w14:paraId="7B9FC7D7" w14:textId="5DF00458"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Largerveld SE, Blonk RWB, Brenninkmerijer V, Wijngaards-de M &amp; Schaufeli WB (2012).</w:t>
      </w:r>
      <w:proofErr w:type="gramEnd"/>
      <w:r w:rsidRPr="006B23AC">
        <w:rPr>
          <w:rStyle w:val="EndnoteTextChar"/>
        </w:rPr>
        <w:t xml:space="preserve"> Work focused treatment of common mental disorders and return to work: A comparative outcome study. </w:t>
      </w:r>
      <w:proofErr w:type="gramStart"/>
      <w:r w:rsidRPr="006B23AC">
        <w:rPr>
          <w:rStyle w:val="EndnoteTextChar"/>
        </w:rPr>
        <w:t>Journal of Occupational Health Psychology, 17(2), 220</w:t>
      </w:r>
      <w:r>
        <w:rPr>
          <w:rStyle w:val="EndnoteTextChar"/>
        </w:rPr>
        <w:noBreakHyphen/>
      </w:r>
      <w:r w:rsidRPr="006B23AC">
        <w:rPr>
          <w:rStyle w:val="EndnoteTextChar"/>
        </w:rPr>
        <w:t>234.</w:t>
      </w:r>
      <w:proofErr w:type="gramEnd"/>
      <w:r w:rsidRPr="006B23AC">
        <w:rPr>
          <w:rStyle w:val="EndnoteTextChar"/>
        </w:rPr>
        <w:t xml:space="preserve"> </w:t>
      </w:r>
    </w:p>
  </w:endnote>
  <w:endnote w:id="29">
    <w:p w14:paraId="3BC2706D" w14:textId="07DB498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Largerveld SE, Blonk RWB, Brenninkmerijer V, Wijngaards-de M &amp; Schaufeli WB (2012).</w:t>
      </w:r>
      <w:proofErr w:type="gramEnd"/>
      <w:r w:rsidRPr="006B23AC">
        <w:rPr>
          <w:rStyle w:val="EndnoteTextChar"/>
        </w:rPr>
        <w:t xml:space="preserve"> Work focused treatment of common mental disorders and return to work: A comparative outcome study. </w:t>
      </w:r>
      <w:proofErr w:type="gramStart"/>
      <w:r w:rsidRPr="006B23AC">
        <w:rPr>
          <w:rStyle w:val="EndnoteTextChar"/>
        </w:rPr>
        <w:t>Journal of Occupational Health Psychology, 17(2), 220</w:t>
      </w:r>
      <w:r>
        <w:rPr>
          <w:rStyle w:val="EndnoteTextChar"/>
        </w:rPr>
        <w:noBreakHyphen/>
      </w:r>
      <w:r w:rsidRPr="006B23AC">
        <w:rPr>
          <w:rStyle w:val="EndnoteTextChar"/>
        </w:rPr>
        <w:t>234.</w:t>
      </w:r>
      <w:proofErr w:type="gramEnd"/>
      <w:r w:rsidRPr="006B23AC">
        <w:rPr>
          <w:rStyle w:val="EndnoteTextChar"/>
        </w:rPr>
        <w:t xml:space="preserve"> </w:t>
      </w:r>
    </w:p>
  </w:endnote>
  <w:endnote w:id="30">
    <w:p w14:paraId="2D5FE00A" w14:textId="77777777" w:rsidR="007C3492" w:rsidRPr="003A488D" w:rsidRDefault="007C3492" w:rsidP="00E83B7F">
      <w:pPr>
        <w:spacing w:before="120"/>
        <w:rPr>
          <w:rStyle w:val="EndnoteTextChar"/>
        </w:rPr>
      </w:pPr>
      <w:r w:rsidRPr="006B23AC">
        <w:rPr>
          <w:rStyle w:val="EndnoteReference"/>
        </w:rPr>
        <w:endnoteRef/>
      </w:r>
      <w:r w:rsidRPr="004F1AAD">
        <w:t xml:space="preserve"> </w:t>
      </w:r>
      <w:proofErr w:type="gramStart"/>
      <w:r w:rsidRPr="003A488D">
        <w:rPr>
          <w:rStyle w:val="EndnoteTextChar"/>
        </w:rPr>
        <w:t>Orygen Youth Health (2014).</w:t>
      </w:r>
      <w:proofErr w:type="gramEnd"/>
      <w:r w:rsidRPr="003A488D">
        <w:rPr>
          <w:rStyle w:val="EndnoteTextChar"/>
        </w:rPr>
        <w:t xml:space="preserve"> Tell them they’re dreaming: Work, education and young people with mental illness in Australia. Orygen Youth Health Research Centre.</w:t>
      </w:r>
    </w:p>
  </w:endnote>
  <w:endnote w:id="31">
    <w:p w14:paraId="52229C53"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Orygen Youth Health (2011).</w:t>
      </w:r>
      <w:proofErr w:type="gramEnd"/>
      <w:r w:rsidRPr="006B23AC">
        <w:rPr>
          <w:rStyle w:val="EndnoteTextChar"/>
        </w:rPr>
        <w:t xml:space="preserve"> Helping employees successfully return to work following depression, anxiety or a related mental health problem: Guidelines for organisations. Orygen Youth Health Research Centre, Centre for Youth Mental Health, University of Melbourne.</w:t>
      </w:r>
    </w:p>
  </w:endnote>
  <w:endnote w:id="32">
    <w:p w14:paraId="14D3FAF1" w14:textId="31F46935"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Huang Y, Pransky GS, Shaw WS, Benjamin KL &amp; Savageau JA (2006).</w:t>
      </w:r>
      <w:proofErr w:type="gramEnd"/>
      <w:r w:rsidRPr="006B23AC">
        <w:rPr>
          <w:rStyle w:val="EndnoteTextChar"/>
        </w:rPr>
        <w:t xml:space="preserve"> </w:t>
      </w:r>
      <w:proofErr w:type="gramStart"/>
      <w:r w:rsidRPr="006B23AC">
        <w:rPr>
          <w:rStyle w:val="EndnoteTextChar"/>
        </w:rPr>
        <w:t>Factors affecting the organisational responses of employers to workers with injuries.</w:t>
      </w:r>
      <w:proofErr w:type="gramEnd"/>
      <w:r w:rsidRPr="006B23AC">
        <w:rPr>
          <w:rStyle w:val="EndnoteTextChar"/>
        </w:rPr>
        <w:t xml:space="preserve"> </w:t>
      </w:r>
      <w:proofErr w:type="gramStart"/>
      <w:r w:rsidRPr="006B23AC">
        <w:rPr>
          <w:rStyle w:val="EndnoteTextChar"/>
        </w:rPr>
        <w:t>Work, 26, 75</w:t>
      </w:r>
      <w:r>
        <w:rPr>
          <w:rStyle w:val="EndnoteTextChar"/>
        </w:rPr>
        <w:noBreakHyphen/>
      </w:r>
      <w:r w:rsidRPr="006B23AC">
        <w:rPr>
          <w:rStyle w:val="EndnoteTextChar"/>
        </w:rPr>
        <w:t>84.</w:t>
      </w:r>
      <w:proofErr w:type="gramEnd"/>
    </w:p>
  </w:endnote>
  <w:endnote w:id="33">
    <w:p w14:paraId="73CC7DF8" w14:textId="29D8A12E" w:rsidR="007C3492" w:rsidRPr="006B23AC" w:rsidRDefault="007C3492" w:rsidP="008F5F12">
      <w:pPr>
        <w:spacing w:before="120"/>
        <w:rPr>
          <w:rStyle w:val="EndnoteTextChar"/>
        </w:rPr>
      </w:pPr>
      <w:r w:rsidRPr="006B23AC">
        <w:rPr>
          <w:rStyle w:val="EndnoteReference"/>
        </w:rPr>
        <w:endnoteRef/>
      </w:r>
      <w:r w:rsidRPr="004F1AAD">
        <w:t xml:space="preserve"> </w:t>
      </w:r>
      <w:proofErr w:type="gramStart"/>
      <w:r w:rsidRPr="006B23AC">
        <w:rPr>
          <w:rStyle w:val="EndnoteTextChar"/>
        </w:rPr>
        <w:t>Eisenberger R &amp; Stinglhamber F (2011).</w:t>
      </w:r>
      <w:proofErr w:type="gramEnd"/>
      <w:r w:rsidRPr="006B23AC">
        <w:rPr>
          <w:rStyle w:val="EndnoteTextChar"/>
        </w:rPr>
        <w:t xml:space="preserve"> </w:t>
      </w:r>
      <w:proofErr w:type="gramStart"/>
      <w:r w:rsidRPr="006B23AC">
        <w:rPr>
          <w:rStyle w:val="EndnoteTextChar"/>
        </w:rPr>
        <w:t>Perceived Organisational Support.</w:t>
      </w:r>
      <w:proofErr w:type="gramEnd"/>
      <w:r w:rsidRPr="006B23AC">
        <w:rPr>
          <w:rStyle w:val="EndnoteTextChar"/>
        </w:rPr>
        <w:t xml:space="preserve"> </w:t>
      </w:r>
      <w:proofErr w:type="gramStart"/>
      <w:r w:rsidRPr="006B23AC">
        <w:rPr>
          <w:rStyle w:val="EndnoteTextChar"/>
        </w:rPr>
        <w:t>American Psychological Association Washington DC.</w:t>
      </w:r>
      <w:proofErr w:type="gramEnd"/>
    </w:p>
  </w:endnote>
  <w:endnote w:id="34">
    <w:p w14:paraId="19868417"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Eisenberger R &amp; Stinglhamber F (2011).</w:t>
      </w:r>
      <w:proofErr w:type="gramEnd"/>
      <w:r w:rsidRPr="006B23AC">
        <w:rPr>
          <w:rStyle w:val="EndnoteTextChar"/>
        </w:rPr>
        <w:t xml:space="preserve"> </w:t>
      </w:r>
      <w:proofErr w:type="gramStart"/>
      <w:r w:rsidRPr="006B23AC">
        <w:rPr>
          <w:rStyle w:val="EndnoteTextChar"/>
        </w:rPr>
        <w:t>Perceived Organisational Support.</w:t>
      </w:r>
      <w:proofErr w:type="gramEnd"/>
      <w:r w:rsidRPr="006B23AC">
        <w:rPr>
          <w:rStyle w:val="EndnoteTextChar"/>
        </w:rPr>
        <w:t xml:space="preserve"> </w:t>
      </w:r>
      <w:proofErr w:type="gramStart"/>
      <w:r w:rsidRPr="006B23AC">
        <w:rPr>
          <w:rStyle w:val="EndnoteTextChar"/>
        </w:rPr>
        <w:t>American Psychological Association Washington DC.</w:t>
      </w:r>
      <w:proofErr w:type="gramEnd"/>
      <w:r w:rsidRPr="006B23AC">
        <w:rPr>
          <w:rStyle w:val="EndnoteTextChar"/>
        </w:rPr>
        <w:t xml:space="preserve"> </w:t>
      </w:r>
    </w:p>
  </w:endnote>
  <w:endnote w:id="35">
    <w:p w14:paraId="588626F1" w14:textId="7C967FB9"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Dollard MF &amp; Bakker AB (2010).</w:t>
      </w:r>
      <w:proofErr w:type="gramEnd"/>
      <w:r w:rsidRPr="006B23AC">
        <w:rPr>
          <w:rStyle w:val="EndnoteTextChar"/>
        </w:rPr>
        <w:t xml:space="preserve"> </w:t>
      </w:r>
      <w:proofErr w:type="gramStart"/>
      <w:r w:rsidRPr="006B23AC">
        <w:rPr>
          <w:rStyle w:val="EndnoteTextChar"/>
        </w:rPr>
        <w:t>Psychosocial safety climate as a precursor to conducive work environments, psychological health problems and employee engagement.</w:t>
      </w:r>
      <w:proofErr w:type="gramEnd"/>
      <w:r w:rsidRPr="006B23AC">
        <w:rPr>
          <w:rStyle w:val="EndnoteTextChar"/>
        </w:rPr>
        <w:t xml:space="preserve"> </w:t>
      </w:r>
      <w:proofErr w:type="gramStart"/>
      <w:r w:rsidRPr="006B23AC">
        <w:rPr>
          <w:rStyle w:val="EndnoteTextChar"/>
        </w:rPr>
        <w:t>Journal of Occupational and Organisational Psychology, 83, 579</w:t>
      </w:r>
      <w:r>
        <w:rPr>
          <w:rStyle w:val="EndnoteTextChar"/>
        </w:rPr>
        <w:noBreakHyphen/>
      </w:r>
      <w:r w:rsidRPr="006B23AC">
        <w:rPr>
          <w:rStyle w:val="EndnoteTextChar"/>
        </w:rPr>
        <w:t>599.</w:t>
      </w:r>
      <w:proofErr w:type="gramEnd"/>
    </w:p>
  </w:endnote>
  <w:endnote w:id="36">
    <w:p w14:paraId="2D90DB6C" w14:textId="2BB0A5AB"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 xml:space="preserve">Law R, Dollard MF, Tuckey MR &amp; Dorman C (2011). </w:t>
      </w:r>
      <w:proofErr w:type="gramStart"/>
      <w:r w:rsidRPr="006B23AC">
        <w:rPr>
          <w:rStyle w:val="EndnoteTextChar"/>
        </w:rPr>
        <w:t>Psychosocial safety climate as a lead indicator of workplace bullying and harassment, job resources, psychological health and employee engagement.</w:t>
      </w:r>
      <w:proofErr w:type="gramEnd"/>
      <w:r w:rsidRPr="006B23AC">
        <w:rPr>
          <w:rStyle w:val="EndnoteTextChar"/>
        </w:rPr>
        <w:t xml:space="preserve"> </w:t>
      </w:r>
      <w:proofErr w:type="gramStart"/>
      <w:r w:rsidRPr="006B23AC">
        <w:rPr>
          <w:rStyle w:val="EndnoteTextChar"/>
        </w:rPr>
        <w:t>Accident Analysis and Prevention, 43, 1782</w:t>
      </w:r>
      <w:r>
        <w:rPr>
          <w:rStyle w:val="EndnoteTextChar"/>
        </w:rPr>
        <w:noBreakHyphen/>
      </w:r>
      <w:r w:rsidRPr="006B23AC">
        <w:rPr>
          <w:rStyle w:val="EndnoteTextChar"/>
        </w:rPr>
        <w:t>1793.</w:t>
      </w:r>
      <w:proofErr w:type="gramEnd"/>
    </w:p>
  </w:endnote>
  <w:endnote w:id="37">
    <w:p w14:paraId="16E0508C" w14:textId="5A419D77" w:rsidR="007C3492" w:rsidRDefault="007C3492">
      <w:pPr>
        <w:pStyle w:val="EndnoteText"/>
      </w:pPr>
      <w:r>
        <w:rPr>
          <w:rStyle w:val="EndnoteReference"/>
        </w:rPr>
        <w:endnoteRef/>
      </w:r>
      <w:r>
        <w:t xml:space="preserve"> </w:t>
      </w:r>
      <w:proofErr w:type="gramStart"/>
      <w:r w:rsidR="00D460BA" w:rsidRPr="00D460BA">
        <w:rPr>
          <w:rStyle w:val="EndnoteTextChar"/>
          <w:rFonts w:eastAsia="Times New Roman" w:cs="Times New Roman"/>
          <w:lang w:eastAsia="en-AU"/>
        </w:rPr>
        <w:t>Becher H &amp; Dollard M (2016).</w:t>
      </w:r>
      <w:proofErr w:type="gramEnd"/>
      <w:r w:rsidR="00D460BA" w:rsidRPr="00D460BA">
        <w:rPr>
          <w:rStyle w:val="EndnoteTextChar"/>
          <w:rFonts w:eastAsia="Times New Roman" w:cs="Times New Roman"/>
          <w:lang w:eastAsia="en-AU"/>
        </w:rPr>
        <w:t xml:space="preserve"> Psychosocial Safety Climate and Better Productivity in Australian Workplaces: Costs, Productivity, Presenteeism, Absenteeism.</w:t>
      </w:r>
      <w:r w:rsidR="00D460BA">
        <w:rPr>
          <w:rStyle w:val="EndnoteTextChar"/>
          <w:rFonts w:eastAsia="Times New Roman" w:cs="Times New Roman"/>
          <w:lang w:eastAsia="en-AU"/>
        </w:rPr>
        <w:t xml:space="preserve"> </w:t>
      </w:r>
      <w:proofErr w:type="gramStart"/>
      <w:r w:rsidR="00D460BA">
        <w:rPr>
          <w:rStyle w:val="EndnoteTextChar"/>
          <w:rFonts w:eastAsia="Times New Roman" w:cs="Times New Roman"/>
          <w:lang w:eastAsia="en-AU"/>
        </w:rPr>
        <w:t>Safe Work Australia.</w:t>
      </w:r>
      <w:proofErr w:type="gramEnd"/>
      <w:r w:rsidR="00D460BA">
        <w:rPr>
          <w:rStyle w:val="EndnoteTextChar"/>
          <w:rFonts w:eastAsia="Times New Roman" w:cs="Times New Roman"/>
          <w:lang w:eastAsia="en-AU"/>
        </w:rPr>
        <w:t xml:space="preserve"> </w:t>
      </w:r>
    </w:p>
  </w:endnote>
  <w:endnote w:id="38">
    <w:p w14:paraId="293E78FB" w14:textId="2FDC14EB" w:rsidR="007C3492" w:rsidRPr="004F1AAD" w:rsidRDefault="007C3492" w:rsidP="00E83B7F">
      <w:pPr>
        <w:spacing w:before="120"/>
        <w:rPr>
          <w:rFonts w:ascii="Calibri" w:hAnsi="Calibri"/>
        </w:rPr>
      </w:pPr>
      <w:r w:rsidRPr="006B23AC">
        <w:rPr>
          <w:rStyle w:val="EndnoteReference"/>
        </w:rPr>
        <w:endnoteRef/>
      </w:r>
      <w:r w:rsidRPr="004F1AAD">
        <w:t xml:space="preserve"> </w:t>
      </w:r>
      <w:proofErr w:type="gramStart"/>
      <w:r w:rsidRPr="006B23AC">
        <w:rPr>
          <w:rStyle w:val="EndnoteTextChar"/>
        </w:rPr>
        <w:t>National Mental Health Commission (2015).</w:t>
      </w:r>
      <w:proofErr w:type="gramEnd"/>
      <w:r w:rsidRPr="006B23AC">
        <w:rPr>
          <w:rStyle w:val="EndnoteTextChar"/>
        </w:rPr>
        <w:t xml:space="preserve"> </w:t>
      </w:r>
      <w:hyperlink r:id="rId1" w:tooltip="Link to the National Mental Health Commission website" w:history="1">
        <w:r w:rsidRPr="006B23AC">
          <w:rPr>
            <w:rStyle w:val="EndnoteTextChar"/>
          </w:rPr>
          <w:t>www.mentalhealthcommission.gov.au</w:t>
        </w:r>
      </w:hyperlink>
    </w:p>
  </w:endnote>
  <w:endnote w:id="39">
    <w:p w14:paraId="5CB3F83E"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PwC (2014).</w:t>
      </w:r>
      <w:proofErr w:type="gramEnd"/>
      <w:r w:rsidRPr="006B23AC">
        <w:rPr>
          <w:rStyle w:val="EndnoteTextChar"/>
        </w:rPr>
        <w:t xml:space="preserve"> Creating a mentally healthy workplace: Return on investment analysis. Price Waterhouse Cooper, March 2014</w:t>
      </w:r>
    </w:p>
  </w:endnote>
  <w:endnote w:id="40">
    <w:p w14:paraId="7F47522A" w14:textId="54726A08"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Beyondblue (2015).</w:t>
      </w:r>
      <w:proofErr w:type="gramEnd"/>
      <w:r w:rsidRPr="006B23AC">
        <w:rPr>
          <w:rStyle w:val="EndnoteTextChar"/>
        </w:rPr>
        <w:t xml:space="preserve"> </w:t>
      </w:r>
      <w:proofErr w:type="gramStart"/>
      <w:r w:rsidRPr="006B23AC">
        <w:rPr>
          <w:rStyle w:val="EndnoteTextChar"/>
        </w:rPr>
        <w:t>Heads Up.</w:t>
      </w:r>
      <w:proofErr w:type="gramEnd"/>
      <w:r w:rsidRPr="006B23AC">
        <w:rPr>
          <w:rStyle w:val="EndnoteTextChar"/>
        </w:rPr>
        <w:t xml:space="preserve"> </w:t>
      </w:r>
      <w:hyperlink r:id="rId2" w:tooltip="Link to the Heads Up website" w:history="1">
        <w:r w:rsidRPr="006B23AC">
          <w:rPr>
            <w:rStyle w:val="EndnoteTextChar"/>
          </w:rPr>
          <w:t>www.headsup.org.au</w:t>
        </w:r>
      </w:hyperlink>
      <w:r w:rsidRPr="006B23AC">
        <w:rPr>
          <w:rStyle w:val="EndnoteTextChar"/>
        </w:rPr>
        <w:t xml:space="preserve"> downloaded: 2 September 2015. </w:t>
      </w:r>
    </w:p>
  </w:endnote>
  <w:endnote w:id="41">
    <w:p w14:paraId="6E2807D2" w14:textId="2D6506CE"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e.g</w:t>
      </w:r>
      <w:proofErr w:type="gramEnd"/>
      <w:r w:rsidRPr="006B23AC">
        <w:rPr>
          <w:rStyle w:val="EndnoteTextChar"/>
        </w:rPr>
        <w:t xml:space="preserve">. SuperFriend (2015). </w:t>
      </w:r>
      <w:proofErr w:type="gramStart"/>
      <w:r w:rsidRPr="006B23AC">
        <w:rPr>
          <w:rStyle w:val="EndnoteTextChar"/>
        </w:rPr>
        <w:t>Promoting positive mental health in the workplace: Guidelines for</w:t>
      </w:r>
      <w:r>
        <w:rPr>
          <w:rStyle w:val="EndnoteTextChar"/>
        </w:rPr>
        <w:t> </w:t>
      </w:r>
      <w:r w:rsidRPr="006B23AC">
        <w:rPr>
          <w:rStyle w:val="EndnoteTextChar"/>
        </w:rPr>
        <w:t>organisations.</w:t>
      </w:r>
      <w:proofErr w:type="gramEnd"/>
      <w:r w:rsidRPr="006B23AC">
        <w:rPr>
          <w:rStyle w:val="EndnoteTextChar"/>
        </w:rPr>
        <w:t xml:space="preserve"> </w:t>
      </w:r>
    </w:p>
  </w:endnote>
  <w:endnote w:id="42">
    <w:p w14:paraId="10C0F928" w14:textId="48BFF98F"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SuperFriend (2015).</w:t>
      </w:r>
      <w:proofErr w:type="gramEnd"/>
      <w:r w:rsidRPr="006B23AC">
        <w:rPr>
          <w:rStyle w:val="EndnoteTextChar"/>
        </w:rPr>
        <w:t xml:space="preserve"> </w:t>
      </w:r>
      <w:proofErr w:type="gramStart"/>
      <w:r w:rsidRPr="006B23AC">
        <w:rPr>
          <w:rStyle w:val="EndnoteTextChar"/>
        </w:rPr>
        <w:t>Promoting positive mental health in the workplace: Guidelines for</w:t>
      </w:r>
      <w:r>
        <w:rPr>
          <w:rStyle w:val="EndnoteTextChar"/>
        </w:rPr>
        <w:t> </w:t>
      </w:r>
      <w:r w:rsidRPr="006B23AC">
        <w:rPr>
          <w:rStyle w:val="EndnoteTextChar"/>
        </w:rPr>
        <w:t>organisations.</w:t>
      </w:r>
      <w:proofErr w:type="gramEnd"/>
    </w:p>
  </w:endnote>
  <w:endnote w:id="43">
    <w:p w14:paraId="56231C5E" w14:textId="6D3D52E8"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 xml:space="preserve">Page KM, Fricke H &amp; LaMontagne T (2015). The leaders guide to work-related stress. In RJ Burke, KM Page &amp; CL Cooper (Eds), </w:t>
      </w:r>
      <w:proofErr w:type="gramStart"/>
      <w:r w:rsidRPr="006B23AC">
        <w:rPr>
          <w:rStyle w:val="EndnoteTextChar"/>
        </w:rPr>
        <w:t>Flourishing</w:t>
      </w:r>
      <w:proofErr w:type="gramEnd"/>
      <w:r w:rsidRPr="006B23AC">
        <w:rPr>
          <w:rStyle w:val="EndnoteTextChar"/>
        </w:rPr>
        <w:t xml:space="preserve"> in life, work and careers. Cheltenham UK: Edgar</w:t>
      </w:r>
      <w:r>
        <w:rPr>
          <w:rStyle w:val="EndnoteTextChar"/>
        </w:rPr>
        <w:t> </w:t>
      </w:r>
      <w:r w:rsidRPr="006B23AC">
        <w:rPr>
          <w:rStyle w:val="EndnoteTextChar"/>
        </w:rPr>
        <w:t>Elgar.</w:t>
      </w:r>
    </w:p>
  </w:endnote>
  <w:endnote w:id="44">
    <w:p w14:paraId="1C041BC4" w14:textId="77777777"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 xml:space="preserve">Hart PM, Cotton P &amp; Scollay CE (2015). </w:t>
      </w:r>
      <w:proofErr w:type="gramStart"/>
      <w:r w:rsidRPr="006B23AC">
        <w:rPr>
          <w:rStyle w:val="EndnoteTextChar"/>
        </w:rPr>
        <w:t>Flourishing at work: Improving wellbeing and engagement.</w:t>
      </w:r>
      <w:proofErr w:type="gramEnd"/>
      <w:r w:rsidRPr="006B23AC">
        <w:rPr>
          <w:rStyle w:val="EndnoteTextChar"/>
        </w:rPr>
        <w:t xml:space="preserve"> In Burke RJ, Page KM &amp; Cooper CL (Eds) Flourishing in Life, Work and Careers. Cheltenham UK: Edgar Elgar. </w:t>
      </w:r>
    </w:p>
  </w:endnote>
  <w:endnote w:id="45">
    <w:p w14:paraId="64A9EAF8"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Flint-Taylor J &amp; Davda A (2015).</w:t>
      </w:r>
      <w:proofErr w:type="gramEnd"/>
      <w:r w:rsidRPr="006B23AC">
        <w:rPr>
          <w:rStyle w:val="EndnoteTextChar"/>
        </w:rPr>
        <w:t xml:space="preserve"> </w:t>
      </w:r>
      <w:proofErr w:type="gramStart"/>
      <w:r w:rsidRPr="006B23AC">
        <w:rPr>
          <w:rStyle w:val="EndnoteTextChar"/>
        </w:rPr>
        <w:t>Understanding and developing personal resilience.</w:t>
      </w:r>
      <w:proofErr w:type="gramEnd"/>
      <w:r w:rsidRPr="006B23AC">
        <w:rPr>
          <w:rStyle w:val="EndnoteTextChar"/>
        </w:rPr>
        <w:t xml:space="preserve"> In Burke RJ, Page KM &amp; Cooper CL (Eds) Flourishing in Life, Work and Careers. Cheltenham UK: Edgar Elgar.</w:t>
      </w:r>
    </w:p>
  </w:endnote>
  <w:endnote w:id="46">
    <w:p w14:paraId="65A811D8" w14:textId="77777777"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 xml:space="preserve">Odgers P (2013). </w:t>
      </w:r>
      <w:proofErr w:type="gramStart"/>
      <w:r w:rsidRPr="006B23AC">
        <w:rPr>
          <w:rStyle w:val="EndnoteTextChar"/>
        </w:rPr>
        <w:t>The role of resilience in workers compensation.</w:t>
      </w:r>
      <w:proofErr w:type="gramEnd"/>
      <w:r w:rsidRPr="006B23AC">
        <w:rPr>
          <w:rStyle w:val="EndnoteTextChar"/>
        </w:rPr>
        <w:t xml:space="preserve"> </w:t>
      </w:r>
      <w:proofErr w:type="gramStart"/>
      <w:r w:rsidRPr="006B23AC">
        <w:rPr>
          <w:rStyle w:val="EndnoteTextChar"/>
        </w:rPr>
        <w:t>Comcare.</w:t>
      </w:r>
      <w:proofErr w:type="gramEnd"/>
      <w:r w:rsidRPr="006B23AC">
        <w:rPr>
          <w:rStyle w:val="EndnoteTextChar"/>
        </w:rPr>
        <w:t xml:space="preserve"> </w:t>
      </w:r>
      <w:proofErr w:type="gramStart"/>
      <w:r w:rsidRPr="006B23AC">
        <w:rPr>
          <w:rStyle w:val="EndnoteTextChar"/>
        </w:rPr>
        <w:t>Australasian Compensation Health Research Forum.</w:t>
      </w:r>
      <w:proofErr w:type="gramEnd"/>
      <w:r w:rsidRPr="006B23AC">
        <w:rPr>
          <w:rStyle w:val="EndnoteTextChar"/>
        </w:rPr>
        <w:t xml:space="preserve"> October, 2013.</w:t>
      </w:r>
    </w:p>
  </w:endnote>
  <w:endnote w:id="47">
    <w:p w14:paraId="7BC17EEE" w14:textId="77777777"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 xml:space="preserve">Jimmieson NL, Tucker MK &amp; Bordia P (2014). People at work project: Interim report to partner organisations. </w:t>
      </w:r>
      <w:proofErr w:type="gramStart"/>
      <w:r w:rsidRPr="006B23AC">
        <w:rPr>
          <w:rStyle w:val="EndnoteTextChar"/>
        </w:rPr>
        <w:t>University of Queensland.</w:t>
      </w:r>
      <w:proofErr w:type="gramEnd"/>
      <w:r w:rsidRPr="006B23AC">
        <w:rPr>
          <w:rStyle w:val="EndnoteTextChar"/>
        </w:rPr>
        <w:t xml:space="preserve"> </w:t>
      </w:r>
    </w:p>
  </w:endnote>
  <w:endnote w:id="48">
    <w:p w14:paraId="492F6D24" w14:textId="3702F2BB"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Balducci C, Fraccaroli F &amp; Schaufeli WB (2012).</w:t>
      </w:r>
      <w:proofErr w:type="gramEnd"/>
      <w:r w:rsidRPr="006B23AC">
        <w:rPr>
          <w:rStyle w:val="EndnoteTextChar"/>
        </w:rPr>
        <w:t xml:space="preserve"> Workplace bullying and its relation with work characteristics, personality and posttraumatic stress symptoms: An integrated model. </w:t>
      </w:r>
      <w:proofErr w:type="gramStart"/>
      <w:r w:rsidRPr="006B23AC">
        <w:rPr>
          <w:rStyle w:val="EndnoteTextChar"/>
        </w:rPr>
        <w:t>Anxiety, Stress and Coping, 24(5), 499</w:t>
      </w:r>
      <w:r>
        <w:rPr>
          <w:rStyle w:val="EndnoteTextChar"/>
        </w:rPr>
        <w:noBreakHyphen/>
      </w:r>
      <w:r w:rsidRPr="006B23AC">
        <w:rPr>
          <w:rStyle w:val="EndnoteTextChar"/>
        </w:rPr>
        <w:t>513.</w:t>
      </w:r>
      <w:proofErr w:type="gramEnd"/>
    </w:p>
  </w:endnote>
  <w:endnote w:id="49">
    <w:p w14:paraId="3B7AE182"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Safe Work Australia (2014).</w:t>
      </w:r>
      <w:proofErr w:type="gramEnd"/>
      <w:r w:rsidRPr="006B23AC">
        <w:rPr>
          <w:rStyle w:val="EndnoteTextChar"/>
        </w:rPr>
        <w:t xml:space="preserve"> </w:t>
      </w:r>
      <w:proofErr w:type="gramStart"/>
      <w:r w:rsidRPr="006B23AC">
        <w:rPr>
          <w:rStyle w:val="EndnoteTextChar"/>
        </w:rPr>
        <w:t>Preventing psychological injury under workplace health and safety laws, May 2014.</w:t>
      </w:r>
      <w:proofErr w:type="gramEnd"/>
    </w:p>
  </w:endnote>
  <w:endnote w:id="50">
    <w:p w14:paraId="742A137D" w14:textId="77777777"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Franche RL (2014). Innovative practices to improve recovery and return to work of workers: psychosocial factors at the front end and tail end of the claim. Australasian Compensation Health Research Forum November 19.</w:t>
      </w:r>
    </w:p>
  </w:endnote>
  <w:endnote w:id="51">
    <w:p w14:paraId="0D3A8565" w14:textId="77777777"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Franche RL (2014). Innovative practices to improve recovery and return to work of workers: psychosocial factors at the front end and tail end of the claim. Australasian Compensation Health Research Forum November 19.</w:t>
      </w:r>
    </w:p>
  </w:endnote>
  <w:endnote w:id="52">
    <w:p w14:paraId="191C2539"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Comcare (2013).</w:t>
      </w:r>
      <w:proofErr w:type="gramEnd"/>
      <w:r w:rsidRPr="006B23AC">
        <w:rPr>
          <w:rStyle w:val="EndnoteTextChar"/>
        </w:rPr>
        <w:t xml:space="preserve"> A qualitative research report: Failed return to work, delays in claiming and long duration claims. Sweeney Research. Ref: No. 22706/22707, Comcare, June 2013. </w:t>
      </w:r>
    </w:p>
  </w:endnote>
  <w:endnote w:id="53">
    <w:p w14:paraId="67CCB1A7"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Orygen Youth Health (2011).</w:t>
      </w:r>
      <w:proofErr w:type="gramEnd"/>
      <w:r w:rsidRPr="006B23AC">
        <w:rPr>
          <w:rStyle w:val="EndnoteTextChar"/>
        </w:rPr>
        <w:t xml:space="preserve"> Helping employees successfully return to work following depression, anxiety or a related mental health problem: Guidelines for organisations. Orygen Youth Health Research Centre, Centre for Youth Mental Health, University of Melbourne.</w:t>
      </w:r>
    </w:p>
  </w:endnote>
  <w:endnote w:id="54">
    <w:p w14:paraId="32C84B7B"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Comcare, (2013).</w:t>
      </w:r>
      <w:proofErr w:type="gramEnd"/>
      <w:r w:rsidRPr="006B23AC">
        <w:rPr>
          <w:rStyle w:val="EndnoteTextChar"/>
        </w:rPr>
        <w:t xml:space="preserve"> A qualitative research report: Failed return to work, delays in claiming and long duration claims. Sweeney Research. Ref: No. 22706/22707, Comcare, June 2013. </w:t>
      </w:r>
    </w:p>
  </w:endnote>
  <w:endnote w:id="55">
    <w:p w14:paraId="4904722B" w14:textId="091F77E8"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 xml:space="preserve">Gilbreath &amp; Benson PG (2004). </w:t>
      </w:r>
      <w:proofErr w:type="gramStart"/>
      <w:r w:rsidRPr="006B23AC">
        <w:rPr>
          <w:rStyle w:val="EndnoteTextChar"/>
        </w:rPr>
        <w:t>The contribution of supervisor behaviour to employee psychological wellbeing.</w:t>
      </w:r>
      <w:proofErr w:type="gramEnd"/>
      <w:r w:rsidRPr="006B23AC">
        <w:rPr>
          <w:rStyle w:val="EndnoteTextChar"/>
        </w:rPr>
        <w:t xml:space="preserve"> </w:t>
      </w:r>
      <w:proofErr w:type="gramStart"/>
      <w:r w:rsidRPr="006B23AC">
        <w:rPr>
          <w:rStyle w:val="EndnoteTextChar"/>
        </w:rPr>
        <w:t>Work and Stress, 18(3), 255</w:t>
      </w:r>
      <w:r>
        <w:rPr>
          <w:rStyle w:val="EndnoteTextChar"/>
        </w:rPr>
        <w:noBreakHyphen/>
      </w:r>
      <w:r w:rsidRPr="006B23AC">
        <w:rPr>
          <w:rStyle w:val="EndnoteTextChar"/>
        </w:rPr>
        <w:t>266.</w:t>
      </w:r>
      <w:proofErr w:type="gramEnd"/>
    </w:p>
  </w:endnote>
  <w:endnote w:id="56">
    <w:p w14:paraId="4A9CB636" w14:textId="7D1DC958"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 xml:space="preserve">Hepburn CG, Kelloway EK &amp; Franche RL (2010) </w:t>
      </w:r>
      <w:proofErr w:type="gramStart"/>
      <w:r w:rsidRPr="006B23AC">
        <w:rPr>
          <w:rStyle w:val="EndnoteTextChar"/>
        </w:rPr>
        <w:t>Early</w:t>
      </w:r>
      <w:proofErr w:type="gramEnd"/>
      <w:r w:rsidRPr="006B23AC">
        <w:rPr>
          <w:rStyle w:val="EndnoteTextChar"/>
        </w:rPr>
        <w:t xml:space="preserve"> employer response to workplace injury: What injured workers perceive as fair and why these perceptions matter. </w:t>
      </w:r>
      <w:proofErr w:type="gramStart"/>
      <w:r w:rsidRPr="006B23AC">
        <w:rPr>
          <w:rStyle w:val="EndnoteTextChar"/>
        </w:rPr>
        <w:t>Journal of Occupational Health Psychology, 15(4), 409</w:t>
      </w:r>
      <w:r>
        <w:rPr>
          <w:rStyle w:val="EndnoteTextChar"/>
        </w:rPr>
        <w:noBreakHyphen/>
      </w:r>
      <w:r w:rsidRPr="006B23AC">
        <w:rPr>
          <w:rStyle w:val="EndnoteTextChar"/>
        </w:rPr>
        <w:t>420.</w:t>
      </w:r>
      <w:proofErr w:type="gramEnd"/>
      <w:r w:rsidRPr="006B23AC">
        <w:rPr>
          <w:rStyle w:val="EndnoteTextChar"/>
        </w:rPr>
        <w:t xml:space="preserve"> </w:t>
      </w:r>
    </w:p>
  </w:endnote>
  <w:endnote w:id="57">
    <w:p w14:paraId="7907003E" w14:textId="5D50E7BF" w:rsidR="007C3492" w:rsidRPr="006B23AC" w:rsidRDefault="007C3492" w:rsidP="00E83B7F">
      <w:pPr>
        <w:pStyle w:val="EndnoteText"/>
        <w:spacing w:before="120"/>
      </w:pPr>
      <w:r w:rsidRPr="006B23AC">
        <w:rPr>
          <w:rStyle w:val="EndnoteReference"/>
        </w:rPr>
        <w:endnoteRef/>
      </w:r>
      <w:r w:rsidRPr="004F1AAD">
        <w:t xml:space="preserve"> </w:t>
      </w:r>
      <w:proofErr w:type="gramStart"/>
      <w:r w:rsidRPr="006B23AC">
        <w:t>Shaw WS, Robertson MM, McLellan RK, Verma S &amp; Pransky G (2006).</w:t>
      </w:r>
      <w:proofErr w:type="gramEnd"/>
      <w:r w:rsidRPr="006B23AC">
        <w:t xml:space="preserve"> </w:t>
      </w:r>
      <w:proofErr w:type="gramStart"/>
      <w:r w:rsidRPr="006B23AC">
        <w:t>A controlled case study of supervisor training to optimize response to injury in the food processing industry.</w:t>
      </w:r>
      <w:proofErr w:type="gramEnd"/>
      <w:r w:rsidRPr="006B23AC">
        <w:t xml:space="preserve"> Work, 26, 107</w:t>
      </w:r>
      <w:r>
        <w:noBreakHyphen/>
      </w:r>
      <w:r w:rsidRPr="006B23AC">
        <w:t>14</w:t>
      </w:r>
    </w:p>
  </w:endnote>
  <w:endnote w:id="58">
    <w:p w14:paraId="1CA1476E" w14:textId="77777777" w:rsidR="007C3492" w:rsidRPr="006B23AC" w:rsidRDefault="007C3492" w:rsidP="00E83B7F">
      <w:pPr>
        <w:pStyle w:val="EndnoteText"/>
        <w:spacing w:before="120"/>
      </w:pPr>
      <w:r w:rsidRPr="006B23AC">
        <w:rPr>
          <w:rStyle w:val="EndnoteReference"/>
        </w:rPr>
        <w:endnoteRef/>
      </w:r>
      <w:r w:rsidRPr="004F1AAD">
        <w:t xml:space="preserve"> </w:t>
      </w:r>
      <w:proofErr w:type="gramStart"/>
      <w:r w:rsidRPr="006B23AC">
        <w:t>Johnston V, Way K, Long MH, Wyatt M, Gibson L &amp; Shaw WS (2015).</w:t>
      </w:r>
      <w:proofErr w:type="gramEnd"/>
      <w:r w:rsidRPr="006B23AC">
        <w:t xml:space="preserve"> Supervisor competencies for supporting return to work: A mixed-methods study. </w:t>
      </w:r>
      <w:proofErr w:type="gramStart"/>
      <w:r w:rsidRPr="006B23AC">
        <w:t>Journal of Occupational Rehabilitation, 25.</w:t>
      </w:r>
      <w:proofErr w:type="gramEnd"/>
    </w:p>
  </w:endnote>
  <w:endnote w:id="59">
    <w:p w14:paraId="723E1901" w14:textId="77777777"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 xml:space="preserve">Hart PM &amp; Cotton P (2003). Conventional wisdom is often misleading: Exploring police stress within an organisational health framework. In M.F. Dollard, A.H. Winefield &amp; H.R. Winefield (Eds), Occupational Stress in the Service Professions. London: Taylor &amp; Francis. </w:t>
      </w:r>
    </w:p>
  </w:endnote>
  <w:endnote w:id="60">
    <w:p w14:paraId="53523798" w14:textId="2282AB06"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Huang Y, Pransky GS, Shaw WS, Benjamin KL &amp; Savageau JA (2006).</w:t>
      </w:r>
      <w:proofErr w:type="gramEnd"/>
      <w:r w:rsidRPr="006B23AC">
        <w:rPr>
          <w:rStyle w:val="EndnoteTextChar"/>
        </w:rPr>
        <w:t xml:space="preserve"> </w:t>
      </w:r>
      <w:proofErr w:type="gramStart"/>
      <w:r w:rsidRPr="006B23AC">
        <w:rPr>
          <w:rStyle w:val="EndnoteTextChar"/>
        </w:rPr>
        <w:t>Factors affecting the organisational responses of employers to workers with injuries.</w:t>
      </w:r>
      <w:proofErr w:type="gramEnd"/>
      <w:r w:rsidRPr="006B23AC">
        <w:rPr>
          <w:rStyle w:val="EndnoteTextChar"/>
        </w:rPr>
        <w:t xml:space="preserve"> </w:t>
      </w:r>
      <w:proofErr w:type="gramStart"/>
      <w:r w:rsidRPr="006B23AC">
        <w:rPr>
          <w:rStyle w:val="EndnoteTextChar"/>
        </w:rPr>
        <w:t>Work, 26, 75</w:t>
      </w:r>
      <w:r>
        <w:rPr>
          <w:rStyle w:val="EndnoteTextChar"/>
        </w:rPr>
        <w:noBreakHyphen/>
      </w:r>
      <w:r w:rsidRPr="006B23AC">
        <w:rPr>
          <w:rStyle w:val="EndnoteTextChar"/>
        </w:rPr>
        <w:t>84.</w:t>
      </w:r>
      <w:proofErr w:type="gramEnd"/>
    </w:p>
  </w:endnote>
  <w:endnote w:id="61">
    <w:p w14:paraId="142BA234" w14:textId="249E2040"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LaMontagne A, Keegel T, Louie AM &amp; Ostry A (2010).</w:t>
      </w:r>
      <w:proofErr w:type="gramEnd"/>
      <w:r w:rsidRPr="006B23AC">
        <w:rPr>
          <w:rStyle w:val="EndnoteTextChar"/>
        </w:rPr>
        <w:t xml:space="preserve"> Job stress as a preventable upstream determinant of common mental disorders: A review for practitioners and policy-makers. </w:t>
      </w:r>
      <w:proofErr w:type="gramStart"/>
      <w:r w:rsidRPr="006B23AC">
        <w:rPr>
          <w:rStyle w:val="EndnoteTextChar"/>
        </w:rPr>
        <w:t>Advances in Mental Health, 9(1), 17</w:t>
      </w:r>
      <w:r>
        <w:rPr>
          <w:rStyle w:val="EndnoteTextChar"/>
        </w:rPr>
        <w:noBreakHyphen/>
      </w:r>
      <w:r w:rsidRPr="006B23AC">
        <w:rPr>
          <w:rStyle w:val="EndnoteTextChar"/>
        </w:rPr>
        <w:t>35.</w:t>
      </w:r>
      <w:proofErr w:type="gramEnd"/>
      <w:r w:rsidRPr="006B23AC">
        <w:rPr>
          <w:rStyle w:val="EndnoteTextChar"/>
        </w:rPr>
        <w:t xml:space="preserve"> </w:t>
      </w:r>
    </w:p>
  </w:endnote>
  <w:endnote w:id="62">
    <w:p w14:paraId="68FA7284" w14:textId="46FFBD21"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 xml:space="preserve">Nieuwenhuijsen K, Noordik E, van Dijk FJ &amp; van der Klink JJ (2013). </w:t>
      </w:r>
      <w:proofErr w:type="gramStart"/>
      <w:r w:rsidRPr="006B23AC">
        <w:rPr>
          <w:rStyle w:val="EndnoteTextChar"/>
        </w:rPr>
        <w:t>Return to work perceptions and actual return to work in workers with common mental disorders.</w:t>
      </w:r>
      <w:proofErr w:type="gramEnd"/>
      <w:r w:rsidRPr="006B23AC">
        <w:rPr>
          <w:rStyle w:val="EndnoteTextChar"/>
        </w:rPr>
        <w:t xml:space="preserve"> </w:t>
      </w:r>
      <w:proofErr w:type="gramStart"/>
      <w:r w:rsidRPr="006B23AC">
        <w:rPr>
          <w:rStyle w:val="EndnoteTextChar"/>
        </w:rPr>
        <w:t>Journal of Occupational Rehabilitation, 23, 290</w:t>
      </w:r>
      <w:r>
        <w:rPr>
          <w:rStyle w:val="EndnoteTextChar"/>
        </w:rPr>
        <w:noBreakHyphen/>
      </w:r>
      <w:r w:rsidRPr="006B23AC">
        <w:rPr>
          <w:rStyle w:val="EndnoteTextChar"/>
        </w:rPr>
        <w:t>299.</w:t>
      </w:r>
      <w:proofErr w:type="gramEnd"/>
    </w:p>
  </w:endnote>
  <w:endnote w:id="63">
    <w:p w14:paraId="6B0812AF" w14:textId="77777777"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 xml:space="preserve">Hart PM &amp; Cotton P (2003). Conventional wisdom is often misleading: Exploring police stress within an organisational health framework. In M.F. Dollard, A.H. Winefield, &amp; H.R. Winefield (Eds), Occupational Stress in the Service Professions. London: Taylor &amp; Francis. </w:t>
      </w:r>
    </w:p>
  </w:endnote>
  <w:endnote w:id="64">
    <w:p w14:paraId="2FC1B085"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National Standard of Canada (2013).</w:t>
      </w:r>
      <w:proofErr w:type="gramEnd"/>
      <w:r w:rsidRPr="006B23AC">
        <w:rPr>
          <w:rStyle w:val="EndnoteTextChar"/>
        </w:rPr>
        <w:t xml:space="preserve"> Psychological health and safety in the workplace – prevention, promotion and guidance to staged implementation. </w:t>
      </w:r>
      <w:proofErr w:type="gramStart"/>
      <w:r w:rsidRPr="006B23AC">
        <w:rPr>
          <w:rStyle w:val="EndnoteTextChar"/>
        </w:rPr>
        <w:t>National Mental Health Commission CSD Group &amp; BNQ.</w:t>
      </w:r>
      <w:proofErr w:type="gramEnd"/>
      <w:r w:rsidRPr="006B23AC">
        <w:rPr>
          <w:rStyle w:val="EndnoteTextChar"/>
        </w:rPr>
        <w:t xml:space="preserve"> </w:t>
      </w:r>
    </w:p>
  </w:endnote>
  <w:endnote w:id="65">
    <w:p w14:paraId="349DBC34"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Tuckey, MR, Winwood C &amp; Dollard MF (2012).</w:t>
      </w:r>
      <w:proofErr w:type="gramEnd"/>
      <w:r w:rsidRPr="006B23AC">
        <w:rPr>
          <w:rStyle w:val="EndnoteTextChar"/>
        </w:rPr>
        <w:t xml:space="preserve"> </w:t>
      </w:r>
      <w:proofErr w:type="gramStart"/>
      <w:r w:rsidRPr="006B23AC">
        <w:rPr>
          <w:rStyle w:val="EndnoteTextChar"/>
        </w:rPr>
        <w:t>Psychosocial culture and pathways to psychological injury within policing.</w:t>
      </w:r>
      <w:proofErr w:type="gramEnd"/>
      <w:r w:rsidRPr="006B23AC">
        <w:rPr>
          <w:rStyle w:val="EndnoteTextChar"/>
        </w:rPr>
        <w:t xml:space="preserve"> Police Practice and Research, 13:3.</w:t>
      </w:r>
    </w:p>
  </w:endnote>
  <w:endnote w:id="66">
    <w:p w14:paraId="2249E139"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Safe Work Australia (2014).</w:t>
      </w:r>
      <w:proofErr w:type="gramEnd"/>
      <w:r w:rsidRPr="006B23AC">
        <w:rPr>
          <w:rStyle w:val="EndnoteTextChar"/>
        </w:rPr>
        <w:t xml:space="preserve"> </w:t>
      </w:r>
      <w:proofErr w:type="gramStart"/>
      <w:r w:rsidRPr="006B23AC">
        <w:rPr>
          <w:rStyle w:val="EndnoteTextChar"/>
        </w:rPr>
        <w:t>Preventing psychological injury under workplace health and safety laws, May 2014.</w:t>
      </w:r>
      <w:proofErr w:type="gramEnd"/>
    </w:p>
  </w:endnote>
  <w:endnote w:id="67">
    <w:p w14:paraId="07520261"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WorkSafe (2014).</w:t>
      </w:r>
      <w:proofErr w:type="gramEnd"/>
      <w:r w:rsidRPr="006B23AC">
        <w:rPr>
          <w:rStyle w:val="EndnoteTextChar"/>
        </w:rPr>
        <w:t xml:space="preserve"> A guide for employers: Preventing and responding to work-related violence. </w:t>
      </w:r>
      <w:proofErr w:type="gramStart"/>
      <w:r w:rsidRPr="006B23AC">
        <w:rPr>
          <w:rStyle w:val="EndnoteTextChar"/>
        </w:rPr>
        <w:t>WorkSafe Victoria.</w:t>
      </w:r>
      <w:proofErr w:type="gramEnd"/>
      <w:r w:rsidRPr="006B23AC">
        <w:rPr>
          <w:rStyle w:val="EndnoteTextChar"/>
        </w:rPr>
        <w:t xml:space="preserve"> </w:t>
      </w:r>
    </w:p>
  </w:endnote>
  <w:endnote w:id="68">
    <w:p w14:paraId="7031FF54" w14:textId="77777777"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WorkSafe (2012).</w:t>
      </w:r>
      <w:proofErr w:type="gramEnd"/>
      <w:r w:rsidRPr="006B23AC">
        <w:rPr>
          <w:rStyle w:val="EndnoteTextChar"/>
        </w:rPr>
        <w:t xml:space="preserve"> The Clinical Framework for the delivery of health series to injured workers. </w:t>
      </w:r>
      <w:proofErr w:type="gramStart"/>
      <w:r w:rsidRPr="006B23AC">
        <w:rPr>
          <w:rStyle w:val="EndnoteTextChar"/>
        </w:rPr>
        <w:t>WorkSafe Victoria.</w:t>
      </w:r>
      <w:proofErr w:type="gramEnd"/>
    </w:p>
  </w:endnote>
  <w:endnote w:id="69">
    <w:p w14:paraId="491D2D48" w14:textId="670D9E73" w:rsidR="007C3492" w:rsidRPr="006B23AC" w:rsidRDefault="007C3492" w:rsidP="00E83B7F">
      <w:pPr>
        <w:spacing w:before="120"/>
        <w:rPr>
          <w:rStyle w:val="EndnoteTextChar"/>
        </w:rPr>
      </w:pPr>
      <w:r w:rsidRPr="006B23AC">
        <w:rPr>
          <w:rStyle w:val="EndnoteReference"/>
        </w:rPr>
        <w:endnoteRef/>
      </w:r>
      <w:r w:rsidRPr="004F1AAD">
        <w:t xml:space="preserve"> </w:t>
      </w:r>
      <w:r w:rsidRPr="006B23AC">
        <w:rPr>
          <w:rStyle w:val="EndnoteTextChar"/>
        </w:rPr>
        <w:t xml:space="preserve">Hepburn CG, Kelloway EK &amp; Franche RL (2010) </w:t>
      </w:r>
      <w:proofErr w:type="gramStart"/>
      <w:r w:rsidRPr="006B23AC">
        <w:rPr>
          <w:rStyle w:val="EndnoteTextChar"/>
        </w:rPr>
        <w:t>Early</w:t>
      </w:r>
      <w:proofErr w:type="gramEnd"/>
      <w:r w:rsidRPr="006B23AC">
        <w:rPr>
          <w:rStyle w:val="EndnoteTextChar"/>
        </w:rPr>
        <w:t xml:space="preserve"> employer response to workplace injury: What injured workers perceive as fair and why these perceptions matter. </w:t>
      </w:r>
      <w:proofErr w:type="gramStart"/>
      <w:r w:rsidRPr="006B23AC">
        <w:rPr>
          <w:rStyle w:val="EndnoteTextChar"/>
        </w:rPr>
        <w:t>Journal of Occupational Health Psychology, 15(4), 409</w:t>
      </w:r>
      <w:r>
        <w:rPr>
          <w:rStyle w:val="EndnoteTextChar"/>
        </w:rPr>
        <w:noBreakHyphen/>
      </w:r>
      <w:r w:rsidRPr="006B23AC">
        <w:rPr>
          <w:rStyle w:val="EndnoteTextChar"/>
        </w:rPr>
        <w:t>420.</w:t>
      </w:r>
      <w:proofErr w:type="gramEnd"/>
      <w:r w:rsidRPr="006B23AC">
        <w:rPr>
          <w:rStyle w:val="EndnoteTextChar"/>
        </w:rPr>
        <w:t xml:space="preserve"> </w:t>
      </w:r>
    </w:p>
  </w:endnote>
  <w:endnote w:id="70">
    <w:p w14:paraId="7F5EEF0E" w14:textId="2E59A72B" w:rsidR="007C3492" w:rsidRPr="006B23AC" w:rsidRDefault="007C3492" w:rsidP="00E83B7F">
      <w:pPr>
        <w:spacing w:before="120"/>
        <w:rPr>
          <w:rStyle w:val="EndnoteTextChar"/>
        </w:rPr>
      </w:pPr>
      <w:r w:rsidRPr="006B23AC">
        <w:rPr>
          <w:rStyle w:val="EndnoteReference"/>
        </w:rPr>
        <w:endnoteRef/>
      </w:r>
      <w:r w:rsidRPr="004F1AAD">
        <w:t xml:space="preserve"> </w:t>
      </w:r>
      <w:proofErr w:type="gramStart"/>
      <w:r w:rsidRPr="006B23AC">
        <w:rPr>
          <w:rStyle w:val="EndnoteTextChar"/>
        </w:rPr>
        <w:t>Butler RJ, Johnson G &amp; Côté P (2007).</w:t>
      </w:r>
      <w:proofErr w:type="gramEnd"/>
      <w:r w:rsidRPr="006B23AC">
        <w:rPr>
          <w:rStyle w:val="EndnoteTextChar"/>
        </w:rPr>
        <w:t xml:space="preserve"> It pays to be nice: employer-worker relationships and the management of back pain claims. </w:t>
      </w:r>
      <w:proofErr w:type="gramStart"/>
      <w:r w:rsidRPr="006B23AC">
        <w:rPr>
          <w:rStyle w:val="EndnoteTextChar"/>
        </w:rPr>
        <w:t>Journal of Occupational and Environmental Medicine 49(2), 214</w:t>
      </w:r>
      <w:r>
        <w:rPr>
          <w:rStyle w:val="EndnoteTextChar"/>
        </w:rPr>
        <w:noBreakHyphen/>
      </w:r>
      <w:r w:rsidRPr="006B23AC">
        <w:rPr>
          <w:rStyle w:val="EndnoteTextChar"/>
        </w:rPr>
        <w:t>225.</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78679"/>
      <w:docPartObj>
        <w:docPartGallery w:val="Page Numbers (Bottom of Page)"/>
        <w:docPartUnique/>
      </w:docPartObj>
    </w:sdtPr>
    <w:sdtEndPr>
      <w:rPr>
        <w:noProof/>
      </w:rPr>
    </w:sdtEndPr>
    <w:sdtContent>
      <w:p w14:paraId="2A0E3C0C" w14:textId="77777777" w:rsidR="007C3492" w:rsidRDefault="007C3492" w:rsidP="00E754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BE1F3" w14:textId="77777777" w:rsidR="007C3492" w:rsidRDefault="007C3492">
    <w:pPr>
      <w:pStyle w:val="Footer"/>
      <w:jc w:val="right"/>
    </w:pPr>
  </w:p>
  <w:p w14:paraId="25C80DDB" w14:textId="77777777" w:rsidR="007C3492" w:rsidRPr="00510E89" w:rsidRDefault="007C34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066528184"/>
      <w:docPartObj>
        <w:docPartGallery w:val="Page Numbers (Bottom of Page)"/>
        <w:docPartUnique/>
      </w:docPartObj>
    </w:sdtPr>
    <w:sdtEndPr>
      <w:rPr>
        <w:noProof/>
      </w:rPr>
    </w:sdtEndPr>
    <w:sdtContent>
      <w:p w14:paraId="34C15B1F" w14:textId="77777777" w:rsidR="007C3492" w:rsidRPr="004676AD" w:rsidRDefault="007C3492" w:rsidP="00E754C1">
        <w:pPr>
          <w:pStyle w:val="BalloonText"/>
          <w:jc w:val="right"/>
          <w:rPr>
            <w:rFonts w:ascii="Arial" w:hAnsi="Arial" w:cs="Arial"/>
          </w:rPr>
        </w:pPr>
        <w:r w:rsidRPr="004676AD">
          <w:rPr>
            <w:rFonts w:ascii="Arial" w:hAnsi="Arial" w:cs="Arial"/>
          </w:rPr>
          <w:fldChar w:fldCharType="begin"/>
        </w:r>
        <w:r w:rsidRPr="004676AD">
          <w:rPr>
            <w:rFonts w:ascii="Arial" w:hAnsi="Arial" w:cs="Arial"/>
          </w:rPr>
          <w:instrText xml:space="preserve"> PAGE   \* MERGEFORMAT </w:instrText>
        </w:r>
        <w:r w:rsidRPr="004676AD">
          <w:rPr>
            <w:rFonts w:ascii="Arial" w:hAnsi="Arial" w:cs="Arial"/>
          </w:rPr>
          <w:fldChar w:fldCharType="separate"/>
        </w:r>
        <w:r w:rsidR="005D6308">
          <w:rPr>
            <w:rFonts w:ascii="Arial" w:hAnsi="Arial" w:cs="Arial"/>
            <w:noProof/>
          </w:rPr>
          <w:t>36</w:t>
        </w:r>
        <w:r w:rsidRPr="004676AD">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383311"/>
      <w:docPartObj>
        <w:docPartGallery w:val="Page Numbers (Bottom of Page)"/>
        <w:docPartUnique/>
      </w:docPartObj>
    </w:sdtPr>
    <w:sdtEndPr>
      <w:rPr>
        <w:noProof/>
      </w:rPr>
    </w:sdtEndPr>
    <w:sdtContent>
      <w:p w14:paraId="175E25E3" w14:textId="77777777" w:rsidR="007C3492" w:rsidRPr="00510E89" w:rsidRDefault="007C3492" w:rsidP="008A1C94">
        <w:pPr>
          <w:pStyle w:val="BalloonText"/>
          <w:jc w:val="right"/>
        </w:pPr>
        <w:r>
          <w:fldChar w:fldCharType="begin"/>
        </w:r>
        <w:r>
          <w:instrText xml:space="preserve"> PAGE   \* MERGEFORMAT </w:instrText>
        </w:r>
        <w:r>
          <w:fldChar w:fldCharType="separate"/>
        </w:r>
        <w:r w:rsidR="005D6308">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5C5DC" w14:textId="77777777" w:rsidR="007C3492" w:rsidRDefault="007C3492" w:rsidP="003411E8">
      <w:r>
        <w:separator/>
      </w:r>
    </w:p>
  </w:footnote>
  <w:footnote w:type="continuationSeparator" w:id="0">
    <w:p w14:paraId="79AD0D2C" w14:textId="77777777" w:rsidR="007C3492" w:rsidRDefault="007C3492" w:rsidP="00341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55115" w14:textId="77777777" w:rsidR="007C3492" w:rsidRDefault="007C3492" w:rsidP="00C07BFE">
    <w:pPr>
      <w:pStyle w:val="Header"/>
      <w:tabs>
        <w:tab w:val="left" w:pos="28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15B20" w14:textId="77777777" w:rsidR="007C3492" w:rsidRDefault="007C3492" w:rsidP="00C07BFE">
    <w:pPr>
      <w:pStyle w:val="Footer"/>
      <w:tabs>
        <w:tab w:val="left" w:pos="28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15B29" w14:textId="77777777" w:rsidR="007C3492" w:rsidRDefault="007C3492" w:rsidP="00C07BFE">
    <w:pPr>
      <w:pStyle w:val="Footer"/>
      <w:tabs>
        <w:tab w:val="left" w:pos="28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0E07F2"/>
    <w:lvl w:ilvl="0">
      <w:start w:val="1"/>
      <w:numFmt w:val="decimal"/>
      <w:lvlText w:val="%1."/>
      <w:lvlJc w:val="left"/>
      <w:pPr>
        <w:tabs>
          <w:tab w:val="num" w:pos="1492"/>
        </w:tabs>
        <w:ind w:left="1492" w:hanging="360"/>
      </w:pPr>
    </w:lvl>
  </w:abstractNum>
  <w:abstractNum w:abstractNumId="1">
    <w:nsid w:val="FFFFFF7D"/>
    <w:multiLevelType w:val="singleLevel"/>
    <w:tmpl w:val="F6584E8E"/>
    <w:lvl w:ilvl="0">
      <w:start w:val="1"/>
      <w:numFmt w:val="decimal"/>
      <w:lvlText w:val="%1."/>
      <w:lvlJc w:val="left"/>
      <w:pPr>
        <w:tabs>
          <w:tab w:val="num" w:pos="1209"/>
        </w:tabs>
        <w:ind w:left="1209" w:hanging="360"/>
      </w:pPr>
    </w:lvl>
  </w:abstractNum>
  <w:abstractNum w:abstractNumId="2">
    <w:nsid w:val="FFFFFF7E"/>
    <w:multiLevelType w:val="singleLevel"/>
    <w:tmpl w:val="FC780E4C"/>
    <w:lvl w:ilvl="0">
      <w:start w:val="1"/>
      <w:numFmt w:val="decimal"/>
      <w:lvlText w:val="%1."/>
      <w:lvlJc w:val="left"/>
      <w:pPr>
        <w:tabs>
          <w:tab w:val="num" w:pos="926"/>
        </w:tabs>
        <w:ind w:left="926" w:hanging="360"/>
      </w:pPr>
    </w:lvl>
  </w:abstractNum>
  <w:abstractNum w:abstractNumId="3">
    <w:nsid w:val="FFFFFF7F"/>
    <w:multiLevelType w:val="singleLevel"/>
    <w:tmpl w:val="EFC0340C"/>
    <w:lvl w:ilvl="0">
      <w:start w:val="1"/>
      <w:numFmt w:val="decimal"/>
      <w:lvlText w:val="%1."/>
      <w:lvlJc w:val="left"/>
      <w:pPr>
        <w:tabs>
          <w:tab w:val="num" w:pos="643"/>
        </w:tabs>
        <w:ind w:left="643" w:hanging="360"/>
      </w:pPr>
    </w:lvl>
  </w:abstractNum>
  <w:abstractNum w:abstractNumId="4">
    <w:nsid w:val="FFFFFF80"/>
    <w:multiLevelType w:val="singleLevel"/>
    <w:tmpl w:val="2312D6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52D1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98AE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8A84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6EFB62"/>
    <w:lvl w:ilvl="0">
      <w:start w:val="1"/>
      <w:numFmt w:val="decimal"/>
      <w:pStyle w:val="ListNumber"/>
      <w:lvlText w:val="%1."/>
      <w:lvlJc w:val="left"/>
      <w:pPr>
        <w:tabs>
          <w:tab w:val="num" w:pos="360"/>
        </w:tabs>
        <w:ind w:left="360" w:hanging="360"/>
      </w:pPr>
    </w:lvl>
  </w:abstractNum>
  <w:abstractNum w:abstractNumId="9">
    <w:nsid w:val="FFFFFF89"/>
    <w:multiLevelType w:val="singleLevel"/>
    <w:tmpl w:val="9AC2A4F8"/>
    <w:lvl w:ilvl="0">
      <w:start w:val="1"/>
      <w:numFmt w:val="bullet"/>
      <w:lvlText w:val=""/>
      <w:lvlJc w:val="left"/>
      <w:pPr>
        <w:tabs>
          <w:tab w:val="num" w:pos="360"/>
        </w:tabs>
        <w:ind w:left="360" w:hanging="360"/>
      </w:pPr>
      <w:rPr>
        <w:rFonts w:ascii="Symbol" w:hAnsi="Symbol" w:hint="default"/>
      </w:rPr>
    </w:lvl>
  </w:abstractNum>
  <w:abstractNum w:abstractNumId="10">
    <w:nsid w:val="0A2F69A9"/>
    <w:multiLevelType w:val="hybridMultilevel"/>
    <w:tmpl w:val="68748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917629"/>
    <w:multiLevelType w:val="multilevel"/>
    <w:tmpl w:val="F1E0B380"/>
    <w:lvl w:ilvl="0">
      <w:start w:val="1"/>
      <w:numFmt w:val="decimal"/>
      <w:pStyle w:val="WhiteHeading"/>
      <w:lvlText w:val="%1"/>
      <w:lvlJc w:val="left"/>
      <w:pPr>
        <w:ind w:left="360" w:hanging="360"/>
      </w:pPr>
      <w:rPr>
        <w:rFonts w:hint="default"/>
      </w:rPr>
    </w:lvl>
    <w:lvl w:ilvl="1">
      <w:start w:val="1"/>
      <w:numFmt w:val="decimal"/>
      <w:pStyle w:val="SWASectionnumbering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B102E82"/>
    <w:multiLevelType w:val="hybridMultilevel"/>
    <w:tmpl w:val="E1ECD534"/>
    <w:lvl w:ilvl="0" w:tplc="A78E7FC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AD4966"/>
    <w:multiLevelType w:val="hybridMultilevel"/>
    <w:tmpl w:val="7F148A56"/>
    <w:lvl w:ilvl="0" w:tplc="C496247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C3D0690"/>
    <w:multiLevelType w:val="hybridMultilevel"/>
    <w:tmpl w:val="08AE5882"/>
    <w:lvl w:ilvl="0" w:tplc="0736F9E2">
      <w:start w:val="1"/>
      <w:numFmt w:val="upperRoman"/>
      <w:lvlText w:val="%1."/>
      <w:lvlJc w:val="right"/>
      <w:pPr>
        <w:ind w:left="436" w:hanging="360"/>
      </w:pPr>
      <w:rPr>
        <w:rFonts w:hint="default"/>
        <w:b w:val="0"/>
        <w:i w:val="0"/>
        <w:sz w:val="22"/>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6">
    <w:nsid w:val="52A37E59"/>
    <w:multiLevelType w:val="hybridMultilevel"/>
    <w:tmpl w:val="FDC2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4A2FF1"/>
    <w:multiLevelType w:val="multilevel"/>
    <w:tmpl w:val="6D3CF30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3"/>
  </w:num>
  <w:num w:numId="3">
    <w:abstractNumId w:val="16"/>
  </w:num>
  <w:num w:numId="4">
    <w:abstractNumId w:val="15"/>
  </w:num>
  <w:num w:numId="5">
    <w:abstractNumId w:val="12"/>
  </w:num>
  <w:num w:numId="6">
    <w:abstractNumId w:val="12"/>
    <w:lvlOverride w:ilvl="0">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4"/>
  </w:num>
  <w:num w:numId="1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E8"/>
    <w:rsid w:val="00000FEE"/>
    <w:rsid w:val="0000744A"/>
    <w:rsid w:val="000348F2"/>
    <w:rsid w:val="00034C08"/>
    <w:rsid w:val="00036AA1"/>
    <w:rsid w:val="00046EB9"/>
    <w:rsid w:val="00057827"/>
    <w:rsid w:val="00062283"/>
    <w:rsid w:val="00062D2D"/>
    <w:rsid w:val="00065B9B"/>
    <w:rsid w:val="00077148"/>
    <w:rsid w:val="00081812"/>
    <w:rsid w:val="00081D79"/>
    <w:rsid w:val="00086F75"/>
    <w:rsid w:val="00092BFE"/>
    <w:rsid w:val="000A34EC"/>
    <w:rsid w:val="000B19F1"/>
    <w:rsid w:val="000B1F4F"/>
    <w:rsid w:val="000B33C0"/>
    <w:rsid w:val="000B3499"/>
    <w:rsid w:val="000C2806"/>
    <w:rsid w:val="000D051B"/>
    <w:rsid w:val="000D3231"/>
    <w:rsid w:val="000F12ED"/>
    <w:rsid w:val="000F6B61"/>
    <w:rsid w:val="001011F0"/>
    <w:rsid w:val="001036BC"/>
    <w:rsid w:val="001052F4"/>
    <w:rsid w:val="00112FD7"/>
    <w:rsid w:val="00120A60"/>
    <w:rsid w:val="00125B32"/>
    <w:rsid w:val="0014004D"/>
    <w:rsid w:val="00155389"/>
    <w:rsid w:val="00160510"/>
    <w:rsid w:val="00160B79"/>
    <w:rsid w:val="00182D96"/>
    <w:rsid w:val="0019331F"/>
    <w:rsid w:val="001941A3"/>
    <w:rsid w:val="0019511C"/>
    <w:rsid w:val="001954D5"/>
    <w:rsid w:val="001A004E"/>
    <w:rsid w:val="001A1957"/>
    <w:rsid w:val="001A360A"/>
    <w:rsid w:val="001A3E6E"/>
    <w:rsid w:val="001B14FA"/>
    <w:rsid w:val="001B75CF"/>
    <w:rsid w:val="001B786E"/>
    <w:rsid w:val="001C72F3"/>
    <w:rsid w:val="001C76CB"/>
    <w:rsid w:val="001D7C48"/>
    <w:rsid w:val="001E255B"/>
    <w:rsid w:val="001F26C2"/>
    <w:rsid w:val="001F2A1F"/>
    <w:rsid w:val="001F617E"/>
    <w:rsid w:val="00201324"/>
    <w:rsid w:val="002076B1"/>
    <w:rsid w:val="00210E9F"/>
    <w:rsid w:val="002175F7"/>
    <w:rsid w:val="002263C3"/>
    <w:rsid w:val="00233124"/>
    <w:rsid w:val="00236AE8"/>
    <w:rsid w:val="002567C0"/>
    <w:rsid w:val="002606EB"/>
    <w:rsid w:val="00283E53"/>
    <w:rsid w:val="002B3F9E"/>
    <w:rsid w:val="002C095D"/>
    <w:rsid w:val="002D0BDE"/>
    <w:rsid w:val="002F69CE"/>
    <w:rsid w:val="00300D52"/>
    <w:rsid w:val="00304D0B"/>
    <w:rsid w:val="003079A2"/>
    <w:rsid w:val="00313DF3"/>
    <w:rsid w:val="003163CD"/>
    <w:rsid w:val="0032757A"/>
    <w:rsid w:val="00333BB1"/>
    <w:rsid w:val="003411E8"/>
    <w:rsid w:val="003615A7"/>
    <w:rsid w:val="00361807"/>
    <w:rsid w:val="00365B5C"/>
    <w:rsid w:val="003730C6"/>
    <w:rsid w:val="00373889"/>
    <w:rsid w:val="00375F47"/>
    <w:rsid w:val="003879FC"/>
    <w:rsid w:val="00396555"/>
    <w:rsid w:val="00397DA3"/>
    <w:rsid w:val="003A488D"/>
    <w:rsid w:val="003C5567"/>
    <w:rsid w:val="003D49ED"/>
    <w:rsid w:val="003D6B1B"/>
    <w:rsid w:val="003E052D"/>
    <w:rsid w:val="003E0A80"/>
    <w:rsid w:val="003F051B"/>
    <w:rsid w:val="00402424"/>
    <w:rsid w:val="00416995"/>
    <w:rsid w:val="004221E1"/>
    <w:rsid w:val="00454F7A"/>
    <w:rsid w:val="00460A9A"/>
    <w:rsid w:val="004676AD"/>
    <w:rsid w:val="004704F2"/>
    <w:rsid w:val="0048118B"/>
    <w:rsid w:val="00483EC4"/>
    <w:rsid w:val="00484773"/>
    <w:rsid w:val="00485F65"/>
    <w:rsid w:val="00492659"/>
    <w:rsid w:val="004C3CB0"/>
    <w:rsid w:val="004D00F0"/>
    <w:rsid w:val="004D4FBF"/>
    <w:rsid w:val="004D631B"/>
    <w:rsid w:val="004D6866"/>
    <w:rsid w:val="00500F06"/>
    <w:rsid w:val="00505256"/>
    <w:rsid w:val="00507D67"/>
    <w:rsid w:val="00510E89"/>
    <w:rsid w:val="005225D2"/>
    <w:rsid w:val="00524606"/>
    <w:rsid w:val="005263CE"/>
    <w:rsid w:val="005275C5"/>
    <w:rsid w:val="0053190C"/>
    <w:rsid w:val="005342F6"/>
    <w:rsid w:val="00541CC4"/>
    <w:rsid w:val="00541F93"/>
    <w:rsid w:val="00542532"/>
    <w:rsid w:val="00547E14"/>
    <w:rsid w:val="00553867"/>
    <w:rsid w:val="00561B12"/>
    <w:rsid w:val="00580326"/>
    <w:rsid w:val="00596DAD"/>
    <w:rsid w:val="0059772F"/>
    <w:rsid w:val="005C738E"/>
    <w:rsid w:val="005D0128"/>
    <w:rsid w:val="005D3B82"/>
    <w:rsid w:val="005D6308"/>
    <w:rsid w:val="005F3883"/>
    <w:rsid w:val="005F723D"/>
    <w:rsid w:val="00600C4F"/>
    <w:rsid w:val="006067C2"/>
    <w:rsid w:val="00611153"/>
    <w:rsid w:val="00651D51"/>
    <w:rsid w:val="006529CB"/>
    <w:rsid w:val="00674681"/>
    <w:rsid w:val="006826AE"/>
    <w:rsid w:val="00693E6D"/>
    <w:rsid w:val="006A3D58"/>
    <w:rsid w:val="006A5E24"/>
    <w:rsid w:val="006B03FE"/>
    <w:rsid w:val="006B1DC6"/>
    <w:rsid w:val="006B23AC"/>
    <w:rsid w:val="006C060B"/>
    <w:rsid w:val="006C55DF"/>
    <w:rsid w:val="006C5AE4"/>
    <w:rsid w:val="006C6F28"/>
    <w:rsid w:val="006D5163"/>
    <w:rsid w:val="006F52B2"/>
    <w:rsid w:val="00712650"/>
    <w:rsid w:val="00712C2A"/>
    <w:rsid w:val="0071346A"/>
    <w:rsid w:val="00746222"/>
    <w:rsid w:val="0075034A"/>
    <w:rsid w:val="00767AE1"/>
    <w:rsid w:val="007903D2"/>
    <w:rsid w:val="007A6AC5"/>
    <w:rsid w:val="007C3492"/>
    <w:rsid w:val="007D70E2"/>
    <w:rsid w:val="007F03B6"/>
    <w:rsid w:val="007F1D69"/>
    <w:rsid w:val="00810C18"/>
    <w:rsid w:val="00816C7F"/>
    <w:rsid w:val="008263B6"/>
    <w:rsid w:val="00836CBF"/>
    <w:rsid w:val="00846890"/>
    <w:rsid w:val="008505F4"/>
    <w:rsid w:val="00850FFA"/>
    <w:rsid w:val="0085179C"/>
    <w:rsid w:val="008530EB"/>
    <w:rsid w:val="0088636A"/>
    <w:rsid w:val="00892ABE"/>
    <w:rsid w:val="00896694"/>
    <w:rsid w:val="008A1C94"/>
    <w:rsid w:val="008A7E8C"/>
    <w:rsid w:val="008B7A46"/>
    <w:rsid w:val="008C5DA6"/>
    <w:rsid w:val="008C6C6A"/>
    <w:rsid w:val="008D1E7A"/>
    <w:rsid w:val="008E63C4"/>
    <w:rsid w:val="008F17CC"/>
    <w:rsid w:val="008F3ABB"/>
    <w:rsid w:val="008F5F12"/>
    <w:rsid w:val="008F6245"/>
    <w:rsid w:val="00903EEF"/>
    <w:rsid w:val="00934BD2"/>
    <w:rsid w:val="00937370"/>
    <w:rsid w:val="00937CA0"/>
    <w:rsid w:val="00937EA2"/>
    <w:rsid w:val="00951EEE"/>
    <w:rsid w:val="00956DA4"/>
    <w:rsid w:val="00961613"/>
    <w:rsid w:val="0097084C"/>
    <w:rsid w:val="00974580"/>
    <w:rsid w:val="00977671"/>
    <w:rsid w:val="009A2363"/>
    <w:rsid w:val="009A4D9D"/>
    <w:rsid w:val="009A63AF"/>
    <w:rsid w:val="009B2BD7"/>
    <w:rsid w:val="009C2118"/>
    <w:rsid w:val="009F250A"/>
    <w:rsid w:val="009F59E5"/>
    <w:rsid w:val="00A01FD9"/>
    <w:rsid w:val="00A02157"/>
    <w:rsid w:val="00A200D7"/>
    <w:rsid w:val="00A20EE9"/>
    <w:rsid w:val="00A47D8D"/>
    <w:rsid w:val="00A60E09"/>
    <w:rsid w:val="00A7461B"/>
    <w:rsid w:val="00A74EF5"/>
    <w:rsid w:val="00A76324"/>
    <w:rsid w:val="00A765BD"/>
    <w:rsid w:val="00AA0FAC"/>
    <w:rsid w:val="00AB2237"/>
    <w:rsid w:val="00AD5D3E"/>
    <w:rsid w:val="00AF080C"/>
    <w:rsid w:val="00AF2368"/>
    <w:rsid w:val="00AF69DF"/>
    <w:rsid w:val="00AF773C"/>
    <w:rsid w:val="00B0695D"/>
    <w:rsid w:val="00B14071"/>
    <w:rsid w:val="00B311C7"/>
    <w:rsid w:val="00B36ED7"/>
    <w:rsid w:val="00B40DBE"/>
    <w:rsid w:val="00B44213"/>
    <w:rsid w:val="00B50F8F"/>
    <w:rsid w:val="00B63E9C"/>
    <w:rsid w:val="00B64240"/>
    <w:rsid w:val="00B747D9"/>
    <w:rsid w:val="00B83AA4"/>
    <w:rsid w:val="00B85CB2"/>
    <w:rsid w:val="00B97B16"/>
    <w:rsid w:val="00BA10FF"/>
    <w:rsid w:val="00BC6D23"/>
    <w:rsid w:val="00BD5C43"/>
    <w:rsid w:val="00BE6BF7"/>
    <w:rsid w:val="00BF3E70"/>
    <w:rsid w:val="00C066B8"/>
    <w:rsid w:val="00C07BFE"/>
    <w:rsid w:val="00C15E7D"/>
    <w:rsid w:val="00C36A80"/>
    <w:rsid w:val="00C45AB6"/>
    <w:rsid w:val="00C4681E"/>
    <w:rsid w:val="00C50144"/>
    <w:rsid w:val="00C84ADD"/>
    <w:rsid w:val="00CA11BD"/>
    <w:rsid w:val="00CA2B01"/>
    <w:rsid w:val="00CB1DC2"/>
    <w:rsid w:val="00CB4022"/>
    <w:rsid w:val="00CB5D26"/>
    <w:rsid w:val="00CC14A7"/>
    <w:rsid w:val="00CC5526"/>
    <w:rsid w:val="00CD3D35"/>
    <w:rsid w:val="00CD5072"/>
    <w:rsid w:val="00CF6C59"/>
    <w:rsid w:val="00D05EC2"/>
    <w:rsid w:val="00D0614E"/>
    <w:rsid w:val="00D13B53"/>
    <w:rsid w:val="00D13E83"/>
    <w:rsid w:val="00D2217A"/>
    <w:rsid w:val="00D25FDC"/>
    <w:rsid w:val="00D32BDA"/>
    <w:rsid w:val="00D460BA"/>
    <w:rsid w:val="00D478BB"/>
    <w:rsid w:val="00D50227"/>
    <w:rsid w:val="00D54658"/>
    <w:rsid w:val="00D5475E"/>
    <w:rsid w:val="00D57E73"/>
    <w:rsid w:val="00D60313"/>
    <w:rsid w:val="00D64D95"/>
    <w:rsid w:val="00D64E89"/>
    <w:rsid w:val="00D66B29"/>
    <w:rsid w:val="00D66E7E"/>
    <w:rsid w:val="00D73D0A"/>
    <w:rsid w:val="00D94E08"/>
    <w:rsid w:val="00D96C6F"/>
    <w:rsid w:val="00DA5AE4"/>
    <w:rsid w:val="00DB2A21"/>
    <w:rsid w:val="00DB7658"/>
    <w:rsid w:val="00DC1480"/>
    <w:rsid w:val="00DC531A"/>
    <w:rsid w:val="00DC5FCF"/>
    <w:rsid w:val="00DE4CA2"/>
    <w:rsid w:val="00DE6AFE"/>
    <w:rsid w:val="00E04D4C"/>
    <w:rsid w:val="00E0674A"/>
    <w:rsid w:val="00E16C87"/>
    <w:rsid w:val="00E34ABB"/>
    <w:rsid w:val="00E43E16"/>
    <w:rsid w:val="00E63256"/>
    <w:rsid w:val="00E651C4"/>
    <w:rsid w:val="00E733F3"/>
    <w:rsid w:val="00E754C1"/>
    <w:rsid w:val="00E83B7F"/>
    <w:rsid w:val="00E87684"/>
    <w:rsid w:val="00E91BE3"/>
    <w:rsid w:val="00EA37E9"/>
    <w:rsid w:val="00EC04C0"/>
    <w:rsid w:val="00EC6C30"/>
    <w:rsid w:val="00ED74E3"/>
    <w:rsid w:val="00EF5DBF"/>
    <w:rsid w:val="00F13812"/>
    <w:rsid w:val="00F301C4"/>
    <w:rsid w:val="00F5063C"/>
    <w:rsid w:val="00F60D57"/>
    <w:rsid w:val="00F645E8"/>
    <w:rsid w:val="00F7275E"/>
    <w:rsid w:val="00F81B48"/>
    <w:rsid w:val="00F96AC2"/>
    <w:rsid w:val="00FB4C0A"/>
    <w:rsid w:val="00FC1FA5"/>
    <w:rsid w:val="00FE19AF"/>
    <w:rsid w:val="00FE386E"/>
    <w:rsid w:val="00FE5D7D"/>
    <w:rsid w:val="00FF52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C1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WA Normal"/>
    <w:qFormat/>
    <w:rsid w:val="00810C18"/>
    <w:pPr>
      <w:spacing w:after="120" w:line="240" w:lineRule="auto"/>
    </w:pPr>
    <w:rPr>
      <w:rFonts w:ascii="Arial" w:eastAsia="Times New Roman" w:hAnsi="Arial" w:cs="Times New Roman"/>
      <w:sz w:val="20"/>
      <w:szCs w:val="24"/>
      <w:lang w:eastAsia="en-AU"/>
    </w:rPr>
  </w:style>
  <w:style w:type="paragraph" w:styleId="Heading1">
    <w:name w:val="heading 1"/>
    <w:aliases w:val="SWA Heading 1"/>
    <w:basedOn w:val="Normal"/>
    <w:next w:val="Normal"/>
    <w:link w:val="Heading1Char"/>
    <w:uiPriority w:val="9"/>
    <w:qFormat/>
    <w:rsid w:val="007903D2"/>
    <w:pPr>
      <w:keepNext/>
      <w:keepLines/>
      <w:pageBreakBefore/>
      <w:numPr>
        <w:numId w:val="19"/>
      </w:numPr>
      <w:spacing w:after="240"/>
      <w:ind w:left="567" w:hanging="567"/>
      <w:outlineLvl w:val="0"/>
    </w:pPr>
    <w:rPr>
      <w:rFonts w:ascii="Arial Bold" w:eastAsiaTheme="majorEastAsia" w:hAnsi="Arial Bold" w:cs="Arial"/>
      <w:b/>
      <w:kern w:val="32"/>
      <w:sz w:val="28"/>
      <w:szCs w:val="22"/>
    </w:rPr>
  </w:style>
  <w:style w:type="paragraph" w:styleId="Heading2">
    <w:name w:val="heading 2"/>
    <w:basedOn w:val="Normal"/>
    <w:next w:val="Normal"/>
    <w:link w:val="Heading2Char"/>
    <w:uiPriority w:val="4"/>
    <w:qFormat/>
    <w:rsid w:val="001A004E"/>
    <w:pPr>
      <w:keepNext/>
      <w:numPr>
        <w:ilvl w:val="1"/>
        <w:numId w:val="19"/>
      </w:numPr>
      <w:spacing w:before="240"/>
      <w:ind w:left="567" w:hanging="567"/>
      <w:outlineLvl w:val="1"/>
    </w:pPr>
    <w:rPr>
      <w:rFonts w:eastAsiaTheme="minorHAnsi" w:cstheme="minorBidi"/>
      <w:b/>
      <w:color w:val="000000" w:themeColor="text1"/>
      <w:sz w:val="24"/>
      <w:lang w:eastAsia="en-US"/>
    </w:rPr>
  </w:style>
  <w:style w:type="paragraph" w:styleId="Heading3">
    <w:name w:val="heading 3"/>
    <w:aliases w:val="SWA Heading 3"/>
    <w:basedOn w:val="Normal"/>
    <w:next w:val="Normal"/>
    <w:link w:val="Heading3Char"/>
    <w:uiPriority w:val="9"/>
    <w:qFormat/>
    <w:rsid w:val="001A004E"/>
    <w:pPr>
      <w:keepNext/>
      <w:keepLines/>
      <w:overflowPunct w:val="0"/>
      <w:autoSpaceDE w:val="0"/>
      <w:autoSpaceDN w:val="0"/>
      <w:adjustRightInd w:val="0"/>
      <w:textAlignment w:val="baseline"/>
      <w:outlineLvl w:val="2"/>
    </w:pPr>
    <w:rPr>
      <w:rFonts w:ascii="Arial Bold" w:eastAsiaTheme="majorEastAsia" w:hAnsi="Arial Bold" w:cstheme="majorBidi"/>
      <w:b/>
      <w:color w:val="145B85"/>
      <w:szCs w:val="20"/>
      <w:lang w:eastAsia="en-US"/>
    </w:rPr>
  </w:style>
  <w:style w:type="paragraph" w:styleId="Heading4">
    <w:name w:val="heading 4"/>
    <w:aliases w:val="SWA Heading 4,N="/>
    <w:basedOn w:val="Normal"/>
    <w:next w:val="Normal"/>
    <w:link w:val="Heading4Char"/>
    <w:uiPriority w:val="9"/>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paragraph" w:styleId="Heading5">
    <w:name w:val="heading 5"/>
    <w:basedOn w:val="Normal"/>
    <w:next w:val="Normal"/>
    <w:link w:val="Heading5Char"/>
    <w:uiPriority w:val="9"/>
    <w:unhideWhenUsed/>
    <w:qFormat/>
    <w:rsid w:val="00D0614E"/>
    <w:pPr>
      <w:keepNext/>
      <w:keepLines/>
      <w:spacing w:before="40" w:after="240" w:line="259" w:lineRule="auto"/>
      <w:outlineLvl w:val="4"/>
    </w:pPr>
    <w:rPr>
      <w:rFonts w:eastAsiaTheme="majorEastAsia" w:cstheme="majorBidi"/>
      <w:color w:val="365F91" w:themeColor="accent1" w:themeShade="BF"/>
      <w:sz w:val="22"/>
      <w:szCs w:val="22"/>
      <w:lang w:val="en" w:eastAsia="en-US"/>
    </w:rPr>
  </w:style>
  <w:style w:type="paragraph" w:styleId="Heading6">
    <w:name w:val="heading 6"/>
    <w:basedOn w:val="Normal"/>
    <w:next w:val="Normal"/>
    <w:link w:val="Heading6Char"/>
    <w:uiPriority w:val="9"/>
    <w:semiHidden/>
    <w:unhideWhenUsed/>
    <w:qFormat/>
    <w:rsid w:val="00810C18"/>
    <w:pPr>
      <w:keepNext/>
      <w:keepLines/>
      <w:spacing w:before="200" w:after="0"/>
      <w:outlineLvl w:val="5"/>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uiPriority w:val="9"/>
    <w:rsid w:val="007903D2"/>
    <w:rPr>
      <w:rFonts w:ascii="Arial Bold" w:eastAsiaTheme="majorEastAsia" w:hAnsi="Arial Bold" w:cs="Arial"/>
      <w:b/>
      <w:kern w:val="32"/>
      <w:sz w:val="28"/>
      <w:lang w:eastAsia="en-AU"/>
    </w:rPr>
  </w:style>
  <w:style w:type="character" w:customStyle="1" w:styleId="Heading2Char">
    <w:name w:val="Heading 2 Char"/>
    <w:basedOn w:val="DefaultParagraphFont"/>
    <w:link w:val="Heading2"/>
    <w:uiPriority w:val="4"/>
    <w:rsid w:val="001A004E"/>
    <w:rPr>
      <w:rFonts w:ascii="Arial" w:hAnsi="Arial"/>
      <w:b/>
      <w:color w:val="000000" w:themeColor="text1"/>
      <w:sz w:val="24"/>
      <w:szCs w:val="24"/>
    </w:rPr>
  </w:style>
  <w:style w:type="character" w:customStyle="1" w:styleId="Heading3Char">
    <w:name w:val="Heading 3 Char"/>
    <w:aliases w:val="SWA Heading 3 Char"/>
    <w:basedOn w:val="DefaultParagraphFont"/>
    <w:link w:val="Heading3"/>
    <w:uiPriority w:val="9"/>
    <w:rsid w:val="001A004E"/>
    <w:rPr>
      <w:rFonts w:ascii="Arial Bold" w:eastAsiaTheme="majorEastAsia" w:hAnsi="Arial Bold" w:cstheme="majorBidi"/>
      <w:b/>
      <w:color w:val="145B85"/>
      <w:sz w:val="20"/>
      <w:szCs w:val="20"/>
    </w:rPr>
  </w:style>
  <w:style w:type="character" w:customStyle="1" w:styleId="Heading4Char">
    <w:name w:val="Heading 4 Char"/>
    <w:aliases w:val="SWA Heading 4 Char,N= Char"/>
    <w:basedOn w:val="DefaultParagraphFont"/>
    <w:link w:val="Heading4"/>
    <w:uiPriority w:val="9"/>
    <w:rsid w:val="003411E8"/>
    <w:rPr>
      <w:rFonts w:ascii="Arial" w:eastAsiaTheme="majorEastAsia" w:hAnsi="Arial" w:cstheme="majorBidi"/>
      <w:b/>
      <w:spacing w:val="-3"/>
      <w:sz w:val="20"/>
    </w:rPr>
  </w:style>
  <w:style w:type="character" w:customStyle="1" w:styleId="Heading5Char">
    <w:name w:val="Heading 5 Char"/>
    <w:basedOn w:val="DefaultParagraphFont"/>
    <w:link w:val="Heading5"/>
    <w:uiPriority w:val="9"/>
    <w:rsid w:val="00D0614E"/>
    <w:rPr>
      <w:rFonts w:ascii="Arial" w:eastAsiaTheme="majorEastAsia" w:hAnsi="Arial" w:cstheme="majorBidi"/>
      <w:color w:val="365F91" w:themeColor="accent1" w:themeShade="BF"/>
      <w:lang w:val="en"/>
    </w:rPr>
  </w:style>
  <w:style w:type="paragraph" w:styleId="Title">
    <w:name w:val="Title"/>
    <w:aliases w:val="SWA Title"/>
    <w:basedOn w:val="Normal"/>
    <w:link w:val="TitleChar"/>
    <w:uiPriority w:val="10"/>
    <w:qFormat/>
    <w:rsid w:val="008530EB"/>
    <w:pPr>
      <w:tabs>
        <w:tab w:val="center" w:pos="8222"/>
      </w:tabs>
      <w:overflowPunct w:val="0"/>
      <w:autoSpaceDE w:val="0"/>
      <w:autoSpaceDN w:val="0"/>
      <w:adjustRightInd w:val="0"/>
      <w:spacing w:before="240" w:after="60"/>
      <w:textAlignment w:val="baseline"/>
      <w:outlineLvl w:val="0"/>
    </w:pPr>
    <w:rPr>
      <w:rFonts w:ascii="Arial Bold" w:eastAsiaTheme="majorEastAsia" w:hAnsi="Arial Bold" w:cs="Arial"/>
      <w:b/>
      <w:bCs/>
      <w:color w:val="145B85"/>
      <w:kern w:val="28"/>
      <w:sz w:val="36"/>
      <w:szCs w:val="32"/>
      <w:lang w:eastAsia="en-US"/>
    </w:rPr>
  </w:style>
  <w:style w:type="character" w:customStyle="1" w:styleId="TitleChar">
    <w:name w:val="Title Char"/>
    <w:aliases w:val="SWA Title Char"/>
    <w:basedOn w:val="DefaultParagraphFont"/>
    <w:link w:val="Title"/>
    <w:uiPriority w:val="10"/>
    <w:rsid w:val="008530EB"/>
    <w:rPr>
      <w:rFonts w:ascii="Arial Bold" w:eastAsiaTheme="majorEastAsia" w:hAnsi="Arial Bold" w:cs="Arial"/>
      <w:b/>
      <w:bCs/>
      <w:color w:val="145B85"/>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CC14A7"/>
    <w:rPr>
      <w:caps w:val="0"/>
      <w:smallCaps w:val="0"/>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3411E8"/>
    <w:pPr>
      <w:tabs>
        <w:tab w:val="center" w:pos="4513"/>
        <w:tab w:val="right" w:pos="9026"/>
      </w:tabs>
    </w:pPr>
  </w:style>
  <w:style w:type="character" w:customStyle="1" w:styleId="FooterChar">
    <w:name w:val="Footer Char"/>
    <w:basedOn w:val="DefaultParagraphFont"/>
    <w:link w:val="Footer"/>
    <w:uiPriority w:val="99"/>
    <w:rsid w:val="003411E8"/>
    <w:rPr>
      <w:rFonts w:ascii="Arial" w:eastAsia="Times New Roman" w:hAnsi="Arial" w:cs="Times New Roman"/>
      <w:sz w:val="20"/>
      <w:szCs w:val="24"/>
      <w:lang w:eastAsia="en-AU"/>
    </w:rPr>
  </w:style>
  <w:style w:type="paragraph" w:styleId="BalloonText">
    <w:name w:val="Balloon Text"/>
    <w:basedOn w:val="Normal"/>
    <w:link w:val="BalloonTextChar"/>
    <w:uiPriority w:val="99"/>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paragraph" w:customStyle="1" w:styleId="SWACoverHeader">
    <w:name w:val="SWA Cover Header"/>
    <w:basedOn w:val="Title"/>
    <w:link w:val="SWACoverHeaderChar"/>
    <w:qFormat/>
    <w:rsid w:val="004704F2"/>
    <w:pPr>
      <w:spacing w:before="5000"/>
    </w:pPr>
    <w:rPr>
      <w:color w:val="FFFFFF" w:themeColor="background1"/>
      <w:sz w:val="96"/>
      <w:szCs w:val="96"/>
    </w:rPr>
  </w:style>
  <w:style w:type="character" w:customStyle="1" w:styleId="SWACoverHeaderChar">
    <w:name w:val="SWA Cover Header Char"/>
    <w:basedOn w:val="TitleChar"/>
    <w:link w:val="SWACoverHeader"/>
    <w:rsid w:val="004704F2"/>
    <w:rPr>
      <w:rFonts w:ascii="Arial Bold" w:eastAsiaTheme="majorEastAsia" w:hAnsi="Arial Bold" w:cs="Arial"/>
      <w:b/>
      <w:bCs/>
      <w:color w:val="FFFFFF" w:themeColor="background1"/>
      <w:kern w:val="28"/>
      <w:sz w:val="96"/>
      <w:szCs w:val="96"/>
    </w:rPr>
  </w:style>
  <w:style w:type="paragraph" w:customStyle="1" w:styleId="Normaltwocolumn">
    <w:name w:val="Normal two column"/>
    <w:basedOn w:val="Normal"/>
    <w:link w:val="NormaltwocolumnChar"/>
    <w:rsid w:val="00365B5C"/>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paragraph" w:customStyle="1" w:styleId="SWACoverintroparagraph">
    <w:name w:val="SWA Cover intro paragraph"/>
    <w:basedOn w:val="BasicParagraph"/>
    <w:link w:val="SWACoverintroparagraphChar"/>
    <w:qFormat/>
    <w:rsid w:val="008530EB"/>
    <w:pPr>
      <w:suppressAutoHyphens/>
    </w:pPr>
    <w:rPr>
      <w:rFonts w:ascii="Arial" w:hAnsi="Arial" w:cs="Arial"/>
      <w:color w:val="145B85"/>
      <w:sz w:val="30"/>
      <w:szCs w:val="30"/>
    </w:rPr>
  </w:style>
  <w:style w:type="character" w:customStyle="1" w:styleId="SWACoverintroparagraphChar">
    <w:name w:val="SWA Cover intro paragraph Char"/>
    <w:basedOn w:val="BasicParagraphChar"/>
    <w:link w:val="SWACoverintroparagraph"/>
    <w:rsid w:val="008530EB"/>
    <w:rPr>
      <w:rFonts w:ascii="Arial" w:hAnsi="Arial" w:cs="Arial"/>
      <w:color w:val="145B85"/>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3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693E6D"/>
    <w:pPr>
      <w:spacing w:before="120" w:after="12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145B85"/>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shd w:val="clear" w:color="auto" w:fill="C9E5F7"/>
      </w:tcPr>
    </w:tblStylePr>
    <w:tblStylePr w:type="band1Horz">
      <w:tblPr/>
      <w:tcPr>
        <w:shd w:val="clear" w:color="auto" w:fill="C9E5F7"/>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D66E7E"/>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character" w:customStyle="1" w:styleId="SWAFeaturetextChar">
    <w:name w:val="SWA Feature text Char"/>
    <w:basedOn w:val="DefaultParagraphFont"/>
    <w:link w:val="SWAFeaturetext"/>
    <w:rsid w:val="00D66E7E"/>
    <w:rPr>
      <w:rFonts w:ascii="Arial" w:eastAsia="Times New Roman" w:hAnsi="Arial" w:cs="Times New Roman"/>
      <w:sz w:val="20"/>
      <w:szCs w:val="24"/>
      <w:shd w:val="clear" w:color="auto" w:fill="F2F2F2" w:themeFill="background1" w:themeFillShade="F2"/>
      <w:lang w:eastAsia="en-AU"/>
    </w:r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FeaturePageHeadingChar">
    <w:name w:val="Feature Page Heading Char"/>
    <w:basedOn w:val="Heading1Char"/>
    <w:link w:val="FeaturePageHeading"/>
    <w:rsid w:val="00D66E7E"/>
    <w:rPr>
      <w:rFonts w:ascii="Arial Bold" w:eastAsiaTheme="majorEastAsia" w:hAnsi="Arial Bold" w:cs="Arial"/>
      <w:b/>
      <w:kern w:val="32"/>
      <w:sz w:val="28"/>
      <w:shd w:val="clear" w:color="auto" w:fill="F2F2F2" w:themeFill="background1" w:themeFillShade="F2"/>
      <w:lang w:eastAsia="en-AU"/>
    </w:rPr>
  </w:style>
  <w:style w:type="paragraph" w:customStyle="1" w:styleId="FeatureHeading">
    <w:name w:val="Feature Heading"/>
    <w:basedOn w:val="SWAFeaturetext"/>
    <w:link w:val="FeatureHeadingChar"/>
    <w:rsid w:val="00E83B7F"/>
    <w:rPr>
      <w:b/>
      <w:color w:val="145B85"/>
      <w:sz w:val="28"/>
      <w:szCs w:val="28"/>
    </w:rPr>
  </w:style>
  <w:style w:type="character" w:customStyle="1" w:styleId="FeatureHeadingChar">
    <w:name w:val="Feature Heading Char"/>
    <w:basedOn w:val="SWAFeaturetextChar"/>
    <w:link w:val="FeatureHeading"/>
    <w:rsid w:val="00E83B7F"/>
    <w:rPr>
      <w:rFonts w:ascii="Arial" w:eastAsia="Times New Roman" w:hAnsi="Arial" w:cs="Times New Roman"/>
      <w:b/>
      <w:color w:val="145B85"/>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8530E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noProof/>
      <w:color w:val="145B85"/>
    </w:rPr>
  </w:style>
  <w:style w:type="character" w:customStyle="1" w:styleId="SWAFeaturepagetitleChar">
    <w:name w:val="SWA Feature page title Char"/>
    <w:basedOn w:val="Heading1Char"/>
    <w:link w:val="SWAFeaturepagetitle"/>
    <w:rsid w:val="008530EB"/>
    <w:rPr>
      <w:rFonts w:ascii="Arial Bold" w:eastAsiaTheme="majorEastAsia" w:hAnsi="Arial Bold" w:cs="Arial"/>
      <w:b/>
      <w:noProof/>
      <w:color w:val="145B85"/>
      <w:kern w:val="32"/>
      <w:sz w:val="28"/>
      <w:shd w:val="clear" w:color="auto" w:fill="F2F2F2" w:themeFill="background1" w:themeFillShade="F2"/>
      <w:lang w:eastAsia="en-AU"/>
    </w:rPr>
  </w:style>
  <w:style w:type="paragraph" w:customStyle="1" w:styleId="SWA1stHeading">
    <w:name w:val="SWA 1st Heading"/>
    <w:basedOn w:val="Heading1"/>
    <w:next w:val="Normal"/>
    <w:qFormat/>
    <w:rsid w:val="008530EB"/>
    <w:pPr>
      <w:spacing w:before="360"/>
      <w:ind w:left="709" w:hanging="709"/>
    </w:pPr>
    <w:rPr>
      <w:rFonts w:ascii="Arial" w:hAnsi="Arial"/>
      <w:color w:val="145B85"/>
      <w:kern w:val="0"/>
      <w:sz w:val="32"/>
    </w:rPr>
  </w:style>
  <w:style w:type="paragraph" w:customStyle="1" w:styleId="WhiteHeading">
    <w:name w:val="White Heading"/>
    <w:basedOn w:val="Normal"/>
    <w:next w:val="Normal"/>
    <w:rsid w:val="00977671"/>
    <w:pPr>
      <w:keepNext/>
      <w:numPr>
        <w:numId w:val="1"/>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before="120"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paragraph" w:customStyle="1" w:styleId="SWABullets">
    <w:name w:val="SWA Bullets"/>
    <w:basedOn w:val="ListParagraph"/>
    <w:link w:val="SWABulletsChar"/>
    <w:qFormat/>
    <w:rsid w:val="00CA2B01"/>
    <w:pPr>
      <w:numPr>
        <w:numId w:val="2"/>
      </w:numPr>
    </w:pPr>
  </w:style>
  <w:style w:type="character" w:customStyle="1" w:styleId="SWABulletsChar">
    <w:name w:val="SWA Bullets Char"/>
    <w:basedOn w:val="ListParagraphChar"/>
    <w:link w:val="SWABullets"/>
    <w:rsid w:val="00CA2B01"/>
    <w:rPr>
      <w:rFonts w:ascii="Arial" w:eastAsia="Times New Roman" w:hAnsi="Arial" w:cs="Times New Roman"/>
      <w:sz w:val="20"/>
      <w:szCs w:val="20"/>
      <w:lang w:eastAsia="en-AU"/>
    </w:rPr>
  </w:style>
  <w:style w:type="paragraph" w:customStyle="1" w:styleId="SWATableheader">
    <w:name w:val="SWA Table header"/>
    <w:link w:val="SWATableheaderChar"/>
    <w:qFormat/>
    <w:rsid w:val="00C066B8"/>
    <w:pPr>
      <w:spacing w:after="120"/>
    </w:pPr>
    <w:rPr>
      <w:rFonts w:ascii="Arial" w:eastAsiaTheme="majorEastAsia" w:hAnsi="Arial" w:cstheme="majorBidi"/>
      <w:b/>
      <w:color w:val="145B85"/>
      <w:spacing w:val="-3"/>
      <w:sz w:val="20"/>
    </w:rPr>
  </w:style>
  <w:style w:type="character" w:customStyle="1" w:styleId="SWATableheaderChar">
    <w:name w:val="SWA Table header Char"/>
    <w:basedOn w:val="Heading4Char"/>
    <w:link w:val="SWATableheader"/>
    <w:rsid w:val="00C066B8"/>
    <w:rPr>
      <w:rFonts w:ascii="Arial" w:eastAsiaTheme="majorEastAsia" w:hAnsi="Arial" w:cstheme="majorBidi"/>
      <w:b/>
      <w:color w:val="145B85"/>
      <w:spacing w:val="-3"/>
      <w:sz w:val="20"/>
    </w:rPr>
  </w:style>
  <w:style w:type="paragraph" w:customStyle="1" w:styleId="SWASectionnumberingheading">
    <w:name w:val="SWA Section numbering heading"/>
    <w:basedOn w:val="Heading1"/>
    <w:next w:val="Normal"/>
    <w:qFormat/>
    <w:rsid w:val="008530EB"/>
    <w:pPr>
      <w:numPr>
        <w:ilvl w:val="1"/>
        <w:numId w:val="1"/>
      </w:numPr>
      <w:spacing w:before="360"/>
      <w:ind w:left="709" w:hanging="709"/>
    </w:pPr>
    <w:rPr>
      <w:rFonts w:ascii="Arial" w:eastAsiaTheme="minorHAnsi" w:hAnsi="Arial"/>
      <w:color w:val="145B85"/>
      <w:kern w:val="0"/>
      <w:sz w:val="32"/>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D66B29"/>
    <w:pPr>
      <w:numPr>
        <w:numId w:val="0"/>
      </w:numPr>
      <w:spacing w:before="480" w:after="0" w:line="276" w:lineRule="auto"/>
      <w:outlineLvl w:val="9"/>
    </w:pPr>
    <w:rPr>
      <w:rFonts w:ascii="Arial" w:hAnsi="Arial"/>
      <w:bCs/>
      <w:color w:val="145B85"/>
      <w:kern w:val="0"/>
      <w:szCs w:val="28"/>
      <w:lang w:val="en-US" w:eastAsia="ja-JP"/>
    </w:rPr>
  </w:style>
  <w:style w:type="paragraph" w:styleId="TOC1">
    <w:name w:val="toc 1"/>
    <w:basedOn w:val="Normal"/>
    <w:next w:val="Normal"/>
    <w:autoRedefine/>
    <w:uiPriority w:val="39"/>
    <w:unhideWhenUsed/>
    <w:rsid w:val="00485F65"/>
    <w:pPr>
      <w:tabs>
        <w:tab w:val="right" w:leader="dot" w:pos="8820"/>
      </w:tabs>
      <w:spacing w:after="100"/>
    </w:pPr>
  </w:style>
  <w:style w:type="paragraph" w:styleId="TOC2">
    <w:name w:val="toc 2"/>
    <w:basedOn w:val="Normal"/>
    <w:next w:val="Normal"/>
    <w:autoRedefine/>
    <w:uiPriority w:val="39"/>
    <w:unhideWhenUsed/>
    <w:rsid w:val="00D60313"/>
    <w:pPr>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8530EB"/>
    <w:rPr>
      <w:sz w:val="14"/>
      <w:szCs w:val="14"/>
    </w:rPr>
  </w:style>
  <w:style w:type="character" w:customStyle="1" w:styleId="SWADisclaimerheadingChar">
    <w:name w:val="SWA Disclaimer heading Char"/>
    <w:basedOn w:val="SWATableheaderChar"/>
    <w:link w:val="SWADisclaimerheading"/>
    <w:rsid w:val="008530EB"/>
    <w:rPr>
      <w:rFonts w:ascii="Arial" w:eastAsiaTheme="majorEastAsia" w:hAnsi="Arial" w:cstheme="majorBidi"/>
      <w:b/>
      <w:color w:val="145B85"/>
      <w:spacing w:val="-3"/>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customStyle="1" w:styleId="SWASectiontitle">
    <w:name w:val="SWA Section title"/>
    <w:basedOn w:val="Title"/>
    <w:link w:val="SWASectiontitleChar"/>
    <w:qFormat/>
    <w:rsid w:val="00651D51"/>
    <w:pPr>
      <w:spacing w:before="6000"/>
      <w:jc w:val="right"/>
    </w:pPr>
    <w:rPr>
      <w:sz w:val="96"/>
      <w:szCs w:val="96"/>
    </w:rPr>
  </w:style>
  <w:style w:type="character" w:customStyle="1" w:styleId="SWASectiontitleChar">
    <w:name w:val="SWA Section title Char"/>
    <w:basedOn w:val="TitleChar"/>
    <w:link w:val="SWASectiontitle"/>
    <w:rsid w:val="00651D51"/>
    <w:rPr>
      <w:rFonts w:ascii="Arial Bold" w:eastAsiaTheme="majorEastAsia" w:hAnsi="Arial Bold" w:cs="Arial"/>
      <w:b/>
      <w:bCs/>
      <w:color w:val="C00000"/>
      <w:kern w:val="28"/>
      <w:sz w:val="96"/>
      <w:szCs w:val="96"/>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table" w:customStyle="1" w:styleId="GridTable4-Accent11">
    <w:name w:val="Grid Table 4 - Accent 11"/>
    <w:basedOn w:val="TableNormal"/>
    <w:uiPriority w:val="49"/>
    <w:rsid w:val="00E83B7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E83B7F"/>
    <w:pPr>
      <w:keepNext/>
      <w:keepLines/>
      <w:spacing w:after="80"/>
      <w:ind w:left="142" w:hanging="142"/>
    </w:pPr>
    <w:rPr>
      <w:rFonts w:ascii="Calibri" w:eastAsiaTheme="minorHAnsi" w:hAnsi="Calibri" w:cstheme="minorBidi"/>
      <w:i/>
      <w:color w:val="244061" w:themeColor="accent1" w:themeShade="80"/>
      <w:szCs w:val="20"/>
      <w:lang w:eastAsia="en-US"/>
    </w:rPr>
  </w:style>
  <w:style w:type="paragraph" w:styleId="FootnoteText">
    <w:name w:val="footnote text"/>
    <w:basedOn w:val="Normal"/>
    <w:link w:val="FootnoteTextChar"/>
    <w:uiPriority w:val="99"/>
    <w:unhideWhenUsed/>
    <w:qFormat/>
    <w:rsid w:val="00E83B7F"/>
    <w:pPr>
      <w:spacing w:line="180" w:lineRule="atLeast"/>
    </w:pPr>
    <w:rPr>
      <w:rFonts w:asciiTheme="minorHAnsi" w:eastAsiaTheme="minorHAnsi" w:hAnsiTheme="minorHAnsi" w:cstheme="minorBidi"/>
      <w:szCs w:val="20"/>
      <w:lang w:eastAsia="en-US"/>
    </w:rPr>
  </w:style>
  <w:style w:type="character" w:customStyle="1" w:styleId="FootnoteTextChar">
    <w:name w:val="Footnote Text Char"/>
    <w:basedOn w:val="DefaultParagraphFont"/>
    <w:link w:val="FootnoteText"/>
    <w:uiPriority w:val="99"/>
    <w:rsid w:val="00E83B7F"/>
    <w:rPr>
      <w:sz w:val="20"/>
      <w:szCs w:val="20"/>
    </w:rPr>
  </w:style>
  <w:style w:type="character" w:styleId="EndnoteReference">
    <w:name w:val="endnote reference"/>
    <w:basedOn w:val="DefaultParagraphFont"/>
    <w:uiPriority w:val="99"/>
    <w:unhideWhenUsed/>
    <w:rsid w:val="00065B9B"/>
    <w:rPr>
      <w:vertAlign w:val="superscript"/>
    </w:rPr>
  </w:style>
  <w:style w:type="table" w:customStyle="1" w:styleId="GridTable1Light-Accent41">
    <w:name w:val="Grid Table 1 Light - Accent 41"/>
    <w:basedOn w:val="TableNormal"/>
    <w:uiPriority w:val="46"/>
    <w:rsid w:val="00E83B7F"/>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uiPriority w:val="48"/>
    <w:rsid w:val="00E83B7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51">
    <w:name w:val="List Table 4 - Accent 51"/>
    <w:basedOn w:val="TableNormal"/>
    <w:uiPriority w:val="49"/>
    <w:rsid w:val="00E83B7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61">
    <w:name w:val="Grid Table 1 Light - Accent 61"/>
    <w:basedOn w:val="TableNormal"/>
    <w:uiPriority w:val="46"/>
    <w:rsid w:val="00E83B7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4-Accent41">
    <w:name w:val="Grid Table 4 - Accent 41"/>
    <w:basedOn w:val="TableNormal"/>
    <w:uiPriority w:val="49"/>
    <w:rsid w:val="00E83B7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21">
    <w:name w:val="Grid Table 4 - Accent 21"/>
    <w:basedOn w:val="TableNormal"/>
    <w:uiPriority w:val="49"/>
    <w:rsid w:val="00E83B7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61">
    <w:name w:val="Grid Table 4 - Accent 61"/>
    <w:basedOn w:val="TableNormal"/>
    <w:uiPriority w:val="49"/>
    <w:rsid w:val="00E83B7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FootnoteReference">
    <w:name w:val="footnote reference"/>
    <w:basedOn w:val="DefaultParagraphFont"/>
    <w:uiPriority w:val="99"/>
    <w:semiHidden/>
    <w:unhideWhenUsed/>
    <w:rsid w:val="00E83B7F"/>
    <w:rPr>
      <w:vertAlign w:val="superscript"/>
    </w:rPr>
  </w:style>
  <w:style w:type="character" w:styleId="CommentReference">
    <w:name w:val="annotation reference"/>
    <w:basedOn w:val="DefaultParagraphFont"/>
    <w:uiPriority w:val="99"/>
    <w:semiHidden/>
    <w:unhideWhenUsed/>
    <w:rsid w:val="00E83B7F"/>
    <w:rPr>
      <w:sz w:val="16"/>
      <w:szCs w:val="16"/>
    </w:rPr>
  </w:style>
  <w:style w:type="paragraph" w:styleId="CommentText">
    <w:name w:val="annotation text"/>
    <w:basedOn w:val="Normal"/>
    <w:link w:val="CommentTextChar"/>
    <w:uiPriority w:val="99"/>
    <w:semiHidden/>
    <w:unhideWhenUsed/>
    <w:rsid w:val="00E83B7F"/>
    <w:pPr>
      <w:spacing w:after="16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E83B7F"/>
    <w:rPr>
      <w:sz w:val="20"/>
      <w:szCs w:val="20"/>
    </w:rPr>
  </w:style>
  <w:style w:type="paragraph" w:styleId="CommentSubject">
    <w:name w:val="annotation subject"/>
    <w:basedOn w:val="CommentText"/>
    <w:next w:val="CommentText"/>
    <w:link w:val="CommentSubjectChar"/>
    <w:uiPriority w:val="99"/>
    <w:semiHidden/>
    <w:unhideWhenUsed/>
    <w:rsid w:val="00E83B7F"/>
    <w:rPr>
      <w:b/>
      <w:bCs/>
    </w:rPr>
  </w:style>
  <w:style w:type="character" w:customStyle="1" w:styleId="CommentSubjectChar">
    <w:name w:val="Comment Subject Char"/>
    <w:basedOn w:val="CommentTextChar"/>
    <w:link w:val="CommentSubject"/>
    <w:uiPriority w:val="99"/>
    <w:semiHidden/>
    <w:rsid w:val="00E83B7F"/>
    <w:rPr>
      <w:b/>
      <w:bCs/>
      <w:sz w:val="20"/>
      <w:szCs w:val="20"/>
    </w:rPr>
  </w:style>
  <w:style w:type="paragraph" w:styleId="EndnoteText">
    <w:name w:val="endnote text"/>
    <w:basedOn w:val="Normal"/>
    <w:link w:val="EndnoteTextChar"/>
    <w:uiPriority w:val="99"/>
    <w:unhideWhenUsed/>
    <w:qFormat/>
    <w:rsid w:val="006B23AC"/>
    <w:pPr>
      <w:spacing w:after="0"/>
    </w:pPr>
    <w:rPr>
      <w:rFonts w:eastAsiaTheme="minorHAnsi" w:cstheme="minorBidi"/>
      <w:szCs w:val="20"/>
      <w:lang w:eastAsia="en-US"/>
    </w:rPr>
  </w:style>
  <w:style w:type="character" w:customStyle="1" w:styleId="EndnoteTextChar">
    <w:name w:val="Endnote Text Char"/>
    <w:basedOn w:val="DefaultParagraphFont"/>
    <w:link w:val="EndnoteText"/>
    <w:uiPriority w:val="99"/>
    <w:rsid w:val="006B23AC"/>
    <w:rPr>
      <w:rFonts w:ascii="Arial" w:hAnsi="Arial"/>
      <w:sz w:val="20"/>
      <w:szCs w:val="20"/>
    </w:rPr>
  </w:style>
  <w:style w:type="character" w:styleId="SubtleReference">
    <w:name w:val="Subtle Reference"/>
    <w:uiPriority w:val="31"/>
    <w:qFormat/>
    <w:rsid w:val="00E83B7F"/>
    <w:rPr>
      <w:rFonts w:ascii="Calibri" w:hAnsi="Calibri" w:cs="Calibri"/>
      <w:i/>
      <w:color w:val="244061" w:themeColor="accent1" w:themeShade="80"/>
      <w:sz w:val="20"/>
      <w:lang w:val="en"/>
    </w:rPr>
  </w:style>
  <w:style w:type="table" w:customStyle="1" w:styleId="PlainTable51">
    <w:name w:val="Plain Table 51"/>
    <w:basedOn w:val="TableNormal"/>
    <w:uiPriority w:val="45"/>
    <w:rsid w:val="00E83B7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E83B7F"/>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E83B7F"/>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IntenseEmphasis">
    <w:name w:val="Intense Emphasis"/>
    <w:basedOn w:val="DefaultParagraphFont"/>
    <w:uiPriority w:val="21"/>
    <w:qFormat/>
    <w:rsid w:val="00E83B7F"/>
    <w:rPr>
      <w:i/>
      <w:iCs/>
      <w:color w:val="4F81BD" w:themeColor="accent1"/>
    </w:rPr>
  </w:style>
  <w:style w:type="table" w:customStyle="1" w:styleId="GridTable3-Accent21">
    <w:name w:val="Grid Table 3 - Accent 21"/>
    <w:basedOn w:val="TableNormal"/>
    <w:uiPriority w:val="48"/>
    <w:rsid w:val="00E83B7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2-Accent51">
    <w:name w:val="Grid Table 2 - Accent 51"/>
    <w:basedOn w:val="TableNormal"/>
    <w:uiPriority w:val="47"/>
    <w:rsid w:val="00E83B7F"/>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41">
    <w:name w:val="Grid Table 2 - Accent 41"/>
    <w:basedOn w:val="TableNormal"/>
    <w:uiPriority w:val="47"/>
    <w:rsid w:val="00E83B7F"/>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61">
    <w:name w:val="Grid Table 2 - Accent 61"/>
    <w:basedOn w:val="TableNormal"/>
    <w:uiPriority w:val="47"/>
    <w:rsid w:val="00E83B7F"/>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OC4">
    <w:name w:val="toc 4"/>
    <w:basedOn w:val="Normal"/>
    <w:next w:val="Normal"/>
    <w:autoRedefine/>
    <w:uiPriority w:val="39"/>
    <w:unhideWhenUsed/>
    <w:rsid w:val="00E83B7F"/>
    <w:pPr>
      <w:spacing w:line="259" w:lineRule="auto"/>
      <w:ind w:left="660"/>
    </w:pPr>
    <w:rPr>
      <w:rFonts w:asciiTheme="minorHAnsi" w:eastAsiaTheme="minorHAnsi" w:hAnsiTheme="minorHAnsi" w:cstheme="minorBidi"/>
      <w:sz w:val="18"/>
      <w:szCs w:val="18"/>
      <w:lang w:eastAsia="en-US"/>
    </w:rPr>
  </w:style>
  <w:style w:type="paragraph" w:styleId="TOC5">
    <w:name w:val="toc 5"/>
    <w:basedOn w:val="Normal"/>
    <w:next w:val="Normal"/>
    <w:autoRedefine/>
    <w:uiPriority w:val="39"/>
    <w:unhideWhenUsed/>
    <w:rsid w:val="00E83B7F"/>
    <w:pPr>
      <w:spacing w:line="259" w:lineRule="auto"/>
      <w:ind w:left="880"/>
    </w:pPr>
    <w:rPr>
      <w:rFonts w:asciiTheme="minorHAnsi" w:eastAsiaTheme="minorHAnsi" w:hAnsiTheme="minorHAnsi" w:cstheme="minorBidi"/>
      <w:sz w:val="18"/>
      <w:szCs w:val="18"/>
      <w:lang w:eastAsia="en-US"/>
    </w:rPr>
  </w:style>
  <w:style w:type="paragraph" w:styleId="TOC6">
    <w:name w:val="toc 6"/>
    <w:basedOn w:val="Normal"/>
    <w:next w:val="Normal"/>
    <w:autoRedefine/>
    <w:uiPriority w:val="39"/>
    <w:unhideWhenUsed/>
    <w:rsid w:val="00E83B7F"/>
    <w:pPr>
      <w:spacing w:line="259" w:lineRule="auto"/>
      <w:ind w:left="1100"/>
    </w:pPr>
    <w:rPr>
      <w:rFonts w:asciiTheme="minorHAnsi" w:eastAsiaTheme="minorHAnsi" w:hAnsiTheme="minorHAnsi" w:cstheme="minorBidi"/>
      <w:sz w:val="18"/>
      <w:szCs w:val="18"/>
      <w:lang w:eastAsia="en-US"/>
    </w:rPr>
  </w:style>
  <w:style w:type="paragraph" w:styleId="TOC7">
    <w:name w:val="toc 7"/>
    <w:basedOn w:val="Normal"/>
    <w:next w:val="Normal"/>
    <w:autoRedefine/>
    <w:uiPriority w:val="39"/>
    <w:unhideWhenUsed/>
    <w:rsid w:val="00E83B7F"/>
    <w:pPr>
      <w:spacing w:line="259" w:lineRule="auto"/>
      <w:ind w:left="1320"/>
    </w:pPr>
    <w:rPr>
      <w:rFonts w:asciiTheme="minorHAnsi" w:eastAsiaTheme="minorHAnsi" w:hAnsiTheme="minorHAnsi" w:cstheme="minorBidi"/>
      <w:sz w:val="18"/>
      <w:szCs w:val="18"/>
      <w:lang w:eastAsia="en-US"/>
    </w:rPr>
  </w:style>
  <w:style w:type="paragraph" w:styleId="TOC9">
    <w:name w:val="toc 9"/>
    <w:basedOn w:val="Normal"/>
    <w:next w:val="Normal"/>
    <w:autoRedefine/>
    <w:uiPriority w:val="39"/>
    <w:unhideWhenUsed/>
    <w:rsid w:val="00E83B7F"/>
    <w:pPr>
      <w:spacing w:line="259" w:lineRule="auto"/>
      <w:ind w:left="1760"/>
    </w:pPr>
    <w:rPr>
      <w:rFonts w:asciiTheme="minorHAnsi" w:eastAsiaTheme="minorHAnsi" w:hAnsiTheme="minorHAnsi" w:cstheme="minorBidi"/>
      <w:sz w:val="18"/>
      <w:szCs w:val="18"/>
      <w:lang w:eastAsia="en-US"/>
    </w:rPr>
  </w:style>
  <w:style w:type="paragraph" w:styleId="TableofFigures">
    <w:name w:val="table of figures"/>
    <w:basedOn w:val="Normal"/>
    <w:next w:val="Normal"/>
    <w:uiPriority w:val="99"/>
    <w:unhideWhenUsed/>
    <w:rsid w:val="004676AD"/>
    <w:pPr>
      <w:spacing w:line="259" w:lineRule="auto"/>
      <w:ind w:left="440" w:hanging="440"/>
    </w:pPr>
    <w:rPr>
      <w:rFonts w:eastAsiaTheme="minorHAnsi" w:cstheme="minorBidi"/>
      <w:szCs w:val="20"/>
      <w:lang w:eastAsia="en-US"/>
    </w:rPr>
  </w:style>
  <w:style w:type="paragraph" w:styleId="HTMLPreformatted">
    <w:name w:val="HTML Preformatted"/>
    <w:basedOn w:val="Normal"/>
    <w:link w:val="HTMLPreformattedChar"/>
    <w:uiPriority w:val="99"/>
    <w:semiHidden/>
    <w:unhideWhenUsed/>
    <w:rsid w:val="00E83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E83B7F"/>
    <w:rPr>
      <w:rFonts w:ascii="Courier New" w:eastAsia="Times New Roman" w:hAnsi="Courier New" w:cs="Courier New"/>
      <w:sz w:val="20"/>
      <w:szCs w:val="20"/>
      <w:lang w:eastAsia="en-AU"/>
    </w:rPr>
  </w:style>
  <w:style w:type="paragraph" w:styleId="Revision">
    <w:name w:val="Revision"/>
    <w:hidden/>
    <w:uiPriority w:val="99"/>
    <w:semiHidden/>
    <w:rsid w:val="00E83B7F"/>
    <w:pPr>
      <w:spacing w:after="0" w:line="240" w:lineRule="auto"/>
    </w:pPr>
  </w:style>
  <w:style w:type="paragraph" w:styleId="ListNumber">
    <w:name w:val="List Number"/>
    <w:basedOn w:val="Normal"/>
    <w:uiPriority w:val="99"/>
    <w:unhideWhenUsed/>
    <w:rsid w:val="00D57E73"/>
    <w:pPr>
      <w:numPr>
        <w:numId w:val="12"/>
      </w:numPr>
      <w:contextualSpacing/>
    </w:pPr>
  </w:style>
  <w:style w:type="character" w:customStyle="1" w:styleId="Heading6Char">
    <w:name w:val="Heading 6 Char"/>
    <w:basedOn w:val="DefaultParagraphFont"/>
    <w:link w:val="Heading6"/>
    <w:uiPriority w:val="9"/>
    <w:semiHidden/>
    <w:rsid w:val="00810C18"/>
    <w:rPr>
      <w:rFonts w:ascii="Arial" w:eastAsiaTheme="majorEastAsia" w:hAnsi="Arial" w:cstheme="majorBidi"/>
      <w:i/>
      <w:iCs/>
      <w:color w:val="243F60" w:themeColor="accent1" w:themeShade="7F"/>
      <w:sz w:val="20"/>
      <w:szCs w:val="24"/>
      <w:lang w:eastAsia="en-AU"/>
    </w:rPr>
  </w:style>
  <w:style w:type="paragraph" w:styleId="Subtitle">
    <w:name w:val="Subtitle"/>
    <w:basedOn w:val="Normal"/>
    <w:next w:val="Normal"/>
    <w:link w:val="SubtitleChar"/>
    <w:uiPriority w:val="11"/>
    <w:rsid w:val="00D478BB"/>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D478BB"/>
    <w:rPr>
      <w:rFonts w:ascii="Arial" w:eastAsiaTheme="majorEastAsia" w:hAnsi="Arial" w:cstheme="majorBidi"/>
      <w:i/>
      <w:iCs/>
      <w:color w:val="4F81BD" w:themeColor="accent1"/>
      <w:spacing w:val="15"/>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WA Normal"/>
    <w:qFormat/>
    <w:rsid w:val="00810C18"/>
    <w:pPr>
      <w:spacing w:after="120" w:line="240" w:lineRule="auto"/>
    </w:pPr>
    <w:rPr>
      <w:rFonts w:ascii="Arial" w:eastAsia="Times New Roman" w:hAnsi="Arial" w:cs="Times New Roman"/>
      <w:sz w:val="20"/>
      <w:szCs w:val="24"/>
      <w:lang w:eastAsia="en-AU"/>
    </w:rPr>
  </w:style>
  <w:style w:type="paragraph" w:styleId="Heading1">
    <w:name w:val="heading 1"/>
    <w:aliases w:val="SWA Heading 1"/>
    <w:basedOn w:val="Normal"/>
    <w:next w:val="Normal"/>
    <w:link w:val="Heading1Char"/>
    <w:uiPriority w:val="9"/>
    <w:qFormat/>
    <w:rsid w:val="007903D2"/>
    <w:pPr>
      <w:keepNext/>
      <w:keepLines/>
      <w:pageBreakBefore/>
      <w:numPr>
        <w:numId w:val="19"/>
      </w:numPr>
      <w:spacing w:after="240"/>
      <w:ind w:left="567" w:hanging="567"/>
      <w:outlineLvl w:val="0"/>
    </w:pPr>
    <w:rPr>
      <w:rFonts w:ascii="Arial Bold" w:eastAsiaTheme="majorEastAsia" w:hAnsi="Arial Bold" w:cs="Arial"/>
      <w:b/>
      <w:kern w:val="32"/>
      <w:sz w:val="28"/>
      <w:szCs w:val="22"/>
    </w:rPr>
  </w:style>
  <w:style w:type="paragraph" w:styleId="Heading2">
    <w:name w:val="heading 2"/>
    <w:basedOn w:val="Normal"/>
    <w:next w:val="Normal"/>
    <w:link w:val="Heading2Char"/>
    <w:uiPriority w:val="4"/>
    <w:qFormat/>
    <w:rsid w:val="001A004E"/>
    <w:pPr>
      <w:keepNext/>
      <w:numPr>
        <w:ilvl w:val="1"/>
        <w:numId w:val="19"/>
      </w:numPr>
      <w:spacing w:before="240"/>
      <w:ind w:left="567" w:hanging="567"/>
      <w:outlineLvl w:val="1"/>
    </w:pPr>
    <w:rPr>
      <w:rFonts w:eastAsiaTheme="minorHAnsi" w:cstheme="minorBidi"/>
      <w:b/>
      <w:color w:val="000000" w:themeColor="text1"/>
      <w:sz w:val="24"/>
      <w:lang w:eastAsia="en-US"/>
    </w:rPr>
  </w:style>
  <w:style w:type="paragraph" w:styleId="Heading3">
    <w:name w:val="heading 3"/>
    <w:aliases w:val="SWA Heading 3"/>
    <w:basedOn w:val="Normal"/>
    <w:next w:val="Normal"/>
    <w:link w:val="Heading3Char"/>
    <w:uiPriority w:val="9"/>
    <w:qFormat/>
    <w:rsid w:val="001A004E"/>
    <w:pPr>
      <w:keepNext/>
      <w:keepLines/>
      <w:overflowPunct w:val="0"/>
      <w:autoSpaceDE w:val="0"/>
      <w:autoSpaceDN w:val="0"/>
      <w:adjustRightInd w:val="0"/>
      <w:textAlignment w:val="baseline"/>
      <w:outlineLvl w:val="2"/>
    </w:pPr>
    <w:rPr>
      <w:rFonts w:ascii="Arial Bold" w:eastAsiaTheme="majorEastAsia" w:hAnsi="Arial Bold" w:cstheme="majorBidi"/>
      <w:b/>
      <w:color w:val="145B85"/>
      <w:szCs w:val="20"/>
      <w:lang w:eastAsia="en-US"/>
    </w:rPr>
  </w:style>
  <w:style w:type="paragraph" w:styleId="Heading4">
    <w:name w:val="heading 4"/>
    <w:aliases w:val="SWA Heading 4,N="/>
    <w:basedOn w:val="Normal"/>
    <w:next w:val="Normal"/>
    <w:link w:val="Heading4Char"/>
    <w:uiPriority w:val="9"/>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paragraph" w:styleId="Heading5">
    <w:name w:val="heading 5"/>
    <w:basedOn w:val="Normal"/>
    <w:next w:val="Normal"/>
    <w:link w:val="Heading5Char"/>
    <w:uiPriority w:val="9"/>
    <w:unhideWhenUsed/>
    <w:qFormat/>
    <w:rsid w:val="00D0614E"/>
    <w:pPr>
      <w:keepNext/>
      <w:keepLines/>
      <w:spacing w:before="40" w:after="240" w:line="259" w:lineRule="auto"/>
      <w:outlineLvl w:val="4"/>
    </w:pPr>
    <w:rPr>
      <w:rFonts w:eastAsiaTheme="majorEastAsia" w:cstheme="majorBidi"/>
      <w:color w:val="365F91" w:themeColor="accent1" w:themeShade="BF"/>
      <w:sz w:val="22"/>
      <w:szCs w:val="22"/>
      <w:lang w:val="en" w:eastAsia="en-US"/>
    </w:rPr>
  </w:style>
  <w:style w:type="paragraph" w:styleId="Heading6">
    <w:name w:val="heading 6"/>
    <w:basedOn w:val="Normal"/>
    <w:next w:val="Normal"/>
    <w:link w:val="Heading6Char"/>
    <w:uiPriority w:val="9"/>
    <w:semiHidden/>
    <w:unhideWhenUsed/>
    <w:qFormat/>
    <w:rsid w:val="00810C18"/>
    <w:pPr>
      <w:keepNext/>
      <w:keepLines/>
      <w:spacing w:before="200" w:after="0"/>
      <w:outlineLvl w:val="5"/>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uiPriority w:val="9"/>
    <w:rsid w:val="007903D2"/>
    <w:rPr>
      <w:rFonts w:ascii="Arial Bold" w:eastAsiaTheme="majorEastAsia" w:hAnsi="Arial Bold" w:cs="Arial"/>
      <w:b/>
      <w:kern w:val="32"/>
      <w:sz w:val="28"/>
      <w:lang w:eastAsia="en-AU"/>
    </w:rPr>
  </w:style>
  <w:style w:type="character" w:customStyle="1" w:styleId="Heading2Char">
    <w:name w:val="Heading 2 Char"/>
    <w:basedOn w:val="DefaultParagraphFont"/>
    <w:link w:val="Heading2"/>
    <w:uiPriority w:val="4"/>
    <w:rsid w:val="001A004E"/>
    <w:rPr>
      <w:rFonts w:ascii="Arial" w:hAnsi="Arial"/>
      <w:b/>
      <w:color w:val="000000" w:themeColor="text1"/>
      <w:sz w:val="24"/>
      <w:szCs w:val="24"/>
    </w:rPr>
  </w:style>
  <w:style w:type="character" w:customStyle="1" w:styleId="Heading3Char">
    <w:name w:val="Heading 3 Char"/>
    <w:aliases w:val="SWA Heading 3 Char"/>
    <w:basedOn w:val="DefaultParagraphFont"/>
    <w:link w:val="Heading3"/>
    <w:uiPriority w:val="9"/>
    <w:rsid w:val="001A004E"/>
    <w:rPr>
      <w:rFonts w:ascii="Arial Bold" w:eastAsiaTheme="majorEastAsia" w:hAnsi="Arial Bold" w:cstheme="majorBidi"/>
      <w:b/>
      <w:color w:val="145B85"/>
      <w:sz w:val="20"/>
      <w:szCs w:val="20"/>
    </w:rPr>
  </w:style>
  <w:style w:type="character" w:customStyle="1" w:styleId="Heading4Char">
    <w:name w:val="Heading 4 Char"/>
    <w:aliases w:val="SWA Heading 4 Char,N= Char"/>
    <w:basedOn w:val="DefaultParagraphFont"/>
    <w:link w:val="Heading4"/>
    <w:uiPriority w:val="9"/>
    <w:rsid w:val="003411E8"/>
    <w:rPr>
      <w:rFonts w:ascii="Arial" w:eastAsiaTheme="majorEastAsia" w:hAnsi="Arial" w:cstheme="majorBidi"/>
      <w:b/>
      <w:spacing w:val="-3"/>
      <w:sz w:val="20"/>
    </w:rPr>
  </w:style>
  <w:style w:type="character" w:customStyle="1" w:styleId="Heading5Char">
    <w:name w:val="Heading 5 Char"/>
    <w:basedOn w:val="DefaultParagraphFont"/>
    <w:link w:val="Heading5"/>
    <w:uiPriority w:val="9"/>
    <w:rsid w:val="00D0614E"/>
    <w:rPr>
      <w:rFonts w:ascii="Arial" w:eastAsiaTheme="majorEastAsia" w:hAnsi="Arial" w:cstheme="majorBidi"/>
      <w:color w:val="365F91" w:themeColor="accent1" w:themeShade="BF"/>
      <w:lang w:val="en"/>
    </w:rPr>
  </w:style>
  <w:style w:type="paragraph" w:styleId="Title">
    <w:name w:val="Title"/>
    <w:aliases w:val="SWA Title"/>
    <w:basedOn w:val="Normal"/>
    <w:link w:val="TitleChar"/>
    <w:uiPriority w:val="10"/>
    <w:qFormat/>
    <w:rsid w:val="008530EB"/>
    <w:pPr>
      <w:tabs>
        <w:tab w:val="center" w:pos="8222"/>
      </w:tabs>
      <w:overflowPunct w:val="0"/>
      <w:autoSpaceDE w:val="0"/>
      <w:autoSpaceDN w:val="0"/>
      <w:adjustRightInd w:val="0"/>
      <w:spacing w:before="240" w:after="60"/>
      <w:textAlignment w:val="baseline"/>
      <w:outlineLvl w:val="0"/>
    </w:pPr>
    <w:rPr>
      <w:rFonts w:ascii="Arial Bold" w:eastAsiaTheme="majorEastAsia" w:hAnsi="Arial Bold" w:cs="Arial"/>
      <w:b/>
      <w:bCs/>
      <w:color w:val="145B85"/>
      <w:kern w:val="28"/>
      <w:sz w:val="36"/>
      <w:szCs w:val="32"/>
      <w:lang w:eastAsia="en-US"/>
    </w:rPr>
  </w:style>
  <w:style w:type="character" w:customStyle="1" w:styleId="TitleChar">
    <w:name w:val="Title Char"/>
    <w:aliases w:val="SWA Title Char"/>
    <w:basedOn w:val="DefaultParagraphFont"/>
    <w:link w:val="Title"/>
    <w:uiPriority w:val="10"/>
    <w:rsid w:val="008530EB"/>
    <w:rPr>
      <w:rFonts w:ascii="Arial Bold" w:eastAsiaTheme="majorEastAsia" w:hAnsi="Arial Bold" w:cs="Arial"/>
      <w:b/>
      <w:bCs/>
      <w:color w:val="145B85"/>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CC14A7"/>
    <w:rPr>
      <w:caps w:val="0"/>
      <w:smallCaps w:val="0"/>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3411E8"/>
    <w:pPr>
      <w:tabs>
        <w:tab w:val="center" w:pos="4513"/>
        <w:tab w:val="right" w:pos="9026"/>
      </w:tabs>
    </w:pPr>
  </w:style>
  <w:style w:type="character" w:customStyle="1" w:styleId="FooterChar">
    <w:name w:val="Footer Char"/>
    <w:basedOn w:val="DefaultParagraphFont"/>
    <w:link w:val="Footer"/>
    <w:uiPriority w:val="99"/>
    <w:rsid w:val="003411E8"/>
    <w:rPr>
      <w:rFonts w:ascii="Arial" w:eastAsia="Times New Roman" w:hAnsi="Arial" w:cs="Times New Roman"/>
      <w:sz w:val="20"/>
      <w:szCs w:val="24"/>
      <w:lang w:eastAsia="en-AU"/>
    </w:rPr>
  </w:style>
  <w:style w:type="paragraph" w:styleId="BalloonText">
    <w:name w:val="Balloon Text"/>
    <w:basedOn w:val="Normal"/>
    <w:link w:val="BalloonTextChar"/>
    <w:uiPriority w:val="99"/>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paragraph" w:customStyle="1" w:styleId="SWACoverHeader">
    <w:name w:val="SWA Cover Header"/>
    <w:basedOn w:val="Title"/>
    <w:link w:val="SWACoverHeaderChar"/>
    <w:qFormat/>
    <w:rsid w:val="004704F2"/>
    <w:pPr>
      <w:spacing w:before="5000"/>
    </w:pPr>
    <w:rPr>
      <w:color w:val="FFFFFF" w:themeColor="background1"/>
      <w:sz w:val="96"/>
      <w:szCs w:val="96"/>
    </w:rPr>
  </w:style>
  <w:style w:type="character" w:customStyle="1" w:styleId="SWACoverHeaderChar">
    <w:name w:val="SWA Cover Header Char"/>
    <w:basedOn w:val="TitleChar"/>
    <w:link w:val="SWACoverHeader"/>
    <w:rsid w:val="004704F2"/>
    <w:rPr>
      <w:rFonts w:ascii="Arial Bold" w:eastAsiaTheme="majorEastAsia" w:hAnsi="Arial Bold" w:cs="Arial"/>
      <w:b/>
      <w:bCs/>
      <w:color w:val="FFFFFF" w:themeColor="background1"/>
      <w:kern w:val="28"/>
      <w:sz w:val="96"/>
      <w:szCs w:val="96"/>
    </w:rPr>
  </w:style>
  <w:style w:type="paragraph" w:customStyle="1" w:styleId="Normaltwocolumn">
    <w:name w:val="Normal two column"/>
    <w:basedOn w:val="Normal"/>
    <w:link w:val="NormaltwocolumnChar"/>
    <w:rsid w:val="00365B5C"/>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paragraph" w:customStyle="1" w:styleId="SWACoverintroparagraph">
    <w:name w:val="SWA Cover intro paragraph"/>
    <w:basedOn w:val="BasicParagraph"/>
    <w:link w:val="SWACoverintroparagraphChar"/>
    <w:qFormat/>
    <w:rsid w:val="008530EB"/>
    <w:pPr>
      <w:suppressAutoHyphens/>
    </w:pPr>
    <w:rPr>
      <w:rFonts w:ascii="Arial" w:hAnsi="Arial" w:cs="Arial"/>
      <w:color w:val="145B85"/>
      <w:sz w:val="30"/>
      <w:szCs w:val="30"/>
    </w:rPr>
  </w:style>
  <w:style w:type="character" w:customStyle="1" w:styleId="SWACoverintroparagraphChar">
    <w:name w:val="SWA Cover intro paragraph Char"/>
    <w:basedOn w:val="BasicParagraphChar"/>
    <w:link w:val="SWACoverintroparagraph"/>
    <w:rsid w:val="008530EB"/>
    <w:rPr>
      <w:rFonts w:ascii="Arial" w:hAnsi="Arial" w:cs="Arial"/>
      <w:color w:val="145B85"/>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3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693E6D"/>
    <w:pPr>
      <w:spacing w:before="120" w:after="12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145B85"/>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shd w:val="clear" w:color="auto" w:fill="C9E5F7"/>
      </w:tcPr>
    </w:tblStylePr>
    <w:tblStylePr w:type="band1Horz">
      <w:tblPr/>
      <w:tcPr>
        <w:shd w:val="clear" w:color="auto" w:fill="C9E5F7"/>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D66E7E"/>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character" w:customStyle="1" w:styleId="SWAFeaturetextChar">
    <w:name w:val="SWA Feature text Char"/>
    <w:basedOn w:val="DefaultParagraphFont"/>
    <w:link w:val="SWAFeaturetext"/>
    <w:rsid w:val="00D66E7E"/>
    <w:rPr>
      <w:rFonts w:ascii="Arial" w:eastAsia="Times New Roman" w:hAnsi="Arial" w:cs="Times New Roman"/>
      <w:sz w:val="20"/>
      <w:szCs w:val="24"/>
      <w:shd w:val="clear" w:color="auto" w:fill="F2F2F2" w:themeFill="background1" w:themeFillShade="F2"/>
      <w:lang w:eastAsia="en-AU"/>
    </w:r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FeaturePageHeadingChar">
    <w:name w:val="Feature Page Heading Char"/>
    <w:basedOn w:val="Heading1Char"/>
    <w:link w:val="FeaturePageHeading"/>
    <w:rsid w:val="00D66E7E"/>
    <w:rPr>
      <w:rFonts w:ascii="Arial Bold" w:eastAsiaTheme="majorEastAsia" w:hAnsi="Arial Bold" w:cs="Arial"/>
      <w:b/>
      <w:kern w:val="32"/>
      <w:sz w:val="28"/>
      <w:shd w:val="clear" w:color="auto" w:fill="F2F2F2" w:themeFill="background1" w:themeFillShade="F2"/>
      <w:lang w:eastAsia="en-AU"/>
    </w:rPr>
  </w:style>
  <w:style w:type="paragraph" w:customStyle="1" w:styleId="FeatureHeading">
    <w:name w:val="Feature Heading"/>
    <w:basedOn w:val="SWAFeaturetext"/>
    <w:link w:val="FeatureHeadingChar"/>
    <w:rsid w:val="00E83B7F"/>
    <w:rPr>
      <w:b/>
      <w:color w:val="145B85"/>
      <w:sz w:val="28"/>
      <w:szCs w:val="28"/>
    </w:rPr>
  </w:style>
  <w:style w:type="character" w:customStyle="1" w:styleId="FeatureHeadingChar">
    <w:name w:val="Feature Heading Char"/>
    <w:basedOn w:val="SWAFeaturetextChar"/>
    <w:link w:val="FeatureHeading"/>
    <w:rsid w:val="00E83B7F"/>
    <w:rPr>
      <w:rFonts w:ascii="Arial" w:eastAsia="Times New Roman" w:hAnsi="Arial" w:cs="Times New Roman"/>
      <w:b/>
      <w:color w:val="145B85"/>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8530E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noProof/>
      <w:color w:val="145B85"/>
    </w:rPr>
  </w:style>
  <w:style w:type="character" w:customStyle="1" w:styleId="SWAFeaturepagetitleChar">
    <w:name w:val="SWA Feature page title Char"/>
    <w:basedOn w:val="Heading1Char"/>
    <w:link w:val="SWAFeaturepagetitle"/>
    <w:rsid w:val="008530EB"/>
    <w:rPr>
      <w:rFonts w:ascii="Arial Bold" w:eastAsiaTheme="majorEastAsia" w:hAnsi="Arial Bold" w:cs="Arial"/>
      <w:b/>
      <w:noProof/>
      <w:color w:val="145B85"/>
      <w:kern w:val="32"/>
      <w:sz w:val="28"/>
      <w:shd w:val="clear" w:color="auto" w:fill="F2F2F2" w:themeFill="background1" w:themeFillShade="F2"/>
      <w:lang w:eastAsia="en-AU"/>
    </w:rPr>
  </w:style>
  <w:style w:type="paragraph" w:customStyle="1" w:styleId="SWA1stHeading">
    <w:name w:val="SWA 1st Heading"/>
    <w:basedOn w:val="Heading1"/>
    <w:next w:val="Normal"/>
    <w:qFormat/>
    <w:rsid w:val="008530EB"/>
    <w:pPr>
      <w:spacing w:before="360"/>
      <w:ind w:left="709" w:hanging="709"/>
    </w:pPr>
    <w:rPr>
      <w:rFonts w:ascii="Arial" w:hAnsi="Arial"/>
      <w:color w:val="145B85"/>
      <w:kern w:val="0"/>
      <w:sz w:val="32"/>
    </w:rPr>
  </w:style>
  <w:style w:type="paragraph" w:customStyle="1" w:styleId="WhiteHeading">
    <w:name w:val="White Heading"/>
    <w:basedOn w:val="Normal"/>
    <w:next w:val="Normal"/>
    <w:rsid w:val="00977671"/>
    <w:pPr>
      <w:keepNext/>
      <w:numPr>
        <w:numId w:val="1"/>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before="120"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paragraph" w:customStyle="1" w:styleId="SWABullets">
    <w:name w:val="SWA Bullets"/>
    <w:basedOn w:val="ListParagraph"/>
    <w:link w:val="SWABulletsChar"/>
    <w:qFormat/>
    <w:rsid w:val="00CA2B01"/>
    <w:pPr>
      <w:numPr>
        <w:numId w:val="2"/>
      </w:numPr>
    </w:pPr>
  </w:style>
  <w:style w:type="character" w:customStyle="1" w:styleId="SWABulletsChar">
    <w:name w:val="SWA Bullets Char"/>
    <w:basedOn w:val="ListParagraphChar"/>
    <w:link w:val="SWABullets"/>
    <w:rsid w:val="00CA2B01"/>
    <w:rPr>
      <w:rFonts w:ascii="Arial" w:eastAsia="Times New Roman" w:hAnsi="Arial" w:cs="Times New Roman"/>
      <w:sz w:val="20"/>
      <w:szCs w:val="20"/>
      <w:lang w:eastAsia="en-AU"/>
    </w:rPr>
  </w:style>
  <w:style w:type="paragraph" w:customStyle="1" w:styleId="SWATableheader">
    <w:name w:val="SWA Table header"/>
    <w:link w:val="SWATableheaderChar"/>
    <w:qFormat/>
    <w:rsid w:val="00C066B8"/>
    <w:pPr>
      <w:spacing w:after="120"/>
    </w:pPr>
    <w:rPr>
      <w:rFonts w:ascii="Arial" w:eastAsiaTheme="majorEastAsia" w:hAnsi="Arial" w:cstheme="majorBidi"/>
      <w:b/>
      <w:color w:val="145B85"/>
      <w:spacing w:val="-3"/>
      <w:sz w:val="20"/>
    </w:rPr>
  </w:style>
  <w:style w:type="character" w:customStyle="1" w:styleId="SWATableheaderChar">
    <w:name w:val="SWA Table header Char"/>
    <w:basedOn w:val="Heading4Char"/>
    <w:link w:val="SWATableheader"/>
    <w:rsid w:val="00C066B8"/>
    <w:rPr>
      <w:rFonts w:ascii="Arial" w:eastAsiaTheme="majorEastAsia" w:hAnsi="Arial" w:cstheme="majorBidi"/>
      <w:b/>
      <w:color w:val="145B85"/>
      <w:spacing w:val="-3"/>
      <w:sz w:val="20"/>
    </w:rPr>
  </w:style>
  <w:style w:type="paragraph" w:customStyle="1" w:styleId="SWASectionnumberingheading">
    <w:name w:val="SWA Section numbering heading"/>
    <w:basedOn w:val="Heading1"/>
    <w:next w:val="Normal"/>
    <w:qFormat/>
    <w:rsid w:val="008530EB"/>
    <w:pPr>
      <w:numPr>
        <w:ilvl w:val="1"/>
        <w:numId w:val="1"/>
      </w:numPr>
      <w:spacing w:before="360"/>
      <w:ind w:left="709" w:hanging="709"/>
    </w:pPr>
    <w:rPr>
      <w:rFonts w:ascii="Arial" w:eastAsiaTheme="minorHAnsi" w:hAnsi="Arial"/>
      <w:color w:val="145B85"/>
      <w:kern w:val="0"/>
      <w:sz w:val="32"/>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D66B29"/>
    <w:pPr>
      <w:numPr>
        <w:numId w:val="0"/>
      </w:numPr>
      <w:spacing w:before="480" w:after="0" w:line="276" w:lineRule="auto"/>
      <w:outlineLvl w:val="9"/>
    </w:pPr>
    <w:rPr>
      <w:rFonts w:ascii="Arial" w:hAnsi="Arial"/>
      <w:bCs/>
      <w:color w:val="145B85"/>
      <w:kern w:val="0"/>
      <w:szCs w:val="28"/>
      <w:lang w:val="en-US" w:eastAsia="ja-JP"/>
    </w:rPr>
  </w:style>
  <w:style w:type="paragraph" w:styleId="TOC1">
    <w:name w:val="toc 1"/>
    <w:basedOn w:val="Normal"/>
    <w:next w:val="Normal"/>
    <w:autoRedefine/>
    <w:uiPriority w:val="39"/>
    <w:unhideWhenUsed/>
    <w:rsid w:val="00485F65"/>
    <w:pPr>
      <w:tabs>
        <w:tab w:val="right" w:leader="dot" w:pos="8820"/>
      </w:tabs>
      <w:spacing w:after="100"/>
    </w:pPr>
  </w:style>
  <w:style w:type="paragraph" w:styleId="TOC2">
    <w:name w:val="toc 2"/>
    <w:basedOn w:val="Normal"/>
    <w:next w:val="Normal"/>
    <w:autoRedefine/>
    <w:uiPriority w:val="39"/>
    <w:unhideWhenUsed/>
    <w:rsid w:val="00D60313"/>
    <w:pPr>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8530EB"/>
    <w:rPr>
      <w:sz w:val="14"/>
      <w:szCs w:val="14"/>
    </w:rPr>
  </w:style>
  <w:style w:type="character" w:customStyle="1" w:styleId="SWADisclaimerheadingChar">
    <w:name w:val="SWA Disclaimer heading Char"/>
    <w:basedOn w:val="SWATableheaderChar"/>
    <w:link w:val="SWADisclaimerheading"/>
    <w:rsid w:val="008530EB"/>
    <w:rPr>
      <w:rFonts w:ascii="Arial" w:eastAsiaTheme="majorEastAsia" w:hAnsi="Arial" w:cstheme="majorBidi"/>
      <w:b/>
      <w:color w:val="145B85"/>
      <w:spacing w:val="-3"/>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customStyle="1" w:styleId="SWASectiontitle">
    <w:name w:val="SWA Section title"/>
    <w:basedOn w:val="Title"/>
    <w:link w:val="SWASectiontitleChar"/>
    <w:qFormat/>
    <w:rsid w:val="00651D51"/>
    <w:pPr>
      <w:spacing w:before="6000"/>
      <w:jc w:val="right"/>
    </w:pPr>
    <w:rPr>
      <w:sz w:val="96"/>
      <w:szCs w:val="96"/>
    </w:rPr>
  </w:style>
  <w:style w:type="character" w:customStyle="1" w:styleId="SWASectiontitleChar">
    <w:name w:val="SWA Section title Char"/>
    <w:basedOn w:val="TitleChar"/>
    <w:link w:val="SWASectiontitle"/>
    <w:rsid w:val="00651D51"/>
    <w:rPr>
      <w:rFonts w:ascii="Arial Bold" w:eastAsiaTheme="majorEastAsia" w:hAnsi="Arial Bold" w:cs="Arial"/>
      <w:b/>
      <w:bCs/>
      <w:color w:val="C00000"/>
      <w:kern w:val="28"/>
      <w:sz w:val="96"/>
      <w:szCs w:val="96"/>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table" w:customStyle="1" w:styleId="GridTable4-Accent11">
    <w:name w:val="Grid Table 4 - Accent 11"/>
    <w:basedOn w:val="TableNormal"/>
    <w:uiPriority w:val="49"/>
    <w:rsid w:val="00E83B7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E83B7F"/>
    <w:pPr>
      <w:keepNext/>
      <w:keepLines/>
      <w:spacing w:after="80"/>
      <w:ind w:left="142" w:hanging="142"/>
    </w:pPr>
    <w:rPr>
      <w:rFonts w:ascii="Calibri" w:eastAsiaTheme="minorHAnsi" w:hAnsi="Calibri" w:cstheme="minorBidi"/>
      <w:i/>
      <w:color w:val="244061" w:themeColor="accent1" w:themeShade="80"/>
      <w:szCs w:val="20"/>
      <w:lang w:eastAsia="en-US"/>
    </w:rPr>
  </w:style>
  <w:style w:type="paragraph" w:styleId="FootnoteText">
    <w:name w:val="footnote text"/>
    <w:basedOn w:val="Normal"/>
    <w:link w:val="FootnoteTextChar"/>
    <w:uiPriority w:val="99"/>
    <w:unhideWhenUsed/>
    <w:qFormat/>
    <w:rsid w:val="00E83B7F"/>
    <w:pPr>
      <w:spacing w:line="180" w:lineRule="atLeast"/>
    </w:pPr>
    <w:rPr>
      <w:rFonts w:asciiTheme="minorHAnsi" w:eastAsiaTheme="minorHAnsi" w:hAnsiTheme="minorHAnsi" w:cstheme="minorBidi"/>
      <w:szCs w:val="20"/>
      <w:lang w:eastAsia="en-US"/>
    </w:rPr>
  </w:style>
  <w:style w:type="character" w:customStyle="1" w:styleId="FootnoteTextChar">
    <w:name w:val="Footnote Text Char"/>
    <w:basedOn w:val="DefaultParagraphFont"/>
    <w:link w:val="FootnoteText"/>
    <w:uiPriority w:val="99"/>
    <w:rsid w:val="00E83B7F"/>
    <w:rPr>
      <w:sz w:val="20"/>
      <w:szCs w:val="20"/>
    </w:rPr>
  </w:style>
  <w:style w:type="character" w:styleId="EndnoteReference">
    <w:name w:val="endnote reference"/>
    <w:basedOn w:val="DefaultParagraphFont"/>
    <w:uiPriority w:val="99"/>
    <w:unhideWhenUsed/>
    <w:rsid w:val="00065B9B"/>
    <w:rPr>
      <w:vertAlign w:val="superscript"/>
    </w:rPr>
  </w:style>
  <w:style w:type="table" w:customStyle="1" w:styleId="GridTable1Light-Accent41">
    <w:name w:val="Grid Table 1 Light - Accent 41"/>
    <w:basedOn w:val="TableNormal"/>
    <w:uiPriority w:val="46"/>
    <w:rsid w:val="00E83B7F"/>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uiPriority w:val="48"/>
    <w:rsid w:val="00E83B7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51">
    <w:name w:val="List Table 4 - Accent 51"/>
    <w:basedOn w:val="TableNormal"/>
    <w:uiPriority w:val="49"/>
    <w:rsid w:val="00E83B7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61">
    <w:name w:val="Grid Table 1 Light - Accent 61"/>
    <w:basedOn w:val="TableNormal"/>
    <w:uiPriority w:val="46"/>
    <w:rsid w:val="00E83B7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4-Accent41">
    <w:name w:val="Grid Table 4 - Accent 41"/>
    <w:basedOn w:val="TableNormal"/>
    <w:uiPriority w:val="49"/>
    <w:rsid w:val="00E83B7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21">
    <w:name w:val="Grid Table 4 - Accent 21"/>
    <w:basedOn w:val="TableNormal"/>
    <w:uiPriority w:val="49"/>
    <w:rsid w:val="00E83B7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61">
    <w:name w:val="Grid Table 4 - Accent 61"/>
    <w:basedOn w:val="TableNormal"/>
    <w:uiPriority w:val="49"/>
    <w:rsid w:val="00E83B7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FootnoteReference">
    <w:name w:val="footnote reference"/>
    <w:basedOn w:val="DefaultParagraphFont"/>
    <w:uiPriority w:val="99"/>
    <w:semiHidden/>
    <w:unhideWhenUsed/>
    <w:rsid w:val="00E83B7F"/>
    <w:rPr>
      <w:vertAlign w:val="superscript"/>
    </w:rPr>
  </w:style>
  <w:style w:type="character" w:styleId="CommentReference">
    <w:name w:val="annotation reference"/>
    <w:basedOn w:val="DefaultParagraphFont"/>
    <w:uiPriority w:val="99"/>
    <w:semiHidden/>
    <w:unhideWhenUsed/>
    <w:rsid w:val="00E83B7F"/>
    <w:rPr>
      <w:sz w:val="16"/>
      <w:szCs w:val="16"/>
    </w:rPr>
  </w:style>
  <w:style w:type="paragraph" w:styleId="CommentText">
    <w:name w:val="annotation text"/>
    <w:basedOn w:val="Normal"/>
    <w:link w:val="CommentTextChar"/>
    <w:uiPriority w:val="99"/>
    <w:semiHidden/>
    <w:unhideWhenUsed/>
    <w:rsid w:val="00E83B7F"/>
    <w:pPr>
      <w:spacing w:after="16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E83B7F"/>
    <w:rPr>
      <w:sz w:val="20"/>
      <w:szCs w:val="20"/>
    </w:rPr>
  </w:style>
  <w:style w:type="paragraph" w:styleId="CommentSubject">
    <w:name w:val="annotation subject"/>
    <w:basedOn w:val="CommentText"/>
    <w:next w:val="CommentText"/>
    <w:link w:val="CommentSubjectChar"/>
    <w:uiPriority w:val="99"/>
    <w:semiHidden/>
    <w:unhideWhenUsed/>
    <w:rsid w:val="00E83B7F"/>
    <w:rPr>
      <w:b/>
      <w:bCs/>
    </w:rPr>
  </w:style>
  <w:style w:type="character" w:customStyle="1" w:styleId="CommentSubjectChar">
    <w:name w:val="Comment Subject Char"/>
    <w:basedOn w:val="CommentTextChar"/>
    <w:link w:val="CommentSubject"/>
    <w:uiPriority w:val="99"/>
    <w:semiHidden/>
    <w:rsid w:val="00E83B7F"/>
    <w:rPr>
      <w:b/>
      <w:bCs/>
      <w:sz w:val="20"/>
      <w:szCs w:val="20"/>
    </w:rPr>
  </w:style>
  <w:style w:type="paragraph" w:styleId="EndnoteText">
    <w:name w:val="endnote text"/>
    <w:basedOn w:val="Normal"/>
    <w:link w:val="EndnoteTextChar"/>
    <w:uiPriority w:val="99"/>
    <w:unhideWhenUsed/>
    <w:qFormat/>
    <w:rsid w:val="006B23AC"/>
    <w:pPr>
      <w:spacing w:after="0"/>
    </w:pPr>
    <w:rPr>
      <w:rFonts w:eastAsiaTheme="minorHAnsi" w:cstheme="minorBidi"/>
      <w:szCs w:val="20"/>
      <w:lang w:eastAsia="en-US"/>
    </w:rPr>
  </w:style>
  <w:style w:type="character" w:customStyle="1" w:styleId="EndnoteTextChar">
    <w:name w:val="Endnote Text Char"/>
    <w:basedOn w:val="DefaultParagraphFont"/>
    <w:link w:val="EndnoteText"/>
    <w:uiPriority w:val="99"/>
    <w:rsid w:val="006B23AC"/>
    <w:rPr>
      <w:rFonts w:ascii="Arial" w:hAnsi="Arial"/>
      <w:sz w:val="20"/>
      <w:szCs w:val="20"/>
    </w:rPr>
  </w:style>
  <w:style w:type="character" w:styleId="SubtleReference">
    <w:name w:val="Subtle Reference"/>
    <w:uiPriority w:val="31"/>
    <w:qFormat/>
    <w:rsid w:val="00E83B7F"/>
    <w:rPr>
      <w:rFonts w:ascii="Calibri" w:hAnsi="Calibri" w:cs="Calibri"/>
      <w:i/>
      <w:color w:val="244061" w:themeColor="accent1" w:themeShade="80"/>
      <w:sz w:val="20"/>
      <w:lang w:val="en"/>
    </w:rPr>
  </w:style>
  <w:style w:type="table" w:customStyle="1" w:styleId="PlainTable51">
    <w:name w:val="Plain Table 51"/>
    <w:basedOn w:val="TableNormal"/>
    <w:uiPriority w:val="45"/>
    <w:rsid w:val="00E83B7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E83B7F"/>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E83B7F"/>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IntenseEmphasis">
    <w:name w:val="Intense Emphasis"/>
    <w:basedOn w:val="DefaultParagraphFont"/>
    <w:uiPriority w:val="21"/>
    <w:qFormat/>
    <w:rsid w:val="00E83B7F"/>
    <w:rPr>
      <w:i/>
      <w:iCs/>
      <w:color w:val="4F81BD" w:themeColor="accent1"/>
    </w:rPr>
  </w:style>
  <w:style w:type="table" w:customStyle="1" w:styleId="GridTable3-Accent21">
    <w:name w:val="Grid Table 3 - Accent 21"/>
    <w:basedOn w:val="TableNormal"/>
    <w:uiPriority w:val="48"/>
    <w:rsid w:val="00E83B7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2-Accent51">
    <w:name w:val="Grid Table 2 - Accent 51"/>
    <w:basedOn w:val="TableNormal"/>
    <w:uiPriority w:val="47"/>
    <w:rsid w:val="00E83B7F"/>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41">
    <w:name w:val="Grid Table 2 - Accent 41"/>
    <w:basedOn w:val="TableNormal"/>
    <w:uiPriority w:val="47"/>
    <w:rsid w:val="00E83B7F"/>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61">
    <w:name w:val="Grid Table 2 - Accent 61"/>
    <w:basedOn w:val="TableNormal"/>
    <w:uiPriority w:val="47"/>
    <w:rsid w:val="00E83B7F"/>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OC4">
    <w:name w:val="toc 4"/>
    <w:basedOn w:val="Normal"/>
    <w:next w:val="Normal"/>
    <w:autoRedefine/>
    <w:uiPriority w:val="39"/>
    <w:unhideWhenUsed/>
    <w:rsid w:val="00E83B7F"/>
    <w:pPr>
      <w:spacing w:line="259" w:lineRule="auto"/>
      <w:ind w:left="660"/>
    </w:pPr>
    <w:rPr>
      <w:rFonts w:asciiTheme="minorHAnsi" w:eastAsiaTheme="minorHAnsi" w:hAnsiTheme="minorHAnsi" w:cstheme="minorBidi"/>
      <w:sz w:val="18"/>
      <w:szCs w:val="18"/>
      <w:lang w:eastAsia="en-US"/>
    </w:rPr>
  </w:style>
  <w:style w:type="paragraph" w:styleId="TOC5">
    <w:name w:val="toc 5"/>
    <w:basedOn w:val="Normal"/>
    <w:next w:val="Normal"/>
    <w:autoRedefine/>
    <w:uiPriority w:val="39"/>
    <w:unhideWhenUsed/>
    <w:rsid w:val="00E83B7F"/>
    <w:pPr>
      <w:spacing w:line="259" w:lineRule="auto"/>
      <w:ind w:left="880"/>
    </w:pPr>
    <w:rPr>
      <w:rFonts w:asciiTheme="minorHAnsi" w:eastAsiaTheme="minorHAnsi" w:hAnsiTheme="minorHAnsi" w:cstheme="minorBidi"/>
      <w:sz w:val="18"/>
      <w:szCs w:val="18"/>
      <w:lang w:eastAsia="en-US"/>
    </w:rPr>
  </w:style>
  <w:style w:type="paragraph" w:styleId="TOC6">
    <w:name w:val="toc 6"/>
    <w:basedOn w:val="Normal"/>
    <w:next w:val="Normal"/>
    <w:autoRedefine/>
    <w:uiPriority w:val="39"/>
    <w:unhideWhenUsed/>
    <w:rsid w:val="00E83B7F"/>
    <w:pPr>
      <w:spacing w:line="259" w:lineRule="auto"/>
      <w:ind w:left="1100"/>
    </w:pPr>
    <w:rPr>
      <w:rFonts w:asciiTheme="minorHAnsi" w:eastAsiaTheme="minorHAnsi" w:hAnsiTheme="minorHAnsi" w:cstheme="minorBidi"/>
      <w:sz w:val="18"/>
      <w:szCs w:val="18"/>
      <w:lang w:eastAsia="en-US"/>
    </w:rPr>
  </w:style>
  <w:style w:type="paragraph" w:styleId="TOC7">
    <w:name w:val="toc 7"/>
    <w:basedOn w:val="Normal"/>
    <w:next w:val="Normal"/>
    <w:autoRedefine/>
    <w:uiPriority w:val="39"/>
    <w:unhideWhenUsed/>
    <w:rsid w:val="00E83B7F"/>
    <w:pPr>
      <w:spacing w:line="259" w:lineRule="auto"/>
      <w:ind w:left="1320"/>
    </w:pPr>
    <w:rPr>
      <w:rFonts w:asciiTheme="minorHAnsi" w:eastAsiaTheme="minorHAnsi" w:hAnsiTheme="minorHAnsi" w:cstheme="minorBidi"/>
      <w:sz w:val="18"/>
      <w:szCs w:val="18"/>
      <w:lang w:eastAsia="en-US"/>
    </w:rPr>
  </w:style>
  <w:style w:type="paragraph" w:styleId="TOC9">
    <w:name w:val="toc 9"/>
    <w:basedOn w:val="Normal"/>
    <w:next w:val="Normal"/>
    <w:autoRedefine/>
    <w:uiPriority w:val="39"/>
    <w:unhideWhenUsed/>
    <w:rsid w:val="00E83B7F"/>
    <w:pPr>
      <w:spacing w:line="259" w:lineRule="auto"/>
      <w:ind w:left="1760"/>
    </w:pPr>
    <w:rPr>
      <w:rFonts w:asciiTheme="minorHAnsi" w:eastAsiaTheme="minorHAnsi" w:hAnsiTheme="minorHAnsi" w:cstheme="minorBidi"/>
      <w:sz w:val="18"/>
      <w:szCs w:val="18"/>
      <w:lang w:eastAsia="en-US"/>
    </w:rPr>
  </w:style>
  <w:style w:type="paragraph" w:styleId="TableofFigures">
    <w:name w:val="table of figures"/>
    <w:basedOn w:val="Normal"/>
    <w:next w:val="Normal"/>
    <w:uiPriority w:val="99"/>
    <w:unhideWhenUsed/>
    <w:rsid w:val="004676AD"/>
    <w:pPr>
      <w:spacing w:line="259" w:lineRule="auto"/>
      <w:ind w:left="440" w:hanging="440"/>
    </w:pPr>
    <w:rPr>
      <w:rFonts w:eastAsiaTheme="minorHAnsi" w:cstheme="minorBidi"/>
      <w:szCs w:val="20"/>
      <w:lang w:eastAsia="en-US"/>
    </w:rPr>
  </w:style>
  <w:style w:type="paragraph" w:styleId="HTMLPreformatted">
    <w:name w:val="HTML Preformatted"/>
    <w:basedOn w:val="Normal"/>
    <w:link w:val="HTMLPreformattedChar"/>
    <w:uiPriority w:val="99"/>
    <w:semiHidden/>
    <w:unhideWhenUsed/>
    <w:rsid w:val="00E83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E83B7F"/>
    <w:rPr>
      <w:rFonts w:ascii="Courier New" w:eastAsia="Times New Roman" w:hAnsi="Courier New" w:cs="Courier New"/>
      <w:sz w:val="20"/>
      <w:szCs w:val="20"/>
      <w:lang w:eastAsia="en-AU"/>
    </w:rPr>
  </w:style>
  <w:style w:type="paragraph" w:styleId="Revision">
    <w:name w:val="Revision"/>
    <w:hidden/>
    <w:uiPriority w:val="99"/>
    <w:semiHidden/>
    <w:rsid w:val="00E83B7F"/>
    <w:pPr>
      <w:spacing w:after="0" w:line="240" w:lineRule="auto"/>
    </w:pPr>
  </w:style>
  <w:style w:type="paragraph" w:styleId="ListNumber">
    <w:name w:val="List Number"/>
    <w:basedOn w:val="Normal"/>
    <w:uiPriority w:val="99"/>
    <w:unhideWhenUsed/>
    <w:rsid w:val="00D57E73"/>
    <w:pPr>
      <w:numPr>
        <w:numId w:val="12"/>
      </w:numPr>
      <w:contextualSpacing/>
    </w:pPr>
  </w:style>
  <w:style w:type="character" w:customStyle="1" w:styleId="Heading6Char">
    <w:name w:val="Heading 6 Char"/>
    <w:basedOn w:val="DefaultParagraphFont"/>
    <w:link w:val="Heading6"/>
    <w:uiPriority w:val="9"/>
    <w:semiHidden/>
    <w:rsid w:val="00810C18"/>
    <w:rPr>
      <w:rFonts w:ascii="Arial" w:eastAsiaTheme="majorEastAsia" w:hAnsi="Arial" w:cstheme="majorBidi"/>
      <w:i/>
      <w:iCs/>
      <w:color w:val="243F60" w:themeColor="accent1" w:themeShade="7F"/>
      <w:sz w:val="20"/>
      <w:szCs w:val="24"/>
      <w:lang w:eastAsia="en-AU"/>
    </w:rPr>
  </w:style>
  <w:style w:type="paragraph" w:styleId="Subtitle">
    <w:name w:val="Subtitle"/>
    <w:basedOn w:val="Normal"/>
    <w:next w:val="Normal"/>
    <w:link w:val="SubtitleChar"/>
    <w:uiPriority w:val="11"/>
    <w:rsid w:val="00D478BB"/>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D478BB"/>
    <w:rPr>
      <w:rFonts w:ascii="Arial" w:eastAsiaTheme="majorEastAsia" w:hAnsi="Arial" w:cstheme="majorBidi"/>
      <w:i/>
      <w:iCs/>
      <w:color w:val="4F81BD" w:themeColor="accent1"/>
      <w:spacing w:val="15"/>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creativecommons.org/licenses/by/3.0/au/deed.en" TargetMode="External"/><Relationship Id="rId26" Type="http://schemas.openxmlformats.org/officeDocument/2006/relationships/chart" Target="charts/chart4.xml"/><Relationship Id="rId39" Type="http://schemas.openxmlformats.org/officeDocument/2006/relationships/chart" Target="charts/chart17.xml"/><Relationship Id="rId21" Type="http://schemas.openxmlformats.org/officeDocument/2006/relationships/header" Target="header2.xml"/><Relationship Id="rId34" Type="http://schemas.openxmlformats.org/officeDocument/2006/relationships/chart" Target="charts/chart12.xml"/><Relationship Id="rId42" Type="http://schemas.openxmlformats.org/officeDocument/2006/relationships/chart" Target="charts/chart20.xml"/><Relationship Id="rId47" Type="http://schemas.openxmlformats.org/officeDocument/2006/relationships/chart" Target="charts/chart25.xml"/><Relationship Id="rId50" Type="http://schemas.openxmlformats.org/officeDocument/2006/relationships/chart" Target="charts/chart28.xml"/><Relationship Id="rId55" Type="http://schemas.openxmlformats.org/officeDocument/2006/relationships/chart" Target="charts/chart33.xml"/><Relationship Id="rId63" Type="http://schemas.openxmlformats.org/officeDocument/2006/relationships/header" Target="header3.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chart" Target="charts/chart7.xml"/><Relationship Id="rId41" Type="http://schemas.openxmlformats.org/officeDocument/2006/relationships/chart" Target="charts/chart19.xml"/><Relationship Id="rId54" Type="http://schemas.openxmlformats.org/officeDocument/2006/relationships/chart" Target="charts/chart32.xml"/><Relationship Id="rId62"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chart" Target="charts/chart18.xml"/><Relationship Id="rId45" Type="http://schemas.openxmlformats.org/officeDocument/2006/relationships/chart" Target="charts/chart23.xml"/><Relationship Id="rId53" Type="http://schemas.openxmlformats.org/officeDocument/2006/relationships/chart" Target="charts/chart31.xml"/><Relationship Id="rId58" Type="http://schemas.openxmlformats.org/officeDocument/2006/relationships/diagramData" Target="diagrams/data1.xm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chart" Target="charts/chart14.xml"/><Relationship Id="rId49" Type="http://schemas.openxmlformats.org/officeDocument/2006/relationships/chart" Target="charts/chart27.xml"/><Relationship Id="rId57" Type="http://schemas.openxmlformats.org/officeDocument/2006/relationships/chart" Target="charts/chart35.xml"/><Relationship Id="rId61"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yperlink" Target="mailto:info@swa.gov.au" TargetMode="External"/><Relationship Id="rId31" Type="http://schemas.openxmlformats.org/officeDocument/2006/relationships/chart" Target="charts/chart9.xml"/><Relationship Id="rId44" Type="http://schemas.openxmlformats.org/officeDocument/2006/relationships/chart" Target="charts/chart22.xml"/><Relationship Id="rId52" Type="http://schemas.openxmlformats.org/officeDocument/2006/relationships/chart" Target="charts/chart30.xml"/><Relationship Id="rId60" Type="http://schemas.openxmlformats.org/officeDocument/2006/relationships/diagramQuickStyle" Target="diagrams/quickStyle1.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afeworkaustralia.gov.au/workers-compensation/return-work" TargetMode="Externa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 Id="rId43" Type="http://schemas.openxmlformats.org/officeDocument/2006/relationships/chart" Target="charts/chart21.xml"/><Relationship Id="rId48" Type="http://schemas.openxmlformats.org/officeDocument/2006/relationships/chart" Target="charts/chart26.xml"/><Relationship Id="rId56" Type="http://schemas.openxmlformats.org/officeDocument/2006/relationships/chart" Target="charts/chart34.xml"/><Relationship Id="rId64"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chart" Target="charts/chart29.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chart" Target="charts/chart16.xml"/><Relationship Id="rId46" Type="http://schemas.openxmlformats.org/officeDocument/2006/relationships/chart" Target="charts/chart24.xml"/><Relationship Id="rId59" Type="http://schemas.openxmlformats.org/officeDocument/2006/relationships/diagramLayout" Target="diagrams/layout1.xml"/></Relationships>
</file>

<file path=word/_rels/endnotes.xml.rels><?xml version="1.0" encoding="UTF-8" standalone="yes"?>
<Relationships xmlns="http://schemas.openxmlformats.org/package/2006/relationships"><Relationship Id="rId2" Type="http://schemas.openxmlformats.org/officeDocument/2006/relationships/hyperlink" Target="http://www.headsup.org.au/" TargetMode="External"/><Relationship Id="rId1" Type="http://schemas.openxmlformats.org/officeDocument/2006/relationships/hyperlink" Target="http://www.mentalhealthcommission.gov.a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Mary%20Wyatt\Dropbox%20(RTWMatters)\_4%20Files%20for%20redo%20of%20the%20report%20Jan%202017\NRTW%20Average%20Charts%20Jan%201%20update%20done.xlsx" TargetMode="External"/><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C:\Users\Mary%20Wyatt\Dropbox%20(RTWMatters)\_4%20Files%20for%20redo%20of%20the%20report%20Jan%202017\NRTW%20Average%20Charts%20Jan%201%20update%20done.xlsx" TargetMode="External"/><Relationship Id="rId1" Type="http://schemas.openxmlformats.org/officeDocument/2006/relationships/themeOverride" Target="../theme/themeOverride19.xml"/></Relationships>
</file>

<file path=word/charts/_rels/chart2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0.xml"/></Relationships>
</file>

<file path=word/charts/_rels/chart2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1.xml"/></Relationships>
</file>

<file path=word/charts/_rels/chart2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2.xml"/></Relationships>
</file>

<file path=word/charts/_rels/chart2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3.xml"/></Relationships>
</file>

<file path=word/charts/_rels/chart2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4.xml"/></Relationships>
</file>

<file path=word/charts/_rels/chart2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5.xml"/></Relationships>
</file>

<file path=word/charts/_rels/chart27.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6.xml"/></Relationships>
</file>

<file path=word/charts/_rels/chart2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7.xml"/></Relationships>
</file>

<file path=word/charts/_rels/chart2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8.xm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9.xml"/></Relationships>
</file>

<file path=word/charts/_rels/chart3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0.xml"/></Relationships>
</file>

<file path=word/charts/_rels/chart3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1.xml"/></Relationships>
</file>

<file path=word/charts/_rels/chart3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2.xml"/></Relationships>
</file>

<file path=word/charts/_rels/chart34.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3.xml"/></Relationships>
</file>

<file path=word/charts/_rels/chart3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4.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ry%20Wyatt\Dropbox%20(RTWMatters)\_4%20Files%20for%20redo%20of%20the%20report%20Jan%202017\NRTW%20Sep%2023%20Slope%20Graphs%20Jan%208%202017.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Current RTW by</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employer response to injury</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5824715421663663"/>
          <c:y val="0.23714529914529914"/>
          <c:w val="0.65759410244344496"/>
          <c:h val="0.56899821614728452"/>
        </c:manualLayout>
      </c:layout>
      <c:barChart>
        <c:barDir val="col"/>
        <c:grouping val="clustered"/>
        <c:varyColors val="0"/>
        <c:ser>
          <c:idx val="0"/>
          <c:order val="0"/>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'EmpRtoInj P AV C'!$A$5:$A$6</c:f>
              <c:strCache>
                <c:ptCount val="2"/>
                <c:pt idx="0">
                  <c:v>Positive</c:v>
                </c:pt>
                <c:pt idx="1">
                  <c:v>Negative</c:v>
                </c:pt>
              </c:strCache>
            </c:strRef>
          </c:cat>
          <c:val>
            <c:numRef>
              <c:f>'EmpRtoInj P AV C'!$B$5:$B$6</c:f>
              <c:numCache>
                <c:formatCode>0%</c:formatCode>
                <c:ptCount val="2"/>
                <c:pt idx="0">
                  <c:v>0.7889796647062034</c:v>
                </c:pt>
                <c:pt idx="1">
                  <c:v>0.52059143180553857</c:v>
                </c:pt>
              </c:numCache>
            </c:numRef>
          </c:val>
          <c:extLst xmlns:c16r2="http://schemas.microsoft.com/office/drawing/2015/06/chart">
            <c:ext xmlns:c16="http://schemas.microsoft.com/office/drawing/2014/chart" uri="{C3380CC4-5D6E-409C-BE32-E72D297353CC}">
              <c16:uniqueId val="{00000000-8601-4674-AB34-DF2CFEFD32A1}"/>
            </c:ext>
          </c:extLst>
        </c:ser>
        <c:dLbls>
          <c:dLblPos val="outEnd"/>
          <c:showLegendKey val="0"/>
          <c:showVal val="1"/>
          <c:showCatName val="0"/>
          <c:showSerName val="0"/>
          <c:showPercent val="0"/>
          <c:showBubbleSize val="0"/>
        </c:dLbls>
        <c:gapWidth val="280"/>
        <c:overlap val="100"/>
        <c:axId val="169886848"/>
        <c:axId val="172281856"/>
      </c:barChart>
      <c:catAx>
        <c:axId val="1698868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281856"/>
        <c:crosses val="autoZero"/>
        <c:auto val="1"/>
        <c:lblAlgn val="ctr"/>
        <c:lblOffset val="100"/>
        <c:noMultiLvlLbl val="0"/>
      </c:catAx>
      <c:valAx>
        <c:axId val="172281856"/>
        <c:scaling>
          <c:orientation val="minMax"/>
          <c:max val="1"/>
        </c:scaling>
        <c:delete val="0"/>
        <c:axPos val="l"/>
        <c:title>
          <c:tx>
            <c:rich>
              <a:bodyPr rot="-5400000" spcFirstLastPara="1" vertOverflow="ellipsis" vert="horz" wrap="square" anchor="ctr" anchorCtr="1"/>
              <a:lstStyle/>
              <a:p>
                <a:pPr algn="ctr" rtl="0">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b="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4.3717154826291814E-2"/>
              <c:y val="0.1976935897435897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988684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2">
    <c:autoUpdate val="0"/>
  </c:externalData>
  <c:extLst xmlns:c16r2="http://schemas.microsoft.com/office/drawing/2015/06/chart"/>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Jan 2 - Other employer response questions.xlsx]Disc pre cl P!PivotTable3</c:name>
    <c:fmtId val="-1"/>
  </c:pivotSource>
  <c:chart>
    <c:title>
      <c:tx>
        <c:rich>
          <a:bodyPr rot="0" spcFirstLastPara="1" vertOverflow="ellipsis" vert="horz" wrap="square" anchor="ctr" anchorCtr="1"/>
          <a:lstStyle/>
          <a:p>
            <a:pPr>
              <a:defRPr sz="800" b="1" i="0" u="none" strike="noStrike" kern="1200" cap="none" spc="150" normalizeH="0" baseline="0">
                <a:solidFill>
                  <a:sysClr val="windowText" lastClr="000000"/>
                </a:solidFill>
                <a:latin typeface="Arial" panose="020B0604020202020204" pitchFamily="34" charset="0"/>
                <a:ea typeface="+mn-ea"/>
                <a:cs typeface="Arial" panose="020B0604020202020204" pitchFamily="34" charset="0"/>
              </a:defRPr>
            </a:pPr>
            <a:r>
              <a:rPr lang="en-US" sz="800" b="1" i="0" cap="none" normalizeH="0" baseline="0">
                <a:solidFill>
                  <a:sysClr val="windowText" lastClr="000000"/>
                </a:solidFill>
                <a:effectLst/>
                <a:latin typeface="Arial" panose="020B0604020202020204" pitchFamily="34" charset="0"/>
                <a:cs typeface="Arial" panose="020B0604020202020204" pitchFamily="34" charset="0"/>
              </a:rPr>
              <a:t>RTW 3+ months by d</a:t>
            </a:r>
            <a:r>
              <a:rPr lang="en-AU" sz="800" b="1" i="0" cap="none" normalizeH="0" baseline="0">
                <a:solidFill>
                  <a:sysClr val="windowText" lastClr="000000"/>
                </a:solidFill>
                <a:effectLst/>
                <a:latin typeface="Arial" panose="020B0604020202020204" pitchFamily="34" charset="0"/>
                <a:cs typeface="Arial" panose="020B0604020202020204" pitchFamily="34" charset="0"/>
              </a:rPr>
              <a:t>iscussed injury with employer before submitted claim?</a:t>
            </a:r>
            <a:endParaRPr lang="en-AU" sz="800" i="0" cap="none" normalizeH="0"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5531341260344583"/>
          <c:y val="2.5201612903225805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6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74"/>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80"/>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1"/>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94"/>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10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8"/>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0"/>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7"/>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8"/>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9"/>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0"/>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3758039278033924"/>
          <c:y val="0.22097766383032766"/>
          <c:w val="0.64447467024274618"/>
          <c:h val="0.56899821614728452"/>
        </c:manualLayout>
      </c:layout>
      <c:barChart>
        <c:barDir val="col"/>
        <c:grouping val="clustered"/>
        <c:varyColors val="0"/>
        <c:ser>
          <c:idx val="0"/>
          <c:order val="0"/>
          <c:tx>
            <c:strRef>
              <c:f>'Disc pre cl P'!$L$3</c:f>
              <c:strCache>
                <c:ptCount val="1"/>
                <c:pt idx="0">
                  <c:v>Total</c:v>
                </c:pt>
              </c:strCache>
            </c:strRef>
          </c:tx>
          <c:spPr>
            <a:pattFill prst="smCheck">
              <a:fgClr>
                <a:srgbClr val="145B85"/>
              </a:fgClr>
              <a:bgClr>
                <a:sysClr val="window" lastClr="FFFFFF"/>
              </a:bgClr>
            </a:pattFill>
            <a:ln>
              <a:noFill/>
            </a:ln>
            <a:effectLst>
              <a:innerShdw blurRad="114300">
                <a:srgbClr val="145B85"/>
              </a:innerShdw>
            </a:effectLst>
          </c:spPr>
          <c:invertIfNegative val="0"/>
          <c:dLbls>
            <c:dLbl>
              <c:idx val="2"/>
              <c:layout/>
              <c:tx>
                <c:rich>
                  <a:bodyPr/>
                  <a:lstStyle/>
                  <a:p>
                    <a:r>
                      <a:rPr lang="en-US" sz="800">
                        <a:solidFill>
                          <a:sysClr val="windowText" lastClr="000000"/>
                        </a:solidFill>
                        <a:latin typeface="Arial" panose="020B0604020202020204" pitchFamily="34" charset="0"/>
                        <a:cs typeface="Arial" panose="020B0604020202020204" pitchFamily="34" charset="0"/>
                      </a:rPr>
                      <a:t>29%*</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C702-4609-ABA6-22224B4EE85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'Disc pre cl P'!$K$4:$K$6</c:f>
              <c:strCache>
                <c:ptCount val="3"/>
                <c:pt idx="0">
                  <c:v>Yes</c:v>
                </c:pt>
                <c:pt idx="1">
                  <c:v>No</c:v>
                </c:pt>
                <c:pt idx="2">
                  <c:v>No opportunity to discuss</c:v>
                </c:pt>
              </c:strCache>
            </c:strRef>
          </c:cat>
          <c:val>
            <c:numRef>
              <c:f>'Disc pre cl P'!$L$4:$L$6</c:f>
              <c:numCache>
                <c:formatCode>0%</c:formatCode>
                <c:ptCount val="3"/>
                <c:pt idx="0">
                  <c:v>0.4107142857142857</c:v>
                </c:pt>
                <c:pt idx="1">
                  <c:v>0.37234042553191488</c:v>
                </c:pt>
                <c:pt idx="2">
                  <c:v>0.2857142857142857</c:v>
                </c:pt>
              </c:numCache>
            </c:numRef>
          </c:val>
          <c:extLst xmlns:c16r2="http://schemas.microsoft.com/office/drawing/2015/06/chart">
            <c:ext xmlns:c16="http://schemas.microsoft.com/office/drawing/2014/chart" uri="{C3380CC4-5D6E-409C-BE32-E72D297353CC}">
              <c16:uniqueId val="{00000001-C702-4609-ABA6-22224B4EE855}"/>
            </c:ext>
          </c:extLst>
        </c:ser>
        <c:dLbls>
          <c:dLblPos val="outEnd"/>
          <c:showLegendKey val="0"/>
          <c:showVal val="1"/>
          <c:showCatName val="0"/>
          <c:showSerName val="0"/>
          <c:showPercent val="0"/>
          <c:showBubbleSize val="0"/>
        </c:dLbls>
        <c:gapWidth val="280"/>
        <c:overlap val="100"/>
        <c:axId val="119974528"/>
        <c:axId val="119985664"/>
      </c:barChart>
      <c:catAx>
        <c:axId val="11997452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9985664"/>
        <c:crosses val="autoZero"/>
        <c:auto val="1"/>
        <c:lblAlgn val="ctr"/>
        <c:lblOffset val="100"/>
        <c:noMultiLvlLbl val="0"/>
      </c:catAx>
      <c:valAx>
        <c:axId val="119985664"/>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3 months +</a:t>
                </a:r>
              </a:p>
            </c:rich>
          </c:tx>
          <c:layout>
            <c:manualLayout>
              <c:xMode val="edge"/>
              <c:yMode val="edge"/>
              <c:x val="3.7743730492774477E-2"/>
              <c:y val="0.3237942913385827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997452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Jan 2 - Other employer response questions.xlsx]EmpHelp PC P!PivotTable2</c:name>
    <c:fmtId val="-1"/>
  </c:pivotSource>
  <c:chart>
    <c:title>
      <c:tx>
        <c:rich>
          <a:bodyPr rot="0" spcFirstLastPara="1" vertOverflow="ellipsis" vert="horz" wrap="square" anchor="ctr" anchorCtr="1"/>
          <a:lstStyle/>
          <a:p>
            <a:pPr algn="ct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Current RTW by e</a:t>
            </a:r>
            <a:r>
              <a:rPr lang="en-AU" sz="800" b="1" i="0" cap="none" baseline="0">
                <a:solidFill>
                  <a:sysClr val="windowText" lastClr="000000"/>
                </a:solidFill>
                <a:effectLst/>
                <a:latin typeface="Arial" panose="020B0604020202020204" pitchFamily="34" charset="0"/>
                <a:cs typeface="Arial" panose="020B0604020202020204" pitchFamily="34" charset="0"/>
              </a:rPr>
              <a:t>mployer helped manage injury before</a:t>
            </a:r>
          </a:p>
          <a:p>
            <a:pPr algn="ct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lodged claim</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5388152995222038"/>
          <c:y val="3.161546242487951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588417331159284"/>
          <c:y val="0.22629091591591591"/>
          <c:w val="0.63079896311410988"/>
          <c:h val="0.56899821614728452"/>
        </c:manualLayout>
      </c:layout>
      <c:barChart>
        <c:barDir val="col"/>
        <c:grouping val="clustered"/>
        <c:varyColors val="0"/>
        <c:ser>
          <c:idx val="0"/>
          <c:order val="0"/>
          <c:tx>
            <c:strRef>
              <c:f>'EmpHelp PC P'!$B$3</c:f>
              <c:strCache>
                <c:ptCount val="1"/>
                <c:pt idx="0">
                  <c:v>Total</c:v>
                </c:pt>
              </c:strCache>
            </c:strRef>
          </c:tx>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'EmpHelp PC P'!$A$4:$A$5</c:f>
              <c:strCache>
                <c:ptCount val="2"/>
                <c:pt idx="0">
                  <c:v>Yes</c:v>
                </c:pt>
                <c:pt idx="1">
                  <c:v>No</c:v>
                </c:pt>
              </c:strCache>
            </c:strRef>
          </c:cat>
          <c:val>
            <c:numRef>
              <c:f>'EmpHelp PC P'!$B$4:$B$5</c:f>
              <c:numCache>
                <c:formatCode>0%</c:formatCode>
                <c:ptCount val="2"/>
                <c:pt idx="0">
                  <c:v>0.7415730337078652</c:v>
                </c:pt>
                <c:pt idx="1">
                  <c:v>0.54985754985754987</c:v>
                </c:pt>
              </c:numCache>
            </c:numRef>
          </c:val>
          <c:extLst xmlns:c16r2="http://schemas.microsoft.com/office/drawing/2015/06/chart">
            <c:ext xmlns:c16="http://schemas.microsoft.com/office/drawing/2014/chart" uri="{C3380CC4-5D6E-409C-BE32-E72D297353CC}">
              <c16:uniqueId val="{00000000-2CE1-4F2D-ADF6-F6A280E04E9B}"/>
            </c:ext>
          </c:extLst>
        </c:ser>
        <c:dLbls>
          <c:dLblPos val="outEnd"/>
          <c:showLegendKey val="0"/>
          <c:showVal val="1"/>
          <c:showCatName val="0"/>
          <c:showSerName val="0"/>
          <c:showPercent val="0"/>
          <c:showBubbleSize val="0"/>
        </c:dLbls>
        <c:gapWidth val="280"/>
        <c:overlap val="100"/>
        <c:axId val="120150272"/>
        <c:axId val="120157312"/>
      </c:barChart>
      <c:catAx>
        <c:axId val="12015027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0157312"/>
        <c:crosses val="autoZero"/>
        <c:auto val="1"/>
        <c:lblAlgn val="ctr"/>
        <c:lblOffset val="100"/>
        <c:noMultiLvlLbl val="0"/>
      </c:catAx>
      <c:valAx>
        <c:axId val="120157312"/>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5.5902451353592265E-2"/>
              <c:y val="0.2081903153153153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015027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Jan 2 - Other employer response questions.xlsx]EmpHelp PC P!PivotTable3</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3+ months by e</a:t>
            </a:r>
            <a:r>
              <a:rPr lang="en-AU" sz="800" b="1" i="0" cap="none" baseline="0">
                <a:solidFill>
                  <a:sysClr val="windowText" lastClr="000000"/>
                </a:solidFill>
                <a:effectLst/>
                <a:latin typeface="Arial" panose="020B0604020202020204" pitchFamily="34" charset="0"/>
                <a:cs typeface="Arial" panose="020B0604020202020204" pitchFamily="34" charset="0"/>
              </a:rPr>
              <a:t>mployer helped manage injury before lodged claim</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endParaRPr lang="en-AU" sz="800" b="1" cap="none" baseline="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13833164584501326"/>
          <c:y val="3.0241935483870969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6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74"/>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80"/>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1"/>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94"/>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10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8"/>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0"/>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7"/>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8"/>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5303806815183816"/>
          <c:y val="0.23105818318318322"/>
          <c:w val="0.64447467024274618"/>
          <c:h val="0.56899821614728452"/>
        </c:manualLayout>
      </c:layout>
      <c:barChart>
        <c:barDir val="col"/>
        <c:grouping val="clustered"/>
        <c:varyColors val="0"/>
        <c:ser>
          <c:idx val="0"/>
          <c:order val="0"/>
          <c:tx>
            <c:strRef>
              <c:f>'EmpHelp PC P'!$L$3</c:f>
              <c:strCache>
                <c:ptCount val="1"/>
                <c:pt idx="0">
                  <c:v>Total</c:v>
                </c:pt>
              </c:strCache>
            </c:strRef>
          </c:tx>
          <c:spPr>
            <a:pattFill prst="smCheck">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'EmpHelp PC P'!$K$4:$K$5</c:f>
              <c:strCache>
                <c:ptCount val="2"/>
                <c:pt idx="0">
                  <c:v>Yes</c:v>
                </c:pt>
                <c:pt idx="1">
                  <c:v>No</c:v>
                </c:pt>
              </c:strCache>
            </c:strRef>
          </c:cat>
          <c:val>
            <c:numRef>
              <c:f>'EmpHelp PC P'!$L$4:$L$5</c:f>
              <c:numCache>
                <c:formatCode>0%</c:formatCode>
                <c:ptCount val="2"/>
                <c:pt idx="0">
                  <c:v>0.6179775280898876</c:v>
                </c:pt>
                <c:pt idx="1">
                  <c:v>0.41025641025641024</c:v>
                </c:pt>
              </c:numCache>
            </c:numRef>
          </c:val>
          <c:extLst xmlns:c16r2="http://schemas.microsoft.com/office/drawing/2015/06/chart">
            <c:ext xmlns:c16="http://schemas.microsoft.com/office/drawing/2014/chart" uri="{C3380CC4-5D6E-409C-BE32-E72D297353CC}">
              <c16:uniqueId val="{00000000-55B9-4514-80B0-79EDB88F51A0}"/>
            </c:ext>
          </c:extLst>
        </c:ser>
        <c:dLbls>
          <c:dLblPos val="outEnd"/>
          <c:showLegendKey val="0"/>
          <c:showVal val="1"/>
          <c:showCatName val="0"/>
          <c:showSerName val="0"/>
          <c:showPercent val="0"/>
          <c:showBubbleSize val="0"/>
        </c:dLbls>
        <c:gapWidth val="280"/>
        <c:overlap val="100"/>
        <c:axId val="142161408"/>
        <c:axId val="142176640"/>
      </c:barChart>
      <c:catAx>
        <c:axId val="14216140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2176640"/>
        <c:crosses val="autoZero"/>
        <c:auto val="1"/>
        <c:lblAlgn val="ctr"/>
        <c:lblOffset val="100"/>
        <c:noMultiLvlLbl val="0"/>
      </c:catAx>
      <c:valAx>
        <c:axId val="142176640"/>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3 months +</a:t>
                </a:r>
              </a:p>
            </c:rich>
          </c:tx>
          <c:layout>
            <c:manualLayout>
              <c:xMode val="edge"/>
              <c:yMode val="edge"/>
              <c:x val="6.1848442649684823E-2"/>
              <c:y val="0.322229354354354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216140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Jan 2 - RTW and health questions.xlsx]injclm P!PivotTable3</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Current RTW by d</a:t>
            </a:r>
            <a:r>
              <a:rPr lang="en-AU" sz="800" b="1" i="0" cap="none" baseline="0">
                <a:solidFill>
                  <a:sysClr val="windowText" lastClr="000000"/>
                </a:solidFill>
                <a:effectLst/>
                <a:latin typeface="Arial" panose="020B0604020202020204" pitchFamily="34" charset="0"/>
                <a:cs typeface="Arial" panose="020B0604020202020204" pitchFamily="34" charset="0"/>
              </a:rPr>
              <a:t>ays from injury to claim</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endParaRPr lang="en-AU" sz="800" b="1" cap="none" baseline="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17057377392119291"/>
          <c:y val="8.6169754416199913E-3"/>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shade val="76000"/>
              </a:schemeClr>
            </a:fgClr>
            <a:bgClr>
              <a:schemeClr val="accent3">
                <a:shade val="76000"/>
                <a:lumMod val="20000"/>
                <a:lumOff val="80000"/>
              </a:schemeClr>
            </a:bgClr>
          </a:pattFill>
          <a:ln>
            <a:noFill/>
          </a:ln>
          <a:effectLst>
            <a:innerShdw blurRad="114300">
              <a:schemeClr val="accent3">
                <a:shade val="76000"/>
              </a:schemeClr>
            </a:innerShdw>
          </a:effectLst>
        </c:spPr>
        <c:marker>
          <c:symbol val="none"/>
        </c:marker>
      </c:pivotFmt>
      <c:pivotFmt>
        <c:idx val="10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shade val="76000"/>
              </a:schemeClr>
            </a:fgClr>
            <a:bgClr>
              <a:schemeClr val="accent3">
                <a:shade val="76000"/>
                <a:lumMod val="20000"/>
                <a:lumOff val="80000"/>
              </a:schemeClr>
            </a:bgClr>
          </a:pattFill>
          <a:ln>
            <a:noFill/>
          </a:ln>
          <a:effectLst>
            <a:innerShdw blurRad="114300">
              <a:schemeClr val="accent3">
                <a:shade val="76000"/>
              </a:schemeClr>
            </a:innerShdw>
          </a:effectLst>
        </c:spPr>
        <c:marker>
          <c:symbol val="none"/>
        </c:marker>
      </c:pivotFmt>
      <c:pivotFmt>
        <c:idx val="11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shade val="76000"/>
              </a:schemeClr>
            </a:fgClr>
            <a:bgClr>
              <a:schemeClr val="accent3">
                <a:shade val="76000"/>
                <a:lumMod val="20000"/>
                <a:lumOff val="80000"/>
              </a:schemeClr>
            </a:bgClr>
          </a:pattFill>
          <a:ln>
            <a:noFill/>
          </a:ln>
          <a:effectLst>
            <a:innerShdw blurRad="114300">
              <a:schemeClr val="accent3">
                <a:shade val="76000"/>
              </a:schemeClr>
            </a:innerShdw>
          </a:effectLst>
        </c:spPr>
        <c:marker>
          <c:symbol val="none"/>
        </c:marker>
      </c:pivotFmt>
    </c:pivotFmts>
    <c:plotArea>
      <c:layout>
        <c:manualLayout>
          <c:layoutTarget val="inner"/>
          <c:xMode val="edge"/>
          <c:yMode val="edge"/>
          <c:x val="0.24608935041462007"/>
          <c:y val="0.14012118045778532"/>
          <c:w val="0.63079896311410988"/>
          <c:h val="0.56899821614728452"/>
        </c:manualLayout>
      </c:layout>
      <c:barChart>
        <c:barDir val="col"/>
        <c:grouping val="clustered"/>
        <c:varyColors val="0"/>
        <c:ser>
          <c:idx val="0"/>
          <c:order val="0"/>
          <c:tx>
            <c:strRef>
              <c:f>'injclm P'!$B$3</c:f>
              <c:strCache>
                <c:ptCount val="1"/>
                <c:pt idx="0">
                  <c:v>Current Return to Work</c:v>
                </c:pt>
              </c:strCache>
            </c:strRef>
          </c:tx>
          <c:spPr>
            <a:pattFill prst="narHorz">
              <a:fgClr>
                <a:srgbClr val="145B85"/>
              </a:fgClr>
              <a:bgClr>
                <a:sysClr val="window" lastClr="FFFFFF"/>
              </a:bgClr>
            </a:pattFill>
            <a:ln>
              <a:noFill/>
            </a:ln>
            <a:effectLst>
              <a:innerShdw blurRad="114300">
                <a:srgbClr val="145B85"/>
              </a:innerShdw>
            </a:effectLst>
          </c:spPr>
          <c:invertIfNegative val="0"/>
          <c:dLbls>
            <c:dLbl>
              <c:idx val="1"/>
              <c:layout>
                <c:manualLayout>
                  <c:x val="4.6475730702782575E-3"/>
                  <c:y val="4.3392308149622144E-3"/>
                </c:manualLayout>
              </c:layout>
              <c:dLblPos val="outEnd"/>
              <c:showLegendKey val="0"/>
              <c:showVal val="1"/>
              <c:showCatName val="0"/>
              <c:showSerName val="0"/>
              <c:showPercent val="0"/>
              <c:showBubbleSize val="0"/>
            </c:dLbl>
            <c:dLbl>
              <c:idx val="2"/>
              <c:layout>
                <c:manualLayout>
                  <c:x val="0"/>
                  <c:y val="-8.6767895878524948E-3"/>
                </c:manualLayout>
              </c:layout>
              <c:dLblPos val="outEnd"/>
              <c:showLegendKey val="0"/>
              <c:showVal val="1"/>
              <c:showCatName val="0"/>
              <c:showSerName val="0"/>
              <c:showPercent val="0"/>
              <c:showBubbleSize val="0"/>
            </c:dLbl>
            <c:dLbl>
              <c:idx val="3"/>
              <c:layout>
                <c:manualLayout>
                  <c:x val="0"/>
                  <c:y val="1.3017692444886604E-2"/>
                </c:manualLayout>
              </c:layout>
              <c:dLblPos val="outEnd"/>
              <c:showLegendKey val="0"/>
              <c:showVal val="1"/>
              <c:showCatName val="0"/>
              <c:showSerName val="0"/>
              <c:showPercent val="0"/>
              <c:showBubbleSize val="0"/>
            </c:dLbl>
            <c:dLbl>
              <c:idx val="5"/>
              <c:layout>
                <c:manualLayout>
                  <c:x val="0"/>
                  <c:y val="8.6784616299244288E-3"/>
                </c:manualLayout>
              </c:layout>
              <c:dLblPos val="outEnd"/>
              <c:showLegendKey val="0"/>
              <c:showVal val="1"/>
              <c:showCatName val="0"/>
              <c:showSerName val="0"/>
              <c:showPercent val="0"/>
              <c:showBubbleSize val="0"/>
            </c:dLbl>
            <c:dLbl>
              <c:idx val="6"/>
              <c:layout>
                <c:manualLayout>
                  <c:x val="9.29514614055643E-3"/>
                  <c:y val="-2.1696154074811073E-2"/>
                </c:manualLayout>
              </c:layout>
              <c:dLblPos val="outEnd"/>
              <c:showLegendKey val="0"/>
              <c:showVal val="1"/>
              <c:showCatName val="0"/>
              <c:showSerName val="0"/>
              <c:showPercent val="0"/>
              <c:showBubbleSize val="0"/>
            </c:dLbl>
            <c:dLbl>
              <c:idx val="8"/>
              <c:layout>
                <c:manualLayout>
                  <c:x val="4.6475730702782575E-3"/>
                  <c:y val="8.6784616299244288E-3"/>
                </c:manualLayout>
              </c:layout>
              <c:dLblPos val="outEnd"/>
              <c:showLegendKey val="0"/>
              <c:showVal val="1"/>
              <c:showCatName val="0"/>
              <c:showSerName val="0"/>
              <c:showPercent val="0"/>
              <c:showBubbleSize val="0"/>
            </c:dLbl>
            <c:dLbl>
              <c:idx val="9"/>
              <c:layout>
                <c:manualLayout>
                  <c:x val="1.3921113689095127E-2"/>
                  <c:y val="2.1691973969631236E-2"/>
                </c:manualLayout>
              </c:layout>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trendline>
            <c:spPr>
              <a:ln w="19050" cap="rnd">
                <a:solidFill>
                  <a:srgbClr val="145B85"/>
                </a:solidFill>
              </a:ln>
              <a:effectLst/>
            </c:spPr>
            <c:trendlineType val="linear"/>
            <c:dispRSqr val="0"/>
            <c:dispEq val="0"/>
          </c:trendline>
          <c:cat>
            <c:strRef>
              <c:f>'injclm P'!$A$4:$A$13</c:f>
              <c:strCache>
                <c:ptCount val="10"/>
                <c:pt idx="0">
                  <c:v>Less than 7 days</c:v>
                </c:pt>
                <c:pt idx="1">
                  <c:v>7 - 13 days</c:v>
                </c:pt>
                <c:pt idx="2">
                  <c:v>14 - 20 days</c:v>
                </c:pt>
                <c:pt idx="3">
                  <c:v>21 - 27 days</c:v>
                </c:pt>
                <c:pt idx="4">
                  <c:v>28 - 41 days</c:v>
                </c:pt>
                <c:pt idx="5">
                  <c:v>42 - 55 days</c:v>
                </c:pt>
                <c:pt idx="6">
                  <c:v>56 - 69 days</c:v>
                </c:pt>
                <c:pt idx="7">
                  <c:v>70 - 83 days</c:v>
                </c:pt>
                <c:pt idx="8">
                  <c:v>84 - 180 days</c:v>
                </c:pt>
                <c:pt idx="9">
                  <c:v>Over 180 days</c:v>
                </c:pt>
              </c:strCache>
            </c:strRef>
          </c:cat>
          <c:val>
            <c:numRef>
              <c:f>'injclm P'!$B$4:$B$13</c:f>
              <c:numCache>
                <c:formatCode>0%</c:formatCode>
                <c:ptCount val="10"/>
                <c:pt idx="0">
                  <c:v>0.64102564102564108</c:v>
                </c:pt>
                <c:pt idx="1">
                  <c:v>0.60759493670886078</c:v>
                </c:pt>
                <c:pt idx="2">
                  <c:v>0.64179104477611937</c:v>
                </c:pt>
                <c:pt idx="3">
                  <c:v>0.62222222222222223</c:v>
                </c:pt>
                <c:pt idx="4">
                  <c:v>0.67532467532467533</c:v>
                </c:pt>
                <c:pt idx="5">
                  <c:v>0.43902439024390244</c:v>
                </c:pt>
                <c:pt idx="6">
                  <c:v>0.46666666666666667</c:v>
                </c:pt>
                <c:pt idx="7">
                  <c:v>0.6</c:v>
                </c:pt>
                <c:pt idx="8">
                  <c:v>0.55405405405405406</c:v>
                </c:pt>
                <c:pt idx="9">
                  <c:v>0.40625</c:v>
                </c:pt>
              </c:numCache>
            </c:numRef>
          </c:val>
          <c:extLst xmlns:c16r2="http://schemas.microsoft.com/office/drawing/2015/06/chart">
            <c:ext xmlns:c16="http://schemas.microsoft.com/office/drawing/2014/chart" uri="{C3380CC4-5D6E-409C-BE32-E72D297353CC}">
              <c16:uniqueId val="{00000000-0E7A-4C60-AFB8-63DFAC53BDC9}"/>
            </c:ext>
          </c:extLst>
        </c:ser>
        <c:ser>
          <c:idx val="1"/>
          <c:order val="1"/>
          <c:tx>
            <c:strRef>
              <c:f>'injclm P'!$C$3</c:f>
              <c:strCache>
                <c:ptCount val="1"/>
                <c:pt idx="0">
                  <c:v>Sum of Field3</c:v>
                </c:pt>
              </c:strCache>
            </c:strRef>
          </c:tx>
          <c:spPr>
            <a:pattFill prst="narHorz">
              <a:fgClr>
                <a:schemeClr val="accent3">
                  <a:shade val="76000"/>
                </a:schemeClr>
              </a:fgClr>
              <a:bgClr>
                <a:schemeClr val="accent3">
                  <a:shade val="76000"/>
                  <a:lumMod val="20000"/>
                  <a:lumOff val="80000"/>
                </a:schemeClr>
              </a:bgClr>
            </a:pattFill>
            <a:ln>
              <a:noFill/>
            </a:ln>
            <a:effectLst>
              <a:innerShdw blurRad="114300">
                <a:schemeClr val="accent3">
                  <a:shade val="76000"/>
                </a:schemeClr>
              </a:innerShdw>
            </a:effectLst>
          </c:spPr>
          <c:invertIfNegative val="0"/>
          <c:dLbls>
            <c:delete val="1"/>
          </c:dLbls>
          <c:cat>
            <c:strRef>
              <c:f>'injclm P'!$A$4:$A$13</c:f>
              <c:strCache>
                <c:ptCount val="10"/>
                <c:pt idx="0">
                  <c:v>Less than 7 days</c:v>
                </c:pt>
                <c:pt idx="1">
                  <c:v>7 - 13 days</c:v>
                </c:pt>
                <c:pt idx="2">
                  <c:v>14 - 20 days</c:v>
                </c:pt>
                <c:pt idx="3">
                  <c:v>21 - 27 days</c:v>
                </c:pt>
                <c:pt idx="4">
                  <c:v>28 - 41 days</c:v>
                </c:pt>
                <c:pt idx="5">
                  <c:v>42 - 55 days</c:v>
                </c:pt>
                <c:pt idx="6">
                  <c:v>56 - 69 days</c:v>
                </c:pt>
                <c:pt idx="7">
                  <c:v>70 - 83 days</c:v>
                </c:pt>
                <c:pt idx="8">
                  <c:v>84 - 180 days</c:v>
                </c:pt>
                <c:pt idx="9">
                  <c:v>Over 180 days</c:v>
                </c:pt>
              </c:strCache>
            </c:strRef>
          </c:cat>
          <c:val>
            <c:numRef>
              <c:f>'injclm P'!$C$4:$C$13</c:f>
              <c:numCache>
                <c:formatCode>General</c:formatCode>
                <c:ptCount val="10"/>
                <c:pt idx="0">
                  <c:v>0</c:v>
                </c:pt>
                <c:pt idx="1">
                  <c:v>0</c:v>
                </c:pt>
                <c:pt idx="2">
                  <c:v>0</c:v>
                </c:pt>
                <c:pt idx="3">
                  <c:v>0</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1-0E7A-4C60-AFB8-63DFAC53BDC9}"/>
            </c:ext>
          </c:extLst>
        </c:ser>
        <c:dLbls>
          <c:dLblPos val="outEnd"/>
          <c:showLegendKey val="0"/>
          <c:showVal val="1"/>
          <c:showCatName val="0"/>
          <c:showSerName val="0"/>
          <c:showPercent val="0"/>
          <c:showBubbleSize val="0"/>
        </c:dLbls>
        <c:gapWidth val="280"/>
        <c:overlap val="100"/>
        <c:axId val="143250176"/>
        <c:axId val="143251712"/>
      </c:barChart>
      <c:catAx>
        <c:axId val="14325017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45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3251712"/>
        <c:crosses val="autoZero"/>
        <c:auto val="1"/>
        <c:lblAlgn val="ctr"/>
        <c:lblOffset val="100"/>
        <c:noMultiLvlLbl val="0"/>
      </c:catAx>
      <c:valAx>
        <c:axId val="143251712"/>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5.5902451353592265E-2"/>
              <c:y val="0.2081903153153153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325017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Jan 2 - RTW and health questions.xlsx]injclm P!PivotTable2</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3+ months by d</a:t>
            </a:r>
            <a:r>
              <a:rPr lang="en-AU" sz="800" b="1" i="0" cap="none" baseline="0">
                <a:solidFill>
                  <a:sysClr val="windowText" lastClr="000000"/>
                </a:solidFill>
                <a:effectLst/>
                <a:latin typeface="Arial" panose="020B0604020202020204" pitchFamily="34" charset="0"/>
                <a:cs typeface="Arial" panose="020B0604020202020204" pitchFamily="34" charset="0"/>
              </a:rPr>
              <a:t>ays from injury to claim</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5381492297522323"/>
          <c:y val="1.5576323987538941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6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74"/>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80"/>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1"/>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94"/>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10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8"/>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0"/>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7"/>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8"/>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9"/>
        <c:spPr>
          <a:pattFill prst="smCheck">
            <a:fgClr>
              <a:srgbClr val="313C1C"/>
            </a:fgClr>
            <a:bgClr>
              <a:srgbClr val="E8EEDB"/>
            </a:bgClr>
          </a:pattFill>
          <a:ln>
            <a:noFill/>
          </a:ln>
          <a:effectLst>
            <a:innerShdw blurRad="114300">
              <a:srgbClr val="89A54E"/>
            </a:innerShdw>
          </a:effectLst>
        </c:spPr>
        <c:marker>
          <c:symbol val="none"/>
        </c:marker>
      </c:pivotFmt>
      <c:pivotFmt>
        <c:idx val="120"/>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1"/>
        <c:spPr>
          <a:pattFill prst="smCheck">
            <a:fgClr>
              <a:srgbClr val="313C1C"/>
            </a:fgClr>
            <a:bgClr>
              <a:srgbClr val="E8EEDB"/>
            </a:bgClr>
          </a:pattFill>
          <a:ln>
            <a:noFill/>
          </a:ln>
          <a:effectLst>
            <a:innerShdw blurRad="114300">
              <a:srgbClr val="89A54E"/>
            </a:innerShdw>
          </a:effectLst>
        </c:spPr>
        <c:marker>
          <c:symbol val="none"/>
        </c:marker>
      </c:pivotFmt>
      <c:pivotFmt>
        <c:idx val="12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3"/>
        <c:spPr>
          <a:pattFill prst="smCheck">
            <a:fgClr>
              <a:srgbClr val="313C1C"/>
            </a:fgClr>
            <a:bgClr>
              <a:srgbClr val="E8EEDB"/>
            </a:bgClr>
          </a:pattFill>
          <a:ln>
            <a:noFill/>
          </a:ln>
          <a:effectLst>
            <a:innerShdw blurRad="114300">
              <a:srgbClr val="89A54E"/>
            </a:innerShdw>
          </a:effectLst>
        </c:spPr>
        <c:marker>
          <c:symbol val="none"/>
        </c:marker>
      </c:pivotFmt>
    </c:pivotFmts>
    <c:plotArea>
      <c:layout>
        <c:manualLayout>
          <c:layoutTarget val="inner"/>
          <c:xMode val="edge"/>
          <c:yMode val="edge"/>
          <c:x val="0.23603504397231961"/>
          <c:y val="0.13283635000170432"/>
          <c:w val="0.64447467024274618"/>
          <c:h val="0.56663155741895899"/>
        </c:manualLayout>
      </c:layout>
      <c:barChart>
        <c:barDir val="col"/>
        <c:grouping val="clustered"/>
        <c:varyColors val="0"/>
        <c:ser>
          <c:idx val="0"/>
          <c:order val="0"/>
          <c:tx>
            <c:strRef>
              <c:f>'injclm P'!$L$3</c:f>
              <c:strCache>
                <c:ptCount val="1"/>
                <c:pt idx="0">
                  <c:v>Returned to work for three months or more</c:v>
                </c:pt>
              </c:strCache>
            </c:strRef>
          </c:tx>
          <c:spPr>
            <a:pattFill prst="smCheck">
              <a:fgClr>
                <a:srgbClr val="145B85"/>
              </a:fgClr>
              <a:bgClr>
                <a:sysClr val="window" lastClr="FFFFFF"/>
              </a:bgClr>
            </a:pattFill>
            <a:ln>
              <a:noFill/>
            </a:ln>
            <a:effectLst>
              <a:innerShdw blurRad="114300">
                <a:srgbClr val="145B85"/>
              </a:innerShdw>
            </a:effectLst>
          </c:spPr>
          <c:invertIfNegative val="0"/>
          <c:dLbls>
            <c:dLbl>
              <c:idx val="1"/>
              <c:layout>
                <c:manualLayout>
                  <c:x val="4.6475747710611991E-3"/>
                  <c:y val="0"/>
                </c:manualLayout>
              </c:layout>
              <c:dLblPos val="outEnd"/>
              <c:showLegendKey val="0"/>
              <c:showVal val="1"/>
              <c:showCatName val="0"/>
              <c:showSerName val="0"/>
              <c:showPercent val="0"/>
              <c:showBubbleSize val="0"/>
            </c:dLbl>
            <c:dLbl>
              <c:idx val="2"/>
              <c:layout>
                <c:manualLayout>
                  <c:x val="0"/>
                  <c:y val="-1.3002006267581289E-2"/>
                </c:manualLayout>
              </c:layout>
              <c:dLblPos val="outEnd"/>
              <c:showLegendKey val="0"/>
              <c:showVal val="1"/>
              <c:showCatName val="0"/>
              <c:showSerName val="0"/>
              <c:showPercent val="0"/>
              <c:showBubbleSize val="0"/>
            </c:dLbl>
            <c:dLbl>
              <c:idx val="3"/>
              <c:layout>
                <c:manualLayout>
                  <c:x val="0"/>
                  <c:y val="8.6680041783875252E-3"/>
                </c:manualLayout>
              </c:layout>
              <c:dLblPos val="outEnd"/>
              <c:showLegendKey val="0"/>
              <c:showVal val="1"/>
              <c:showCatName val="0"/>
              <c:showSerName val="0"/>
              <c:showPercent val="0"/>
              <c:showBubbleSize val="0"/>
            </c:dLbl>
            <c:dLbl>
              <c:idx val="5"/>
              <c:layout>
                <c:manualLayout>
                  <c:x val="0"/>
                  <c:y val="8.6680041783875252E-3"/>
                </c:manualLayout>
              </c:layout>
              <c:dLblPos val="outEnd"/>
              <c:showLegendKey val="0"/>
              <c:showVal val="1"/>
              <c:showCatName val="0"/>
              <c:showSerName val="0"/>
              <c:showPercent val="0"/>
              <c:showBubbleSize val="0"/>
            </c:dLbl>
            <c:dLbl>
              <c:idx val="6"/>
              <c:layout>
                <c:manualLayout>
                  <c:x val="0"/>
                  <c:y val="-4.3340020891937626E-3"/>
                </c:manualLayout>
              </c:layout>
              <c:dLblPos val="outEnd"/>
              <c:showLegendKey val="0"/>
              <c:showVal val="1"/>
              <c:showCatName val="0"/>
              <c:showSerName val="0"/>
              <c:showPercent val="0"/>
              <c:showBubbleSize val="0"/>
            </c:dLbl>
            <c:dLbl>
              <c:idx val="8"/>
              <c:layout>
                <c:manualLayout>
                  <c:x val="8.5111984900412207E-17"/>
                  <c:y val="-8.6598830915782642E-3"/>
                </c:manualLayout>
              </c:layout>
              <c:dLblPos val="outEnd"/>
              <c:showLegendKey val="0"/>
              <c:showVal val="1"/>
              <c:showCatName val="0"/>
              <c:showSerName val="0"/>
              <c:showPercent val="0"/>
              <c:showBubbleSize val="0"/>
            </c:dLbl>
            <c:dLbl>
              <c:idx val="9"/>
              <c:layout>
                <c:manualLayout>
                  <c:x val="4.6475747710611991E-3"/>
                  <c:y val="-1.733600835677505E-2"/>
                </c:manualLayout>
              </c:layout>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trendline>
            <c:spPr>
              <a:ln w="19050" cap="rnd">
                <a:solidFill>
                  <a:srgbClr val="145B85"/>
                </a:solidFill>
              </a:ln>
              <a:effectLst/>
            </c:spPr>
            <c:trendlineType val="linear"/>
            <c:dispRSqr val="0"/>
            <c:dispEq val="0"/>
          </c:trendline>
          <c:cat>
            <c:strRef>
              <c:f>'injclm P'!$K$4:$K$13</c:f>
              <c:strCache>
                <c:ptCount val="10"/>
                <c:pt idx="0">
                  <c:v>Less than 7 days</c:v>
                </c:pt>
                <c:pt idx="1">
                  <c:v>7 - 13 days</c:v>
                </c:pt>
                <c:pt idx="2">
                  <c:v>14 - 20 days</c:v>
                </c:pt>
                <c:pt idx="3">
                  <c:v>21 - 27 days</c:v>
                </c:pt>
                <c:pt idx="4">
                  <c:v>28 - 41 days</c:v>
                </c:pt>
                <c:pt idx="5">
                  <c:v>42 - 55 days</c:v>
                </c:pt>
                <c:pt idx="6">
                  <c:v>56 - 69 days</c:v>
                </c:pt>
                <c:pt idx="7">
                  <c:v>70 - 83 days</c:v>
                </c:pt>
                <c:pt idx="8">
                  <c:v>84 - 180 days</c:v>
                </c:pt>
                <c:pt idx="9">
                  <c:v>Over 180 days</c:v>
                </c:pt>
              </c:strCache>
            </c:strRef>
          </c:cat>
          <c:val>
            <c:numRef>
              <c:f>'injclm P'!$L$4:$L$13</c:f>
              <c:numCache>
                <c:formatCode>0%</c:formatCode>
                <c:ptCount val="10"/>
                <c:pt idx="0">
                  <c:v>0.52564102564102566</c:v>
                </c:pt>
                <c:pt idx="1">
                  <c:v>0.48101265822784811</c:v>
                </c:pt>
                <c:pt idx="2">
                  <c:v>0.52238805970149249</c:v>
                </c:pt>
                <c:pt idx="3">
                  <c:v>0.48888888888888887</c:v>
                </c:pt>
                <c:pt idx="4">
                  <c:v>0.54545454545454541</c:v>
                </c:pt>
                <c:pt idx="5">
                  <c:v>0.31707317073170732</c:v>
                </c:pt>
                <c:pt idx="6">
                  <c:v>0.36666666666666664</c:v>
                </c:pt>
                <c:pt idx="7">
                  <c:v>0.5</c:v>
                </c:pt>
                <c:pt idx="8">
                  <c:v>0.29729729729729731</c:v>
                </c:pt>
                <c:pt idx="9">
                  <c:v>0.3125</c:v>
                </c:pt>
              </c:numCache>
            </c:numRef>
          </c:val>
          <c:extLst xmlns:c16r2="http://schemas.microsoft.com/office/drawing/2015/06/chart">
            <c:ext xmlns:c16="http://schemas.microsoft.com/office/drawing/2014/chart" uri="{C3380CC4-5D6E-409C-BE32-E72D297353CC}">
              <c16:uniqueId val="{00000000-CAE6-4F1E-AA2B-F8DBC16B8ADA}"/>
            </c:ext>
          </c:extLst>
        </c:ser>
        <c:ser>
          <c:idx val="1"/>
          <c:order val="1"/>
          <c:tx>
            <c:strRef>
              <c:f>'injclm P'!$M$3</c:f>
              <c:strCache>
                <c:ptCount val="1"/>
                <c:pt idx="0">
                  <c:v>Sum of Field3</c:v>
                </c:pt>
              </c:strCache>
            </c:strRef>
          </c:tx>
          <c:spPr>
            <a:pattFill prst="smCheck">
              <a:fgClr>
                <a:srgbClr val="313C1C"/>
              </a:fgClr>
              <a:bgClr>
                <a:srgbClr val="E8EEDB"/>
              </a:bgClr>
            </a:pattFill>
            <a:ln>
              <a:noFill/>
            </a:ln>
            <a:effectLst>
              <a:innerShdw blurRad="114300">
                <a:srgbClr val="89A54E"/>
              </a:innerShdw>
            </a:effectLst>
          </c:spPr>
          <c:invertIfNegative val="0"/>
          <c:dLbls>
            <c:delete val="1"/>
          </c:dLbls>
          <c:cat>
            <c:strRef>
              <c:f>'injclm P'!$K$4:$K$13</c:f>
              <c:strCache>
                <c:ptCount val="10"/>
                <c:pt idx="0">
                  <c:v>Less than 7 days</c:v>
                </c:pt>
                <c:pt idx="1">
                  <c:v>7 - 13 days</c:v>
                </c:pt>
                <c:pt idx="2">
                  <c:v>14 - 20 days</c:v>
                </c:pt>
                <c:pt idx="3">
                  <c:v>21 - 27 days</c:v>
                </c:pt>
                <c:pt idx="4">
                  <c:v>28 - 41 days</c:v>
                </c:pt>
                <c:pt idx="5">
                  <c:v>42 - 55 days</c:v>
                </c:pt>
                <c:pt idx="6">
                  <c:v>56 - 69 days</c:v>
                </c:pt>
                <c:pt idx="7">
                  <c:v>70 - 83 days</c:v>
                </c:pt>
                <c:pt idx="8">
                  <c:v>84 - 180 days</c:v>
                </c:pt>
                <c:pt idx="9">
                  <c:v>Over 180 days</c:v>
                </c:pt>
              </c:strCache>
            </c:strRef>
          </c:cat>
          <c:val>
            <c:numRef>
              <c:f>'injclm P'!$M$4:$M$13</c:f>
              <c:numCache>
                <c:formatCode>General</c:formatCode>
                <c:ptCount val="10"/>
                <c:pt idx="0">
                  <c:v>0</c:v>
                </c:pt>
                <c:pt idx="1">
                  <c:v>0</c:v>
                </c:pt>
                <c:pt idx="2">
                  <c:v>0</c:v>
                </c:pt>
                <c:pt idx="3">
                  <c:v>0</c:v>
                </c:pt>
                <c:pt idx="4">
                  <c:v>0</c:v>
                </c:pt>
                <c:pt idx="5">
                  <c:v>0</c:v>
                </c:pt>
                <c:pt idx="6">
                  <c:v>0</c:v>
                </c:pt>
                <c:pt idx="7">
                  <c:v>0</c:v>
                </c:pt>
                <c:pt idx="8">
                  <c:v>0</c:v>
                </c:pt>
                <c:pt idx="9">
                  <c:v>0</c:v>
                </c:pt>
              </c:numCache>
            </c:numRef>
          </c:val>
          <c:extLst xmlns:c16r2="http://schemas.microsoft.com/office/drawing/2015/06/chart">
            <c:ext xmlns:c16="http://schemas.microsoft.com/office/drawing/2014/chart" uri="{C3380CC4-5D6E-409C-BE32-E72D297353CC}">
              <c16:uniqueId val="{00000001-CAE6-4F1E-AA2B-F8DBC16B8ADA}"/>
            </c:ext>
          </c:extLst>
        </c:ser>
        <c:dLbls>
          <c:dLblPos val="outEnd"/>
          <c:showLegendKey val="0"/>
          <c:showVal val="1"/>
          <c:showCatName val="0"/>
          <c:showSerName val="0"/>
          <c:showPercent val="0"/>
          <c:showBubbleSize val="0"/>
        </c:dLbls>
        <c:gapWidth val="280"/>
        <c:overlap val="100"/>
        <c:axId val="158155520"/>
        <c:axId val="158157056"/>
      </c:barChart>
      <c:catAx>
        <c:axId val="15815552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45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157056"/>
        <c:crosses val="autoZero"/>
        <c:auto val="1"/>
        <c:lblAlgn val="ctr"/>
        <c:lblOffset val="100"/>
        <c:noMultiLvlLbl val="0"/>
      </c:catAx>
      <c:valAx>
        <c:axId val="158157056"/>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3 months +</a:t>
                </a:r>
              </a:p>
            </c:rich>
          </c:tx>
          <c:layout>
            <c:manualLayout>
              <c:xMode val="edge"/>
              <c:yMode val="edge"/>
              <c:x val="6.1848442649684823E-2"/>
              <c:y val="0.322229354354354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155520"/>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Jan 2 - RTW and health questions.xlsx]DayToCont P!PivotTable1</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Current RTW by </a:t>
            </a:r>
            <a:r>
              <a:rPr lang="en-AU" sz="800" b="1" i="0" cap="none" baseline="0">
                <a:solidFill>
                  <a:sysClr val="windowText" lastClr="000000"/>
                </a:solidFill>
                <a:effectLst/>
                <a:latin typeface="Arial" panose="020B0604020202020204" pitchFamily="34" charset="0"/>
                <a:cs typeface="Arial" panose="020B0604020202020204" pitchFamily="34" charset="0"/>
              </a:rPr>
              <a:t>days after workplace injury first contacted?</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2587681056339797"/>
          <c:y val="4.0322580645161289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2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2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2032932098765431"/>
          <c:y val="0.24535998498498499"/>
          <c:w val="0.65759410244344496"/>
          <c:h val="0.41159660810485416"/>
        </c:manualLayout>
      </c:layout>
      <c:barChart>
        <c:barDir val="col"/>
        <c:grouping val="clustered"/>
        <c:varyColors val="0"/>
        <c:ser>
          <c:idx val="0"/>
          <c:order val="0"/>
          <c:tx>
            <c:strRef>
              <c:f>'DayToCont P'!$B$3</c:f>
              <c:strCache>
                <c:ptCount val="1"/>
                <c:pt idx="0">
                  <c:v>Current Return to Work</c:v>
                </c:pt>
              </c:strCache>
            </c:strRef>
          </c:tx>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trendline>
            <c:spPr>
              <a:ln w="19050" cap="rnd">
                <a:solidFill>
                  <a:srgbClr val="145B85"/>
                </a:solidFill>
              </a:ln>
              <a:effectLst/>
            </c:spPr>
            <c:trendlineType val="linear"/>
            <c:dispRSqr val="0"/>
            <c:dispEq val="0"/>
          </c:trendline>
          <c:cat>
            <c:strRef>
              <c:f>'DayToCont P'!$A$4:$A$7</c:f>
              <c:strCache>
                <c:ptCount val="4"/>
                <c:pt idx="0">
                  <c:v>0 - 3 days</c:v>
                </c:pt>
                <c:pt idx="1">
                  <c:v>4 - 10 days</c:v>
                </c:pt>
                <c:pt idx="2">
                  <c:v>11 - 15 days</c:v>
                </c:pt>
                <c:pt idx="3">
                  <c:v>16 or more days</c:v>
                </c:pt>
              </c:strCache>
            </c:strRef>
          </c:cat>
          <c:val>
            <c:numRef>
              <c:f>'DayToCont P'!$B$4:$B$7</c:f>
              <c:numCache>
                <c:formatCode>0%</c:formatCode>
                <c:ptCount val="4"/>
                <c:pt idx="0">
                  <c:v>0.77027027027027029</c:v>
                </c:pt>
                <c:pt idx="1">
                  <c:v>0.65384615384615385</c:v>
                </c:pt>
                <c:pt idx="2">
                  <c:v>0.66666666666666663</c:v>
                </c:pt>
                <c:pt idx="3">
                  <c:v>0.6</c:v>
                </c:pt>
              </c:numCache>
            </c:numRef>
          </c:val>
          <c:extLst xmlns:c16r2="http://schemas.microsoft.com/office/drawing/2015/06/chart">
            <c:ext xmlns:c16="http://schemas.microsoft.com/office/drawing/2014/chart" uri="{C3380CC4-5D6E-409C-BE32-E72D297353CC}">
              <c16:uniqueId val="{00000000-6BDF-4B8F-9868-4DDD865B21D7}"/>
            </c:ext>
          </c:extLst>
        </c:ser>
        <c:ser>
          <c:idx val="1"/>
          <c:order val="1"/>
          <c:tx>
            <c:strRef>
              <c:f>'DayToCont P'!$C$3</c:f>
              <c:strCache>
                <c:ptCount val="1"/>
                <c:pt idx="0">
                  <c:v>Sum of Field3</c:v>
                </c:pt>
              </c:strCache>
            </c:strRef>
          </c:tx>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invertIfNegative val="0"/>
          <c:dLbls>
            <c:delete val="1"/>
          </c:dLbls>
          <c:cat>
            <c:strRef>
              <c:f>'DayToCont P'!$A$4:$A$7</c:f>
              <c:strCache>
                <c:ptCount val="4"/>
                <c:pt idx="0">
                  <c:v>0 - 3 days</c:v>
                </c:pt>
                <c:pt idx="1">
                  <c:v>4 - 10 days</c:v>
                </c:pt>
                <c:pt idx="2">
                  <c:v>11 - 15 days</c:v>
                </c:pt>
                <c:pt idx="3">
                  <c:v>16 or more days</c:v>
                </c:pt>
              </c:strCache>
            </c:strRef>
          </c:cat>
          <c:val>
            <c:numRef>
              <c:f>'DayToCont P'!$C$4:$C$7</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1-6BDF-4B8F-9868-4DDD865B21D7}"/>
            </c:ext>
          </c:extLst>
        </c:ser>
        <c:dLbls>
          <c:dLblPos val="outEnd"/>
          <c:showLegendKey val="0"/>
          <c:showVal val="1"/>
          <c:showCatName val="0"/>
          <c:showSerName val="0"/>
          <c:showPercent val="0"/>
          <c:showBubbleSize val="0"/>
        </c:dLbls>
        <c:gapWidth val="280"/>
        <c:overlap val="100"/>
        <c:axId val="158475776"/>
        <c:axId val="158477312"/>
      </c:barChart>
      <c:catAx>
        <c:axId val="15847577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36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477312"/>
        <c:crosses val="autoZero"/>
        <c:auto val="1"/>
        <c:lblAlgn val="ctr"/>
        <c:lblOffset val="100"/>
        <c:noMultiLvlLbl val="0"/>
      </c:catAx>
      <c:valAx>
        <c:axId val="158477312"/>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at time of interview</a:t>
                </a:r>
                <a:endParaRPr lang="en-AU"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3.6886728395061734E-2"/>
              <c:y val="0.2355382882882882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47577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[NRTW Jan 2 - RTW and health questions.xlsx]DayToCont P!PivotTable3</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3+ months by </a:t>
            </a:r>
            <a:r>
              <a:rPr lang="en-AU" sz="800" b="1" i="0" cap="none" baseline="0">
                <a:solidFill>
                  <a:sysClr val="windowText" lastClr="000000"/>
                </a:solidFill>
                <a:effectLst/>
                <a:latin typeface="Arial" panose="020B0604020202020204" pitchFamily="34" charset="0"/>
                <a:cs typeface="Arial" panose="020B0604020202020204" pitchFamily="34" charset="0"/>
              </a:rPr>
              <a:t>days after workplace injury first contacted?</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2"/>
      </c:pivotFmt>
      <c:pivotFmt>
        <c:idx val="43"/>
      </c:pivotFmt>
      <c:pivotFmt>
        <c:idx val="44"/>
      </c:pivotFmt>
      <c:pivotFmt>
        <c:idx val="45"/>
      </c:pivotFmt>
      <c:pivotFmt>
        <c:idx val="46"/>
      </c:pivotFmt>
      <c:pivotFmt>
        <c:idx val="47"/>
      </c:pivotFmt>
      <c:pivotFmt>
        <c:idx val="4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6"/>
        <c:spPr>
          <a:pattFill prst="smCheck">
            <a:fgClr>
              <a:srgbClr val="1F497D">
                <a:lumMod val="75000"/>
              </a:srgbClr>
            </a:fgClr>
            <a:bgClr>
              <a:srgbClr val="1F497D">
                <a:lumMod val="40000"/>
                <a:lumOff val="60000"/>
              </a:srgb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8"/>
        <c:spPr>
          <a:pattFill prst="smCheck">
            <a:fgClr>
              <a:srgbClr val="1F497D">
                <a:lumMod val="75000"/>
              </a:srgbClr>
            </a:fgClr>
            <a:bgClr>
              <a:srgbClr val="1F497D">
                <a:lumMod val="40000"/>
                <a:lumOff val="60000"/>
              </a:srgb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0"/>
        <c:spPr>
          <a:pattFill prst="smCheck">
            <a:fgClr>
              <a:srgbClr val="1F497D">
                <a:lumMod val="75000"/>
              </a:srgbClr>
            </a:fgClr>
            <a:bgClr>
              <a:srgbClr val="1F497D">
                <a:lumMod val="40000"/>
                <a:lumOff val="60000"/>
              </a:srgb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5"/>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7"/>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9"/>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1"/>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3"/>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5"/>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7"/>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9"/>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1"/>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3"/>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5"/>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7"/>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9"/>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11"/>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13"/>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15"/>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17"/>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19"/>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21"/>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23"/>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s>
    <c:plotArea>
      <c:layout>
        <c:manualLayout>
          <c:layoutTarget val="inner"/>
          <c:xMode val="edge"/>
          <c:yMode val="edge"/>
          <c:x val="0.2124936212199465"/>
          <c:y val="0.24502896762643109"/>
          <c:w val="0.67327314814814809"/>
          <c:h val="0.44157769913269751"/>
        </c:manualLayout>
      </c:layout>
      <c:barChart>
        <c:barDir val="col"/>
        <c:grouping val="clustered"/>
        <c:varyColors val="0"/>
        <c:ser>
          <c:idx val="0"/>
          <c:order val="0"/>
          <c:tx>
            <c:strRef>
              <c:f>'DayToCont P'!$L$3</c:f>
              <c:strCache>
                <c:ptCount val="1"/>
                <c:pt idx="0">
                  <c:v>Returned to work for three months or more</c:v>
                </c:pt>
              </c:strCache>
            </c:strRef>
          </c:tx>
          <c:spPr>
            <a:pattFill prst="smCheck">
              <a:fgClr>
                <a:srgbClr val="145B85"/>
              </a:fgClr>
              <a:bgClr>
                <a:sysClr val="window" lastClr="FFFFFF"/>
              </a:bgClr>
            </a:pattFill>
            <a:ln>
              <a:noFill/>
            </a:ln>
            <a:effectLst>
              <a:innerShdw blurRad="114300">
                <a:srgbClr val="145B85"/>
              </a:innerShdw>
            </a:effectLst>
          </c:spPr>
          <c:invertIfNegative val="0"/>
          <c:dLbls>
            <c:dLbl>
              <c:idx val="3"/>
              <c:layout>
                <c:manualLayout>
                  <c:x val="0"/>
                  <c:y val="-1.5130984284427556E-2"/>
                </c:manualLayout>
              </c:layout>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trendline>
            <c:spPr>
              <a:ln w="19050" cap="rnd">
                <a:solidFill>
                  <a:srgbClr val="145B85"/>
                </a:solidFill>
              </a:ln>
              <a:effectLst/>
            </c:spPr>
            <c:trendlineType val="linear"/>
            <c:dispRSqr val="0"/>
            <c:dispEq val="0"/>
          </c:trendline>
          <c:cat>
            <c:strRef>
              <c:f>'DayToCont P'!$K$4:$K$7</c:f>
              <c:strCache>
                <c:ptCount val="4"/>
                <c:pt idx="0">
                  <c:v>0 - 3 days</c:v>
                </c:pt>
                <c:pt idx="1">
                  <c:v>4 - 10 days</c:v>
                </c:pt>
                <c:pt idx="2">
                  <c:v>11 - 15 days</c:v>
                </c:pt>
                <c:pt idx="3">
                  <c:v>16 or more days</c:v>
                </c:pt>
              </c:strCache>
            </c:strRef>
          </c:cat>
          <c:val>
            <c:numRef>
              <c:f>'DayToCont P'!$L$4:$L$7</c:f>
              <c:numCache>
                <c:formatCode>0%</c:formatCode>
                <c:ptCount val="4"/>
                <c:pt idx="0">
                  <c:v>0.63513513513513509</c:v>
                </c:pt>
                <c:pt idx="1">
                  <c:v>0.53846153846153844</c:v>
                </c:pt>
                <c:pt idx="2">
                  <c:v>0.66666666666666663</c:v>
                </c:pt>
                <c:pt idx="3">
                  <c:v>0.4</c:v>
                </c:pt>
              </c:numCache>
            </c:numRef>
          </c:val>
          <c:extLst xmlns:c16r2="http://schemas.microsoft.com/office/drawing/2015/06/chart">
            <c:ext xmlns:c16="http://schemas.microsoft.com/office/drawing/2014/chart" uri="{C3380CC4-5D6E-409C-BE32-E72D297353CC}">
              <c16:uniqueId val="{00000000-6303-4E40-A709-15DA858D1971}"/>
            </c:ext>
          </c:extLst>
        </c:ser>
        <c:ser>
          <c:idx val="1"/>
          <c:order val="1"/>
          <c:tx>
            <c:strRef>
              <c:f>'DayToCont P'!$M$3</c:f>
              <c:strCache>
                <c:ptCount val="1"/>
                <c:pt idx="0">
                  <c:v>Sum of Field3</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elete val="1"/>
          </c:dLbls>
          <c:cat>
            <c:strRef>
              <c:f>'DayToCont P'!$K$4:$K$7</c:f>
              <c:strCache>
                <c:ptCount val="4"/>
                <c:pt idx="0">
                  <c:v>0 - 3 days</c:v>
                </c:pt>
                <c:pt idx="1">
                  <c:v>4 - 10 days</c:v>
                </c:pt>
                <c:pt idx="2">
                  <c:v>11 - 15 days</c:v>
                </c:pt>
                <c:pt idx="3">
                  <c:v>16 or more days</c:v>
                </c:pt>
              </c:strCache>
            </c:strRef>
          </c:cat>
          <c:val>
            <c:numRef>
              <c:f>'DayToCont P'!$M$4:$M$7</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1-6303-4E40-A709-15DA858D1971}"/>
            </c:ext>
          </c:extLst>
        </c:ser>
        <c:dLbls>
          <c:dLblPos val="outEnd"/>
          <c:showLegendKey val="0"/>
          <c:showVal val="1"/>
          <c:showCatName val="0"/>
          <c:showSerName val="0"/>
          <c:showPercent val="0"/>
          <c:showBubbleSize val="0"/>
        </c:dLbls>
        <c:gapWidth val="280"/>
        <c:overlap val="100"/>
        <c:axId val="158857472"/>
        <c:axId val="158867456"/>
      </c:barChart>
      <c:catAx>
        <c:axId val="15885747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36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867456"/>
        <c:crosses val="autoZero"/>
        <c:auto val="1"/>
        <c:lblAlgn val="ctr"/>
        <c:lblOffset val="100"/>
        <c:noMultiLvlLbl val="0"/>
      </c:catAx>
      <c:valAx>
        <c:axId val="158867456"/>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effectLst/>
                    <a:latin typeface="Arial" panose="020B0604020202020204" pitchFamily="34" charset="0"/>
                    <a:cs typeface="Arial" panose="020B0604020202020204" pitchFamily="34" charset="0"/>
                  </a:rPr>
                  <a:t>% at work at 3 months +</a:t>
                </a:r>
              </a:p>
            </c:rich>
          </c:tx>
          <c:layout>
            <c:manualLayout>
              <c:xMode val="edge"/>
              <c:yMode val="edge"/>
              <c:x val="3.7757098765432096E-2"/>
              <c:y val="0.3112672672672672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85747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Current RTW by</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concern re claim lodgement </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5824715421663663"/>
          <c:y val="0.23714529914529914"/>
          <c:w val="0.65759410244344496"/>
          <c:h val="0.56899821614728452"/>
        </c:manualLayout>
      </c:layout>
      <c:barChart>
        <c:barDir val="col"/>
        <c:grouping val="clustered"/>
        <c:varyColors val="0"/>
        <c:ser>
          <c:idx val="0"/>
          <c:order val="0"/>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'ConCL P AV C'!$A$6:$A$7</c:f>
              <c:strCache>
                <c:ptCount val="2"/>
                <c:pt idx="0">
                  <c:v>Low</c:v>
                </c:pt>
                <c:pt idx="1">
                  <c:v>High</c:v>
                </c:pt>
              </c:strCache>
            </c:strRef>
          </c:cat>
          <c:val>
            <c:numRef>
              <c:f>'ConCL P AV C'!$B$6:$B$7</c:f>
              <c:numCache>
                <c:formatCode>0%</c:formatCode>
                <c:ptCount val="2"/>
                <c:pt idx="0">
                  <c:v>0.63260129909551543</c:v>
                </c:pt>
                <c:pt idx="1">
                  <c:v>0.51800000000000002</c:v>
                </c:pt>
              </c:numCache>
            </c:numRef>
          </c:val>
          <c:extLst xmlns:c16r2="http://schemas.microsoft.com/office/drawing/2015/06/chart">
            <c:ext xmlns:c16="http://schemas.microsoft.com/office/drawing/2014/chart" uri="{C3380CC4-5D6E-409C-BE32-E72D297353CC}">
              <c16:uniqueId val="{00000000-15A0-48A4-8281-A6EAEA6AF4AF}"/>
            </c:ext>
          </c:extLst>
        </c:ser>
        <c:dLbls>
          <c:dLblPos val="outEnd"/>
          <c:showLegendKey val="0"/>
          <c:showVal val="1"/>
          <c:showCatName val="0"/>
          <c:showSerName val="0"/>
          <c:showPercent val="0"/>
          <c:showBubbleSize val="0"/>
        </c:dLbls>
        <c:gapWidth val="280"/>
        <c:overlap val="100"/>
        <c:axId val="161120256"/>
        <c:axId val="161122944"/>
      </c:barChart>
      <c:catAx>
        <c:axId val="16112025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1122944"/>
        <c:crosses val="autoZero"/>
        <c:auto val="1"/>
        <c:lblAlgn val="ctr"/>
        <c:lblOffset val="100"/>
        <c:noMultiLvlLbl val="0"/>
      </c:catAx>
      <c:valAx>
        <c:axId val="161122944"/>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at time of interview</a:t>
                </a:r>
                <a:endParaRPr lang="en-AU"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4.3717154826291814E-2"/>
              <c:y val="0.1976935897435897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112025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3+ months by</a:t>
            </a:r>
            <a:endParaRPr lang="en-AU" sz="800" b="1"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concern re claim lodgement </a:t>
            </a:r>
            <a:endParaRPr lang="en-AU" sz="800" b="1" cap="none" baseline="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6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74"/>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80"/>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1"/>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94"/>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10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8"/>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0"/>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885294279979404"/>
          <c:y val="0.23105811965811965"/>
          <c:w val="0.64447467024274618"/>
          <c:h val="0.56899821614728452"/>
        </c:manualLayout>
      </c:layout>
      <c:barChart>
        <c:barDir val="col"/>
        <c:grouping val="clustered"/>
        <c:varyColors val="0"/>
        <c:ser>
          <c:idx val="0"/>
          <c:order val="0"/>
          <c:spPr>
            <a:pattFill prst="smCheck">
              <a:fgClr>
                <a:srgbClr val="145B85"/>
              </a:fgClr>
              <a:bgClr>
                <a:sysClr val="window" lastClr="FFFFFF"/>
              </a:bgClr>
            </a:pattFill>
            <a:ln>
              <a:noFill/>
            </a:ln>
            <a:effectLst>
              <a:innerShdw blurRad="114300">
                <a:srgbClr val="145B85"/>
              </a:innerShdw>
            </a:effectLst>
          </c:spPr>
          <c:invertIfNegative val="0"/>
          <c:dLbls>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dLbl>
            <c:dLbl>
              <c:idx val="1"/>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'ConCL P AV C'!$A$11:$A$12</c:f>
              <c:strCache>
                <c:ptCount val="2"/>
                <c:pt idx="0">
                  <c:v>Low</c:v>
                </c:pt>
                <c:pt idx="1">
                  <c:v>High</c:v>
                </c:pt>
              </c:strCache>
            </c:strRef>
          </c:cat>
          <c:val>
            <c:numRef>
              <c:f>'ConCL P AV C'!$B$11:$B$12</c:f>
              <c:numCache>
                <c:formatCode>0%</c:formatCode>
                <c:ptCount val="2"/>
                <c:pt idx="0">
                  <c:v>0.48200000000000004</c:v>
                </c:pt>
                <c:pt idx="1">
                  <c:v>0.39799999999999996</c:v>
                </c:pt>
              </c:numCache>
            </c:numRef>
          </c:val>
          <c:extLst xmlns:c16r2="http://schemas.microsoft.com/office/drawing/2015/06/chart">
            <c:ext xmlns:c16="http://schemas.microsoft.com/office/drawing/2014/chart" uri="{C3380CC4-5D6E-409C-BE32-E72D297353CC}">
              <c16:uniqueId val="{00000002-1934-4D3E-B25C-D6DDA37CA743}"/>
            </c:ext>
          </c:extLst>
        </c:ser>
        <c:dLbls>
          <c:dLblPos val="outEnd"/>
          <c:showLegendKey val="0"/>
          <c:showVal val="1"/>
          <c:showCatName val="0"/>
          <c:showSerName val="0"/>
          <c:showPercent val="0"/>
          <c:showBubbleSize val="0"/>
        </c:dLbls>
        <c:gapWidth val="280"/>
        <c:overlap val="100"/>
        <c:axId val="164663680"/>
        <c:axId val="164665216"/>
      </c:barChart>
      <c:catAx>
        <c:axId val="16466368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4665216"/>
        <c:crosses val="autoZero"/>
        <c:auto val="1"/>
        <c:lblAlgn val="ctr"/>
        <c:lblOffset val="100"/>
        <c:noMultiLvlLbl val="0"/>
      </c:catAx>
      <c:valAx>
        <c:axId val="164665216"/>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3 months +</a:t>
                </a:r>
                <a:endParaRPr lang="en-AU" sz="800">
                  <a:solidFill>
                    <a:sysClr val="windowText" lastClr="000000"/>
                  </a:solidFill>
                  <a:effectLst/>
                  <a:latin typeface="Arial" panose="020B0604020202020204" pitchFamily="34" charset="0"/>
                  <a:cs typeface="Arial" panose="020B0604020202020204"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AU" sz="8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6.1848442649684823E-2"/>
              <c:y val="0.322229354354354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4663680"/>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Current RTW by</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workers view of workplace culture prior to injury </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625356587868633"/>
          <c:y val="0"/>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626573717976543"/>
          <c:y val="0.29684676118334596"/>
          <c:w val="0.65759410244344496"/>
          <c:h val="0.56899821614728452"/>
        </c:manualLayout>
      </c:layout>
      <c:barChart>
        <c:barDir val="col"/>
        <c:grouping val="clustered"/>
        <c:varyColors val="0"/>
        <c:ser>
          <c:idx val="0"/>
          <c:order val="0"/>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'PlpsyH P AV C'!$A$5:$A$6</c:f>
              <c:strCache>
                <c:ptCount val="2"/>
                <c:pt idx="0">
                  <c:v>Positive</c:v>
                </c:pt>
                <c:pt idx="1">
                  <c:v>Negative</c:v>
                </c:pt>
              </c:strCache>
            </c:strRef>
          </c:cat>
          <c:val>
            <c:numRef>
              <c:f>'PlpsyH P AV C'!$B$5:$B$6</c:f>
              <c:numCache>
                <c:formatCode>0%</c:formatCode>
                <c:ptCount val="2"/>
                <c:pt idx="0">
                  <c:v>0.58929538041866802</c:v>
                </c:pt>
                <c:pt idx="1">
                  <c:v>0.57999999999999996</c:v>
                </c:pt>
              </c:numCache>
            </c:numRef>
          </c:val>
          <c:extLst xmlns:c16r2="http://schemas.microsoft.com/office/drawing/2015/06/chart">
            <c:ext xmlns:c16="http://schemas.microsoft.com/office/drawing/2014/chart" uri="{C3380CC4-5D6E-409C-BE32-E72D297353CC}">
              <c16:uniqueId val="{00000000-5776-4ABD-AE44-FE1D9C512C5D}"/>
            </c:ext>
          </c:extLst>
        </c:ser>
        <c:dLbls>
          <c:dLblPos val="outEnd"/>
          <c:showLegendKey val="0"/>
          <c:showVal val="1"/>
          <c:showCatName val="0"/>
          <c:showSerName val="0"/>
          <c:showPercent val="0"/>
          <c:showBubbleSize val="0"/>
        </c:dLbls>
        <c:gapWidth val="280"/>
        <c:overlap val="100"/>
        <c:axId val="165173888"/>
        <c:axId val="165180928"/>
      </c:barChart>
      <c:catAx>
        <c:axId val="16517388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5180928"/>
        <c:crosses val="autoZero"/>
        <c:auto val="1"/>
        <c:lblAlgn val="ctr"/>
        <c:lblOffset val="100"/>
        <c:noMultiLvlLbl val="0"/>
      </c:catAx>
      <c:valAx>
        <c:axId val="165180928"/>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a:solidFill>
                      <a:sysClr val="windowText" lastClr="000000"/>
                    </a:solidFill>
                    <a:latin typeface="Arial" panose="020B0604020202020204" pitchFamily="34" charset="0"/>
                    <a:cs typeface="Arial" panose="020B0604020202020204" pitchFamily="34" charset="0"/>
                  </a:rPr>
                  <a:t>%</a:t>
                </a:r>
                <a:r>
                  <a:rPr lang="en-US" sz="800" baseline="0">
                    <a:solidFill>
                      <a:sysClr val="windowText" lastClr="000000"/>
                    </a:solidFill>
                    <a:latin typeface="Arial" panose="020B0604020202020204" pitchFamily="34" charset="0"/>
                    <a:cs typeface="Arial" panose="020B0604020202020204" pitchFamily="34" charset="0"/>
                  </a:rPr>
                  <a:t> at work at time of interview</a:t>
                </a:r>
                <a:endParaRPr lang="en-US" sz="8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4.3717154826291814E-2"/>
              <c:y val="0.1976935897435897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517388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3+ months by</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employer response to injury</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453347502656748"/>
          <c:y val="3.7935769621539245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6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74"/>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80"/>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1"/>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94"/>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10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8"/>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0"/>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7450207937610344"/>
          <c:y val="0.23105811965811965"/>
          <c:w val="0.65850201243441808"/>
          <c:h val="0.56899821614728452"/>
        </c:manualLayout>
      </c:layout>
      <c:barChart>
        <c:barDir val="col"/>
        <c:grouping val="clustered"/>
        <c:varyColors val="0"/>
        <c:ser>
          <c:idx val="0"/>
          <c:order val="0"/>
          <c:spPr>
            <a:pattFill prst="narHorz">
              <a:fgClr>
                <a:srgbClr val="145B85"/>
              </a:fgClr>
              <a:bgClr>
                <a:sysClr val="window" lastClr="FFFFFF"/>
              </a:bgClr>
            </a:pattFill>
            <a:ln>
              <a:noFill/>
            </a:ln>
            <a:effectLst>
              <a:innerShdw blurRad="114300">
                <a:srgbClr val="145B85"/>
              </a:innerShdw>
            </a:effectLst>
          </c:spPr>
          <c:invertIfNegative val="0"/>
          <c:dLbls>
            <c:dLbl>
              <c:idx val="0"/>
              <c:numFmt formatCode="0%"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dLbl>
            <c:dLbl>
              <c:idx val="1"/>
              <c:numFmt formatCode="0%"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'EmpRtoInj P AV C'!$A$11:$A$12</c:f>
              <c:strCache>
                <c:ptCount val="2"/>
                <c:pt idx="0">
                  <c:v>Positive</c:v>
                </c:pt>
                <c:pt idx="1">
                  <c:v>Negative</c:v>
                </c:pt>
              </c:strCache>
            </c:strRef>
          </c:cat>
          <c:val>
            <c:numRef>
              <c:f>'EmpRtoInj P AV C'!$B$11:$B$12</c:f>
              <c:numCache>
                <c:formatCode>0%</c:formatCode>
                <c:ptCount val="2"/>
                <c:pt idx="0">
                  <c:v>0.63000245238198971</c:v>
                </c:pt>
                <c:pt idx="1">
                  <c:v>0.38430079930045424</c:v>
                </c:pt>
              </c:numCache>
            </c:numRef>
          </c:val>
          <c:extLst xmlns:c16r2="http://schemas.microsoft.com/office/drawing/2015/06/chart">
            <c:ext xmlns:c16="http://schemas.microsoft.com/office/drawing/2014/chart" uri="{C3380CC4-5D6E-409C-BE32-E72D297353CC}">
              <c16:uniqueId val="{00000002-8453-4FC8-9DC8-0CC2EE985E54}"/>
            </c:ext>
          </c:extLst>
        </c:ser>
        <c:dLbls>
          <c:dLblPos val="outEnd"/>
          <c:showLegendKey val="0"/>
          <c:showVal val="1"/>
          <c:showCatName val="0"/>
          <c:showSerName val="0"/>
          <c:showPercent val="0"/>
          <c:showBubbleSize val="0"/>
        </c:dLbls>
        <c:gapWidth val="280"/>
        <c:overlap val="100"/>
        <c:axId val="3264512"/>
        <c:axId val="3266048"/>
      </c:barChart>
      <c:catAx>
        <c:axId val="326451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266048"/>
        <c:crosses val="autoZero"/>
        <c:auto val="1"/>
        <c:lblAlgn val="ctr"/>
        <c:lblOffset val="100"/>
        <c:noMultiLvlLbl val="0"/>
      </c:catAx>
      <c:valAx>
        <c:axId val="3266048"/>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a:solidFill>
                      <a:sysClr val="windowText" lastClr="000000"/>
                    </a:solidFill>
                    <a:latin typeface="Arial" panose="020B0604020202020204" pitchFamily="34" charset="0"/>
                    <a:cs typeface="Arial" panose="020B0604020202020204" pitchFamily="34" charset="0"/>
                  </a:rPr>
                  <a:t>Axis</a:t>
                </a:r>
                <a:r>
                  <a:rPr lang="en-US" sz="800" b="0" i="0" baseline="0">
                    <a:solidFill>
                      <a:sysClr val="windowText" lastClr="000000"/>
                    </a:solidFill>
                    <a:effectLst/>
                    <a:latin typeface="Arial" panose="020B0604020202020204" pitchFamily="34" charset="0"/>
                    <a:cs typeface="Arial" panose="020B0604020202020204" pitchFamily="34" charset="0"/>
                  </a:rPr>
                  <a:t>% at work at 3 months+</a:t>
                </a:r>
                <a:endParaRPr lang="en-AU" sz="800" b="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4.1785239910060855E-2"/>
              <c:y val="0.2310582764898120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26451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2">
    <c:autoUpdate val="0"/>
  </c:externalData>
  <c:extLst xmlns:c16r2="http://schemas.microsoft.com/office/drawing/2015/06/chart"/>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3+ months by</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workers view of workplace culture prior to injury </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4048494213857227"/>
          <c:y val="0"/>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6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74"/>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80"/>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1"/>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94"/>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10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8"/>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0"/>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6206842667268576"/>
          <c:y val="0.29618692507398581"/>
          <c:w val="0.64447467024274618"/>
          <c:h val="0.56899821614728452"/>
        </c:manualLayout>
      </c:layout>
      <c:barChart>
        <c:barDir val="col"/>
        <c:grouping val="clustered"/>
        <c:varyColors val="0"/>
        <c:ser>
          <c:idx val="0"/>
          <c:order val="0"/>
          <c:spPr>
            <a:pattFill prst="smCheck">
              <a:fgClr>
                <a:srgbClr val="145B85"/>
              </a:fgClr>
              <a:bgClr>
                <a:sysClr val="window" lastClr="FFFFFF"/>
              </a:bgClr>
            </a:pattFill>
            <a:ln>
              <a:noFill/>
            </a:ln>
            <a:effectLst>
              <a:innerShdw blurRad="114300">
                <a:srgbClr val="145B85"/>
              </a:innerShdw>
            </a:effectLst>
          </c:spPr>
          <c:invertIfNegative val="0"/>
          <c:dLbls>
            <c:dLbl>
              <c:idx val="0"/>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dLbl>
            <c:dLbl>
              <c:idx val="1"/>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'PlpsyH P AV C'!$A$11:$A$12</c:f>
              <c:strCache>
                <c:ptCount val="2"/>
                <c:pt idx="0">
                  <c:v>Positive</c:v>
                </c:pt>
                <c:pt idx="1">
                  <c:v>Negative</c:v>
                </c:pt>
              </c:strCache>
            </c:strRef>
          </c:cat>
          <c:val>
            <c:numRef>
              <c:f>'PlpsyH P AV C'!$B$11:$B$12</c:f>
              <c:numCache>
                <c:formatCode>0%</c:formatCode>
                <c:ptCount val="2"/>
                <c:pt idx="0">
                  <c:v>0.48799999999999999</c:v>
                </c:pt>
                <c:pt idx="1">
                  <c:v>0.40194277220364183</c:v>
                </c:pt>
              </c:numCache>
            </c:numRef>
          </c:val>
          <c:extLst xmlns:c16r2="http://schemas.microsoft.com/office/drawing/2015/06/chart">
            <c:ext xmlns:c16="http://schemas.microsoft.com/office/drawing/2014/chart" uri="{C3380CC4-5D6E-409C-BE32-E72D297353CC}">
              <c16:uniqueId val="{00000002-D421-4BB3-8D76-0B6DAB28ED23}"/>
            </c:ext>
          </c:extLst>
        </c:ser>
        <c:dLbls>
          <c:dLblPos val="outEnd"/>
          <c:showLegendKey val="0"/>
          <c:showVal val="1"/>
          <c:showCatName val="0"/>
          <c:showSerName val="0"/>
          <c:showPercent val="0"/>
          <c:showBubbleSize val="0"/>
        </c:dLbls>
        <c:gapWidth val="280"/>
        <c:overlap val="100"/>
        <c:axId val="166673408"/>
        <c:axId val="166695680"/>
      </c:barChart>
      <c:catAx>
        <c:axId val="16667340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6695680"/>
        <c:crosses val="autoZero"/>
        <c:auto val="1"/>
        <c:lblAlgn val="ctr"/>
        <c:lblOffset val="100"/>
        <c:noMultiLvlLbl val="0"/>
      </c:catAx>
      <c:valAx>
        <c:axId val="166695680"/>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a:solidFill>
                      <a:sysClr val="windowText" lastClr="000000"/>
                    </a:solidFill>
                    <a:latin typeface="Arial" panose="020B0604020202020204" pitchFamily="34" charset="0"/>
                    <a:cs typeface="Arial" panose="020B0604020202020204" pitchFamily="34" charset="0"/>
                  </a:rPr>
                  <a:t>%</a:t>
                </a:r>
                <a:r>
                  <a:rPr lang="en-US" sz="800" baseline="0">
                    <a:solidFill>
                      <a:sysClr val="windowText" lastClr="000000"/>
                    </a:solidFill>
                    <a:latin typeface="Arial" panose="020B0604020202020204" pitchFamily="34" charset="0"/>
                    <a:cs typeface="Arial" panose="020B0604020202020204" pitchFamily="34" charset="0"/>
                  </a:rPr>
                  <a:t> at work 3 months+</a:t>
                </a:r>
                <a:endParaRPr lang="en-US" sz="8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6.1848442649684823E-2"/>
              <c:y val="0.322229354354354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667340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Current RTW by</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interaction with the scheme/insurer</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847055555555556"/>
          <c:y val="0.22629059829059828"/>
          <c:w val="0.65759410244344496"/>
          <c:h val="0.56899821614728452"/>
        </c:manualLayout>
      </c:layout>
      <c:barChart>
        <c:barDir val="col"/>
        <c:grouping val="clustered"/>
        <c:varyColors val="0"/>
        <c:ser>
          <c:idx val="1"/>
          <c:order val="0"/>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'SysQ P AV C'!$B$2:$C$2</c:f>
              <c:strCache>
                <c:ptCount val="2"/>
                <c:pt idx="0">
                  <c:v>Agree</c:v>
                </c:pt>
                <c:pt idx="1">
                  <c:v>Do not agree</c:v>
                </c:pt>
              </c:strCache>
            </c:strRef>
          </c:cat>
          <c:val>
            <c:numRef>
              <c:f>'SysQ P AV C'!$B$3:$C$3</c:f>
              <c:numCache>
                <c:formatCode>0%</c:formatCode>
                <c:ptCount val="2"/>
                <c:pt idx="0">
                  <c:v>0.62399999999999989</c:v>
                </c:pt>
                <c:pt idx="1">
                  <c:v>0.54799999999999993</c:v>
                </c:pt>
              </c:numCache>
            </c:numRef>
          </c:val>
          <c:extLst xmlns:c16r2="http://schemas.microsoft.com/office/drawing/2015/06/chart">
            <c:ext xmlns:c16="http://schemas.microsoft.com/office/drawing/2014/chart" uri="{C3380CC4-5D6E-409C-BE32-E72D297353CC}">
              <c16:uniqueId val="{00000000-FF66-4A36-A64F-2FC50E4C8A5D}"/>
            </c:ext>
          </c:extLst>
        </c:ser>
        <c:dLbls>
          <c:dLblPos val="outEnd"/>
          <c:showLegendKey val="0"/>
          <c:showVal val="1"/>
          <c:showCatName val="0"/>
          <c:showSerName val="0"/>
          <c:showPercent val="0"/>
          <c:showBubbleSize val="0"/>
        </c:dLbls>
        <c:gapWidth val="280"/>
        <c:overlap val="100"/>
        <c:axId val="166863232"/>
        <c:axId val="166865920"/>
      </c:barChart>
      <c:catAx>
        <c:axId val="16686323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6865920"/>
        <c:crosses val="autoZero"/>
        <c:auto val="1"/>
        <c:lblAlgn val="ctr"/>
        <c:lblOffset val="100"/>
        <c:noMultiLvlLbl val="0"/>
      </c:catAx>
      <c:valAx>
        <c:axId val="166865920"/>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at time of interview</a:t>
                </a:r>
                <a:endParaRPr lang="en-AU" sz="800">
                  <a:solidFill>
                    <a:sysClr val="windowText" lastClr="000000"/>
                  </a:solidFill>
                  <a:effectLst/>
                  <a:latin typeface="Arial" panose="020B0604020202020204" pitchFamily="34" charset="0"/>
                  <a:cs typeface="Arial" panose="020B0604020202020204"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sz="8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4.3717154826291814E-2"/>
              <c:y val="0.1976935897435897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686323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3+ months by</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interaction with the scheme/insurer</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6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74"/>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80"/>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1"/>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94"/>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10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8"/>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0"/>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7067708333333335"/>
          <c:y val="0.21477606837606841"/>
          <c:w val="0.64447467024274618"/>
          <c:h val="0.56899821614728452"/>
        </c:manualLayout>
      </c:layout>
      <c:barChart>
        <c:barDir val="col"/>
        <c:grouping val="clustered"/>
        <c:varyColors val="0"/>
        <c:ser>
          <c:idx val="0"/>
          <c:order val="0"/>
          <c:spPr>
            <a:pattFill prst="smCheck">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'SysQ P AV C'!$B$12:$C$12</c:f>
              <c:strCache>
                <c:ptCount val="2"/>
                <c:pt idx="0">
                  <c:v>Agree</c:v>
                </c:pt>
                <c:pt idx="1">
                  <c:v>Do not agree</c:v>
                </c:pt>
              </c:strCache>
            </c:strRef>
          </c:cat>
          <c:val>
            <c:numRef>
              <c:f>'SysQ P AV C'!$B$13:$C$13</c:f>
              <c:numCache>
                <c:formatCode>0%</c:formatCode>
                <c:ptCount val="2"/>
                <c:pt idx="0">
                  <c:v>0.49399999999999994</c:v>
                </c:pt>
                <c:pt idx="1">
                  <c:v>0.39</c:v>
                </c:pt>
              </c:numCache>
            </c:numRef>
          </c:val>
          <c:extLst xmlns:c16r2="http://schemas.microsoft.com/office/drawing/2015/06/chart">
            <c:ext xmlns:c16="http://schemas.microsoft.com/office/drawing/2014/chart" uri="{C3380CC4-5D6E-409C-BE32-E72D297353CC}">
              <c16:uniqueId val="{00000000-5835-49C7-AE5A-642D31A646EB}"/>
            </c:ext>
          </c:extLst>
        </c:ser>
        <c:dLbls>
          <c:dLblPos val="outEnd"/>
          <c:showLegendKey val="0"/>
          <c:showVal val="1"/>
          <c:showCatName val="0"/>
          <c:showSerName val="0"/>
          <c:showPercent val="0"/>
          <c:showBubbleSize val="0"/>
        </c:dLbls>
        <c:gapWidth val="280"/>
        <c:overlap val="100"/>
        <c:axId val="167061760"/>
        <c:axId val="167068800"/>
      </c:barChart>
      <c:catAx>
        <c:axId val="16706176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7068800"/>
        <c:crosses val="autoZero"/>
        <c:auto val="1"/>
        <c:lblAlgn val="ctr"/>
        <c:lblOffset val="100"/>
        <c:noMultiLvlLbl val="0"/>
      </c:catAx>
      <c:valAx>
        <c:axId val="167068800"/>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3 months +</a:t>
                </a:r>
                <a:endParaRPr lang="en-AU"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4.8483074231105726E-2"/>
              <c:y val="0.31099663449326898"/>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7061760"/>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Jan 2 - Other employer response questions.xlsx]Diff of Op P!PivotTable2</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Current RTW by</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difference of opinion with employer/claim organiSation </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7741755713054466"/>
          <c:y val="1.0080645161290322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588417331159284"/>
          <c:y val="0.22629091591591591"/>
          <c:w val="0.63079896311410988"/>
          <c:h val="0.56899821614728452"/>
        </c:manualLayout>
      </c:layout>
      <c:barChart>
        <c:barDir val="col"/>
        <c:grouping val="clustered"/>
        <c:varyColors val="0"/>
        <c:ser>
          <c:idx val="0"/>
          <c:order val="0"/>
          <c:tx>
            <c:strRef>
              <c:f>'Diff of Op P'!$B$3</c:f>
              <c:strCache>
                <c:ptCount val="1"/>
                <c:pt idx="0">
                  <c:v>Total</c:v>
                </c:pt>
              </c:strCache>
            </c:strRef>
          </c:tx>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'Diff of Op P'!$A$4:$A$5</c:f>
              <c:strCache>
                <c:ptCount val="2"/>
                <c:pt idx="0">
                  <c:v>No</c:v>
                </c:pt>
                <c:pt idx="1">
                  <c:v>Yes</c:v>
                </c:pt>
              </c:strCache>
            </c:strRef>
          </c:cat>
          <c:val>
            <c:numRef>
              <c:f>'Diff of Op P'!$B$4:$B$5</c:f>
              <c:numCache>
                <c:formatCode>0%</c:formatCode>
                <c:ptCount val="2"/>
                <c:pt idx="0">
                  <c:v>0.62641509433962261</c:v>
                </c:pt>
                <c:pt idx="1">
                  <c:v>0.51086956521739135</c:v>
                </c:pt>
              </c:numCache>
            </c:numRef>
          </c:val>
          <c:extLst xmlns:c16r2="http://schemas.microsoft.com/office/drawing/2015/06/chart">
            <c:ext xmlns:c16="http://schemas.microsoft.com/office/drawing/2014/chart" uri="{C3380CC4-5D6E-409C-BE32-E72D297353CC}">
              <c16:uniqueId val="{00000000-07EB-41B9-9A12-9B22A4354820}"/>
            </c:ext>
          </c:extLst>
        </c:ser>
        <c:dLbls>
          <c:dLblPos val="outEnd"/>
          <c:showLegendKey val="0"/>
          <c:showVal val="1"/>
          <c:showCatName val="0"/>
          <c:showSerName val="0"/>
          <c:showPercent val="0"/>
          <c:showBubbleSize val="0"/>
        </c:dLbls>
        <c:gapWidth val="280"/>
        <c:overlap val="100"/>
        <c:axId val="167446016"/>
        <c:axId val="167465344"/>
      </c:barChart>
      <c:catAx>
        <c:axId val="16744601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7465344"/>
        <c:crosses val="autoZero"/>
        <c:auto val="1"/>
        <c:lblAlgn val="ctr"/>
        <c:lblOffset val="100"/>
        <c:noMultiLvlLbl val="0"/>
      </c:catAx>
      <c:valAx>
        <c:axId val="167465344"/>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5.5902332080965969E-2"/>
              <c:y val="0.2081903257556515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744601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Jan 2 - Other employer response questions.xlsx]Diff of Op P!PivotTable3</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3+ months by</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difference of opinion with employer/claim organisation </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7316676010610257"/>
          <c:y val="0"/>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6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74"/>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80"/>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1"/>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94"/>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10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8"/>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0"/>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7"/>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5303806815183816"/>
          <c:y val="0.23105818318318322"/>
          <c:w val="0.64447467024274618"/>
          <c:h val="0.56899821614728452"/>
        </c:manualLayout>
      </c:layout>
      <c:barChart>
        <c:barDir val="col"/>
        <c:grouping val="clustered"/>
        <c:varyColors val="0"/>
        <c:ser>
          <c:idx val="0"/>
          <c:order val="0"/>
          <c:tx>
            <c:strRef>
              <c:f>'Diff of Op P'!$L$3</c:f>
              <c:strCache>
                <c:ptCount val="1"/>
                <c:pt idx="0">
                  <c:v>Total</c:v>
                </c:pt>
              </c:strCache>
            </c:strRef>
          </c:tx>
          <c:spPr>
            <a:pattFill prst="smCheck">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'Diff of Op P'!$K$4:$K$5</c:f>
              <c:strCache>
                <c:ptCount val="2"/>
                <c:pt idx="0">
                  <c:v>No</c:v>
                </c:pt>
                <c:pt idx="1">
                  <c:v>Yes</c:v>
                </c:pt>
              </c:strCache>
            </c:strRef>
          </c:cat>
          <c:val>
            <c:numRef>
              <c:f>'Diff of Op P'!$L$4:$L$5</c:f>
              <c:numCache>
                <c:formatCode>0%</c:formatCode>
                <c:ptCount val="2"/>
                <c:pt idx="0">
                  <c:v>0.47924528301886793</c:v>
                </c:pt>
                <c:pt idx="1">
                  <c:v>0.38768115942028986</c:v>
                </c:pt>
              </c:numCache>
            </c:numRef>
          </c:val>
          <c:extLst xmlns:c16r2="http://schemas.microsoft.com/office/drawing/2015/06/chart">
            <c:ext xmlns:c16="http://schemas.microsoft.com/office/drawing/2014/chart" uri="{C3380CC4-5D6E-409C-BE32-E72D297353CC}">
              <c16:uniqueId val="{00000000-A729-4FB9-8899-005DECFEAFF0}"/>
            </c:ext>
          </c:extLst>
        </c:ser>
        <c:dLbls>
          <c:dLblPos val="outEnd"/>
          <c:showLegendKey val="0"/>
          <c:showVal val="1"/>
          <c:showCatName val="0"/>
          <c:showSerName val="0"/>
          <c:showPercent val="0"/>
          <c:showBubbleSize val="0"/>
        </c:dLbls>
        <c:gapWidth val="280"/>
        <c:overlap val="100"/>
        <c:axId val="167813120"/>
        <c:axId val="167815808"/>
      </c:barChart>
      <c:catAx>
        <c:axId val="16781312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7815808"/>
        <c:crosses val="autoZero"/>
        <c:auto val="1"/>
        <c:lblAlgn val="ctr"/>
        <c:lblOffset val="100"/>
        <c:noMultiLvlLbl val="0"/>
      </c:catAx>
      <c:valAx>
        <c:axId val="167815808"/>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3 months +</a:t>
                </a:r>
              </a:p>
            </c:rich>
          </c:tx>
          <c:layout>
            <c:manualLayout>
              <c:xMode val="edge"/>
              <c:yMode val="edge"/>
              <c:x val="6.1848442649684823E-2"/>
              <c:y val="0.322229354354354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7813120"/>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Jan 2 - Other employer response questions.xlsx]Help to Res P!PivotTable2</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Current RTW by </a:t>
            </a:r>
            <a:r>
              <a:rPr lang="en-AU" sz="800" b="1" i="0" cap="none" baseline="0">
                <a:solidFill>
                  <a:sysClr val="windowText" lastClr="000000"/>
                </a:solidFill>
                <a:effectLst/>
                <a:latin typeface="Arial" panose="020B0604020202020204" pitchFamily="34" charset="0"/>
                <a:cs typeface="Arial" panose="020B0604020202020204" pitchFamily="34" charset="0"/>
              </a:rPr>
              <a:t>need for assistance to resolve differences</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8493072589439463"/>
          <c:y val="2.5227043390514632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588417331159284"/>
          <c:y val="0.22629091591591591"/>
          <c:w val="0.63079896311410988"/>
          <c:h val="0.56899821614728452"/>
        </c:manualLayout>
      </c:layout>
      <c:barChart>
        <c:barDir val="col"/>
        <c:grouping val="clustered"/>
        <c:varyColors val="0"/>
        <c:ser>
          <c:idx val="0"/>
          <c:order val="0"/>
          <c:tx>
            <c:strRef>
              <c:f>'Help to Res P'!$B$3</c:f>
              <c:strCache>
                <c:ptCount val="1"/>
                <c:pt idx="0">
                  <c:v>Total</c:v>
                </c:pt>
              </c:strCache>
            </c:strRef>
          </c:tx>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'Help to Res P'!$A$4:$A$5</c:f>
              <c:strCache>
                <c:ptCount val="2"/>
                <c:pt idx="0">
                  <c:v>No</c:v>
                </c:pt>
                <c:pt idx="1">
                  <c:v>Yes</c:v>
                </c:pt>
              </c:strCache>
            </c:strRef>
          </c:cat>
          <c:val>
            <c:numRef>
              <c:f>'Help to Res P'!$B$4:$B$5</c:f>
              <c:numCache>
                <c:formatCode>0%</c:formatCode>
                <c:ptCount val="2"/>
                <c:pt idx="0">
                  <c:v>0.58227848101265822</c:v>
                </c:pt>
                <c:pt idx="1">
                  <c:v>0.48469387755102039</c:v>
                </c:pt>
              </c:numCache>
            </c:numRef>
          </c:val>
          <c:extLst xmlns:c16r2="http://schemas.microsoft.com/office/drawing/2015/06/chart">
            <c:ext xmlns:c16="http://schemas.microsoft.com/office/drawing/2014/chart" uri="{C3380CC4-5D6E-409C-BE32-E72D297353CC}">
              <c16:uniqueId val="{00000000-C2AC-4861-98B5-0658233EF90A}"/>
            </c:ext>
          </c:extLst>
        </c:ser>
        <c:dLbls>
          <c:dLblPos val="outEnd"/>
          <c:showLegendKey val="0"/>
          <c:showVal val="1"/>
          <c:showCatName val="0"/>
          <c:showSerName val="0"/>
          <c:showPercent val="0"/>
          <c:showBubbleSize val="0"/>
        </c:dLbls>
        <c:gapWidth val="280"/>
        <c:overlap val="100"/>
        <c:axId val="168256256"/>
        <c:axId val="168258944"/>
      </c:barChart>
      <c:catAx>
        <c:axId val="16825625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8258944"/>
        <c:crosses val="autoZero"/>
        <c:auto val="1"/>
        <c:lblAlgn val="ctr"/>
        <c:lblOffset val="100"/>
        <c:noMultiLvlLbl val="0"/>
      </c:catAx>
      <c:valAx>
        <c:axId val="168258944"/>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5.5902451353592265E-2"/>
              <c:y val="0.2081903153153153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825625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Jan 2 - Other employer response questions.xlsx]Help to Res P!PivotTable3</c:name>
    <c:fmtId val="-1"/>
  </c:pivotSource>
  <c:chart>
    <c:title>
      <c:tx>
        <c:rich>
          <a:bodyPr rot="0" spcFirstLastPara="1" vertOverflow="ellipsis" vert="horz" wrap="square" anchor="ctr" anchorCtr="1"/>
          <a:lstStyle/>
          <a:p>
            <a:pPr algn="ct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3+ months by </a:t>
            </a:r>
            <a:r>
              <a:rPr lang="en-AU" sz="800" b="1" i="0" cap="none" baseline="0">
                <a:solidFill>
                  <a:sysClr val="windowText" lastClr="000000"/>
                </a:solidFill>
                <a:effectLst/>
                <a:latin typeface="Arial" panose="020B0604020202020204" pitchFamily="34" charset="0"/>
                <a:cs typeface="Arial" panose="020B0604020202020204" pitchFamily="34" charset="0"/>
              </a:rPr>
              <a:t>need for assistance to resolve differences</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6239106029288372"/>
          <c:y val="2.0181634712411706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6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74"/>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80"/>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1"/>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94"/>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10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8"/>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0"/>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7"/>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8"/>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5303806815183816"/>
          <c:y val="0.23105818318318322"/>
          <c:w val="0.64447467024274618"/>
          <c:h val="0.56899821614728452"/>
        </c:manualLayout>
      </c:layout>
      <c:barChart>
        <c:barDir val="col"/>
        <c:grouping val="clustered"/>
        <c:varyColors val="0"/>
        <c:ser>
          <c:idx val="0"/>
          <c:order val="0"/>
          <c:tx>
            <c:strRef>
              <c:f>'Help to Res P'!$L$3</c:f>
              <c:strCache>
                <c:ptCount val="1"/>
                <c:pt idx="0">
                  <c:v>Total</c:v>
                </c:pt>
              </c:strCache>
            </c:strRef>
          </c:tx>
          <c:spPr>
            <a:pattFill prst="smCheck">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'Help to Res P'!$K$4:$K$5</c:f>
              <c:strCache>
                <c:ptCount val="2"/>
                <c:pt idx="0">
                  <c:v>No</c:v>
                </c:pt>
                <c:pt idx="1">
                  <c:v>Yes</c:v>
                </c:pt>
              </c:strCache>
            </c:strRef>
          </c:cat>
          <c:val>
            <c:numRef>
              <c:f>'Help to Res P'!$L$4:$L$5</c:f>
              <c:numCache>
                <c:formatCode>0%</c:formatCode>
                <c:ptCount val="2"/>
                <c:pt idx="0">
                  <c:v>0.45569620253164556</c:v>
                </c:pt>
                <c:pt idx="1">
                  <c:v>0.36224489795918369</c:v>
                </c:pt>
              </c:numCache>
            </c:numRef>
          </c:val>
          <c:extLst xmlns:c16r2="http://schemas.microsoft.com/office/drawing/2015/06/chart">
            <c:ext xmlns:c16="http://schemas.microsoft.com/office/drawing/2014/chart" uri="{C3380CC4-5D6E-409C-BE32-E72D297353CC}">
              <c16:uniqueId val="{00000000-6FB2-4EE5-ADD9-8B3B8631A0CD}"/>
            </c:ext>
          </c:extLst>
        </c:ser>
        <c:dLbls>
          <c:dLblPos val="outEnd"/>
          <c:showLegendKey val="0"/>
          <c:showVal val="1"/>
          <c:showCatName val="0"/>
          <c:showSerName val="0"/>
          <c:showPercent val="0"/>
          <c:showBubbleSize val="0"/>
        </c:dLbls>
        <c:gapWidth val="280"/>
        <c:overlap val="100"/>
        <c:axId val="168513536"/>
        <c:axId val="168516224"/>
      </c:barChart>
      <c:catAx>
        <c:axId val="16851353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8516224"/>
        <c:crosses val="autoZero"/>
        <c:auto val="1"/>
        <c:lblAlgn val="ctr"/>
        <c:lblOffset val="100"/>
        <c:noMultiLvlLbl val="0"/>
      </c:catAx>
      <c:valAx>
        <c:axId val="168516224"/>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3 months +</a:t>
                </a:r>
              </a:p>
            </c:rich>
          </c:tx>
          <c:layout>
            <c:manualLayout>
              <c:xMode val="edge"/>
              <c:yMode val="edge"/>
              <c:x val="6.1848442649684823E-2"/>
              <c:y val="0.322229354354354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851353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Current RTW by</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levels of resilience</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7147638888888886"/>
          <c:y val="0.23714529914529914"/>
          <c:w val="0.65759410244344496"/>
          <c:h val="0.56899821614728452"/>
        </c:manualLayout>
      </c:layout>
      <c:barChart>
        <c:barDir val="col"/>
        <c:grouping val="clustered"/>
        <c:varyColors val="0"/>
        <c:ser>
          <c:idx val="1"/>
          <c:order val="0"/>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'Resil AV P C'!$B$2:$C$2</c:f>
              <c:strCache>
                <c:ptCount val="2"/>
                <c:pt idx="0">
                  <c:v>High</c:v>
                </c:pt>
                <c:pt idx="1">
                  <c:v>Low</c:v>
                </c:pt>
              </c:strCache>
            </c:strRef>
          </c:cat>
          <c:val>
            <c:numRef>
              <c:f>'Resil AV P C'!$B$3:$C$3</c:f>
              <c:numCache>
                <c:formatCode>0%</c:formatCode>
                <c:ptCount val="2"/>
                <c:pt idx="0">
                  <c:v>0.60499999999999998</c:v>
                </c:pt>
                <c:pt idx="1">
                  <c:v>0.53166666666666662</c:v>
                </c:pt>
              </c:numCache>
            </c:numRef>
          </c:val>
          <c:extLst xmlns:c16r2="http://schemas.microsoft.com/office/drawing/2015/06/chart">
            <c:ext xmlns:c16="http://schemas.microsoft.com/office/drawing/2014/chart" uri="{C3380CC4-5D6E-409C-BE32-E72D297353CC}">
              <c16:uniqueId val="{00000000-BD38-4DC5-B56A-8F0D70ECD7A4}"/>
            </c:ext>
          </c:extLst>
        </c:ser>
        <c:dLbls>
          <c:dLblPos val="outEnd"/>
          <c:showLegendKey val="0"/>
          <c:showVal val="1"/>
          <c:showCatName val="0"/>
          <c:showSerName val="0"/>
          <c:showPercent val="0"/>
          <c:showBubbleSize val="0"/>
        </c:dLbls>
        <c:gapWidth val="280"/>
        <c:overlap val="100"/>
        <c:axId val="168647296"/>
        <c:axId val="168666624"/>
      </c:barChart>
      <c:catAx>
        <c:axId val="16864729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8666624"/>
        <c:crosses val="autoZero"/>
        <c:auto val="1"/>
        <c:lblAlgn val="ctr"/>
        <c:lblOffset val="100"/>
        <c:noMultiLvlLbl val="0"/>
      </c:catAx>
      <c:valAx>
        <c:axId val="168666624"/>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at time of interview</a:t>
                </a:r>
                <a:endParaRPr lang="en-AU" sz="800">
                  <a:solidFill>
                    <a:sysClr val="windowText" lastClr="000000"/>
                  </a:solidFill>
                  <a:effectLst/>
                  <a:latin typeface="Arial" panose="020B0604020202020204" pitchFamily="34" charset="0"/>
                  <a:cs typeface="Arial" panose="020B0604020202020204"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sz="8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4.3717154826291814E-2"/>
              <c:y val="0.1976935897435897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864729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3+ months by</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levels of resilience</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6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74"/>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80"/>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1"/>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94"/>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10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8"/>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0"/>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7067708333333335"/>
          <c:y val="0.23105811965811965"/>
          <c:w val="0.64447467024274618"/>
          <c:h val="0.56899821614728452"/>
        </c:manualLayout>
      </c:layout>
      <c:barChart>
        <c:barDir val="col"/>
        <c:grouping val="clustered"/>
        <c:varyColors val="0"/>
        <c:ser>
          <c:idx val="1"/>
          <c:order val="0"/>
          <c:spPr>
            <a:pattFill prst="smCheck">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'Resil AV P C'!$B$12:$C$12</c:f>
              <c:strCache>
                <c:ptCount val="2"/>
                <c:pt idx="0">
                  <c:v>High</c:v>
                </c:pt>
                <c:pt idx="1">
                  <c:v>Low</c:v>
                </c:pt>
              </c:strCache>
            </c:strRef>
          </c:cat>
          <c:val>
            <c:numRef>
              <c:f>'Resil AV P C'!$B$13:$C$13</c:f>
              <c:numCache>
                <c:formatCode>0%</c:formatCode>
                <c:ptCount val="2"/>
                <c:pt idx="0">
                  <c:v>0.47666666666666663</c:v>
                </c:pt>
                <c:pt idx="1">
                  <c:v>0.41666666666666674</c:v>
                </c:pt>
              </c:numCache>
            </c:numRef>
          </c:val>
          <c:extLst xmlns:c16r2="http://schemas.microsoft.com/office/drawing/2015/06/chart">
            <c:ext xmlns:c16="http://schemas.microsoft.com/office/drawing/2014/chart" uri="{C3380CC4-5D6E-409C-BE32-E72D297353CC}">
              <c16:uniqueId val="{00000000-D23B-46C2-9F23-95EDF07BA9B4}"/>
            </c:ext>
          </c:extLst>
        </c:ser>
        <c:dLbls>
          <c:dLblPos val="outEnd"/>
          <c:showLegendKey val="0"/>
          <c:showVal val="1"/>
          <c:showCatName val="0"/>
          <c:showSerName val="0"/>
          <c:showPercent val="0"/>
          <c:showBubbleSize val="0"/>
        </c:dLbls>
        <c:gapWidth val="280"/>
        <c:overlap val="100"/>
        <c:axId val="169059840"/>
        <c:axId val="169148800"/>
      </c:barChart>
      <c:catAx>
        <c:axId val="16905984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9148800"/>
        <c:crosses val="autoZero"/>
        <c:auto val="1"/>
        <c:lblAlgn val="ctr"/>
        <c:lblOffset val="100"/>
        <c:noMultiLvlLbl val="0"/>
      </c:catAx>
      <c:valAx>
        <c:axId val="169148800"/>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3 months +</a:t>
                </a:r>
                <a:endParaRPr lang="en-AU"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4.420972222222222E-2"/>
              <c:y val="0.26795598290598288"/>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9059840"/>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Current RTW by</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resilience - positively worded questions</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21556862777912586"/>
          <c:y val="3.0241935483870969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7147638888888886"/>
          <c:y val="0.23714529914529914"/>
          <c:w val="0.65759410244344496"/>
          <c:h val="0.56899821614728452"/>
        </c:manualLayout>
      </c:layout>
      <c:barChart>
        <c:barDir val="col"/>
        <c:grouping val="clustered"/>
        <c:varyColors val="0"/>
        <c:ser>
          <c:idx val="1"/>
          <c:order val="0"/>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'Resil AV P C'!$B$2:$C$2</c:f>
              <c:strCache>
                <c:ptCount val="2"/>
                <c:pt idx="0">
                  <c:v>High</c:v>
                </c:pt>
                <c:pt idx="1">
                  <c:v>Low</c:v>
                </c:pt>
              </c:strCache>
            </c:strRef>
          </c:cat>
          <c:val>
            <c:numRef>
              <c:f>'Resil AV P C'!$B$45:$C$45</c:f>
              <c:numCache>
                <c:formatCode>0%</c:formatCode>
                <c:ptCount val="2"/>
                <c:pt idx="0">
                  <c:v>0.6333333333333333</c:v>
                </c:pt>
                <c:pt idx="1">
                  <c:v>0.49666666666666665</c:v>
                </c:pt>
              </c:numCache>
            </c:numRef>
          </c:val>
          <c:extLst xmlns:c16r2="http://schemas.microsoft.com/office/drawing/2015/06/chart">
            <c:ext xmlns:c16="http://schemas.microsoft.com/office/drawing/2014/chart" uri="{C3380CC4-5D6E-409C-BE32-E72D297353CC}">
              <c16:uniqueId val="{00000000-4907-4C50-B6B1-EE4401966B1B}"/>
            </c:ext>
          </c:extLst>
        </c:ser>
        <c:dLbls>
          <c:dLblPos val="outEnd"/>
          <c:showLegendKey val="0"/>
          <c:showVal val="1"/>
          <c:showCatName val="0"/>
          <c:showSerName val="0"/>
          <c:showPercent val="0"/>
          <c:showBubbleSize val="0"/>
        </c:dLbls>
        <c:gapWidth val="280"/>
        <c:overlap val="100"/>
        <c:axId val="169267968"/>
        <c:axId val="169270656"/>
      </c:barChart>
      <c:catAx>
        <c:axId val="16926796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9270656"/>
        <c:crosses val="autoZero"/>
        <c:auto val="1"/>
        <c:lblAlgn val="ctr"/>
        <c:lblOffset val="100"/>
        <c:noMultiLvlLbl val="0"/>
      </c:catAx>
      <c:valAx>
        <c:axId val="169270656"/>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at time of interview</a:t>
                </a:r>
                <a:endParaRPr lang="en-AU" sz="800">
                  <a:solidFill>
                    <a:sysClr val="windowText" lastClr="000000"/>
                  </a:solidFill>
                  <a:effectLst/>
                  <a:latin typeface="Arial" panose="020B0604020202020204" pitchFamily="34" charset="0"/>
                  <a:cs typeface="Arial" panose="020B0604020202020204"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sz="8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4.3717154826291814E-2"/>
              <c:y val="0.1976935897435897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926796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RTW results </a:t>
            </a:r>
            <a:br>
              <a:rPr lang="en-AU" sz="800" b="1" i="0" cap="none" baseline="0">
                <a:solidFill>
                  <a:sysClr val="windowText" lastClr="000000"/>
                </a:solidFill>
                <a:effectLst/>
                <a:latin typeface="Arial" panose="020B0604020202020204" pitchFamily="34" charset="0"/>
                <a:cs typeface="Arial" panose="020B0604020202020204" pitchFamily="34" charset="0"/>
              </a:rPr>
            </a:br>
            <a:r>
              <a:rPr lang="en-AU" sz="800" b="1" i="0" cap="none" baseline="0">
                <a:solidFill>
                  <a:sysClr val="windowText" lastClr="000000"/>
                </a:solidFill>
                <a:effectLst/>
                <a:latin typeface="Arial" panose="020B0604020202020204" pitchFamily="34" charset="0"/>
                <a:cs typeface="Arial" panose="020B0604020202020204" pitchFamily="34" charset="0"/>
              </a:rPr>
              <a:t>psychological</a:t>
            </a:r>
            <a:r>
              <a:rPr lang="en-AU" cap="none" baseline="0">
                <a:solidFill>
                  <a:sysClr val="windowText" lastClr="000000"/>
                </a:solidFill>
              </a:rPr>
              <a:t> </a:t>
            </a:r>
            <a:r>
              <a:rPr lang="en-AU" sz="800" b="1" i="0" cap="none" baseline="0">
                <a:solidFill>
                  <a:sysClr val="windowText" lastClr="000000"/>
                </a:solidFill>
                <a:effectLst/>
                <a:latin typeface="Arial" panose="020B0604020202020204" pitchFamily="34" charset="0"/>
                <a:cs typeface="Arial" panose="020B0604020202020204" pitchFamily="34" charset="0"/>
              </a:rPr>
              <a:t>claims</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21816690344899548"/>
          <c:y val="3.0855361829771277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6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74"/>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80"/>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1"/>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6"/>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90"/>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9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9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96"/>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9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00"/>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02"/>
        <c:spPr>
          <a:pattFill prst="smCheck">
            <a:fgClr>
              <a:srgbClr val="313C1C"/>
            </a:fgClr>
            <a:bgClr>
              <a:srgbClr val="E8EEDB"/>
            </a:bgClr>
          </a:pattFill>
          <a:ln>
            <a:noFill/>
          </a:ln>
          <a:effectLst>
            <a:innerShdw blurRad="114300">
              <a:srgbClr val="89A54E"/>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104"/>
        <c:spPr>
          <a:pattFill prst="smCheck">
            <a:fgClr>
              <a:srgbClr val="313C1C"/>
            </a:fgClr>
            <a:bgClr>
              <a:srgbClr val="E8EEDB"/>
            </a:bgClr>
          </a:pattFill>
          <a:ln>
            <a:noFill/>
          </a:ln>
          <a:effectLst>
            <a:innerShdw blurRad="114300">
              <a:srgbClr val="89A54E"/>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06"/>
        <c:spPr>
          <a:pattFill prst="smCheck">
            <a:fgClr>
              <a:srgbClr val="313C1C"/>
            </a:fgClr>
            <a:bgClr>
              <a:srgbClr val="E8EEDB"/>
            </a:bgClr>
          </a:pattFill>
          <a:ln>
            <a:noFill/>
          </a:ln>
          <a:effectLst>
            <a:innerShdw blurRad="114300">
              <a:srgbClr val="89A54E"/>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08"/>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110"/>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12"/>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14"/>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16"/>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18"/>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20"/>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22"/>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3"/>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4"/>
        <c:spPr>
          <a:pattFill prst="smCheck">
            <a:fgClr>
              <a:srgbClr val="546630"/>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5"/>
        <c:spPr>
          <a:pattFill prst="smCheck">
            <a:fgClr>
              <a:srgbClr val="546630"/>
            </a:fgClr>
            <a:bgClr>
              <a:srgbClr val="D7E4BD"/>
            </a:bgClr>
          </a:pattFill>
          <a:ln>
            <a:noFill/>
          </a:ln>
          <a:effectLst>
            <a:innerShdw blurRad="114300">
              <a:srgbClr val="4572A7"/>
            </a:innerShdw>
          </a:effectLst>
        </c:spPr>
      </c:pivotFmt>
      <c:pivotFmt>
        <c:idx val="126"/>
        <c:spPr>
          <a:pattFill prst="smCheck">
            <a:fgClr>
              <a:srgbClr val="546630"/>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7"/>
        <c:spPr>
          <a:pattFill prst="smCheck">
            <a:fgClr>
              <a:srgbClr val="546630"/>
            </a:fgClr>
            <a:bgClr>
              <a:srgbClr val="D7E4BD"/>
            </a:bgClr>
          </a:pattFill>
          <a:ln>
            <a:noFill/>
          </a:ln>
          <a:effectLst>
            <a:innerShdw blurRad="114300">
              <a:srgbClr val="4572A7"/>
            </a:innerShdw>
          </a:effectLst>
        </c:spPr>
      </c:pivotFmt>
      <c:pivotFmt>
        <c:idx val="128"/>
        <c:spPr>
          <a:pattFill prst="smCheck">
            <a:fgClr>
              <a:srgbClr val="546630"/>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9"/>
        <c:spPr>
          <a:pattFill prst="smCheck">
            <a:fgClr>
              <a:srgbClr val="546630"/>
            </a:fgClr>
            <a:bgClr>
              <a:srgbClr val="D7E4BD"/>
            </a:bgClr>
          </a:pattFill>
          <a:ln>
            <a:noFill/>
          </a:ln>
          <a:effectLst>
            <a:innerShdw blurRad="114300">
              <a:srgbClr val="4572A7"/>
            </a:innerShdw>
          </a:effectLst>
        </c:spPr>
      </c:pivotFmt>
      <c:pivotFmt>
        <c:idx val="130"/>
        <c:spPr>
          <a:pattFill prst="narHorz">
            <a:fgClr>
              <a:schemeClr val="accent3"/>
            </a:fgClr>
            <a:bgClr>
              <a:schemeClr val="accent3">
                <a:lumMod val="20000"/>
                <a:lumOff val="80000"/>
              </a:schemeClr>
            </a:bgClr>
          </a:pattFill>
          <a:ln>
            <a:solidFill>
              <a:srgbClr val="4F81BD"/>
            </a:solid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31"/>
        <c:spPr>
          <a:pattFill prst="wdUpDiag">
            <a:fgClr>
              <a:srgbClr val="0070C0"/>
            </a:fgClr>
            <a:bgClr>
              <a:sysClr val="window" lastClr="FFFFFF"/>
            </a:bgClr>
          </a:pattFill>
          <a:ln>
            <a:noFill/>
          </a:ln>
          <a:effectLst>
            <a:innerShdw blurRad="114300">
              <a:srgbClr val="1F497D">
                <a:lumMod val="60000"/>
                <a:lumOff val="40000"/>
              </a:srgbClr>
            </a:innerShdw>
          </a:effectLst>
        </c:spPr>
      </c:pivotFmt>
      <c:pivotFmt>
        <c:idx val="132"/>
        <c:spPr>
          <a:pattFill prst="wdUpDiag">
            <a:fgClr>
              <a:srgbClr val="546630"/>
            </a:fgClr>
            <a:bgClr>
              <a:sysClr val="window" lastClr="FFFFFF"/>
            </a:bgClr>
          </a:pattFill>
          <a:ln>
            <a:noFill/>
          </a:ln>
          <a:effectLst>
            <a:innerShdw blurRad="114300">
              <a:schemeClr val="accent3">
                <a:tint val="77000"/>
              </a:schemeClr>
            </a:innerShdw>
          </a:effectLst>
        </c:spPr>
      </c:pivotFmt>
    </c:pivotFmts>
    <c:plotArea>
      <c:layout>
        <c:manualLayout>
          <c:layoutTarget val="inner"/>
          <c:xMode val="edge"/>
          <c:yMode val="edge"/>
          <c:x val="0.18051688963355875"/>
          <c:y val="0.17383577052868393"/>
          <c:w val="0.716995811945354"/>
          <c:h val="0.63635451818522693"/>
        </c:manualLayout>
      </c:layout>
      <c:barChart>
        <c:barDir val="col"/>
        <c:grouping val="clustered"/>
        <c:varyColors val="0"/>
        <c:ser>
          <c:idx val="1"/>
          <c:order val="0"/>
          <c:spPr>
            <a:pattFill prst="narHorz">
              <a:fgClr>
                <a:srgbClr val="89A54E"/>
              </a:fgClr>
              <a:bgClr>
                <a:sysClr val="window" lastClr="FFFFFF"/>
              </a:bgClr>
            </a:pattFill>
            <a:ln>
              <a:noFill/>
            </a:ln>
            <a:effectLst>
              <a:innerShdw blurRad="114300">
                <a:srgbClr val="145B85"/>
              </a:innerShdw>
            </a:effectLst>
          </c:spPr>
          <c:invertIfNegative val="0"/>
          <c:dPt>
            <c:idx val="0"/>
            <c:invertIfNegative val="0"/>
            <c:bubble3D val="0"/>
            <c:spPr>
              <a:pattFill prst="narHorz">
                <a:fgClr>
                  <a:srgbClr val="145B85"/>
                </a:fgClr>
                <a:bgClr>
                  <a:sysClr val="window" lastClr="FFFFFF"/>
                </a:bgClr>
              </a:pattFill>
              <a:ln>
                <a:noFill/>
              </a:ln>
              <a:effectLst>
                <a:innerShdw blurRad="114300">
                  <a:srgbClr val="145B85"/>
                </a:innerShdw>
              </a:effectLst>
            </c:spPr>
            <c:extLst xmlns:c16r2="http://schemas.microsoft.com/office/drawing/2015/06/chart">
              <c:ext xmlns:c16="http://schemas.microsoft.com/office/drawing/2014/chart" uri="{C3380CC4-5D6E-409C-BE32-E72D297353CC}">
                <c16:uniqueId val="{00000000-58CE-4269-9142-5913DE7922A9}"/>
              </c:ext>
            </c:extLst>
          </c:dPt>
          <c:dPt>
            <c:idx val="1"/>
            <c:invertIfNegative val="0"/>
            <c:bubble3D val="0"/>
            <c:spPr>
              <a:pattFill prst="smCheck">
                <a:fgClr>
                  <a:srgbClr val="145B85"/>
                </a:fgClr>
                <a:bgClr>
                  <a:sysClr val="window" lastClr="FFFFFF"/>
                </a:bgClr>
              </a:pattFill>
              <a:ln>
                <a:noFill/>
              </a:ln>
              <a:effectLst>
                <a:innerShdw blurRad="114300">
                  <a:srgbClr val="145B85"/>
                </a:innerShdw>
              </a:effectLst>
            </c:spPr>
            <c:extLst xmlns:c16r2="http://schemas.microsoft.com/office/drawing/2015/06/chart">
              <c:ext xmlns:c16="http://schemas.microsoft.com/office/drawing/2014/chart" uri="{C3380CC4-5D6E-409C-BE32-E72D297353CC}">
                <c16:uniqueId val="{00000002-58CE-4269-9142-5913DE7922A9}"/>
              </c:ext>
            </c:extLst>
          </c:dPt>
          <c:dPt>
            <c:idx val="2"/>
            <c:invertIfNegative val="0"/>
            <c:bubble3D val="0"/>
            <c:extLst xmlns:c16r2="http://schemas.microsoft.com/office/drawing/2015/06/chart">
              <c:ext xmlns:c16="http://schemas.microsoft.com/office/drawing/2014/chart" uri="{C3380CC4-5D6E-409C-BE32-E72D297353CC}">
                <c16:uniqueId val="{00000003-58CE-4269-9142-5913DE7922A9}"/>
              </c:ext>
            </c:extLst>
          </c:dPt>
          <c:dLbls>
            <c:dLbl>
              <c:idx val="1"/>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'RTW results'!$N$20:$N$21</c:f>
              <c:strCache>
                <c:ptCount val="2"/>
                <c:pt idx="0">
                  <c:v>Current RTW proportion</c:v>
                </c:pt>
                <c:pt idx="1">
                  <c:v>3+ months RTW rate</c:v>
                </c:pt>
              </c:strCache>
            </c:strRef>
          </c:cat>
          <c:val>
            <c:numRef>
              <c:f>'RTW results'!$O$20:$O$21</c:f>
              <c:numCache>
                <c:formatCode>0%</c:formatCode>
                <c:ptCount val="2"/>
                <c:pt idx="0">
                  <c:v>0.57739130434782604</c:v>
                </c:pt>
                <c:pt idx="1">
                  <c:v>0.44173913043478263</c:v>
                </c:pt>
              </c:numCache>
            </c:numRef>
          </c:val>
          <c:extLst xmlns:c16r2="http://schemas.microsoft.com/office/drawing/2015/06/chart">
            <c:ext xmlns:c16="http://schemas.microsoft.com/office/drawing/2014/chart" uri="{C3380CC4-5D6E-409C-BE32-E72D297353CC}">
              <c16:uniqueId val="{00000004-58CE-4269-9142-5913DE7922A9}"/>
            </c:ext>
          </c:extLst>
        </c:ser>
        <c:dLbls>
          <c:dLblPos val="outEnd"/>
          <c:showLegendKey val="0"/>
          <c:showVal val="1"/>
          <c:showCatName val="0"/>
          <c:showSerName val="0"/>
          <c:showPercent val="0"/>
          <c:showBubbleSize val="0"/>
        </c:dLbls>
        <c:gapWidth val="280"/>
        <c:overlap val="100"/>
        <c:axId val="41084032"/>
        <c:axId val="41085568"/>
      </c:barChart>
      <c:catAx>
        <c:axId val="4108403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085568"/>
        <c:crosses val="autoZero"/>
        <c:auto val="1"/>
        <c:lblAlgn val="ctr"/>
        <c:lblOffset val="100"/>
        <c:noMultiLvlLbl val="0"/>
      </c:catAx>
      <c:valAx>
        <c:axId val="41085568"/>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08403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3+ months by</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resilience - positively worded questions</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6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74"/>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80"/>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1"/>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94"/>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10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8"/>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0"/>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7067708333333335"/>
          <c:y val="0.23105811965811965"/>
          <c:w val="0.64447467024274618"/>
          <c:h val="0.56899821614728452"/>
        </c:manualLayout>
      </c:layout>
      <c:barChart>
        <c:barDir val="col"/>
        <c:grouping val="clustered"/>
        <c:varyColors val="0"/>
        <c:ser>
          <c:idx val="1"/>
          <c:order val="0"/>
          <c:spPr>
            <a:pattFill prst="smCheck">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'Resil AV P C'!$B$12:$C$12</c:f>
              <c:strCache>
                <c:ptCount val="2"/>
                <c:pt idx="0">
                  <c:v>High</c:v>
                </c:pt>
                <c:pt idx="1">
                  <c:v>Low</c:v>
                </c:pt>
              </c:strCache>
            </c:strRef>
          </c:cat>
          <c:val>
            <c:numRef>
              <c:f>'Resil AV P C'!$B$52:$C$52</c:f>
              <c:numCache>
                <c:formatCode>0%</c:formatCode>
                <c:ptCount val="2"/>
                <c:pt idx="0">
                  <c:v>0.48666666666666664</c:v>
                </c:pt>
                <c:pt idx="1">
                  <c:v>0.40666666666666668</c:v>
                </c:pt>
              </c:numCache>
            </c:numRef>
          </c:val>
          <c:extLst xmlns:c16r2="http://schemas.microsoft.com/office/drawing/2015/06/chart">
            <c:ext xmlns:c16="http://schemas.microsoft.com/office/drawing/2014/chart" uri="{C3380CC4-5D6E-409C-BE32-E72D297353CC}">
              <c16:uniqueId val="{00000000-296B-4D71-A5EC-2015D8C5055B}"/>
            </c:ext>
          </c:extLst>
        </c:ser>
        <c:dLbls>
          <c:dLblPos val="outEnd"/>
          <c:showLegendKey val="0"/>
          <c:showVal val="1"/>
          <c:showCatName val="0"/>
          <c:showSerName val="0"/>
          <c:showPercent val="0"/>
          <c:showBubbleSize val="0"/>
        </c:dLbls>
        <c:gapWidth val="280"/>
        <c:overlap val="100"/>
        <c:axId val="169561088"/>
        <c:axId val="169576320"/>
      </c:barChart>
      <c:catAx>
        <c:axId val="16956108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9576320"/>
        <c:crosses val="autoZero"/>
        <c:auto val="1"/>
        <c:lblAlgn val="ctr"/>
        <c:lblOffset val="100"/>
        <c:noMultiLvlLbl val="0"/>
      </c:catAx>
      <c:valAx>
        <c:axId val="169576320"/>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3 months +</a:t>
                </a:r>
                <a:endParaRPr lang="en-AU"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4.420972222222222E-2"/>
              <c:y val="0.26795598290598288"/>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956108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RTW results </a:t>
            </a:r>
            <a:r>
              <a:rPr lang="en-AU" sz="800" b="1" i="0" u="none" strike="noStrike" cap="none" baseline="0">
                <a:solidFill>
                  <a:sysClr val="windowText" lastClr="000000"/>
                </a:solidFill>
                <a:effectLst/>
                <a:latin typeface="Arial" panose="020B0604020202020204" pitchFamily="34" charset="0"/>
                <a:cs typeface="Arial" panose="020B0604020202020204" pitchFamily="34" charset="0"/>
              </a:rPr>
              <a:t>psychological</a:t>
            </a:r>
            <a:r>
              <a:rPr lang="en-AU" sz="800" b="1" i="1" u="none" strike="noStrike" cap="none" baseline="0">
                <a:solidFill>
                  <a:sysClr val="windowText" lastClr="000000"/>
                </a:solidFill>
                <a:effectLst/>
                <a:latin typeface="Arial" panose="020B0604020202020204" pitchFamily="34" charset="0"/>
                <a:cs typeface="Arial" panose="020B0604020202020204" pitchFamily="34" charset="0"/>
              </a:rPr>
              <a:t> </a:t>
            </a:r>
            <a:r>
              <a:rPr lang="en-AU" sz="800" b="1" i="0" cap="none" baseline="0">
                <a:solidFill>
                  <a:sysClr val="windowText" lastClr="000000"/>
                </a:solidFill>
                <a:effectLst/>
                <a:latin typeface="Arial" panose="020B0604020202020204" pitchFamily="34" charset="0"/>
                <a:cs typeface="Arial" panose="020B0604020202020204" pitchFamily="34" charset="0"/>
              </a:rPr>
              <a:t>claims </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26189260732127262"/>
          <c:y val="3.6877314013498814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6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74"/>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80"/>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1"/>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6"/>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90"/>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9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9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96"/>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9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00"/>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02"/>
        <c:spPr>
          <a:pattFill prst="smCheck">
            <a:fgClr>
              <a:srgbClr val="313C1C"/>
            </a:fgClr>
            <a:bgClr>
              <a:srgbClr val="E8EEDB"/>
            </a:bgClr>
          </a:pattFill>
          <a:ln>
            <a:noFill/>
          </a:ln>
          <a:effectLst>
            <a:innerShdw blurRad="114300">
              <a:srgbClr val="89A54E"/>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104"/>
        <c:spPr>
          <a:pattFill prst="smCheck">
            <a:fgClr>
              <a:srgbClr val="313C1C"/>
            </a:fgClr>
            <a:bgClr>
              <a:srgbClr val="E8EEDB"/>
            </a:bgClr>
          </a:pattFill>
          <a:ln>
            <a:noFill/>
          </a:ln>
          <a:effectLst>
            <a:innerShdw blurRad="114300">
              <a:srgbClr val="89A54E"/>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06"/>
        <c:spPr>
          <a:pattFill prst="smCheck">
            <a:fgClr>
              <a:srgbClr val="313C1C"/>
            </a:fgClr>
            <a:bgClr>
              <a:srgbClr val="E8EEDB"/>
            </a:bgClr>
          </a:pattFill>
          <a:ln>
            <a:noFill/>
          </a:ln>
          <a:effectLst>
            <a:innerShdw blurRad="114300">
              <a:srgbClr val="89A54E"/>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08"/>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110"/>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12"/>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14"/>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16"/>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18"/>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20"/>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22"/>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3"/>
        <c:spPr>
          <a:pattFill prst="smCheck">
            <a:fgClr>
              <a:srgbClr val="17375E"/>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4"/>
        <c:spPr>
          <a:pattFill prst="smCheck">
            <a:fgClr>
              <a:srgbClr val="546630"/>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5"/>
        <c:spPr>
          <a:pattFill prst="smCheck">
            <a:fgClr>
              <a:srgbClr val="546630"/>
            </a:fgClr>
            <a:bgClr>
              <a:srgbClr val="D7E4BD"/>
            </a:bgClr>
          </a:pattFill>
          <a:ln>
            <a:noFill/>
          </a:ln>
          <a:effectLst>
            <a:innerShdw blurRad="114300">
              <a:srgbClr val="4572A7"/>
            </a:innerShdw>
          </a:effectLst>
        </c:spPr>
      </c:pivotFmt>
      <c:pivotFmt>
        <c:idx val="126"/>
        <c:spPr>
          <a:pattFill prst="smCheck">
            <a:fgClr>
              <a:srgbClr val="546630"/>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7"/>
        <c:spPr>
          <a:pattFill prst="smCheck">
            <a:fgClr>
              <a:srgbClr val="546630"/>
            </a:fgClr>
            <a:bgClr>
              <a:srgbClr val="D7E4BD"/>
            </a:bgClr>
          </a:pattFill>
          <a:ln>
            <a:noFill/>
          </a:ln>
          <a:effectLst>
            <a:innerShdw blurRad="114300">
              <a:srgbClr val="4572A7"/>
            </a:innerShdw>
          </a:effectLst>
        </c:spPr>
      </c:pivotFmt>
      <c:pivotFmt>
        <c:idx val="128"/>
        <c:spPr>
          <a:pattFill prst="smCheck">
            <a:fgClr>
              <a:srgbClr val="546630"/>
            </a:fgClr>
            <a:bgClr>
              <a:srgbClr val="8EB4E3"/>
            </a:bgClr>
          </a:pattFill>
          <a:ln>
            <a:noFill/>
          </a:ln>
          <a:effectLst>
            <a:innerShdw blurRad="114300">
              <a:srgbClr val="4572A7"/>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29"/>
        <c:spPr>
          <a:pattFill prst="smCheck">
            <a:fgClr>
              <a:srgbClr val="546630"/>
            </a:fgClr>
            <a:bgClr>
              <a:srgbClr val="D7E4BD"/>
            </a:bgClr>
          </a:pattFill>
          <a:ln>
            <a:noFill/>
          </a:ln>
          <a:effectLst>
            <a:innerShdw blurRad="114300">
              <a:srgbClr val="4572A7"/>
            </a:innerShdw>
          </a:effectLst>
        </c:spPr>
      </c:pivotFmt>
      <c:pivotFmt>
        <c:idx val="130"/>
        <c:spPr>
          <a:pattFill prst="narHorz">
            <a:fgClr>
              <a:schemeClr val="accent3"/>
            </a:fgClr>
            <a:bgClr>
              <a:schemeClr val="accent3">
                <a:lumMod val="20000"/>
                <a:lumOff val="80000"/>
              </a:schemeClr>
            </a:bgClr>
          </a:pattFill>
          <a:ln>
            <a:solidFill>
              <a:srgbClr val="4F81BD"/>
            </a:solid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31"/>
        <c:spPr>
          <a:pattFill prst="wdUpDiag">
            <a:fgClr>
              <a:srgbClr val="0070C0"/>
            </a:fgClr>
            <a:bgClr>
              <a:sysClr val="window" lastClr="FFFFFF"/>
            </a:bgClr>
          </a:pattFill>
          <a:ln>
            <a:noFill/>
          </a:ln>
          <a:effectLst>
            <a:innerShdw blurRad="114300">
              <a:srgbClr val="1F497D">
                <a:lumMod val="60000"/>
                <a:lumOff val="40000"/>
              </a:srgbClr>
            </a:innerShdw>
          </a:effectLst>
        </c:spPr>
      </c:pivotFmt>
      <c:pivotFmt>
        <c:idx val="132"/>
        <c:spPr>
          <a:pattFill prst="wdUpDiag">
            <a:fgClr>
              <a:srgbClr val="546630"/>
            </a:fgClr>
            <a:bgClr>
              <a:sysClr val="window" lastClr="FFFFFF"/>
            </a:bgClr>
          </a:pattFill>
          <a:ln>
            <a:noFill/>
          </a:ln>
          <a:effectLst>
            <a:innerShdw blurRad="114300">
              <a:schemeClr val="accent3">
                <a:tint val="77000"/>
              </a:schemeClr>
            </a:innerShdw>
          </a:effectLst>
        </c:spPr>
      </c:pivotFmt>
    </c:pivotFmts>
    <c:plotArea>
      <c:layout>
        <c:manualLayout>
          <c:layoutTarget val="inner"/>
          <c:xMode val="edge"/>
          <c:yMode val="edge"/>
          <c:x val="9.1933035554699172E-2"/>
          <c:y val="0.186613823272091"/>
          <c:w val="0.88983522824287575"/>
          <c:h val="0.61344251968503938"/>
        </c:manualLayout>
      </c:layout>
      <c:barChart>
        <c:barDir val="col"/>
        <c:grouping val="clustered"/>
        <c:varyColors val="0"/>
        <c:ser>
          <c:idx val="1"/>
          <c:order val="0"/>
          <c:spPr>
            <a:pattFill prst="narHorz">
              <a:fgClr>
                <a:schemeClr val="accent3">
                  <a:tint val="77000"/>
                </a:schemeClr>
              </a:fgClr>
              <a:bgClr>
                <a:schemeClr val="accent3">
                  <a:tint val="77000"/>
                  <a:lumMod val="20000"/>
                  <a:lumOff val="80000"/>
                </a:schemeClr>
              </a:bgClr>
            </a:pattFill>
            <a:ln>
              <a:noFill/>
            </a:ln>
            <a:effectLst>
              <a:innerShdw blurRad="114300">
                <a:srgbClr val="89A54E"/>
              </a:innerShdw>
            </a:effectLst>
          </c:spPr>
          <c:invertIfNegative val="0"/>
          <c:dPt>
            <c:idx val="0"/>
            <c:invertIfNegative val="0"/>
            <c:bubble3D val="0"/>
            <c:spPr>
              <a:pattFill prst="wdUpDiag">
                <a:fgClr>
                  <a:srgbClr val="145B85"/>
                </a:fgClr>
                <a:bgClr>
                  <a:sysClr val="window" lastClr="FFFFFF"/>
                </a:bgClr>
              </a:pattFill>
              <a:ln>
                <a:noFill/>
              </a:ln>
              <a:effectLst>
                <a:innerShdw blurRad="114300">
                  <a:srgbClr val="145B85"/>
                </a:innerShdw>
              </a:effectLst>
            </c:spPr>
            <c:extLst xmlns:c16r2="http://schemas.microsoft.com/office/drawing/2015/06/chart">
              <c:ext xmlns:c16="http://schemas.microsoft.com/office/drawing/2014/chart" uri="{C3380CC4-5D6E-409C-BE32-E72D297353CC}">
                <c16:uniqueId val="{00000001-8AD8-45EB-9215-A8DE9D913CAF}"/>
              </c:ext>
            </c:extLst>
          </c:dPt>
          <c:dPt>
            <c:idx val="1"/>
            <c:invertIfNegative val="0"/>
            <c:bubble3D val="0"/>
            <c:spPr>
              <a:pattFill prst="narHorz">
                <a:fgClr>
                  <a:srgbClr val="145B85"/>
                </a:fgClr>
                <a:bgClr>
                  <a:sysClr val="window" lastClr="FFFFFF"/>
                </a:bgClr>
              </a:pattFill>
              <a:ln>
                <a:noFill/>
              </a:ln>
              <a:effectLst>
                <a:innerShdw blurRad="114300">
                  <a:srgbClr val="145B85"/>
                </a:innerShdw>
              </a:effectLst>
            </c:spPr>
            <c:extLst xmlns:c16r2="http://schemas.microsoft.com/office/drawing/2015/06/chart">
              <c:ext xmlns:c16="http://schemas.microsoft.com/office/drawing/2014/chart" uri="{C3380CC4-5D6E-409C-BE32-E72D297353CC}">
                <c16:uniqueId val="{00000003-8AD8-45EB-9215-A8DE9D913CAF}"/>
              </c:ext>
            </c:extLst>
          </c:dPt>
          <c:dPt>
            <c:idx val="2"/>
            <c:invertIfNegative val="0"/>
            <c:bubble3D val="0"/>
            <c:spPr>
              <a:pattFill prst="smCheck">
                <a:fgClr>
                  <a:srgbClr val="145B85"/>
                </a:fgClr>
                <a:bgClr>
                  <a:sysClr val="window" lastClr="FFFFFF"/>
                </a:bgClr>
              </a:pattFill>
              <a:ln>
                <a:noFill/>
              </a:ln>
              <a:effectLst>
                <a:innerShdw blurRad="114300">
                  <a:srgbClr val="145B85"/>
                </a:innerShdw>
              </a:effectLst>
            </c:spPr>
            <c:extLst xmlns:c16r2="http://schemas.microsoft.com/office/drawing/2015/06/chart">
              <c:ext xmlns:c16="http://schemas.microsoft.com/office/drawing/2014/chart" uri="{C3380CC4-5D6E-409C-BE32-E72D297353CC}">
                <c16:uniqueId val="{00000005-8AD8-45EB-9215-A8DE9D913CAF}"/>
              </c:ext>
            </c:extLst>
          </c:dPt>
          <c:dLbls>
            <c:dLbl>
              <c:idx val="1"/>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'RTW results'!$N$19:$N$21</c:f>
              <c:strCache>
                <c:ptCount val="3"/>
                <c:pt idx="0">
                  <c:v>Returned to work</c:v>
                </c:pt>
                <c:pt idx="1">
                  <c:v>Current RTW proportion</c:v>
                </c:pt>
                <c:pt idx="2">
                  <c:v>3+ months RTW rate</c:v>
                </c:pt>
              </c:strCache>
            </c:strRef>
          </c:cat>
          <c:val>
            <c:numRef>
              <c:f>'Rtd TW'!$L$14:$L$16</c:f>
              <c:numCache>
                <c:formatCode>0%</c:formatCode>
                <c:ptCount val="3"/>
                <c:pt idx="0">
                  <c:v>0.69217391304347831</c:v>
                </c:pt>
                <c:pt idx="1">
                  <c:v>0.57739130434782604</c:v>
                </c:pt>
                <c:pt idx="2">
                  <c:v>0.44173913043478263</c:v>
                </c:pt>
              </c:numCache>
            </c:numRef>
          </c:val>
          <c:extLst xmlns:c16r2="http://schemas.microsoft.com/office/drawing/2015/06/chart">
            <c:ext xmlns:c16="http://schemas.microsoft.com/office/drawing/2014/chart" uri="{C3380CC4-5D6E-409C-BE32-E72D297353CC}">
              <c16:uniqueId val="{00000006-8AD8-45EB-9215-A8DE9D913CAF}"/>
            </c:ext>
          </c:extLst>
        </c:ser>
        <c:dLbls>
          <c:dLblPos val="outEnd"/>
          <c:showLegendKey val="0"/>
          <c:showVal val="1"/>
          <c:showCatName val="0"/>
          <c:showSerName val="0"/>
          <c:showPercent val="0"/>
          <c:showBubbleSize val="0"/>
        </c:dLbls>
        <c:gapWidth val="280"/>
        <c:overlap val="100"/>
        <c:axId val="170109568"/>
        <c:axId val="170422656"/>
      </c:barChart>
      <c:catAx>
        <c:axId val="17010956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0422656"/>
        <c:crosses val="autoZero"/>
        <c:auto val="1"/>
        <c:lblAlgn val="ctr"/>
        <c:lblOffset val="100"/>
        <c:noMultiLvlLbl val="0"/>
      </c:catAx>
      <c:valAx>
        <c:axId val="170422656"/>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010956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Dec 31 - Demographics.xlsx]Gender!PivotTable1</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cap="none" baseline="0">
                <a:solidFill>
                  <a:sysClr val="windowText" lastClr="000000"/>
                </a:solidFill>
                <a:latin typeface="Arial" panose="020B0604020202020204" pitchFamily="34" charset="0"/>
                <a:cs typeface="Arial" panose="020B0604020202020204" pitchFamily="34" charset="0"/>
              </a:rPr>
              <a:t>Current RTW by gender </a:t>
            </a: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8"/>
        <c:spPr>
          <a:pattFill prst="narHorz">
            <a:fgClr>
              <a:srgbClr val="89A54E"/>
            </a:fgClr>
            <a:bgClr>
              <a:srgbClr val="E8EEDB"/>
            </a:bgClr>
          </a:pattFill>
          <a:ln>
            <a:noFill/>
          </a:ln>
          <a:effectLst>
            <a:innerShdw blurRad="114300">
              <a:schemeClr val="accent3">
                <a:shade val="76000"/>
              </a:scheme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rgbClr val="89A54E"/>
            </a:fgClr>
            <a:bgClr>
              <a:srgbClr val="E8EEDB"/>
            </a:bgClr>
          </a:pattFill>
          <a:ln>
            <a:noFill/>
          </a:ln>
          <a:effectLst>
            <a:innerShdw blurRad="114300">
              <a:schemeClr val="accent3">
                <a:shade val="76000"/>
              </a:scheme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0"/>
        <c:spPr>
          <a:pattFill prst="narHorz">
            <a:fgClr>
              <a:srgbClr val="89A54E"/>
            </a:fgClr>
            <a:bgClr>
              <a:srgbClr val="E8EEDB"/>
            </a:bgClr>
          </a:pattFill>
          <a:ln>
            <a:noFill/>
          </a:ln>
          <a:effectLst>
            <a:innerShdw blurRad="114300">
              <a:schemeClr val="accent3">
                <a:shade val="76000"/>
              </a:scheme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7147638888888886"/>
          <c:y val="0.23714529914529914"/>
          <c:w val="0.65759410244344496"/>
          <c:h val="0.56899821614728452"/>
        </c:manualLayout>
      </c:layout>
      <c:barChart>
        <c:barDir val="col"/>
        <c:grouping val="clustered"/>
        <c:varyColors val="0"/>
        <c:ser>
          <c:idx val="1"/>
          <c:order val="0"/>
          <c:tx>
            <c:strRef>
              <c:f>Gender!$B$3</c:f>
              <c:strCache>
                <c:ptCount val="1"/>
                <c:pt idx="0">
                  <c:v>Total</c:v>
                </c:pt>
              </c:strCache>
            </c:strRef>
          </c:tx>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Gender!$A$4:$A$5</c:f>
              <c:strCache>
                <c:ptCount val="2"/>
                <c:pt idx="0">
                  <c:v>Female</c:v>
                </c:pt>
                <c:pt idx="1">
                  <c:v>Male</c:v>
                </c:pt>
              </c:strCache>
            </c:strRef>
          </c:cat>
          <c:val>
            <c:numRef>
              <c:f>Gender!$B$4:$B$5</c:f>
              <c:numCache>
                <c:formatCode>0%</c:formatCode>
                <c:ptCount val="2"/>
                <c:pt idx="0">
                  <c:v>0.58510638297872342</c:v>
                </c:pt>
                <c:pt idx="1">
                  <c:v>0.55263157894736847</c:v>
                </c:pt>
              </c:numCache>
            </c:numRef>
          </c:val>
          <c:extLst xmlns:c16r2="http://schemas.microsoft.com/office/drawing/2015/06/chart">
            <c:ext xmlns:c16="http://schemas.microsoft.com/office/drawing/2014/chart" uri="{C3380CC4-5D6E-409C-BE32-E72D297353CC}">
              <c16:uniqueId val="{00000000-A6B9-477D-9799-58901512B8E1}"/>
            </c:ext>
          </c:extLst>
        </c:ser>
        <c:dLbls>
          <c:dLblPos val="outEnd"/>
          <c:showLegendKey val="0"/>
          <c:showVal val="1"/>
          <c:showCatName val="0"/>
          <c:showSerName val="0"/>
          <c:showPercent val="0"/>
          <c:showBubbleSize val="0"/>
        </c:dLbls>
        <c:gapWidth val="280"/>
        <c:overlap val="100"/>
        <c:axId val="170633472"/>
        <c:axId val="170640512"/>
      </c:barChart>
      <c:catAx>
        <c:axId val="17063347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0640512"/>
        <c:crosses val="autoZero"/>
        <c:auto val="1"/>
        <c:lblAlgn val="ctr"/>
        <c:lblOffset val="100"/>
        <c:noMultiLvlLbl val="0"/>
      </c:catAx>
      <c:valAx>
        <c:axId val="170640512"/>
        <c:scaling>
          <c:orientation val="minMax"/>
          <c:max val="1"/>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at time of interview</a:t>
                </a:r>
                <a:endParaRPr lang="en-AU"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4.6399959834988742E-2"/>
              <c:y val="0.2371451930403860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063347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Dec 31 - Demographics.xlsx]Gender!PivotTable2</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RTW 3+ months psych</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 by g</a:t>
            </a:r>
            <a:r>
              <a:rPr lang="en-AU" sz="800" cap="none" baseline="0">
                <a:solidFill>
                  <a:sysClr val="windowText" lastClr="000000"/>
                </a:solidFill>
                <a:latin typeface="Arial" panose="020B0604020202020204" pitchFamily="34" charset="0"/>
                <a:cs typeface="Arial" panose="020B0604020202020204" pitchFamily="34" charset="0"/>
              </a:rPr>
              <a:t>ender</a:t>
            </a:r>
          </a:p>
        </c:rich>
      </c:tx>
      <c:layout>
        <c:manualLayout>
          <c:xMode val="edge"/>
          <c:yMode val="edge"/>
          <c:x val="0.26025269255136213"/>
          <c:y val="3.1902664709284226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6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74"/>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80"/>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1"/>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6"/>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90"/>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9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9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96"/>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9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00"/>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02"/>
        <c:spPr>
          <a:pattFill prst="smCheck">
            <a:fgClr>
              <a:srgbClr val="313C1C"/>
            </a:fgClr>
            <a:bgClr>
              <a:srgbClr val="E8EEDB"/>
            </a:bgClr>
          </a:pattFill>
          <a:ln>
            <a:noFill/>
          </a:ln>
          <a:effectLst>
            <a:innerShdw blurRad="114300">
              <a:srgbClr val="89A54E"/>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104"/>
        <c:spPr>
          <a:pattFill prst="smCheck">
            <a:fgClr>
              <a:srgbClr val="313C1C"/>
            </a:fgClr>
            <a:bgClr>
              <a:srgbClr val="E8EEDB"/>
            </a:bgClr>
          </a:pattFill>
          <a:ln>
            <a:noFill/>
          </a:ln>
          <a:effectLst>
            <a:innerShdw blurRad="114300">
              <a:srgbClr val="89A54E"/>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06"/>
        <c:spPr>
          <a:pattFill prst="smCheck">
            <a:fgClr>
              <a:srgbClr val="313C1C"/>
            </a:fgClr>
            <a:bgClr>
              <a:srgbClr val="E8EEDB"/>
            </a:bgClr>
          </a:pattFill>
          <a:ln>
            <a:noFill/>
          </a:ln>
          <a:effectLst>
            <a:innerShdw blurRad="114300">
              <a:srgbClr val="89A54E"/>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08"/>
        <c:spPr>
          <a:pattFill prst="smCheck">
            <a:fgClr>
              <a:srgbClr val="313C1C"/>
            </a:fgClr>
            <a:bgClr>
              <a:srgbClr val="E8EEDB"/>
            </a:bgClr>
          </a:pattFill>
          <a:ln>
            <a:noFill/>
          </a:ln>
          <a:effectLst>
            <a:innerShdw blurRad="114300">
              <a:srgbClr val="89A54E"/>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0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10"/>
        <c:spPr>
          <a:pattFill prst="smCheck">
            <a:fgClr>
              <a:srgbClr val="313C1C"/>
            </a:fgClr>
            <a:bgClr>
              <a:srgbClr val="E8EEDB"/>
            </a:bgClr>
          </a:pattFill>
          <a:ln>
            <a:noFill/>
          </a:ln>
          <a:effectLst>
            <a:innerShdw blurRad="114300">
              <a:srgbClr val="89A54E"/>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11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3"/>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5303806815183816"/>
          <c:y val="0.23105818318318322"/>
          <c:w val="0.64447467024274618"/>
          <c:h val="0.56899821614728452"/>
        </c:manualLayout>
      </c:layout>
      <c:barChart>
        <c:barDir val="col"/>
        <c:grouping val="clustered"/>
        <c:varyColors val="0"/>
        <c:ser>
          <c:idx val="0"/>
          <c:order val="0"/>
          <c:tx>
            <c:strRef>
              <c:f>Gender!$G$3</c:f>
              <c:strCache>
                <c:ptCount val="1"/>
                <c:pt idx="0">
                  <c:v>Total</c:v>
                </c:pt>
              </c:strCache>
            </c:strRef>
          </c:tx>
          <c:spPr>
            <a:pattFill prst="smCheck">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Gender!$F$4:$F$5</c:f>
              <c:strCache>
                <c:ptCount val="2"/>
                <c:pt idx="0">
                  <c:v>Female</c:v>
                </c:pt>
                <c:pt idx="1">
                  <c:v>Male</c:v>
                </c:pt>
              </c:strCache>
            </c:strRef>
          </c:cat>
          <c:val>
            <c:numRef>
              <c:f>Gender!$G$4:$G$5</c:f>
              <c:numCache>
                <c:formatCode>0%</c:formatCode>
                <c:ptCount val="2"/>
                <c:pt idx="0">
                  <c:v>0.46453900709219859</c:v>
                </c:pt>
                <c:pt idx="1">
                  <c:v>0.41578947368421054</c:v>
                </c:pt>
              </c:numCache>
            </c:numRef>
          </c:val>
          <c:extLst xmlns:c16r2="http://schemas.microsoft.com/office/drawing/2015/06/chart">
            <c:ext xmlns:c16="http://schemas.microsoft.com/office/drawing/2014/chart" uri="{C3380CC4-5D6E-409C-BE32-E72D297353CC}">
              <c16:uniqueId val="{00000000-2EB4-472A-9EF5-462BE94C2B95}"/>
            </c:ext>
          </c:extLst>
        </c:ser>
        <c:dLbls>
          <c:dLblPos val="outEnd"/>
          <c:showLegendKey val="0"/>
          <c:showVal val="1"/>
          <c:showCatName val="0"/>
          <c:showSerName val="0"/>
          <c:showPercent val="0"/>
          <c:showBubbleSize val="0"/>
        </c:dLbls>
        <c:gapWidth val="280"/>
        <c:overlap val="100"/>
        <c:axId val="172485632"/>
        <c:axId val="172496768"/>
      </c:barChart>
      <c:catAx>
        <c:axId val="17248563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496768"/>
        <c:crosses val="autoZero"/>
        <c:auto val="1"/>
        <c:lblAlgn val="ctr"/>
        <c:lblOffset val="100"/>
        <c:noMultiLvlLbl val="0"/>
      </c:catAx>
      <c:valAx>
        <c:axId val="172496768"/>
        <c:scaling>
          <c:orientation val="minMax"/>
          <c:max val="1"/>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3 months +</a:t>
                </a:r>
                <a:endParaRPr lang="en-AU"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6.6099224313220142E-2"/>
              <c:y val="0.3020681197612395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48563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Dec 31 - Demographics.xlsx]empsiz5 P!PivotTable1</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cap="none" baseline="0">
                <a:solidFill>
                  <a:sysClr val="windowText" lastClr="000000"/>
                </a:solidFill>
                <a:latin typeface="Arial" panose="020B0604020202020204" pitchFamily="34" charset="0"/>
                <a:cs typeface="Arial" panose="020B0604020202020204" pitchFamily="34" charset="0"/>
              </a:rPr>
              <a:t>Employer size</a:t>
            </a: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2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2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2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3602873754507045"/>
          <c:y val="0.17740537889830377"/>
          <c:w val="0.65759410244344496"/>
          <c:h val="0.41966028178938281"/>
        </c:manualLayout>
      </c:layout>
      <c:barChart>
        <c:barDir val="col"/>
        <c:grouping val="clustered"/>
        <c:varyColors val="0"/>
        <c:ser>
          <c:idx val="0"/>
          <c:order val="0"/>
          <c:tx>
            <c:strRef>
              <c:f>'empsiz5 P'!$B$3</c:f>
              <c:strCache>
                <c:ptCount val="1"/>
                <c:pt idx="0">
                  <c:v>Current Return to Work</c:v>
                </c:pt>
              </c:strCache>
            </c:strRef>
          </c:tx>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'empsiz5 P'!$A$4:$A$7</c:f>
              <c:strCache>
                <c:ptCount val="4"/>
                <c:pt idx="0">
                  <c:v>Less than $1m</c:v>
                </c:pt>
                <c:pt idx="1">
                  <c:v>$1m to less than $10m</c:v>
                </c:pt>
                <c:pt idx="2">
                  <c:v>$10 to less than $20m</c:v>
                </c:pt>
                <c:pt idx="3">
                  <c:v>$20m or more</c:v>
                </c:pt>
              </c:strCache>
            </c:strRef>
          </c:cat>
          <c:val>
            <c:numRef>
              <c:f>'empsiz5 P'!$B$4:$B$7</c:f>
              <c:numCache>
                <c:formatCode>0%</c:formatCode>
                <c:ptCount val="4"/>
                <c:pt idx="0">
                  <c:v>0.48684210526315791</c:v>
                </c:pt>
                <c:pt idx="1">
                  <c:v>0.46391752577319589</c:v>
                </c:pt>
                <c:pt idx="2">
                  <c:v>0.43333333333333335</c:v>
                </c:pt>
                <c:pt idx="3">
                  <c:v>0.68211920529801329</c:v>
                </c:pt>
              </c:numCache>
            </c:numRef>
          </c:val>
          <c:extLst xmlns:c16r2="http://schemas.microsoft.com/office/drawing/2015/06/chart">
            <c:ext xmlns:c16="http://schemas.microsoft.com/office/drawing/2014/chart" uri="{C3380CC4-5D6E-409C-BE32-E72D297353CC}">
              <c16:uniqueId val="{00000000-B20F-4175-83E2-9755C75E6D6E}"/>
            </c:ext>
          </c:extLst>
        </c:ser>
        <c:ser>
          <c:idx val="1"/>
          <c:order val="1"/>
          <c:tx>
            <c:strRef>
              <c:f>'empsiz5 P'!$C$3</c:f>
              <c:strCache>
                <c:ptCount val="1"/>
                <c:pt idx="0">
                  <c:v>Sum of Field3</c:v>
                </c:pt>
              </c:strCache>
            </c:strRef>
          </c:tx>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invertIfNegative val="0"/>
          <c:dLbls>
            <c:delete val="1"/>
          </c:dLbls>
          <c:cat>
            <c:strRef>
              <c:f>'empsiz5 P'!$A$4:$A$7</c:f>
              <c:strCache>
                <c:ptCount val="4"/>
                <c:pt idx="0">
                  <c:v>Less than $1m</c:v>
                </c:pt>
                <c:pt idx="1">
                  <c:v>$1m to less than $10m</c:v>
                </c:pt>
                <c:pt idx="2">
                  <c:v>$10 to less than $20m</c:v>
                </c:pt>
                <c:pt idx="3">
                  <c:v>$20m or more</c:v>
                </c:pt>
              </c:strCache>
            </c:strRef>
          </c:cat>
          <c:val>
            <c:numRef>
              <c:f>'empsiz5 P'!$C$4:$C$7</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1-B20F-4175-83E2-9755C75E6D6E}"/>
            </c:ext>
          </c:extLst>
        </c:ser>
        <c:dLbls>
          <c:dLblPos val="outEnd"/>
          <c:showLegendKey val="0"/>
          <c:showVal val="1"/>
          <c:showCatName val="0"/>
          <c:showSerName val="0"/>
          <c:showPercent val="0"/>
          <c:showBubbleSize val="0"/>
        </c:dLbls>
        <c:gapWidth val="280"/>
        <c:overlap val="100"/>
        <c:axId val="172937984"/>
        <c:axId val="172939520"/>
      </c:barChart>
      <c:catAx>
        <c:axId val="17293798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36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939520"/>
        <c:crosses val="autoZero"/>
        <c:auto val="1"/>
        <c:lblAlgn val="ctr"/>
        <c:lblOffset val="100"/>
        <c:noMultiLvlLbl val="0"/>
      </c:catAx>
      <c:valAx>
        <c:axId val="172939520"/>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baseline="0">
                    <a:solidFill>
                      <a:sysClr val="windowText" lastClr="000000"/>
                    </a:solidFill>
                    <a:effectLst/>
                    <a:latin typeface="Arial" panose="020B0604020202020204" pitchFamily="34" charset="0"/>
                    <a:cs typeface="Arial" panose="020B0604020202020204" pitchFamily="34" charset="0"/>
                  </a:rPr>
                  <a:t>% at work at time of interview</a:t>
                </a:r>
                <a:endParaRPr lang="en-AU"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3.6886728395061734E-2"/>
              <c:y val="0.2355382882882882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93798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[NRTW Dec 31 - Demographics.xlsx]empsiz5 P!PivotTable3</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cap="none" baseline="0">
                <a:solidFill>
                  <a:sysClr val="windowText" lastClr="000000"/>
                </a:solidFill>
                <a:latin typeface="Arial" panose="020B0604020202020204" pitchFamily="34" charset="0"/>
                <a:cs typeface="Arial" panose="020B0604020202020204" pitchFamily="34" charset="0"/>
              </a:rPr>
              <a:t>Employer size</a:t>
            </a:r>
          </a:p>
        </c:rich>
      </c:tx>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2"/>
      </c:pivotFmt>
      <c:pivotFmt>
        <c:idx val="43"/>
      </c:pivotFmt>
      <c:pivotFmt>
        <c:idx val="44"/>
      </c:pivotFmt>
      <c:pivotFmt>
        <c:idx val="45"/>
      </c:pivotFmt>
      <c:pivotFmt>
        <c:idx val="46"/>
      </c:pivotFmt>
      <c:pivotFmt>
        <c:idx val="47"/>
      </c:pivotFmt>
      <c:pivotFmt>
        <c:idx val="4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6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6"/>
        <c:spPr>
          <a:pattFill prst="smCheck">
            <a:fgClr>
              <a:srgbClr val="1F497D">
                <a:lumMod val="75000"/>
              </a:srgbClr>
            </a:fgClr>
            <a:bgClr>
              <a:srgbClr val="1F497D">
                <a:lumMod val="40000"/>
                <a:lumOff val="60000"/>
              </a:srgb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78"/>
        <c:spPr>
          <a:pattFill prst="smCheck">
            <a:fgClr>
              <a:srgbClr val="1F497D">
                <a:lumMod val="75000"/>
              </a:srgbClr>
            </a:fgClr>
            <a:bgClr>
              <a:srgbClr val="1F497D">
                <a:lumMod val="40000"/>
                <a:lumOff val="60000"/>
              </a:srgb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0"/>
        <c:spPr>
          <a:pattFill prst="smCheck">
            <a:fgClr>
              <a:srgbClr val="1F497D">
                <a:lumMod val="75000"/>
              </a:srgbClr>
            </a:fgClr>
            <a:bgClr>
              <a:srgbClr val="1F497D">
                <a:lumMod val="40000"/>
                <a:lumOff val="60000"/>
              </a:srgbClr>
            </a:bgClr>
          </a:pattFill>
          <a:ln>
            <a:noFill/>
          </a:ln>
          <a:effectLst>
            <a:innerShdw blurRad="114300">
              <a:schemeClr val="accent1"/>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5"/>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7"/>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9"/>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1"/>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3"/>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5"/>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7"/>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9"/>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1"/>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3"/>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5"/>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7"/>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9"/>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11"/>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13"/>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15"/>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17"/>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19"/>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21"/>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23"/>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25"/>
        <c:spPr>
          <a:pattFill prst="smCheck">
            <a:fgClr>
              <a:srgbClr val="546630"/>
            </a:fgClr>
            <a:bgClr>
              <a:srgbClr val="D7E4BD"/>
            </a:bgClr>
          </a:pattFill>
          <a:ln>
            <a:noFill/>
          </a:ln>
          <a:effectLst>
            <a:innerShdw blurRad="114300">
              <a:srgbClr val="6E853F"/>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2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s>
    <c:plotArea>
      <c:layout>
        <c:manualLayout>
          <c:layoutTarget val="inner"/>
          <c:xMode val="edge"/>
          <c:yMode val="edge"/>
          <c:x val="0.2442648359762829"/>
          <c:y val="0.22629076474535836"/>
          <c:w val="0.64542592099916096"/>
          <c:h val="0.38195662726867652"/>
        </c:manualLayout>
      </c:layout>
      <c:barChart>
        <c:barDir val="col"/>
        <c:grouping val="clustered"/>
        <c:varyColors val="0"/>
        <c:ser>
          <c:idx val="0"/>
          <c:order val="0"/>
          <c:tx>
            <c:strRef>
              <c:f>'empsiz5 P'!$K$3</c:f>
              <c:strCache>
                <c:ptCount val="1"/>
                <c:pt idx="0">
                  <c:v>Returned to work for three months or more</c:v>
                </c:pt>
              </c:strCache>
            </c:strRef>
          </c:tx>
          <c:spPr>
            <a:pattFill prst="smCheck">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'empsiz5 P'!$J$4:$J$7</c:f>
              <c:strCache>
                <c:ptCount val="4"/>
                <c:pt idx="0">
                  <c:v>Less than $1m</c:v>
                </c:pt>
                <c:pt idx="1">
                  <c:v>$1m to less than $10m</c:v>
                </c:pt>
                <c:pt idx="2">
                  <c:v>$10 to less than $20m</c:v>
                </c:pt>
                <c:pt idx="3">
                  <c:v>$20m or more</c:v>
                </c:pt>
              </c:strCache>
            </c:strRef>
          </c:cat>
          <c:val>
            <c:numRef>
              <c:f>'empsiz5 P'!$K$4:$K$7</c:f>
              <c:numCache>
                <c:formatCode>0%</c:formatCode>
                <c:ptCount val="4"/>
                <c:pt idx="0">
                  <c:v>0.42105263157894735</c:v>
                </c:pt>
                <c:pt idx="1">
                  <c:v>0.37113402061855671</c:v>
                </c:pt>
                <c:pt idx="2">
                  <c:v>0.36666666666666664</c:v>
                </c:pt>
                <c:pt idx="3">
                  <c:v>0.52317880794701987</c:v>
                </c:pt>
              </c:numCache>
            </c:numRef>
          </c:val>
          <c:extLst xmlns:c16r2="http://schemas.microsoft.com/office/drawing/2015/06/chart">
            <c:ext xmlns:c16="http://schemas.microsoft.com/office/drawing/2014/chart" uri="{C3380CC4-5D6E-409C-BE32-E72D297353CC}">
              <c16:uniqueId val="{00000000-1B59-4A11-A9E8-6152D3B0B956}"/>
            </c:ext>
          </c:extLst>
        </c:ser>
        <c:ser>
          <c:idx val="1"/>
          <c:order val="1"/>
          <c:tx>
            <c:strRef>
              <c:f>'empsiz5 P'!$L$3</c:f>
              <c:strCache>
                <c:ptCount val="1"/>
                <c:pt idx="0">
                  <c:v>Sum of Field3</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elete val="1"/>
          </c:dLbls>
          <c:cat>
            <c:strRef>
              <c:f>'empsiz5 P'!$J$4:$J$7</c:f>
              <c:strCache>
                <c:ptCount val="4"/>
                <c:pt idx="0">
                  <c:v>Less than $1m</c:v>
                </c:pt>
                <c:pt idx="1">
                  <c:v>$1m to less than $10m</c:v>
                </c:pt>
                <c:pt idx="2">
                  <c:v>$10 to less than $20m</c:v>
                </c:pt>
                <c:pt idx="3">
                  <c:v>$20m or more</c:v>
                </c:pt>
              </c:strCache>
            </c:strRef>
          </c:cat>
          <c:val>
            <c:numRef>
              <c:f>'empsiz5 P'!$L$4:$L$7</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1-1B59-4A11-A9E8-6152D3B0B956}"/>
            </c:ext>
          </c:extLst>
        </c:ser>
        <c:dLbls>
          <c:dLblPos val="outEnd"/>
          <c:showLegendKey val="0"/>
          <c:showVal val="1"/>
          <c:showCatName val="0"/>
          <c:showSerName val="0"/>
          <c:showPercent val="0"/>
          <c:showBubbleSize val="0"/>
        </c:dLbls>
        <c:gapWidth val="280"/>
        <c:overlap val="100"/>
        <c:axId val="173958656"/>
        <c:axId val="173960192"/>
      </c:barChart>
      <c:catAx>
        <c:axId val="17395865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36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3960192"/>
        <c:crosses val="autoZero"/>
        <c:auto val="1"/>
        <c:lblAlgn val="ctr"/>
        <c:lblOffset val="100"/>
        <c:noMultiLvlLbl val="0"/>
      </c:catAx>
      <c:valAx>
        <c:axId val="173960192"/>
        <c:scaling>
          <c:orientation val="minMax"/>
          <c:max val="1"/>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effectLst/>
                    <a:latin typeface="Arial" panose="020B0604020202020204" pitchFamily="34" charset="0"/>
                    <a:cs typeface="Arial" panose="020B0604020202020204" pitchFamily="34" charset="0"/>
                  </a:rPr>
                  <a:t>% at work at 3 months +</a:t>
                </a:r>
              </a:p>
            </c:rich>
          </c:tx>
          <c:layout>
            <c:manualLayout>
              <c:xMode val="edge"/>
              <c:yMode val="edge"/>
              <c:x val="3.7757098765432096E-2"/>
              <c:y val="0.3112672672672672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395865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vert="horz"/>
          <a:lstStyle/>
          <a:p>
            <a:pPr>
              <a:defRPr sz="800">
                <a:latin typeface="Arial" panose="020B0604020202020204" pitchFamily="34" charset="0"/>
                <a:cs typeface="Arial" panose="020B0604020202020204" pitchFamily="34" charset="0"/>
              </a:defRPr>
            </a:pPr>
            <a:r>
              <a:rPr lang="en-US" sz="800">
                <a:latin typeface="Arial" panose="020B0604020202020204" pitchFamily="34" charset="0"/>
                <a:cs typeface="Arial" panose="020B0604020202020204" pitchFamily="34" charset="0"/>
              </a:rPr>
              <a:t>RTW by key influencing factors</a:t>
            </a:r>
          </a:p>
          <a:p>
            <a:pPr>
              <a:defRPr sz="800">
                <a:latin typeface="Arial" panose="020B0604020202020204" pitchFamily="34" charset="0"/>
                <a:cs typeface="Arial" panose="020B0604020202020204" pitchFamily="34" charset="0"/>
              </a:defRPr>
            </a:pPr>
            <a:r>
              <a:rPr lang="en-US" sz="800">
                <a:latin typeface="Arial" panose="020B0604020202020204" pitchFamily="34" charset="0"/>
                <a:cs typeface="Arial" panose="020B0604020202020204" pitchFamily="34" charset="0"/>
              </a:rPr>
              <a:t>psych claims</a:t>
            </a:r>
          </a:p>
        </c:rich>
      </c:tx>
      <c:layout>
        <c:manualLayout>
          <c:xMode val="edge"/>
          <c:yMode val="edge"/>
          <c:x val="0.3640744242130074"/>
          <c:y val="2.1871814869816986E-2"/>
        </c:manualLayout>
      </c:layout>
      <c:overlay val="0"/>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spPr>
          <a:solidFill>
            <a:schemeClr val="accent1"/>
          </a:solidFill>
          <a:ln w="38100" cap="flat" cmpd="dbl" algn="ctr">
            <a:solidFill>
              <a:schemeClr val="accent1"/>
            </a:solidFill>
            <a:miter lim="800000"/>
          </a:ln>
          <a:effectLst/>
        </c:spPr>
        <c:marker>
          <c:symbol val="circle"/>
          <c:size val="6"/>
          <c:spPr>
            <a:solidFill>
              <a:schemeClr val="accent1"/>
            </a:solidFill>
            <a:ln w="9525" cap="flat" cmpd="sng" algn="ctr">
              <a:solidFill>
                <a:schemeClr val="lt1"/>
              </a:solidFill>
              <a:round/>
            </a:ln>
            <a:effectLst/>
          </c:spPr>
        </c:marker>
      </c:pivotFmt>
      <c:pivotFmt>
        <c:idx val="12"/>
        <c:spPr>
          <a:solidFill>
            <a:schemeClr val="accent1"/>
          </a:solidFill>
          <a:ln w="38100" cap="flat" cmpd="dbl" algn="ctr">
            <a:solidFill>
              <a:schemeClr val="accent1"/>
            </a:solidFill>
            <a:miter lim="800000"/>
          </a:ln>
          <a:effectLst/>
        </c:spPr>
        <c:marker>
          <c:symbol val="circle"/>
          <c:size val="6"/>
          <c:spPr>
            <a:solidFill>
              <a:schemeClr val="accent2"/>
            </a:solidFill>
            <a:ln w="9525" cap="flat" cmpd="sng" algn="ctr">
              <a:solidFill>
                <a:schemeClr val="lt1"/>
              </a:solidFill>
              <a:round/>
            </a:ln>
            <a:effectLst/>
          </c:spPr>
        </c:marker>
      </c:pivotFmt>
      <c:pivotFmt>
        <c:idx val="13"/>
        <c:spPr>
          <a:solidFill>
            <a:schemeClr val="accent1"/>
          </a:solidFill>
          <a:ln w="38100" cap="flat" cmpd="dbl" algn="ctr">
            <a:solidFill>
              <a:schemeClr val="accent1"/>
            </a:solidFill>
            <a:miter lim="800000"/>
          </a:ln>
          <a:effectLst/>
        </c:spPr>
        <c:marker>
          <c:symbol val="circle"/>
          <c:size val="6"/>
          <c:spPr>
            <a:solidFill>
              <a:schemeClr val="accent3"/>
            </a:solidFill>
            <a:ln w="9525" cap="flat" cmpd="sng" algn="ctr">
              <a:solidFill>
                <a:schemeClr val="lt1"/>
              </a:solidFill>
              <a:round/>
            </a:ln>
            <a:effectLst/>
          </c:spPr>
        </c:marker>
      </c:pivotFmt>
      <c:pivotFmt>
        <c:idx val="14"/>
        <c:spPr>
          <a:solidFill>
            <a:schemeClr val="accent1"/>
          </a:solidFill>
          <a:ln w="38100" cap="flat" cmpd="dbl" algn="ctr">
            <a:solidFill>
              <a:schemeClr val="accent1"/>
            </a:solidFill>
            <a:miter lim="800000"/>
          </a:ln>
          <a:effectLst/>
        </c:spPr>
        <c:marker>
          <c:symbol val="circle"/>
          <c:size val="6"/>
          <c:spPr>
            <a:solidFill>
              <a:schemeClr val="accent4"/>
            </a:solidFill>
            <a:ln w="9525" cap="flat" cmpd="sng" algn="ctr">
              <a:solidFill>
                <a:schemeClr val="lt1"/>
              </a:solidFill>
              <a:round/>
            </a:ln>
            <a:effectLst/>
          </c:spPr>
        </c:marker>
      </c:pivotFmt>
      <c:pivotFmt>
        <c:idx val="15"/>
        <c:spPr>
          <a:solidFill>
            <a:schemeClr val="accent1"/>
          </a:solidFill>
          <a:ln w="38100" cap="flat" cmpd="dbl" algn="ctr">
            <a:solidFill>
              <a:schemeClr val="accent1"/>
            </a:solidFill>
            <a:miter lim="800000"/>
          </a:ln>
          <a:effectLst/>
        </c:spPr>
        <c:marker>
          <c:symbol val="circle"/>
          <c:size val="6"/>
          <c:spPr>
            <a:solidFill>
              <a:schemeClr val="accent5"/>
            </a:solidFill>
            <a:ln w="9525" cap="flat" cmpd="sng" algn="ctr">
              <a:solidFill>
                <a:schemeClr val="lt1"/>
              </a:solidFill>
              <a:round/>
            </a:ln>
            <a:effectLst/>
          </c:spPr>
        </c:marker>
      </c:pivotFmt>
      <c:pivotFmt>
        <c:idx val="16"/>
        <c:spPr>
          <a:solidFill>
            <a:schemeClr val="accent1"/>
          </a:solidFill>
          <a:ln w="38100" cap="flat" cmpd="dbl" algn="ctr">
            <a:solidFill>
              <a:schemeClr val="accent1"/>
            </a:solidFill>
            <a:miter lim="800000"/>
          </a:ln>
          <a:effectLst/>
        </c:spPr>
        <c:marker>
          <c:symbol val="circle"/>
          <c:size val="6"/>
          <c:spPr>
            <a:solidFill>
              <a:schemeClr val="accent6"/>
            </a:solidFill>
            <a:ln w="9525" cap="flat" cmpd="sng" algn="ctr">
              <a:solidFill>
                <a:schemeClr val="lt1"/>
              </a:solidFill>
              <a:round/>
            </a:ln>
            <a:effectLst/>
          </c:spPr>
        </c:marker>
      </c:pivotFmt>
      <c:pivotFmt>
        <c:idx val="17"/>
        <c:spPr>
          <a:solidFill>
            <a:schemeClr val="accent1"/>
          </a:solidFill>
          <a:ln w="38100" cap="flat" cmpd="dbl" algn="ctr">
            <a:solidFill>
              <a:schemeClr val="accent1"/>
            </a:solidFill>
            <a:miter lim="800000"/>
          </a:ln>
          <a:effectLst/>
        </c:spPr>
        <c:marker>
          <c:symbol val="circle"/>
          <c:size val="6"/>
          <c:spPr>
            <a:solidFill>
              <a:schemeClr val="accent1"/>
            </a:solidFill>
            <a:ln w="9525" cap="flat" cmpd="sng" algn="ctr">
              <a:solidFill>
                <a:schemeClr val="lt1"/>
              </a:solidFill>
              <a:round/>
            </a:ln>
            <a:effectLst/>
          </c:spPr>
        </c:marker>
      </c:pivotFmt>
      <c:pivotFmt>
        <c:idx val="18"/>
        <c:spPr>
          <a:solidFill>
            <a:schemeClr val="accent1"/>
          </a:solidFill>
          <a:ln w="38100" cap="flat" cmpd="dbl" algn="ctr">
            <a:solidFill>
              <a:schemeClr val="accent1"/>
            </a:solidFill>
            <a:miter lim="800000"/>
          </a:ln>
          <a:effectLst/>
        </c:spPr>
        <c:marker>
          <c:symbol val="circle"/>
          <c:size val="6"/>
          <c:spPr>
            <a:solidFill>
              <a:schemeClr val="accent2"/>
            </a:solidFill>
            <a:ln w="9525" cap="flat" cmpd="sng" algn="ctr">
              <a:solidFill>
                <a:schemeClr val="lt1"/>
              </a:solidFill>
              <a:round/>
            </a:ln>
            <a:effectLst/>
          </c:spPr>
        </c:marker>
      </c:pivotFmt>
      <c:pivotFmt>
        <c:idx val="19"/>
        <c:spPr>
          <a:solidFill>
            <a:schemeClr val="accent1"/>
          </a:solidFill>
          <a:ln w="38100" cap="flat" cmpd="dbl" algn="ctr">
            <a:solidFill>
              <a:schemeClr val="accent1"/>
            </a:solidFill>
            <a:miter lim="800000"/>
          </a:ln>
          <a:effectLst/>
        </c:spPr>
        <c:marker>
          <c:symbol val="circle"/>
          <c:size val="6"/>
          <c:spPr>
            <a:solidFill>
              <a:schemeClr val="accent3"/>
            </a:solidFill>
            <a:ln w="9525" cap="flat" cmpd="sng" algn="ctr">
              <a:solidFill>
                <a:schemeClr val="lt1"/>
              </a:solidFill>
              <a:round/>
            </a:ln>
            <a:effectLst/>
          </c:spPr>
        </c:marker>
      </c:pivotFmt>
      <c:pivotFmt>
        <c:idx val="20"/>
        <c:spPr>
          <a:solidFill>
            <a:schemeClr val="accent1"/>
          </a:solidFill>
          <a:ln w="38100" cap="flat" cmpd="dbl" algn="ctr">
            <a:solidFill>
              <a:schemeClr val="accent1"/>
            </a:solidFill>
            <a:miter lim="800000"/>
          </a:ln>
          <a:effectLst/>
        </c:spPr>
        <c:marker>
          <c:symbol val="circle"/>
          <c:size val="6"/>
          <c:spPr>
            <a:solidFill>
              <a:schemeClr val="accent4"/>
            </a:solidFill>
            <a:ln w="9525" cap="flat" cmpd="sng" algn="ctr">
              <a:solidFill>
                <a:schemeClr val="lt1"/>
              </a:solidFill>
              <a:round/>
            </a:ln>
            <a:effectLst/>
          </c:spPr>
        </c:marker>
      </c:pivotFmt>
      <c:pivotFmt>
        <c:idx val="21"/>
        <c:spPr>
          <a:solidFill>
            <a:schemeClr val="accent1"/>
          </a:solidFill>
          <a:ln w="38100" cap="flat" cmpd="dbl" algn="ctr">
            <a:solidFill>
              <a:schemeClr val="accent1"/>
            </a:solidFill>
            <a:miter lim="800000"/>
          </a:ln>
          <a:effectLst/>
        </c:spPr>
        <c:marker>
          <c:symbol val="circle"/>
          <c:size val="6"/>
          <c:spPr>
            <a:solidFill>
              <a:schemeClr val="accent5"/>
            </a:solidFill>
            <a:ln w="9525" cap="flat" cmpd="sng" algn="ctr">
              <a:solidFill>
                <a:schemeClr val="lt1"/>
              </a:solidFill>
              <a:round/>
            </a:ln>
            <a:effectLst/>
          </c:spPr>
        </c:marker>
      </c:pivotFmt>
      <c:pivotFmt>
        <c:idx val="22"/>
        <c:spPr>
          <a:solidFill>
            <a:schemeClr val="accent1"/>
          </a:solidFill>
          <a:ln w="38100" cap="flat" cmpd="dbl" algn="ctr">
            <a:solidFill>
              <a:schemeClr val="accent1"/>
            </a:solidFill>
            <a:miter lim="800000"/>
          </a:ln>
          <a:effectLst/>
        </c:spPr>
        <c:marker>
          <c:symbol val="circle"/>
          <c:size val="6"/>
          <c:spPr>
            <a:solidFill>
              <a:schemeClr val="accent6"/>
            </a:solidFill>
            <a:ln w="9525" cap="flat" cmpd="sng" algn="ctr">
              <a:solidFill>
                <a:schemeClr val="lt1"/>
              </a:solidFill>
              <a:round/>
            </a:ln>
            <a:effectLst/>
          </c:spPr>
        </c:marker>
      </c:pivotFmt>
      <c:pivotFmt>
        <c:idx val="23"/>
        <c:spPr>
          <a:solidFill>
            <a:schemeClr val="accent1"/>
          </a:solidFill>
          <a:ln w="38100" cap="flat" cmpd="dbl" algn="ctr">
            <a:solidFill>
              <a:schemeClr val="accent1"/>
            </a:solidFill>
            <a:miter lim="800000"/>
          </a:ln>
          <a:effectLst/>
        </c:spPr>
        <c:marker>
          <c:symbol val="circle"/>
          <c:size val="6"/>
          <c:spPr>
            <a:solidFill>
              <a:schemeClr val="accent1"/>
            </a:solidFill>
            <a:ln w="9525" cap="flat" cmpd="sng" algn="ctr">
              <a:solidFill>
                <a:schemeClr val="lt1"/>
              </a:solidFill>
              <a:round/>
            </a:ln>
            <a:effectLst/>
          </c:spPr>
        </c:marker>
      </c:pivotFmt>
      <c:pivotFmt>
        <c:idx val="24"/>
        <c:spPr>
          <a:solidFill>
            <a:schemeClr val="accent1"/>
          </a:solidFill>
          <a:ln w="38100" cap="flat" cmpd="dbl" algn="ctr">
            <a:solidFill>
              <a:schemeClr val="accent1"/>
            </a:solidFill>
            <a:miter lim="800000"/>
          </a:ln>
          <a:effectLst/>
        </c:spPr>
        <c:marker>
          <c:symbol val="circle"/>
          <c:size val="6"/>
          <c:spPr>
            <a:solidFill>
              <a:schemeClr val="accent1">
                <a:lumMod val="80000"/>
              </a:schemeClr>
            </a:solidFill>
            <a:ln w="9525" cap="flat" cmpd="sng" algn="ctr">
              <a:solidFill>
                <a:schemeClr val="lt1"/>
              </a:solidFill>
              <a:round/>
            </a:ln>
            <a:effectLst/>
          </c:spPr>
        </c:marker>
      </c:pivotFmt>
      <c:pivotFmt>
        <c:idx val="25"/>
        <c:spPr>
          <a:solidFill>
            <a:schemeClr val="accent1"/>
          </a:solidFill>
          <a:ln w="38100" cap="flat" cmpd="dbl" algn="ctr">
            <a:solidFill>
              <a:schemeClr val="accent1"/>
            </a:solidFill>
            <a:miter lim="800000"/>
          </a:ln>
          <a:effectLst/>
        </c:spPr>
        <c:marker>
          <c:symbol val="circle"/>
          <c:size val="6"/>
          <c:spPr>
            <a:solidFill>
              <a:schemeClr val="accent1"/>
            </a:solidFill>
            <a:ln w="9525" cap="flat" cmpd="sng" algn="ctr">
              <a:solidFill>
                <a:schemeClr val="lt1"/>
              </a:solidFill>
              <a:round/>
            </a:ln>
            <a:effectLst/>
          </c:spPr>
        </c:marker>
      </c:pivotFmt>
      <c:pivotFmt>
        <c:idx val="26"/>
        <c:spPr>
          <a:solidFill>
            <a:schemeClr val="accent1"/>
          </a:solidFill>
          <a:ln w="38100" cap="flat" cmpd="dbl" algn="ctr">
            <a:solidFill>
              <a:schemeClr val="accent1"/>
            </a:solidFill>
            <a:miter lim="800000"/>
          </a:ln>
          <a:effectLst/>
        </c:spPr>
        <c:marker>
          <c:symbol val="circle"/>
          <c:size val="6"/>
          <c:spPr>
            <a:solidFill>
              <a:schemeClr val="accent2"/>
            </a:solidFill>
            <a:ln w="9525" cap="flat" cmpd="sng" algn="ctr">
              <a:solidFill>
                <a:schemeClr val="lt1"/>
              </a:solidFill>
              <a:round/>
            </a:ln>
            <a:effectLst/>
          </c:spPr>
        </c:marker>
      </c:pivotFmt>
    </c:pivotFmts>
    <c:plotArea>
      <c:layout>
        <c:manualLayout>
          <c:layoutTarget val="inner"/>
          <c:xMode val="edge"/>
          <c:yMode val="edge"/>
          <c:x val="0.15460147039631095"/>
          <c:y val="0.12370084172282775"/>
          <c:w val="0.79954896245704099"/>
          <c:h val="0.63932306969091557"/>
        </c:manualLayout>
      </c:layout>
      <c:lineChart>
        <c:grouping val="standard"/>
        <c:varyColors val="0"/>
        <c:ser>
          <c:idx val="0"/>
          <c:order val="0"/>
          <c:tx>
            <c:strRef>
              <c:f>'SlopeChartAvg Psych'!$H$4</c:f>
              <c:strCache>
                <c:ptCount val="1"/>
                <c:pt idx="0">
                  <c:v>Employer response to injury </c:v>
                </c:pt>
              </c:strCache>
            </c:strRef>
          </c:tx>
          <c:marker>
            <c:symbol val="none"/>
          </c:marker>
          <c:val>
            <c:numRef>
              <c:f>'SlopeChartAvg Psych'!$I$4:$J$4</c:f>
              <c:numCache>
                <c:formatCode>0%</c:formatCode>
                <c:ptCount val="2"/>
                <c:pt idx="0">
                  <c:v>0.79</c:v>
                </c:pt>
                <c:pt idx="1">
                  <c:v>0.52</c:v>
                </c:pt>
              </c:numCache>
            </c:numRef>
          </c:val>
          <c:smooth val="0"/>
          <c:extLst xmlns:c16r2="http://schemas.microsoft.com/office/drawing/2015/06/chart">
            <c:ext xmlns:c16="http://schemas.microsoft.com/office/drawing/2014/chart" uri="{C3380CC4-5D6E-409C-BE32-E72D297353CC}">
              <c16:uniqueId val="{00000000-0E9F-479D-A969-E8F9D8584D75}"/>
            </c:ext>
          </c:extLst>
        </c:ser>
        <c:ser>
          <c:idx val="1"/>
          <c:order val="1"/>
          <c:tx>
            <c:strRef>
              <c:f>'SlopeChartAvg Psych'!$H$5</c:f>
              <c:strCache>
                <c:ptCount val="1"/>
                <c:pt idx="0">
                  <c:v>Early contact from workplace vs no contact</c:v>
                </c:pt>
              </c:strCache>
            </c:strRef>
          </c:tx>
          <c:marker>
            <c:symbol val="none"/>
          </c:marker>
          <c:cat>
            <c:strRef>
              <c:f>'SlopeChartAvg Psych'!$I$3:$J$3</c:f>
              <c:strCache>
                <c:ptCount val="2"/>
                <c:pt idx="0">
                  <c:v>Positive</c:v>
                </c:pt>
                <c:pt idx="1">
                  <c:v>Negative</c:v>
                </c:pt>
              </c:strCache>
            </c:strRef>
          </c:cat>
          <c:val>
            <c:numRef>
              <c:f>'SlopeChartAvg Psych'!$I$5:$J$5</c:f>
              <c:numCache>
                <c:formatCode>0%</c:formatCode>
                <c:ptCount val="2"/>
                <c:pt idx="0">
                  <c:v>0.77</c:v>
                </c:pt>
                <c:pt idx="1">
                  <c:v>0.53</c:v>
                </c:pt>
              </c:numCache>
            </c:numRef>
          </c:val>
          <c:smooth val="0"/>
          <c:extLst xmlns:c16r2="http://schemas.microsoft.com/office/drawing/2015/06/chart">
            <c:ext xmlns:c16="http://schemas.microsoft.com/office/drawing/2014/chart" uri="{C3380CC4-5D6E-409C-BE32-E72D297353CC}">
              <c16:uniqueId val="{00000001-0E9F-479D-A969-E8F9D8584D75}"/>
            </c:ext>
          </c:extLst>
        </c:ser>
        <c:ser>
          <c:idx val="2"/>
          <c:order val="2"/>
          <c:tx>
            <c:strRef>
              <c:f>'SlopeChartAvg Psych'!$H$6</c:f>
              <c:strCache>
                <c:ptCount val="1"/>
                <c:pt idx="0">
                  <c:v>Employer pre claim assistance</c:v>
                </c:pt>
              </c:strCache>
            </c:strRef>
          </c:tx>
          <c:marker>
            <c:symbol val="none"/>
          </c:marker>
          <c:cat>
            <c:strRef>
              <c:f>'SlopeChartAvg Psych'!$I$3:$J$3</c:f>
              <c:strCache>
                <c:ptCount val="2"/>
                <c:pt idx="0">
                  <c:v>Positive</c:v>
                </c:pt>
                <c:pt idx="1">
                  <c:v>Negative</c:v>
                </c:pt>
              </c:strCache>
            </c:strRef>
          </c:cat>
          <c:val>
            <c:numRef>
              <c:f>'SlopeChartAvg Psych'!$I$6:$J$6</c:f>
              <c:numCache>
                <c:formatCode>0%</c:formatCode>
                <c:ptCount val="2"/>
                <c:pt idx="0">
                  <c:v>0.74</c:v>
                </c:pt>
                <c:pt idx="1">
                  <c:v>0.55000000000000004</c:v>
                </c:pt>
              </c:numCache>
            </c:numRef>
          </c:val>
          <c:smooth val="0"/>
          <c:extLst xmlns:c16r2="http://schemas.microsoft.com/office/drawing/2015/06/chart">
            <c:ext xmlns:c16="http://schemas.microsoft.com/office/drawing/2014/chart" uri="{C3380CC4-5D6E-409C-BE32-E72D297353CC}">
              <c16:uniqueId val="{00000002-0E9F-479D-A969-E8F9D8584D75}"/>
            </c:ext>
          </c:extLst>
        </c:ser>
        <c:ser>
          <c:idx val="3"/>
          <c:order val="3"/>
          <c:tx>
            <c:strRef>
              <c:f>'SlopeChartAvg Psych'!$H$7</c:f>
              <c:strCache>
                <c:ptCount val="1"/>
                <c:pt idx="0">
                  <c:v>Disagreement / dispute</c:v>
                </c:pt>
              </c:strCache>
            </c:strRef>
          </c:tx>
          <c:marker>
            <c:symbol val="none"/>
          </c:marker>
          <c:cat>
            <c:strRef>
              <c:f>'SlopeChartAvg Psych'!$I$3:$J$3</c:f>
              <c:strCache>
                <c:ptCount val="2"/>
                <c:pt idx="0">
                  <c:v>Positive</c:v>
                </c:pt>
                <c:pt idx="1">
                  <c:v>Negative</c:v>
                </c:pt>
              </c:strCache>
            </c:strRef>
          </c:cat>
          <c:val>
            <c:numRef>
              <c:f>'SlopeChartAvg Psych'!$I$7:$J$7</c:f>
              <c:numCache>
                <c:formatCode>0%</c:formatCode>
                <c:ptCount val="2"/>
                <c:pt idx="0">
                  <c:v>0.63</c:v>
                </c:pt>
                <c:pt idx="1">
                  <c:v>0.51</c:v>
                </c:pt>
              </c:numCache>
            </c:numRef>
          </c:val>
          <c:smooth val="0"/>
          <c:extLst xmlns:c16r2="http://schemas.microsoft.com/office/drawing/2015/06/chart">
            <c:ext xmlns:c16="http://schemas.microsoft.com/office/drawing/2014/chart" uri="{C3380CC4-5D6E-409C-BE32-E72D297353CC}">
              <c16:uniqueId val="{00000003-0E9F-479D-A969-E8F9D8584D75}"/>
            </c:ext>
          </c:extLst>
        </c:ser>
        <c:ser>
          <c:idx val="4"/>
          <c:order val="4"/>
          <c:tx>
            <c:strRef>
              <c:f>'SlopeChartAvg Psych'!$H$8</c:f>
              <c:strCache>
                <c:ptCount val="1"/>
                <c:pt idx="0">
                  <c:v>Concern about lodging a claim</c:v>
                </c:pt>
              </c:strCache>
            </c:strRef>
          </c:tx>
          <c:marker>
            <c:symbol val="none"/>
          </c:marker>
          <c:cat>
            <c:strRef>
              <c:f>'SlopeChartAvg Psych'!$I$3:$J$3</c:f>
              <c:strCache>
                <c:ptCount val="2"/>
                <c:pt idx="0">
                  <c:v>Positive</c:v>
                </c:pt>
                <c:pt idx="1">
                  <c:v>Negative</c:v>
                </c:pt>
              </c:strCache>
            </c:strRef>
          </c:cat>
          <c:val>
            <c:numRef>
              <c:f>'SlopeChartAvg Psych'!$I$8:$J$8</c:f>
              <c:numCache>
                <c:formatCode>0%</c:formatCode>
                <c:ptCount val="2"/>
                <c:pt idx="0">
                  <c:v>0.63</c:v>
                </c:pt>
                <c:pt idx="1">
                  <c:v>0.52</c:v>
                </c:pt>
              </c:numCache>
            </c:numRef>
          </c:val>
          <c:smooth val="0"/>
          <c:extLst xmlns:c16r2="http://schemas.microsoft.com/office/drawing/2015/06/chart">
            <c:ext xmlns:c16="http://schemas.microsoft.com/office/drawing/2014/chart" uri="{C3380CC4-5D6E-409C-BE32-E72D297353CC}">
              <c16:uniqueId val="{00000004-0E9F-479D-A969-E8F9D8584D75}"/>
            </c:ext>
          </c:extLst>
        </c:ser>
        <c:ser>
          <c:idx val="5"/>
          <c:order val="5"/>
          <c:tx>
            <c:strRef>
              <c:f>'SlopeChartAvg Psych'!$H$9</c:f>
              <c:strCache>
                <c:ptCount val="1"/>
                <c:pt idx="0">
                  <c:v>Resilience </c:v>
                </c:pt>
              </c:strCache>
            </c:strRef>
          </c:tx>
          <c:marker>
            <c:symbol val="none"/>
          </c:marker>
          <c:cat>
            <c:strRef>
              <c:f>'SlopeChartAvg Psych'!$I$3:$J$3</c:f>
              <c:strCache>
                <c:ptCount val="2"/>
                <c:pt idx="0">
                  <c:v>Positive</c:v>
                </c:pt>
                <c:pt idx="1">
                  <c:v>Negative</c:v>
                </c:pt>
              </c:strCache>
            </c:strRef>
          </c:cat>
          <c:val>
            <c:numRef>
              <c:f>'SlopeChartAvg Psych'!$I$9:$J$9</c:f>
              <c:numCache>
                <c:formatCode>0%</c:formatCode>
                <c:ptCount val="2"/>
                <c:pt idx="0">
                  <c:v>0.61</c:v>
                </c:pt>
                <c:pt idx="1">
                  <c:v>0.53</c:v>
                </c:pt>
              </c:numCache>
            </c:numRef>
          </c:val>
          <c:smooth val="0"/>
          <c:extLst xmlns:c16r2="http://schemas.microsoft.com/office/drawing/2015/06/chart">
            <c:ext xmlns:c16="http://schemas.microsoft.com/office/drawing/2014/chart" uri="{C3380CC4-5D6E-409C-BE32-E72D297353CC}">
              <c16:uniqueId val="{00000005-0E9F-479D-A969-E8F9D8584D75}"/>
            </c:ext>
          </c:extLst>
        </c:ser>
        <c:ser>
          <c:idx val="6"/>
          <c:order val="6"/>
          <c:tx>
            <c:strRef>
              <c:f>'SlopeChartAvg Psych'!$H$10</c:f>
              <c:strCache>
                <c:ptCount val="1"/>
                <c:pt idx="0">
                  <c:v>Interaction with system/claims organisation</c:v>
                </c:pt>
              </c:strCache>
            </c:strRef>
          </c:tx>
          <c:marker>
            <c:symbol val="none"/>
          </c:marker>
          <c:cat>
            <c:strRef>
              <c:f>'SlopeChartAvg Psych'!$I$3:$J$3</c:f>
              <c:strCache>
                <c:ptCount val="2"/>
                <c:pt idx="0">
                  <c:v>Positive</c:v>
                </c:pt>
                <c:pt idx="1">
                  <c:v>Negative</c:v>
                </c:pt>
              </c:strCache>
            </c:strRef>
          </c:cat>
          <c:val>
            <c:numRef>
              <c:f>'SlopeChartAvg Psych'!$I$10:$J$10</c:f>
              <c:numCache>
                <c:formatCode>0%</c:formatCode>
                <c:ptCount val="2"/>
                <c:pt idx="0">
                  <c:v>0.62</c:v>
                </c:pt>
                <c:pt idx="1">
                  <c:v>0.55000000000000004</c:v>
                </c:pt>
              </c:numCache>
            </c:numRef>
          </c:val>
          <c:smooth val="0"/>
          <c:extLst xmlns:c16r2="http://schemas.microsoft.com/office/drawing/2015/06/chart">
            <c:ext xmlns:c16="http://schemas.microsoft.com/office/drawing/2014/chart" uri="{C3380CC4-5D6E-409C-BE32-E72D297353CC}">
              <c16:uniqueId val="{00000006-0E9F-479D-A969-E8F9D8584D75}"/>
            </c:ext>
          </c:extLst>
        </c:ser>
        <c:ser>
          <c:idx val="7"/>
          <c:order val="7"/>
          <c:tx>
            <c:strRef>
              <c:f>'SlopeChartAvg Psych'!$H$11</c:f>
              <c:strCache>
                <c:ptCount val="1"/>
                <c:pt idx="0">
                  <c:v>Workplace culture prior to injury</c:v>
                </c:pt>
              </c:strCache>
            </c:strRef>
          </c:tx>
          <c:marker>
            <c:symbol val="none"/>
          </c:marker>
          <c:cat>
            <c:strRef>
              <c:f>'SlopeChartAvg Psych'!$I$3:$J$3</c:f>
              <c:strCache>
                <c:ptCount val="2"/>
                <c:pt idx="0">
                  <c:v>Positive</c:v>
                </c:pt>
                <c:pt idx="1">
                  <c:v>Negative</c:v>
                </c:pt>
              </c:strCache>
            </c:strRef>
          </c:cat>
          <c:val>
            <c:numRef>
              <c:f>'SlopeChartAvg Psych'!$I$11:$J$11</c:f>
              <c:numCache>
                <c:formatCode>0%</c:formatCode>
                <c:ptCount val="2"/>
                <c:pt idx="0">
                  <c:v>0.59</c:v>
                </c:pt>
                <c:pt idx="1">
                  <c:v>0.57999999999999996</c:v>
                </c:pt>
              </c:numCache>
            </c:numRef>
          </c:val>
          <c:smooth val="0"/>
          <c:extLst xmlns:c16r2="http://schemas.microsoft.com/office/drawing/2015/06/chart">
            <c:ext xmlns:c16="http://schemas.microsoft.com/office/drawing/2014/chart" uri="{C3380CC4-5D6E-409C-BE32-E72D297353CC}">
              <c16:uniqueId val="{00000007-0E9F-479D-A969-E8F9D8584D75}"/>
            </c:ext>
          </c:extLst>
        </c:ser>
        <c:dLbls>
          <c:showLegendKey val="0"/>
          <c:showVal val="0"/>
          <c:showCatName val="0"/>
          <c:showSerName val="0"/>
          <c:showPercent val="0"/>
          <c:showBubbleSize val="0"/>
        </c:dLbls>
        <c:dropLines/>
        <c:marker val="1"/>
        <c:smooth val="0"/>
        <c:axId val="73192192"/>
        <c:axId val="73193728"/>
      </c:lineChart>
      <c:catAx>
        <c:axId val="73192192"/>
        <c:scaling>
          <c:orientation val="minMax"/>
        </c:scaling>
        <c:delete val="0"/>
        <c:axPos val="b"/>
        <c:numFmt formatCode="General" sourceLinked="1"/>
        <c:majorTickMark val="none"/>
        <c:minorTickMark val="none"/>
        <c:tickLblPos val="nextTo"/>
        <c:txPr>
          <a:bodyPr rot="-60000000" vert="horz"/>
          <a:lstStyle/>
          <a:p>
            <a:pPr>
              <a:defRPr sz="800">
                <a:latin typeface="Arial" panose="020B0604020202020204" pitchFamily="34" charset="0"/>
                <a:cs typeface="Arial" panose="020B0604020202020204" pitchFamily="34" charset="0"/>
              </a:defRPr>
            </a:pPr>
            <a:endParaRPr lang="en-US"/>
          </a:p>
        </c:txPr>
        <c:crossAx val="73193728"/>
        <c:crosses val="autoZero"/>
        <c:auto val="1"/>
        <c:lblAlgn val="ctr"/>
        <c:lblOffset val="100"/>
        <c:noMultiLvlLbl val="0"/>
      </c:catAx>
      <c:valAx>
        <c:axId val="73193728"/>
        <c:scaling>
          <c:orientation val="minMax"/>
          <c:max val="0.9"/>
          <c:min val="0.5"/>
        </c:scaling>
        <c:delete val="0"/>
        <c:axPos val="l"/>
        <c:majorGridlines/>
        <c:title>
          <c:tx>
            <c:rich>
              <a:bodyPr rot="-5400000" vert="horz"/>
              <a:lstStyle/>
              <a:p>
                <a:pPr>
                  <a:defRPr/>
                </a:pPr>
                <a:r>
                  <a:rPr lang="en-AU"/>
                  <a:t>At work work at time of survey</a:t>
                </a:r>
              </a:p>
            </c:rich>
          </c:tx>
          <c:layout>
            <c:manualLayout>
              <c:xMode val="edge"/>
              <c:yMode val="edge"/>
              <c:x val="2.0484621742724148E-2"/>
              <c:y val="0.20008119744869066"/>
            </c:manualLayout>
          </c:layout>
          <c:overlay val="0"/>
        </c:title>
        <c:numFmt formatCode="0%" sourceLinked="0"/>
        <c:majorTickMark val="none"/>
        <c:minorTickMark val="none"/>
        <c:tickLblPos val="nextTo"/>
        <c:txPr>
          <a:bodyPr rot="-60000000" vert="horz"/>
          <a:lstStyle/>
          <a:p>
            <a:pPr>
              <a:defRPr/>
            </a:pPr>
            <a:endParaRPr lang="en-US"/>
          </a:p>
        </c:txPr>
        <c:crossAx val="73192192"/>
        <c:crosses val="autoZero"/>
        <c:crossBetween val="between"/>
      </c:valAx>
    </c:plotArea>
    <c:legend>
      <c:legendPos val="b"/>
      <c:layout>
        <c:manualLayout>
          <c:xMode val="edge"/>
          <c:yMode val="edge"/>
          <c:x val="5.884925686263693E-2"/>
          <c:y val="0.83206765820939055"/>
          <c:w val="0.94115074313736302"/>
          <c:h val="0.15142204925533731"/>
        </c:manualLayout>
      </c:layout>
      <c:overlay val="0"/>
      <c:txPr>
        <a:bodyPr rot="0" vert="horz"/>
        <a:lstStyle/>
        <a:p>
          <a:pPr>
            <a:defRPr sz="8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extLst xmlns:c16r2="http://schemas.microsoft.com/office/drawing/2015/06/char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t"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Current RTW by</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employer response to injury</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0879898248638155"/>
          <c:y val="2.0161290322580645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5824715421663663"/>
          <c:y val="0.23714529914529914"/>
          <c:w val="0.65759410244344496"/>
          <c:h val="0.56899821614728452"/>
        </c:manualLayout>
      </c:layout>
      <c:barChart>
        <c:barDir val="col"/>
        <c:grouping val="clustered"/>
        <c:varyColors val="0"/>
        <c:ser>
          <c:idx val="0"/>
          <c:order val="0"/>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'EmpRtoInj P AV C'!$A$5:$A$6</c:f>
              <c:strCache>
                <c:ptCount val="2"/>
                <c:pt idx="0">
                  <c:v>Positive</c:v>
                </c:pt>
                <c:pt idx="1">
                  <c:v>Negative</c:v>
                </c:pt>
              </c:strCache>
            </c:strRef>
          </c:cat>
          <c:val>
            <c:numRef>
              <c:f>'EmpRtoInj P AV C'!$B$5:$B$6</c:f>
              <c:numCache>
                <c:formatCode>0%</c:formatCode>
                <c:ptCount val="2"/>
                <c:pt idx="0">
                  <c:v>0.7889796647062034</c:v>
                </c:pt>
                <c:pt idx="1">
                  <c:v>0.52059143180553857</c:v>
                </c:pt>
              </c:numCache>
            </c:numRef>
          </c:val>
          <c:extLst xmlns:c16r2="http://schemas.microsoft.com/office/drawing/2015/06/chart">
            <c:ext xmlns:c16="http://schemas.microsoft.com/office/drawing/2014/chart" uri="{C3380CC4-5D6E-409C-BE32-E72D297353CC}">
              <c16:uniqueId val="{00000000-DB6A-4857-AEAB-C14B6B363A20}"/>
            </c:ext>
          </c:extLst>
        </c:ser>
        <c:dLbls>
          <c:dLblPos val="outEnd"/>
          <c:showLegendKey val="0"/>
          <c:showVal val="1"/>
          <c:showCatName val="0"/>
          <c:showSerName val="0"/>
          <c:showPercent val="0"/>
          <c:showBubbleSize val="0"/>
        </c:dLbls>
        <c:gapWidth val="280"/>
        <c:overlap val="100"/>
        <c:axId val="81270656"/>
        <c:axId val="81281792"/>
      </c:barChart>
      <c:catAx>
        <c:axId val="8127065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1281792"/>
        <c:crosses val="autoZero"/>
        <c:auto val="1"/>
        <c:lblAlgn val="ctr"/>
        <c:lblOffset val="100"/>
        <c:noMultiLvlLbl val="0"/>
      </c:catAx>
      <c:valAx>
        <c:axId val="81281792"/>
        <c:scaling>
          <c:orientation val="minMax"/>
          <c:max val="1"/>
        </c:scaling>
        <c:delete val="0"/>
        <c:axPos val="l"/>
        <c:title>
          <c:tx>
            <c:rich>
              <a:bodyPr rot="-5400000" spcFirstLastPara="1" vertOverflow="ellipsis" vert="horz" wrap="square" anchor="ctr" anchorCtr="1"/>
              <a:lstStyle/>
              <a:p>
                <a:pPr algn="ctr" rtl="0">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b="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4.3717154826291814E-2"/>
              <c:y val="0.1976935897435897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127065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2">
    <c:autoUpdate val="0"/>
  </c:externalData>
  <c:extLst xmlns:c16r2="http://schemas.microsoft.com/office/drawing/2015/06/char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3+ months by</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employer response to injury</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3005296760859197"/>
          <c:y val="2.0161290322580645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6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74"/>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80"/>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1"/>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94"/>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10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8"/>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0"/>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s>
    <c:plotArea>
      <c:layout>
        <c:manualLayout>
          <c:layoutTarget val="inner"/>
          <c:xMode val="edge"/>
          <c:yMode val="edge"/>
          <c:x val="0.25324814001336932"/>
          <c:y val="0.23105811965811965"/>
          <c:w val="0.67975587946765748"/>
          <c:h val="0.56899821614728452"/>
        </c:manualLayout>
      </c:layout>
      <c:barChart>
        <c:barDir val="col"/>
        <c:grouping val="clustered"/>
        <c:varyColors val="0"/>
        <c:ser>
          <c:idx val="0"/>
          <c:order val="0"/>
          <c:spPr>
            <a:pattFill prst="smCheck">
              <a:fgClr>
                <a:srgbClr val="145B85"/>
              </a:fgClr>
              <a:bgClr>
                <a:sysClr val="window" lastClr="FFFFFF"/>
              </a:bgClr>
            </a:pattFill>
            <a:ln>
              <a:noFill/>
            </a:ln>
            <a:effectLst>
              <a:innerShdw blurRad="114300">
                <a:srgbClr val="145B85"/>
              </a:innerShdw>
            </a:effectLst>
          </c:spPr>
          <c:invertIfNegative val="0"/>
          <c:dLbls>
            <c:dLbl>
              <c:idx val="0"/>
              <c:numFmt formatCode="0%"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dLbl>
            <c:dLbl>
              <c:idx val="1"/>
              <c:numFmt formatCode="0%"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'EmpRtoInj P AV C'!$A$11:$A$12</c:f>
              <c:strCache>
                <c:ptCount val="2"/>
                <c:pt idx="0">
                  <c:v>Positive</c:v>
                </c:pt>
                <c:pt idx="1">
                  <c:v>Negative</c:v>
                </c:pt>
              </c:strCache>
            </c:strRef>
          </c:cat>
          <c:val>
            <c:numRef>
              <c:f>'EmpRtoInj P AV C'!$B$11:$B$12</c:f>
              <c:numCache>
                <c:formatCode>0%</c:formatCode>
                <c:ptCount val="2"/>
                <c:pt idx="0">
                  <c:v>0.63000245238198971</c:v>
                </c:pt>
                <c:pt idx="1">
                  <c:v>0.38430079930045424</c:v>
                </c:pt>
              </c:numCache>
            </c:numRef>
          </c:val>
          <c:extLst xmlns:c16r2="http://schemas.microsoft.com/office/drawing/2015/06/chart">
            <c:ext xmlns:c16="http://schemas.microsoft.com/office/drawing/2014/chart" uri="{C3380CC4-5D6E-409C-BE32-E72D297353CC}">
              <c16:uniqueId val="{00000002-95CC-44D0-B95F-9B95BA8B7087}"/>
            </c:ext>
          </c:extLst>
        </c:ser>
        <c:dLbls>
          <c:dLblPos val="outEnd"/>
          <c:showLegendKey val="0"/>
          <c:showVal val="1"/>
          <c:showCatName val="0"/>
          <c:showSerName val="0"/>
          <c:showPercent val="0"/>
          <c:showBubbleSize val="0"/>
        </c:dLbls>
        <c:gapWidth val="280"/>
        <c:overlap val="100"/>
        <c:axId val="100010624"/>
        <c:axId val="100016512"/>
      </c:barChart>
      <c:catAx>
        <c:axId val="10001062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016512"/>
        <c:crosses val="autoZero"/>
        <c:auto val="1"/>
        <c:lblAlgn val="ctr"/>
        <c:lblOffset val="100"/>
        <c:noMultiLvlLbl val="0"/>
      </c:catAx>
      <c:valAx>
        <c:axId val="100016512"/>
        <c:scaling>
          <c:orientation val="minMax"/>
          <c:max val="1"/>
        </c:scaling>
        <c:delete val="0"/>
        <c:axPos val="l"/>
        <c:title>
          <c:tx>
            <c:rich>
              <a:bodyPr rot="-5400000" spcFirstLastPara="1" vertOverflow="ellipsis" vert="horz" wrap="square" anchor="ctr" anchorCtr="1"/>
              <a:lstStyle/>
              <a:p>
                <a:pPr algn="ctr" rtl="0">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b="0">
                    <a:solidFill>
                      <a:sysClr val="windowText" lastClr="000000"/>
                    </a:solidFill>
                    <a:latin typeface="Arial" panose="020B0604020202020204" pitchFamily="34" charset="0"/>
                    <a:cs typeface="Arial" panose="020B0604020202020204" pitchFamily="34" charset="0"/>
                  </a:rPr>
                  <a:t>% at work at 3 months+</a:t>
                </a:r>
                <a:endParaRPr lang="en-AU" sz="800" b="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4.6195383239719071E-2"/>
              <c:y val="0.2700554909744917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0001062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2">
    <c:autoUpdate val="0"/>
  </c:externalData>
  <c:extLst xmlns:c16r2="http://schemas.microsoft.com/office/drawing/2015/06/char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Jan 2 - Other employer response questions.xlsx]Work cont P!PivotTable2</c:name>
    <c:fmtId val="-1"/>
  </c:pivotSource>
  <c:chart>
    <c:title>
      <c:tx>
        <c:rich>
          <a:bodyPr rot="0" spcFirstLastPara="1" vertOverflow="ellipsis" vert="horz" wrap="square" anchor="ctr" anchorCtr="1"/>
          <a:lstStyle/>
          <a:p>
            <a:pPr algn="ct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Current RTW by</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lgn="ct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workplace contact about injury</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6178297543389181"/>
          <c:y val="1.0381520892810797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4608935041462007"/>
          <c:y val="0.23133135953771908"/>
          <c:w val="0.63079896311410988"/>
          <c:h val="0.56899821614728452"/>
        </c:manualLayout>
      </c:layout>
      <c:barChart>
        <c:barDir val="col"/>
        <c:grouping val="clustered"/>
        <c:varyColors val="0"/>
        <c:ser>
          <c:idx val="0"/>
          <c:order val="0"/>
          <c:tx>
            <c:strRef>
              <c:f>'Work cont P'!$B$3</c:f>
              <c:strCache>
                <c:ptCount val="1"/>
                <c:pt idx="0">
                  <c:v>Total</c:v>
                </c:pt>
              </c:strCache>
            </c:strRef>
          </c:tx>
          <c:spPr>
            <a:pattFill prst="narHorz">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'Work cont P'!$A$4:$A$5</c:f>
              <c:strCache>
                <c:ptCount val="2"/>
                <c:pt idx="0">
                  <c:v>Yes</c:v>
                </c:pt>
                <c:pt idx="1">
                  <c:v>No</c:v>
                </c:pt>
              </c:strCache>
            </c:strRef>
          </c:cat>
          <c:val>
            <c:numRef>
              <c:f>'Work cont P'!$B$4:$B$5</c:f>
              <c:numCache>
                <c:formatCode>0%</c:formatCode>
                <c:ptCount val="2"/>
                <c:pt idx="0">
                  <c:v>0.71830985915492962</c:v>
                </c:pt>
                <c:pt idx="1">
                  <c:v>0.52569169960474305</c:v>
                </c:pt>
              </c:numCache>
            </c:numRef>
          </c:val>
          <c:extLst xmlns:c16r2="http://schemas.microsoft.com/office/drawing/2015/06/chart">
            <c:ext xmlns:c16="http://schemas.microsoft.com/office/drawing/2014/chart" uri="{C3380CC4-5D6E-409C-BE32-E72D297353CC}">
              <c16:uniqueId val="{00000000-EE11-4F19-A952-A5C82567B3F6}"/>
            </c:ext>
          </c:extLst>
        </c:ser>
        <c:dLbls>
          <c:dLblPos val="outEnd"/>
          <c:showLegendKey val="0"/>
          <c:showVal val="1"/>
          <c:showCatName val="0"/>
          <c:showSerName val="0"/>
          <c:showPercent val="0"/>
          <c:showBubbleSize val="0"/>
        </c:dLbls>
        <c:gapWidth val="280"/>
        <c:overlap val="100"/>
        <c:axId val="101936128"/>
        <c:axId val="101943168"/>
      </c:barChart>
      <c:catAx>
        <c:axId val="10193612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1943168"/>
        <c:crosses val="autoZero"/>
        <c:auto val="1"/>
        <c:lblAlgn val="ctr"/>
        <c:lblOffset val="100"/>
        <c:noMultiLvlLbl val="0"/>
      </c:catAx>
      <c:valAx>
        <c:axId val="101943168"/>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5.5902451353592265E-2"/>
              <c:y val="0.2081903153153153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193612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Jan 2 - Other employer response questions.xlsx]Work cont P!PivotTable3</c:name>
    <c:fmtId val="-1"/>
  </c:pivotSource>
  <c:chart>
    <c:title>
      <c:tx>
        <c:rich>
          <a:bodyPr rot="0" spcFirstLastPara="1" vertOverflow="ellipsis" vert="horz" wrap="square" anchor="ctr" anchorCtr="1"/>
          <a:lstStyle/>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RTW 3+ months by</a:t>
            </a:r>
            <a:endParaRPr lang="en-AU" sz="800" cap="none" baseline="0">
              <a:solidFill>
                <a:sysClr val="windowText" lastClr="000000"/>
              </a:solidFill>
              <a:effectLst/>
              <a:latin typeface="Arial" panose="020B0604020202020204" pitchFamily="34" charset="0"/>
              <a:cs typeface="Arial" panose="020B0604020202020204" pitchFamily="34" charset="0"/>
            </a:endParaRPr>
          </a:p>
          <a:p>
            <a:pP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AU" sz="800" b="1" i="0" cap="none" baseline="0">
                <a:solidFill>
                  <a:sysClr val="windowText" lastClr="000000"/>
                </a:solidFill>
                <a:effectLst/>
                <a:latin typeface="Arial" panose="020B0604020202020204" pitchFamily="34" charset="0"/>
                <a:cs typeface="Arial" panose="020B0604020202020204" pitchFamily="34" charset="0"/>
              </a:rPr>
              <a:t>workplace contact about injury</a:t>
            </a:r>
            <a:endParaRPr lang="en-AU" sz="800"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8511852862175437"/>
          <c:y val="2.642716535433071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6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8"/>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0"/>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2"/>
        <c:spPr>
          <a:pattFill prst="smCheck">
            <a:fgClr>
              <a:srgbClr val="313C1C"/>
            </a:fgClr>
            <a:bgClr>
              <a:srgbClr val="9BBB59">
                <a:shade val="76000"/>
                <a:lumMod val="20000"/>
                <a:lumOff val="80000"/>
              </a:srgbClr>
            </a:bgClr>
          </a:pattFill>
          <a:ln>
            <a:noFill/>
          </a:ln>
          <a:effectLst>
            <a:innerShdw blurRad="114300">
              <a:schemeClr val="accent3">
                <a:shade val="76000"/>
              </a:scheme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74"/>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6"/>
        <c:spPr>
          <a:pattFill prst="smCheck">
            <a:fgClr>
              <a:srgbClr val="313C1C"/>
            </a:fgClr>
            <a:bgClr>
              <a:srgbClr val="9BBB59">
                <a:shade val="76000"/>
                <a:lumMod val="20000"/>
                <a:lumOff val="80000"/>
              </a:srgb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78"/>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79"/>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pivotFmt>
      <c:pivotFmt>
        <c:idx val="80"/>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1"/>
        <c:spPr>
          <a:pattFill prst="smCheck">
            <a:fgClr>
              <a:srgbClr val="BF6A23"/>
            </a:fgClr>
            <a:bgClr>
              <a:srgbClr val="F79646">
                <a:lumMod val="40000"/>
                <a:lumOff val="60000"/>
              </a:srgbClr>
            </a:bgClr>
          </a:pattFill>
          <a:ln>
            <a:noFill/>
          </a:ln>
          <a:effectLst>
            <a:innerShdw blurRad="114300">
              <a:srgbClr val="F79646">
                <a:lumMod val="75000"/>
              </a:srgbClr>
            </a:innerShdw>
          </a:effectLst>
        </c:spPr>
      </c:pivotFmt>
      <c:pivotFmt>
        <c:idx val="82"/>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4"/>
        <c:spPr>
          <a:pattFill prst="smCheck">
            <a:fgClr>
              <a:srgbClr val="BF6A23"/>
            </a:fgClr>
            <a:bgClr>
              <a:srgbClr val="F79646">
                <a:lumMod val="40000"/>
                <a:lumOff val="60000"/>
              </a:srgbClr>
            </a:bgClr>
          </a:pattFill>
          <a:ln>
            <a:noFill/>
          </a:ln>
          <a:effectLst>
            <a:innerShdw blurRad="114300">
              <a:srgbClr val="F79646">
                <a:lumMod val="75000"/>
              </a:srgbClr>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8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94"/>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smCheck">
            <a:fgClr>
              <a:srgbClr val="BF6A23"/>
            </a:fgClr>
            <a:bgClr>
              <a:srgbClr val="F79646">
                <a:lumMod val="40000"/>
                <a:lumOff val="60000"/>
              </a:srgbClr>
            </a:bgClr>
          </a:pattFill>
          <a:ln>
            <a:noFill/>
          </a:ln>
          <a:effectLst>
            <a:innerShdw blurRad="114300">
              <a:srgbClr val="F79646">
                <a:lumMod val="75000"/>
              </a:srgbClr>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tint val="77000"/>
              </a:schemeClr>
            </a:fgClr>
            <a:bgClr>
              <a:schemeClr val="accent3">
                <a:tint val="77000"/>
                <a:lumMod val="20000"/>
                <a:lumOff val="80000"/>
              </a:schemeClr>
            </a:bgClr>
          </a:pattFill>
          <a:ln>
            <a:noFill/>
          </a:ln>
          <a:effectLst>
            <a:innerShdw blurRad="114300">
              <a:schemeClr val="accent3">
                <a:tint val="77000"/>
              </a:schemeClr>
            </a:innerShdw>
          </a:effectLst>
        </c:spPr>
        <c:marker>
          <c:symbol val="none"/>
        </c:marker>
      </c:pivotFmt>
      <c:pivotFmt>
        <c:idx val="10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8"/>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0"/>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2"/>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4"/>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16"/>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7"/>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8"/>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19"/>
        <c:spPr>
          <a:pattFill prst="smCheck">
            <a:fgClr>
              <a:srgbClr val="313C1C"/>
            </a:fgClr>
            <a:bgClr>
              <a:srgbClr val="E8EEDB"/>
            </a:bgClr>
          </a:pattFill>
          <a:ln>
            <a:noFill/>
          </a:ln>
          <a:effectLst>
            <a:innerShdw blurRad="114300">
              <a:srgbClr val="89A54E"/>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5303823207008797"/>
          <c:y val="0.23105830899161797"/>
          <c:w val="0.64447467024274618"/>
          <c:h val="0.56899821614728452"/>
        </c:manualLayout>
      </c:layout>
      <c:barChart>
        <c:barDir val="col"/>
        <c:grouping val="clustered"/>
        <c:varyColors val="0"/>
        <c:ser>
          <c:idx val="0"/>
          <c:order val="0"/>
          <c:tx>
            <c:strRef>
              <c:f>'Work cont P'!$L$3</c:f>
              <c:strCache>
                <c:ptCount val="1"/>
                <c:pt idx="0">
                  <c:v>Total</c:v>
                </c:pt>
              </c:strCache>
            </c:strRef>
          </c:tx>
          <c:spPr>
            <a:pattFill prst="smCheck">
              <a:fgClr>
                <a:srgbClr val="145B85"/>
              </a:fgClr>
              <a:bgClr>
                <a:sysClr val="window" lastClr="FFFFFF"/>
              </a:bgClr>
            </a:pattFill>
            <a:ln>
              <a:noFill/>
            </a:ln>
            <a:effectLst>
              <a:innerShdw blurRad="114300">
                <a:srgbClr val="145B8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'Work cont P'!$K$4:$K$5</c:f>
              <c:strCache>
                <c:ptCount val="2"/>
                <c:pt idx="0">
                  <c:v>Yes</c:v>
                </c:pt>
                <c:pt idx="1">
                  <c:v>No</c:v>
                </c:pt>
              </c:strCache>
            </c:strRef>
          </c:cat>
          <c:val>
            <c:numRef>
              <c:f>'Work cont P'!$L$4:$L$5</c:f>
              <c:numCache>
                <c:formatCode>0%</c:formatCode>
                <c:ptCount val="2"/>
                <c:pt idx="0">
                  <c:v>0.56338028169014087</c:v>
                </c:pt>
                <c:pt idx="1">
                  <c:v>0.35968379446640314</c:v>
                </c:pt>
              </c:numCache>
            </c:numRef>
          </c:val>
          <c:extLst xmlns:c16r2="http://schemas.microsoft.com/office/drawing/2015/06/chart">
            <c:ext xmlns:c16="http://schemas.microsoft.com/office/drawing/2014/chart" uri="{C3380CC4-5D6E-409C-BE32-E72D297353CC}">
              <c16:uniqueId val="{00000000-3B81-4851-8100-983963D5F916}"/>
            </c:ext>
          </c:extLst>
        </c:ser>
        <c:dLbls>
          <c:dLblPos val="outEnd"/>
          <c:showLegendKey val="0"/>
          <c:showVal val="1"/>
          <c:showCatName val="0"/>
          <c:showSerName val="0"/>
          <c:showPercent val="0"/>
          <c:showBubbleSize val="0"/>
        </c:dLbls>
        <c:gapWidth val="280"/>
        <c:overlap val="100"/>
        <c:axId val="107588608"/>
        <c:axId val="107591552"/>
      </c:barChart>
      <c:catAx>
        <c:axId val="10758860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7591552"/>
        <c:crosses val="autoZero"/>
        <c:auto val="1"/>
        <c:lblAlgn val="ctr"/>
        <c:lblOffset val="100"/>
        <c:noMultiLvlLbl val="0"/>
      </c:catAx>
      <c:valAx>
        <c:axId val="107591552"/>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3 months +</a:t>
                </a:r>
              </a:p>
            </c:rich>
          </c:tx>
          <c:layout>
            <c:manualLayout>
              <c:xMode val="edge"/>
              <c:yMode val="edge"/>
              <c:x val="6.1848442649684823E-2"/>
              <c:y val="0.322229354354354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758860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pivotSource>
    <c:name>[NRTW Jan 2 - Other employer response questions.xlsx]Disc pre cl P!PivotTable2</c:name>
    <c:fmtId val="-1"/>
  </c:pivotSource>
  <c:chart>
    <c:title>
      <c:tx>
        <c:rich>
          <a:bodyPr rot="0" spcFirstLastPara="1" vertOverflow="ellipsis" vert="horz" wrap="square" anchor="ctr" anchorCtr="1"/>
          <a:lstStyle/>
          <a:p>
            <a:pPr algn="ctr">
              <a:defRPr sz="800" b="1" i="0" u="none" strike="noStrike" kern="1200" cap="none" spc="150" baseline="0">
                <a:solidFill>
                  <a:sysClr val="windowText" lastClr="000000"/>
                </a:solidFill>
                <a:latin typeface="Arial" panose="020B0604020202020204" pitchFamily="34" charset="0"/>
                <a:ea typeface="+mn-ea"/>
                <a:cs typeface="Arial" panose="020B0604020202020204" pitchFamily="34" charset="0"/>
              </a:defRPr>
            </a:pPr>
            <a:r>
              <a:rPr lang="en-US" sz="800" b="1" i="0" cap="none" baseline="0">
                <a:solidFill>
                  <a:sysClr val="windowText" lastClr="000000"/>
                </a:solidFill>
                <a:effectLst/>
                <a:latin typeface="Arial" panose="020B0604020202020204" pitchFamily="34" charset="0"/>
                <a:cs typeface="Arial" panose="020B0604020202020204" pitchFamily="34" charset="0"/>
              </a:rPr>
              <a:t>Current RTW by </a:t>
            </a:r>
            <a:r>
              <a:rPr lang="en-AU" sz="800" b="1" i="0" cap="none" baseline="0">
                <a:solidFill>
                  <a:sysClr val="windowText" lastClr="000000"/>
                </a:solidFill>
                <a:effectLst/>
                <a:latin typeface="Arial" panose="020B0604020202020204" pitchFamily="34" charset="0"/>
                <a:cs typeface="Arial" panose="020B0604020202020204" pitchFamily="34" charset="0"/>
              </a:rPr>
              <a:t>discussed injury with employer before submitted claim?</a:t>
            </a:r>
            <a:endParaRPr lang="en-AU" sz="800" b="1" cap="none" baseline="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6276134452375177"/>
          <c:y val="3.7991729108458216E-2"/>
        </c:manualLayout>
      </c:layout>
      <c:overlay val="0"/>
      <c:spPr>
        <a:noFill/>
        <a:ln>
          <a:noFill/>
        </a:ln>
        <a:effectLst/>
      </c:sp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2"/>
      </c:pivotFmt>
      <c:pivotFmt>
        <c:idx val="43"/>
      </c:pivotFmt>
      <c:pivotFmt>
        <c:idx val="44"/>
      </c:pivotFmt>
      <c:pivotFmt>
        <c:idx val="45"/>
      </c:pivotFmt>
      <c:pivotFmt>
        <c:idx val="46"/>
      </c:pivotFmt>
      <c:pivotFmt>
        <c:idx val="47"/>
      </c:pivotFmt>
      <c:pivotFmt>
        <c:idx val="4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4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0"/>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2"/>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4"/>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6"/>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7"/>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8"/>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59"/>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0"/>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1"/>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2"/>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3"/>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4"/>
        <c:spPr>
          <a:pattFill prst="narHorz">
            <a:fgClr>
              <a:schemeClr val="accent3"/>
            </a:fgClr>
            <a:bgClr>
              <a:schemeClr val="accent3">
                <a:lumMod val="20000"/>
                <a:lumOff val="80000"/>
              </a:schemeClr>
            </a:bgClr>
          </a:pattFill>
          <a:ln>
            <a:noFill/>
          </a:ln>
          <a:effectLst>
            <a:innerShdw blurRad="114300">
              <a:schemeClr val="accent3"/>
            </a:innerShdw>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65"/>
        <c:spPr>
          <a:pattFill prst="narHorz">
            <a:fgClr>
              <a:schemeClr val="accent3"/>
            </a:fgClr>
            <a:bgClr>
              <a:schemeClr val="accent3">
                <a:lumMod val="20000"/>
                <a:lumOff val="80000"/>
              </a:schemeClr>
            </a:bgClr>
          </a:pattFill>
          <a:ln>
            <a:noFill/>
          </a:ln>
          <a:effectLst>
            <a:innerShdw blurRad="114300">
              <a:schemeClr val="accent3"/>
            </a:innerShdw>
          </a:effectLst>
        </c:spPr>
      </c:pivotFmt>
      <c:pivotFmt>
        <c:idx val="6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6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7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8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9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99"/>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0"/>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1"/>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2"/>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3"/>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pivotFmt>
      <c:pivotFmt>
        <c:idx val="104"/>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5"/>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6"/>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7"/>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08"/>
        <c:spPr>
          <a:pattFill prst="narHorz">
            <a:fgClr>
              <a:schemeClr val="accent3"/>
            </a:fgClr>
            <a:bgClr>
              <a:schemeClr val="accent3">
                <a:lumMod val="20000"/>
                <a:lumOff val="80000"/>
              </a:schemeClr>
            </a:bgClr>
          </a:pattFill>
          <a:ln>
            <a:noFill/>
          </a:ln>
          <a:effectLst>
            <a:innerShdw blurRad="114300">
              <a:schemeClr val="accent3"/>
            </a:inn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588417331159284"/>
          <c:y val="0.22629091591591591"/>
          <c:w val="0.63079896311410988"/>
          <c:h val="0.56899821614728452"/>
        </c:manualLayout>
      </c:layout>
      <c:barChart>
        <c:barDir val="col"/>
        <c:grouping val="clustered"/>
        <c:varyColors val="0"/>
        <c:ser>
          <c:idx val="0"/>
          <c:order val="0"/>
          <c:tx>
            <c:strRef>
              <c:f>'Disc pre cl P'!$B$3</c:f>
              <c:strCache>
                <c:ptCount val="1"/>
                <c:pt idx="0">
                  <c:v>Total</c:v>
                </c:pt>
              </c:strCache>
            </c:strRef>
          </c:tx>
          <c:spPr>
            <a:pattFill prst="narHorz">
              <a:fgClr>
                <a:srgbClr val="145B85"/>
              </a:fgClr>
              <a:bgClr>
                <a:sysClr val="window" lastClr="FFFFFF"/>
              </a:bgClr>
            </a:pattFill>
            <a:ln>
              <a:noFill/>
            </a:ln>
            <a:effectLst>
              <a:innerShdw blurRad="114300">
                <a:srgbClr val="145B85"/>
              </a:innerShdw>
            </a:effectLst>
          </c:spPr>
          <c:invertIfNegative val="0"/>
          <c:dLbls>
            <c:dLbl>
              <c:idx val="2"/>
              <c:layout/>
              <c:tx>
                <c:rich>
                  <a:bodyPr/>
                  <a:lstStyle/>
                  <a:p>
                    <a:r>
                      <a:rPr lang="en-US" sz="800">
                        <a:solidFill>
                          <a:sysClr val="windowText" lastClr="000000"/>
                        </a:solidFill>
                        <a:latin typeface="Arial" panose="020B0604020202020204" pitchFamily="34" charset="0"/>
                        <a:cs typeface="Arial" panose="020B0604020202020204" pitchFamily="34" charset="0"/>
                      </a:rPr>
                      <a:t>29%*</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11B-431B-A5A9-6C9CC761572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'Disc pre cl P'!$A$4:$A$6</c:f>
              <c:strCache>
                <c:ptCount val="3"/>
                <c:pt idx="0">
                  <c:v>Yes</c:v>
                </c:pt>
                <c:pt idx="1">
                  <c:v>No</c:v>
                </c:pt>
                <c:pt idx="2">
                  <c:v>No opportunity to discuss</c:v>
                </c:pt>
              </c:strCache>
            </c:strRef>
          </c:cat>
          <c:val>
            <c:numRef>
              <c:f>'Disc pre cl P'!$B$4:$B$6</c:f>
              <c:numCache>
                <c:formatCode>0%</c:formatCode>
                <c:ptCount val="3"/>
                <c:pt idx="0">
                  <c:v>0.5714285714285714</c:v>
                </c:pt>
                <c:pt idx="1">
                  <c:v>0.51063829787234039</c:v>
                </c:pt>
                <c:pt idx="2">
                  <c:v>0.2857142857142857</c:v>
                </c:pt>
              </c:numCache>
            </c:numRef>
          </c:val>
          <c:extLst xmlns:c16r2="http://schemas.microsoft.com/office/drawing/2015/06/chart">
            <c:ext xmlns:c16="http://schemas.microsoft.com/office/drawing/2014/chart" uri="{C3380CC4-5D6E-409C-BE32-E72D297353CC}">
              <c16:uniqueId val="{00000001-611B-431B-A5A9-6C9CC7615729}"/>
            </c:ext>
          </c:extLst>
        </c:ser>
        <c:dLbls>
          <c:dLblPos val="outEnd"/>
          <c:showLegendKey val="0"/>
          <c:showVal val="1"/>
          <c:showCatName val="0"/>
          <c:showSerName val="0"/>
          <c:showPercent val="0"/>
          <c:showBubbleSize val="0"/>
        </c:dLbls>
        <c:gapWidth val="280"/>
        <c:overlap val="100"/>
        <c:axId val="113845760"/>
        <c:axId val="113852800"/>
      </c:barChart>
      <c:catAx>
        <c:axId val="11384576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3852800"/>
        <c:crosses val="autoZero"/>
        <c:auto val="1"/>
        <c:lblAlgn val="ctr"/>
        <c:lblOffset val="100"/>
        <c:noMultiLvlLbl val="0"/>
      </c:catAx>
      <c:valAx>
        <c:axId val="113852800"/>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a:solidFill>
                      <a:sysClr val="windowText" lastClr="000000"/>
                    </a:solidFill>
                    <a:latin typeface="Arial" panose="020B0604020202020204" pitchFamily="34" charset="0"/>
                    <a:cs typeface="Arial" panose="020B0604020202020204" pitchFamily="34" charset="0"/>
                  </a:rPr>
                  <a:t>% at work at time of interview</a:t>
                </a:r>
              </a:p>
            </c:rich>
          </c:tx>
          <c:layout>
            <c:manualLayout>
              <c:xMode val="edge"/>
              <c:yMode val="edge"/>
              <c:x val="5.5902451353592265E-2"/>
              <c:y val="0.2081903153153153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3845760"/>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dropZonesVisible val="1"/>
      </c14:pivotOptions>
    </c:ext>
  </c:extLst>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87663D-40F5-4C8E-9ADB-146105E346AC}"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34E269A8-8423-44BE-925B-946BD6F21E6A}">
      <dgm:prSet phldrT="[Text]" custT="1"/>
      <dgm:spPr>
        <a:solidFill>
          <a:srgbClr val="145B85"/>
        </a:solidFill>
        <a:ln>
          <a:noFill/>
        </a:ln>
      </dgm:spPr>
      <dgm:t>
        <a:bodyPr/>
        <a:lstStyle/>
        <a:p>
          <a:r>
            <a:rPr lang="en-AU" sz="1200" b="1">
              <a:latin typeface="Arial" panose="020B0604020202020204" pitchFamily="34" charset="0"/>
              <a:cs typeface="Arial" panose="020B0604020202020204" pitchFamily="34" charset="0"/>
            </a:rPr>
            <a:t>Agree</a:t>
          </a:r>
        </a:p>
      </dgm:t>
      <dgm:extLst>
        <a:ext uri="{E40237B7-FDA0-4F09-8148-C483321AD2D9}">
          <dgm14:cNvPr xmlns:dgm14="http://schemas.microsoft.com/office/drawing/2010/diagram" id="0" name="" title="Agree"/>
        </a:ext>
      </dgm:extLst>
    </dgm:pt>
    <dgm:pt modelId="{20E39596-333E-4DD6-AC26-2034937C2439}" type="parTrans" cxnId="{7142F106-2D98-4EA6-84E0-3FA932DDDF41}">
      <dgm:prSet/>
      <dgm:spPr/>
      <dgm:t>
        <a:bodyPr/>
        <a:lstStyle/>
        <a:p>
          <a:endParaRPr lang="en-AU"/>
        </a:p>
      </dgm:t>
    </dgm:pt>
    <dgm:pt modelId="{763B9AB3-5F66-45BD-B279-709E9FAC88BD}" type="sibTrans" cxnId="{7142F106-2D98-4EA6-84E0-3FA932DDDF41}">
      <dgm:prSet/>
      <dgm:spPr/>
      <dgm:t>
        <a:bodyPr/>
        <a:lstStyle/>
        <a:p>
          <a:endParaRPr lang="en-AU"/>
        </a:p>
      </dgm:t>
    </dgm:pt>
    <dgm:pt modelId="{D8AFA7FB-A502-4071-A96E-AB9A24643FB3}">
      <dgm:prSet phldrT="[Text]" custT="1"/>
      <dgm:spPr>
        <a:solidFill>
          <a:srgbClr val="929292"/>
        </a:solidFill>
        <a:ln>
          <a:noFill/>
        </a:ln>
      </dgm:spPr>
      <dgm:t>
        <a:bodyPr/>
        <a:lstStyle/>
        <a:p>
          <a:r>
            <a:rPr lang="en-AU" sz="1000" b="1">
              <a:solidFill>
                <a:schemeClr val="bg1"/>
              </a:solidFill>
              <a:latin typeface="Arial" panose="020B0604020202020204" pitchFamily="34" charset="0"/>
              <a:cs typeface="Arial" panose="020B0604020202020204" pitchFamily="34" charset="0"/>
            </a:rPr>
            <a:t> Strongly agree</a:t>
          </a:r>
        </a:p>
      </dgm:t>
      <dgm:extLst>
        <a:ext uri="{E40237B7-FDA0-4F09-8148-C483321AD2D9}">
          <dgm14:cNvPr xmlns:dgm14="http://schemas.microsoft.com/office/drawing/2010/diagram" id="0" name="" title="Strongly agree or agree"/>
        </a:ext>
      </dgm:extLst>
    </dgm:pt>
    <dgm:pt modelId="{218ABB7A-0889-4A79-AF7B-641D4E82C83F}" type="parTrans" cxnId="{B8003A95-D51C-4C59-B284-1921ECE93283}">
      <dgm:prSet/>
      <dgm:spPr/>
      <dgm:t>
        <a:bodyPr/>
        <a:lstStyle/>
        <a:p>
          <a:endParaRPr lang="en-AU"/>
        </a:p>
      </dgm:t>
    </dgm:pt>
    <dgm:pt modelId="{F10B7EA6-6262-4E56-8137-7BE4DBF30FA7}" type="sibTrans" cxnId="{B8003A95-D51C-4C59-B284-1921ECE93283}">
      <dgm:prSet/>
      <dgm:spPr/>
      <dgm:t>
        <a:bodyPr/>
        <a:lstStyle/>
        <a:p>
          <a:endParaRPr lang="en-AU"/>
        </a:p>
      </dgm:t>
    </dgm:pt>
    <dgm:pt modelId="{99AD29A6-8B4B-4AF1-A3B3-E3767DD55279}">
      <dgm:prSet phldrT="[Text]" custT="1"/>
      <dgm:spPr>
        <a:solidFill>
          <a:srgbClr val="145B85"/>
        </a:solidFill>
        <a:ln>
          <a:noFill/>
        </a:ln>
      </dgm:spPr>
      <dgm:t>
        <a:bodyPr/>
        <a:lstStyle/>
        <a:p>
          <a:r>
            <a:rPr lang="en-AU" sz="1200" b="1">
              <a:latin typeface="Arial" panose="020B0604020202020204" pitchFamily="34" charset="0"/>
              <a:cs typeface="Arial" panose="020B0604020202020204" pitchFamily="34" charset="0"/>
            </a:rPr>
            <a:t>Do not agree</a:t>
          </a:r>
        </a:p>
      </dgm:t>
      <dgm:extLst>
        <a:ext uri="{E40237B7-FDA0-4F09-8148-C483321AD2D9}">
          <dgm14:cNvPr xmlns:dgm14="http://schemas.microsoft.com/office/drawing/2010/diagram" id="0" name="" title="Do not agree"/>
        </a:ext>
      </dgm:extLst>
    </dgm:pt>
    <dgm:pt modelId="{6CFBEB5E-88BA-4736-A5EF-5FABC25467E8}" type="parTrans" cxnId="{966C34A3-C019-4F4E-8B28-91663784D760}">
      <dgm:prSet/>
      <dgm:spPr/>
      <dgm:t>
        <a:bodyPr/>
        <a:lstStyle/>
        <a:p>
          <a:endParaRPr lang="en-AU"/>
        </a:p>
      </dgm:t>
    </dgm:pt>
    <dgm:pt modelId="{9F739432-64A3-41AD-9F84-CE3B4497B598}" type="sibTrans" cxnId="{966C34A3-C019-4F4E-8B28-91663784D760}">
      <dgm:prSet/>
      <dgm:spPr/>
      <dgm:t>
        <a:bodyPr/>
        <a:lstStyle/>
        <a:p>
          <a:endParaRPr lang="en-AU"/>
        </a:p>
      </dgm:t>
    </dgm:pt>
    <dgm:pt modelId="{CD62E105-5938-44B9-BCC8-B3FDA71A1B04}">
      <dgm:prSet phldrT="[Text]" custT="1"/>
      <dgm:spPr>
        <a:solidFill>
          <a:srgbClr val="929292"/>
        </a:solidFill>
        <a:ln>
          <a:noFill/>
        </a:ln>
      </dgm:spPr>
      <dgm:t>
        <a:bodyPr/>
        <a:lstStyle/>
        <a:p>
          <a:pPr marL="0"/>
          <a:r>
            <a:rPr lang="en-AU" sz="1000" b="1">
              <a:solidFill>
                <a:schemeClr val="bg1"/>
              </a:solidFill>
              <a:latin typeface="Arial" panose="020B0604020202020204" pitchFamily="34" charset="0"/>
              <a:cs typeface="Arial" panose="020B0604020202020204" pitchFamily="34" charset="0"/>
            </a:rPr>
            <a:t> Neither agree nor disagree</a:t>
          </a:r>
        </a:p>
      </dgm:t>
      <dgm:extLst>
        <a:ext uri="{E40237B7-FDA0-4F09-8148-C483321AD2D9}">
          <dgm14:cNvPr xmlns:dgm14="http://schemas.microsoft.com/office/drawing/2010/diagram" id="0" name="" title="Neither agree nor disagree, disagree or strongly disagree"/>
        </a:ext>
      </dgm:extLst>
    </dgm:pt>
    <dgm:pt modelId="{1DFA1729-5EC1-4968-B992-E679A3F9C0D0}" type="parTrans" cxnId="{56A296AD-70B0-4BC4-9FFB-2283D1319BF0}">
      <dgm:prSet/>
      <dgm:spPr/>
      <dgm:t>
        <a:bodyPr/>
        <a:lstStyle/>
        <a:p>
          <a:endParaRPr lang="en-AU"/>
        </a:p>
      </dgm:t>
    </dgm:pt>
    <dgm:pt modelId="{0632125B-B1B4-42D9-B6B3-19CC67D229D1}" type="sibTrans" cxnId="{56A296AD-70B0-4BC4-9FFB-2283D1319BF0}">
      <dgm:prSet/>
      <dgm:spPr/>
      <dgm:t>
        <a:bodyPr/>
        <a:lstStyle/>
        <a:p>
          <a:endParaRPr lang="en-AU"/>
        </a:p>
      </dgm:t>
    </dgm:pt>
    <dgm:pt modelId="{A870191E-67B5-4F2F-B3EA-AD7B04448AD4}">
      <dgm:prSet phldrT="[Text]" custT="1"/>
      <dgm:spPr>
        <a:solidFill>
          <a:srgbClr val="929292"/>
        </a:solidFill>
        <a:ln>
          <a:noFill/>
        </a:ln>
      </dgm:spPr>
      <dgm:t>
        <a:bodyPr/>
        <a:lstStyle/>
        <a:p>
          <a:r>
            <a:rPr lang="en-AU" sz="1000" b="1">
              <a:solidFill>
                <a:schemeClr val="bg1"/>
              </a:solidFill>
              <a:latin typeface="Arial" panose="020B0604020202020204" pitchFamily="34" charset="0"/>
              <a:cs typeface="Arial" panose="020B0604020202020204" pitchFamily="34" charset="0"/>
            </a:rPr>
            <a:t> Agree</a:t>
          </a:r>
        </a:p>
      </dgm:t>
    </dgm:pt>
    <dgm:pt modelId="{791CCDC5-465F-4E35-A5D2-A60832ABD5CE}" type="parTrans" cxnId="{F877284E-AC37-4C37-9F14-00E393E01240}">
      <dgm:prSet/>
      <dgm:spPr/>
      <dgm:t>
        <a:bodyPr/>
        <a:lstStyle/>
        <a:p>
          <a:endParaRPr lang="en-AU"/>
        </a:p>
      </dgm:t>
    </dgm:pt>
    <dgm:pt modelId="{C0089B19-AD25-47EA-B21D-F0420193B4D4}" type="sibTrans" cxnId="{F877284E-AC37-4C37-9F14-00E393E01240}">
      <dgm:prSet/>
      <dgm:spPr/>
      <dgm:t>
        <a:bodyPr/>
        <a:lstStyle/>
        <a:p>
          <a:endParaRPr lang="en-AU"/>
        </a:p>
      </dgm:t>
    </dgm:pt>
    <dgm:pt modelId="{59C5EA06-607C-407D-84A0-A749AA75BE30}">
      <dgm:prSet phldrT="[Text]" custT="1"/>
      <dgm:spPr>
        <a:solidFill>
          <a:srgbClr val="929292"/>
        </a:solidFill>
        <a:ln>
          <a:noFill/>
        </a:ln>
      </dgm:spPr>
      <dgm:t>
        <a:bodyPr/>
        <a:lstStyle/>
        <a:p>
          <a:pPr marL="0"/>
          <a:r>
            <a:rPr lang="en-AU" sz="1000" b="1">
              <a:solidFill>
                <a:schemeClr val="bg1"/>
              </a:solidFill>
              <a:latin typeface="Arial" panose="020B0604020202020204" pitchFamily="34" charset="0"/>
              <a:cs typeface="Arial" panose="020B0604020202020204" pitchFamily="34" charset="0"/>
            </a:rPr>
            <a:t> Disagree</a:t>
          </a:r>
        </a:p>
      </dgm:t>
    </dgm:pt>
    <dgm:pt modelId="{DA780E3A-6630-40D1-A0FF-E336A64B7865}" type="parTrans" cxnId="{DDB5CE20-D4CC-461B-906F-756CF171DB41}">
      <dgm:prSet/>
      <dgm:spPr/>
      <dgm:t>
        <a:bodyPr/>
        <a:lstStyle/>
        <a:p>
          <a:endParaRPr lang="en-AU"/>
        </a:p>
      </dgm:t>
    </dgm:pt>
    <dgm:pt modelId="{1B799C9F-0FCD-4950-9557-B2DBFD19768C}" type="sibTrans" cxnId="{DDB5CE20-D4CC-461B-906F-756CF171DB41}">
      <dgm:prSet/>
      <dgm:spPr/>
      <dgm:t>
        <a:bodyPr/>
        <a:lstStyle/>
        <a:p>
          <a:endParaRPr lang="en-AU"/>
        </a:p>
      </dgm:t>
    </dgm:pt>
    <dgm:pt modelId="{FC03361A-B05C-4139-91D7-396C521A61D1}">
      <dgm:prSet phldrT="[Text]" custT="1"/>
      <dgm:spPr>
        <a:solidFill>
          <a:srgbClr val="929292"/>
        </a:solidFill>
        <a:ln>
          <a:noFill/>
        </a:ln>
      </dgm:spPr>
      <dgm:t>
        <a:bodyPr/>
        <a:lstStyle/>
        <a:p>
          <a:pPr marL="0"/>
          <a:r>
            <a:rPr lang="en-AU" sz="1000" b="1">
              <a:solidFill>
                <a:schemeClr val="bg1"/>
              </a:solidFill>
              <a:latin typeface="Arial" panose="020B0604020202020204" pitchFamily="34" charset="0"/>
              <a:cs typeface="Arial" panose="020B0604020202020204" pitchFamily="34" charset="0"/>
            </a:rPr>
            <a:t> Strongly disagree</a:t>
          </a:r>
        </a:p>
      </dgm:t>
    </dgm:pt>
    <dgm:pt modelId="{502E43DB-04F5-4B3B-B871-D509F02F52CF}" type="parTrans" cxnId="{C8E9F6A6-106F-4E09-A278-926CCC9D17A3}">
      <dgm:prSet/>
      <dgm:spPr/>
      <dgm:t>
        <a:bodyPr/>
        <a:lstStyle/>
        <a:p>
          <a:endParaRPr lang="en-AU"/>
        </a:p>
      </dgm:t>
    </dgm:pt>
    <dgm:pt modelId="{EA0AFE91-4BDA-444B-A0F6-328B2D3A8B6E}" type="sibTrans" cxnId="{C8E9F6A6-106F-4E09-A278-926CCC9D17A3}">
      <dgm:prSet/>
      <dgm:spPr/>
      <dgm:t>
        <a:bodyPr/>
        <a:lstStyle/>
        <a:p>
          <a:endParaRPr lang="en-AU"/>
        </a:p>
      </dgm:t>
    </dgm:pt>
    <dgm:pt modelId="{BAED71B0-30B3-4A9B-AF9E-E18F13C98148}" type="pres">
      <dgm:prSet presAssocID="{9087663D-40F5-4C8E-9ADB-146105E346AC}" presName="Name0" presStyleCnt="0">
        <dgm:presLayoutVars>
          <dgm:dir/>
          <dgm:animLvl val="lvl"/>
          <dgm:resizeHandles val="exact"/>
        </dgm:presLayoutVars>
      </dgm:prSet>
      <dgm:spPr/>
      <dgm:t>
        <a:bodyPr/>
        <a:lstStyle/>
        <a:p>
          <a:endParaRPr lang="en-AU"/>
        </a:p>
      </dgm:t>
    </dgm:pt>
    <dgm:pt modelId="{3C8C3E68-DCC3-43D3-AC68-C1EB21BEC397}" type="pres">
      <dgm:prSet presAssocID="{34E269A8-8423-44BE-925B-946BD6F21E6A}" presName="linNode" presStyleCnt="0"/>
      <dgm:spPr/>
    </dgm:pt>
    <dgm:pt modelId="{2E1B74FF-6ED7-4027-BB59-99B779F21635}" type="pres">
      <dgm:prSet presAssocID="{34E269A8-8423-44BE-925B-946BD6F21E6A}" presName="parentText" presStyleLbl="node1" presStyleIdx="0" presStyleCnt="2" custScaleX="110000" custScaleY="62554" custLinFactNeighborX="54718" custLinFactNeighborY="-369">
        <dgm:presLayoutVars>
          <dgm:chMax val="1"/>
          <dgm:bulletEnabled val="1"/>
        </dgm:presLayoutVars>
      </dgm:prSet>
      <dgm:spPr>
        <a:prstGeom prst="round2DiagRect">
          <a:avLst/>
        </a:prstGeom>
      </dgm:spPr>
      <dgm:t>
        <a:bodyPr/>
        <a:lstStyle/>
        <a:p>
          <a:endParaRPr lang="en-AU"/>
        </a:p>
      </dgm:t>
    </dgm:pt>
    <dgm:pt modelId="{37153771-A6FD-4C55-838E-7F51A9EC2126}" type="pres">
      <dgm:prSet presAssocID="{34E269A8-8423-44BE-925B-946BD6F21E6A}" presName="descendantText" presStyleLbl="alignAccFollowNode1" presStyleIdx="0" presStyleCnt="2" custScaleX="83709" custScaleY="76525" custLinFactX="-15267" custLinFactNeighborX="-100000" custLinFactNeighborY="-47">
        <dgm:presLayoutVars>
          <dgm:bulletEnabled val="1"/>
        </dgm:presLayoutVars>
      </dgm:prSet>
      <dgm:spPr>
        <a:prstGeom prst="roundRect">
          <a:avLst/>
        </a:prstGeom>
      </dgm:spPr>
      <dgm:t>
        <a:bodyPr/>
        <a:lstStyle/>
        <a:p>
          <a:endParaRPr lang="en-AU"/>
        </a:p>
      </dgm:t>
    </dgm:pt>
    <dgm:pt modelId="{A95E8279-D281-4038-8D70-5D78E9B62C32}" type="pres">
      <dgm:prSet presAssocID="{763B9AB3-5F66-45BD-B279-709E9FAC88BD}" presName="sp" presStyleCnt="0"/>
      <dgm:spPr/>
    </dgm:pt>
    <dgm:pt modelId="{10351DA9-CAFB-4C7B-B040-B35705F54B95}" type="pres">
      <dgm:prSet presAssocID="{99AD29A6-8B4B-4AF1-A3B3-E3767DD55279}" presName="linNode" presStyleCnt="0"/>
      <dgm:spPr/>
    </dgm:pt>
    <dgm:pt modelId="{F2369671-1ABA-41AF-A02E-CAC378FBBFCC}" type="pres">
      <dgm:prSet presAssocID="{99AD29A6-8B4B-4AF1-A3B3-E3767DD55279}" presName="parentText" presStyleLbl="node1" presStyleIdx="1" presStyleCnt="2" custScaleX="110000" custScaleY="60909" custLinFactNeighborX="54523" custLinFactNeighborY="-485">
        <dgm:presLayoutVars>
          <dgm:chMax val="1"/>
          <dgm:bulletEnabled val="1"/>
        </dgm:presLayoutVars>
      </dgm:prSet>
      <dgm:spPr>
        <a:prstGeom prst="round2DiagRect">
          <a:avLst/>
        </a:prstGeom>
      </dgm:spPr>
      <dgm:t>
        <a:bodyPr/>
        <a:lstStyle/>
        <a:p>
          <a:endParaRPr lang="en-AU"/>
        </a:p>
      </dgm:t>
    </dgm:pt>
    <dgm:pt modelId="{C89D9C8F-887D-4EA1-9D9E-8A9B97AE3CA0}" type="pres">
      <dgm:prSet presAssocID="{99AD29A6-8B4B-4AF1-A3B3-E3767DD55279}" presName="descendantText" presStyleLbl="alignAccFollowNode1" presStyleIdx="1" presStyleCnt="2" custScaleX="69133" custScaleY="75564" custLinFactX="-15462" custLinFactNeighborX="-100000" custLinFactNeighborY="47">
        <dgm:presLayoutVars>
          <dgm:bulletEnabled val="1"/>
        </dgm:presLayoutVars>
      </dgm:prSet>
      <dgm:spPr>
        <a:prstGeom prst="roundRect">
          <a:avLst/>
        </a:prstGeom>
      </dgm:spPr>
      <dgm:t>
        <a:bodyPr/>
        <a:lstStyle/>
        <a:p>
          <a:endParaRPr lang="en-AU"/>
        </a:p>
      </dgm:t>
    </dgm:pt>
  </dgm:ptLst>
  <dgm:cxnLst>
    <dgm:cxn modelId="{7142F106-2D98-4EA6-84E0-3FA932DDDF41}" srcId="{9087663D-40F5-4C8E-9ADB-146105E346AC}" destId="{34E269A8-8423-44BE-925B-946BD6F21E6A}" srcOrd="0" destOrd="0" parTransId="{20E39596-333E-4DD6-AC26-2034937C2439}" sibTransId="{763B9AB3-5F66-45BD-B279-709E9FAC88BD}"/>
    <dgm:cxn modelId="{56A296AD-70B0-4BC4-9FFB-2283D1319BF0}" srcId="{99AD29A6-8B4B-4AF1-A3B3-E3767DD55279}" destId="{CD62E105-5938-44B9-BCC8-B3FDA71A1B04}" srcOrd="0" destOrd="0" parTransId="{1DFA1729-5EC1-4968-B992-E679A3F9C0D0}" sibTransId="{0632125B-B1B4-42D9-B6B3-19CC67D229D1}"/>
    <dgm:cxn modelId="{529AE04C-16E1-43CF-926C-54377424AF15}" type="presOf" srcId="{CD62E105-5938-44B9-BCC8-B3FDA71A1B04}" destId="{C89D9C8F-887D-4EA1-9D9E-8A9B97AE3CA0}" srcOrd="0" destOrd="0" presId="urn:microsoft.com/office/officeart/2005/8/layout/vList5"/>
    <dgm:cxn modelId="{F100AA88-9DBD-4706-91D1-CB7EED27B1E7}" type="presOf" srcId="{9087663D-40F5-4C8E-9ADB-146105E346AC}" destId="{BAED71B0-30B3-4A9B-AF9E-E18F13C98148}" srcOrd="0" destOrd="0" presId="urn:microsoft.com/office/officeart/2005/8/layout/vList5"/>
    <dgm:cxn modelId="{C5FB0B62-B975-4B62-8A96-426F5F3ECA42}" type="presOf" srcId="{D8AFA7FB-A502-4071-A96E-AB9A24643FB3}" destId="{37153771-A6FD-4C55-838E-7F51A9EC2126}" srcOrd="0" destOrd="0" presId="urn:microsoft.com/office/officeart/2005/8/layout/vList5"/>
    <dgm:cxn modelId="{FF9FB267-01F5-463E-9107-FA4FAC5182FF}" type="presOf" srcId="{99AD29A6-8B4B-4AF1-A3B3-E3767DD55279}" destId="{F2369671-1ABA-41AF-A02E-CAC378FBBFCC}" srcOrd="0" destOrd="0" presId="urn:microsoft.com/office/officeart/2005/8/layout/vList5"/>
    <dgm:cxn modelId="{966C34A3-C019-4F4E-8B28-91663784D760}" srcId="{9087663D-40F5-4C8E-9ADB-146105E346AC}" destId="{99AD29A6-8B4B-4AF1-A3B3-E3767DD55279}" srcOrd="1" destOrd="0" parTransId="{6CFBEB5E-88BA-4736-A5EF-5FABC25467E8}" sibTransId="{9F739432-64A3-41AD-9F84-CE3B4497B598}"/>
    <dgm:cxn modelId="{B8003A95-D51C-4C59-B284-1921ECE93283}" srcId="{34E269A8-8423-44BE-925B-946BD6F21E6A}" destId="{D8AFA7FB-A502-4071-A96E-AB9A24643FB3}" srcOrd="0" destOrd="0" parTransId="{218ABB7A-0889-4A79-AF7B-641D4E82C83F}" sibTransId="{F10B7EA6-6262-4E56-8137-7BE4DBF30FA7}"/>
    <dgm:cxn modelId="{C2F99F26-A46E-4770-8E18-AFD15206705B}" type="presOf" srcId="{FC03361A-B05C-4139-91D7-396C521A61D1}" destId="{C89D9C8F-887D-4EA1-9D9E-8A9B97AE3CA0}" srcOrd="0" destOrd="2" presId="urn:microsoft.com/office/officeart/2005/8/layout/vList5"/>
    <dgm:cxn modelId="{C5230C74-0EDF-4AD0-8B34-8FC588FAA30A}" type="presOf" srcId="{A870191E-67B5-4F2F-B3EA-AD7B04448AD4}" destId="{37153771-A6FD-4C55-838E-7F51A9EC2126}" srcOrd="0" destOrd="1" presId="urn:microsoft.com/office/officeart/2005/8/layout/vList5"/>
    <dgm:cxn modelId="{F722F706-C0D8-4A7D-A3F5-5107B526E32E}" type="presOf" srcId="{34E269A8-8423-44BE-925B-946BD6F21E6A}" destId="{2E1B74FF-6ED7-4027-BB59-99B779F21635}" srcOrd="0" destOrd="0" presId="urn:microsoft.com/office/officeart/2005/8/layout/vList5"/>
    <dgm:cxn modelId="{DDB5CE20-D4CC-461B-906F-756CF171DB41}" srcId="{99AD29A6-8B4B-4AF1-A3B3-E3767DD55279}" destId="{59C5EA06-607C-407D-84A0-A749AA75BE30}" srcOrd="1" destOrd="0" parTransId="{DA780E3A-6630-40D1-A0FF-E336A64B7865}" sibTransId="{1B799C9F-0FCD-4950-9557-B2DBFD19768C}"/>
    <dgm:cxn modelId="{F877284E-AC37-4C37-9F14-00E393E01240}" srcId="{34E269A8-8423-44BE-925B-946BD6F21E6A}" destId="{A870191E-67B5-4F2F-B3EA-AD7B04448AD4}" srcOrd="1" destOrd="0" parTransId="{791CCDC5-465F-4E35-A5D2-A60832ABD5CE}" sibTransId="{C0089B19-AD25-47EA-B21D-F0420193B4D4}"/>
    <dgm:cxn modelId="{C8E9F6A6-106F-4E09-A278-926CCC9D17A3}" srcId="{99AD29A6-8B4B-4AF1-A3B3-E3767DD55279}" destId="{FC03361A-B05C-4139-91D7-396C521A61D1}" srcOrd="2" destOrd="0" parTransId="{502E43DB-04F5-4B3B-B871-D509F02F52CF}" sibTransId="{EA0AFE91-4BDA-444B-A0F6-328B2D3A8B6E}"/>
    <dgm:cxn modelId="{35556215-46C2-43FE-8BE6-7BD1641E1D87}" type="presOf" srcId="{59C5EA06-607C-407D-84A0-A749AA75BE30}" destId="{C89D9C8F-887D-4EA1-9D9E-8A9B97AE3CA0}" srcOrd="0" destOrd="1" presId="urn:microsoft.com/office/officeart/2005/8/layout/vList5"/>
    <dgm:cxn modelId="{B8D69093-5B01-4359-9597-F5FA62D6856D}" type="presParOf" srcId="{BAED71B0-30B3-4A9B-AF9E-E18F13C98148}" destId="{3C8C3E68-DCC3-43D3-AC68-C1EB21BEC397}" srcOrd="0" destOrd="0" presId="urn:microsoft.com/office/officeart/2005/8/layout/vList5"/>
    <dgm:cxn modelId="{F8CC559F-7EC1-4570-9AC7-D89FE596385C}" type="presParOf" srcId="{3C8C3E68-DCC3-43D3-AC68-C1EB21BEC397}" destId="{2E1B74FF-6ED7-4027-BB59-99B779F21635}" srcOrd="0" destOrd="0" presId="urn:microsoft.com/office/officeart/2005/8/layout/vList5"/>
    <dgm:cxn modelId="{A45D90F3-D74C-46F9-84DE-04EE63CC9437}" type="presParOf" srcId="{3C8C3E68-DCC3-43D3-AC68-C1EB21BEC397}" destId="{37153771-A6FD-4C55-838E-7F51A9EC2126}" srcOrd="1" destOrd="0" presId="urn:microsoft.com/office/officeart/2005/8/layout/vList5"/>
    <dgm:cxn modelId="{05F88E4D-7AD5-4242-872D-E49A8376A0FD}" type="presParOf" srcId="{BAED71B0-30B3-4A9B-AF9E-E18F13C98148}" destId="{A95E8279-D281-4038-8D70-5D78E9B62C32}" srcOrd="1" destOrd="0" presId="urn:microsoft.com/office/officeart/2005/8/layout/vList5"/>
    <dgm:cxn modelId="{2783FF4E-F0B7-420D-BBC2-8DD2DE1C21E0}" type="presParOf" srcId="{BAED71B0-30B3-4A9B-AF9E-E18F13C98148}" destId="{10351DA9-CAFB-4C7B-B040-B35705F54B95}" srcOrd="2" destOrd="0" presId="urn:microsoft.com/office/officeart/2005/8/layout/vList5"/>
    <dgm:cxn modelId="{982453A2-C34E-4BD8-9C7B-7FC1D2491A12}" type="presParOf" srcId="{10351DA9-CAFB-4C7B-B040-B35705F54B95}" destId="{F2369671-1ABA-41AF-A02E-CAC378FBBFCC}" srcOrd="0" destOrd="0" presId="urn:microsoft.com/office/officeart/2005/8/layout/vList5"/>
    <dgm:cxn modelId="{FE84E3A6-1F42-4E0E-87DB-FE8E5F00C9C6}" type="presParOf" srcId="{10351DA9-CAFB-4C7B-B040-B35705F54B95}" destId="{C89D9C8F-887D-4EA1-9D9E-8A9B97AE3CA0}" srcOrd="1" destOrd="0" presId="urn:microsoft.com/office/officeart/2005/8/layout/vList5"/>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153771-A6FD-4C55-838E-7F51A9EC2126}">
      <dsp:nvSpPr>
        <dsp:cNvPr id="0" name=""/>
        <dsp:cNvSpPr/>
      </dsp:nvSpPr>
      <dsp:spPr>
        <a:xfrm rot="5400000">
          <a:off x="1129854" y="-1122763"/>
          <a:ext cx="679562" cy="2939270"/>
        </a:xfrm>
        <a:prstGeom prst="roundRect">
          <a:avLst/>
        </a:prstGeom>
        <a:solidFill>
          <a:srgbClr val="929292"/>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b="1" kern="1200">
              <a:solidFill>
                <a:schemeClr val="bg1"/>
              </a:solidFill>
              <a:latin typeface="Arial" panose="020B0604020202020204" pitchFamily="34" charset="0"/>
              <a:cs typeface="Arial" panose="020B0604020202020204" pitchFamily="34" charset="0"/>
            </a:rPr>
            <a:t> Strongly agree</a:t>
          </a:r>
        </a:p>
        <a:p>
          <a:pPr marL="57150" lvl="1" indent="-57150" algn="l" defTabSz="444500">
            <a:lnSpc>
              <a:spcPct val="90000"/>
            </a:lnSpc>
            <a:spcBef>
              <a:spcPct val="0"/>
            </a:spcBef>
            <a:spcAft>
              <a:spcPct val="15000"/>
            </a:spcAft>
            <a:buChar char="••"/>
          </a:pPr>
          <a:r>
            <a:rPr lang="en-AU" sz="1000" b="1" kern="1200">
              <a:solidFill>
                <a:schemeClr val="bg1"/>
              </a:solidFill>
              <a:latin typeface="Arial" panose="020B0604020202020204" pitchFamily="34" charset="0"/>
              <a:cs typeface="Arial" panose="020B0604020202020204" pitchFamily="34" charset="0"/>
            </a:rPr>
            <a:t> Agree</a:t>
          </a:r>
        </a:p>
      </dsp:txBody>
      <dsp:txXfrm rot="-5400000">
        <a:off x="33173" y="40264"/>
        <a:ext cx="2872924" cy="613216"/>
      </dsp:txXfrm>
    </dsp:sp>
    <dsp:sp modelId="{2E1B74FF-6ED7-4027-BB59-99B779F21635}">
      <dsp:nvSpPr>
        <dsp:cNvPr id="0" name=""/>
        <dsp:cNvSpPr/>
      </dsp:nvSpPr>
      <dsp:spPr>
        <a:xfrm>
          <a:off x="2108568" y="0"/>
          <a:ext cx="2172614" cy="694370"/>
        </a:xfrm>
        <a:prstGeom prst="round2DiagRect">
          <a:avLst/>
        </a:prstGeom>
        <a:solidFill>
          <a:srgbClr val="145B85"/>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AU" sz="1200" b="1" kern="1200">
              <a:latin typeface="Arial" panose="020B0604020202020204" pitchFamily="34" charset="0"/>
              <a:cs typeface="Arial" panose="020B0604020202020204" pitchFamily="34" charset="0"/>
            </a:rPr>
            <a:t>Agree</a:t>
          </a:r>
        </a:p>
      </dsp:txBody>
      <dsp:txXfrm>
        <a:off x="2142464" y="33896"/>
        <a:ext cx="2104822" cy="626578"/>
      </dsp:txXfrm>
    </dsp:sp>
    <dsp:sp modelId="{C89D9C8F-887D-4EA1-9D9E-8A9B97AE3CA0}">
      <dsp:nvSpPr>
        <dsp:cNvPr id="0" name=""/>
        <dsp:cNvSpPr/>
      </dsp:nvSpPr>
      <dsp:spPr>
        <a:xfrm rot="5400000">
          <a:off x="878217" y="-125283"/>
          <a:ext cx="671028" cy="2427464"/>
        </a:xfrm>
        <a:prstGeom prst="roundRect">
          <a:avLst/>
        </a:prstGeom>
        <a:solidFill>
          <a:srgbClr val="929292"/>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57150" algn="l" defTabSz="444500">
            <a:lnSpc>
              <a:spcPct val="90000"/>
            </a:lnSpc>
            <a:spcBef>
              <a:spcPct val="0"/>
            </a:spcBef>
            <a:spcAft>
              <a:spcPct val="15000"/>
            </a:spcAft>
            <a:buChar char="••"/>
          </a:pPr>
          <a:r>
            <a:rPr lang="en-AU" sz="1000" b="1" kern="1200">
              <a:solidFill>
                <a:schemeClr val="bg1"/>
              </a:solidFill>
              <a:latin typeface="Arial" panose="020B0604020202020204" pitchFamily="34" charset="0"/>
              <a:cs typeface="Arial" panose="020B0604020202020204" pitchFamily="34" charset="0"/>
            </a:rPr>
            <a:t> Neither agree nor disagree</a:t>
          </a:r>
        </a:p>
        <a:p>
          <a:pPr marL="0" lvl="1" indent="-57150" algn="l" defTabSz="444500">
            <a:lnSpc>
              <a:spcPct val="90000"/>
            </a:lnSpc>
            <a:spcBef>
              <a:spcPct val="0"/>
            </a:spcBef>
            <a:spcAft>
              <a:spcPct val="15000"/>
            </a:spcAft>
            <a:buChar char="••"/>
          </a:pPr>
          <a:r>
            <a:rPr lang="en-AU" sz="1000" b="1" kern="1200">
              <a:solidFill>
                <a:schemeClr val="bg1"/>
              </a:solidFill>
              <a:latin typeface="Arial" panose="020B0604020202020204" pitchFamily="34" charset="0"/>
              <a:cs typeface="Arial" panose="020B0604020202020204" pitchFamily="34" charset="0"/>
            </a:rPr>
            <a:t> Disagree</a:t>
          </a:r>
        </a:p>
        <a:p>
          <a:pPr marL="0" lvl="1" indent="-57150" algn="l" defTabSz="444500">
            <a:lnSpc>
              <a:spcPct val="90000"/>
            </a:lnSpc>
            <a:spcBef>
              <a:spcPct val="0"/>
            </a:spcBef>
            <a:spcAft>
              <a:spcPct val="15000"/>
            </a:spcAft>
            <a:buChar char="••"/>
          </a:pPr>
          <a:r>
            <a:rPr lang="en-AU" sz="1000" b="1" kern="1200">
              <a:solidFill>
                <a:schemeClr val="bg1"/>
              </a:solidFill>
              <a:latin typeface="Arial" panose="020B0604020202020204" pitchFamily="34" charset="0"/>
              <a:cs typeface="Arial" panose="020B0604020202020204" pitchFamily="34" charset="0"/>
            </a:rPr>
            <a:t> Strongly disagree</a:t>
          </a:r>
        </a:p>
      </dsp:txBody>
      <dsp:txXfrm rot="-5400000">
        <a:off x="32756" y="785692"/>
        <a:ext cx="2361950" cy="605514"/>
      </dsp:txXfrm>
    </dsp:sp>
    <dsp:sp modelId="{F2369671-1ABA-41AF-A02E-CAC378FBBFCC}">
      <dsp:nvSpPr>
        <dsp:cNvPr id="0" name=""/>
        <dsp:cNvSpPr/>
      </dsp:nvSpPr>
      <dsp:spPr>
        <a:xfrm>
          <a:off x="2101721" y="744592"/>
          <a:ext cx="2172614" cy="676110"/>
        </a:xfrm>
        <a:prstGeom prst="round2DiagRect">
          <a:avLst/>
        </a:prstGeom>
        <a:solidFill>
          <a:srgbClr val="145B85"/>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AU" sz="1200" b="1" kern="1200">
              <a:latin typeface="Arial" panose="020B0604020202020204" pitchFamily="34" charset="0"/>
              <a:cs typeface="Arial" panose="020B0604020202020204" pitchFamily="34" charset="0"/>
            </a:rPr>
            <a:t>Do not agree</a:t>
          </a:r>
        </a:p>
      </dsp:txBody>
      <dsp:txXfrm>
        <a:off x="2134726" y="777597"/>
        <a:ext cx="2106604" cy="61010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CB70B-0B81-4EF7-A794-0F71F5E9DFAC}">
  <ds:schemaRefs>
    <ds:schemaRef ds:uri="http://purl.org/dc/dcmitype/"/>
    <ds:schemaRef ds:uri="http://schemas.microsoft.com/sharepoint/v3"/>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3902A6A-A6CD-4B6C-86ED-C75DA4807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B3F7E-B201-4AEB-AB83-449D30959486}">
  <ds:schemaRefs>
    <ds:schemaRef ds:uri="http://schemas.microsoft.com/sharepoint/v3/contenttype/forms"/>
  </ds:schemaRefs>
</ds:datastoreItem>
</file>

<file path=customXml/itemProps4.xml><?xml version="1.0" encoding="utf-8"?>
<ds:datastoreItem xmlns:ds="http://schemas.openxmlformats.org/officeDocument/2006/customXml" ds:itemID="{85F5578C-5086-4B72-BB1C-E96613D4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D44452ED.dotm</Template>
  <TotalTime>1</TotalTime>
  <Pages>41</Pages>
  <Words>11563</Words>
  <Characters>65915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Brooks</dc:creator>
  <cp:lastModifiedBy>Megan Martine</cp:lastModifiedBy>
  <cp:revision>4</cp:revision>
  <cp:lastPrinted>2017-11-01T02:47:00Z</cp:lastPrinted>
  <dcterms:created xsi:type="dcterms:W3CDTF">2017-11-01T02:45:00Z</dcterms:created>
  <dcterms:modified xsi:type="dcterms:W3CDTF">2017-11-01T02:47:00Z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