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FE" w:rsidRPr="004076EF" w:rsidRDefault="00390CA6" w:rsidP="009D3D4B">
      <w:pPr>
        <w:pStyle w:val="Title"/>
        <w:spacing w:before="3600" w:after="0" w:line="288" w:lineRule="auto"/>
        <w:rPr>
          <w:rFonts w:ascii="Arial" w:hAnsi="Arial" w:cs="Arial"/>
          <w:sz w:val="22"/>
          <w:szCs w:val="22"/>
        </w:rPr>
      </w:pPr>
      <w:bookmarkStart w:id="0" w:name="_GoBack"/>
      <w:bookmarkEnd w:id="0"/>
      <w:r w:rsidRPr="004076EF">
        <w:rPr>
          <w:rFonts w:ascii="Arial" w:hAnsi="Arial" w:cs="Arial"/>
          <w:noProof/>
          <w:color w:val="365F91" w:themeColor="accent1" w:themeShade="BF"/>
          <w:sz w:val="16"/>
          <w:szCs w:val="16"/>
        </w:rPr>
        <w:drawing>
          <wp:anchor distT="0" distB="0" distL="114300" distR="114300" simplePos="0" relativeHeight="251658240" behindDoc="0" locked="0" layoutInCell="1" allowOverlap="1" wp14:anchorId="44EFFC19" wp14:editId="45A72B97">
            <wp:simplePos x="0" y="0"/>
            <wp:positionH relativeFrom="column">
              <wp:posOffset>2839720</wp:posOffset>
            </wp:positionH>
            <wp:positionV relativeFrom="paragraph">
              <wp:posOffset>2294255</wp:posOffset>
            </wp:positionV>
            <wp:extent cx="3166110" cy="2527935"/>
            <wp:effectExtent l="0" t="0" r="0" b="5715"/>
            <wp:wrapSquare wrapText="bothSides"/>
            <wp:docPr id="4" name="Picture 4" descr="This infographic shows: &#10;- 43% of serious injuries were from body stressing&#10;- 34% decrease in fatalities from 2003 to 2015&#10;- 27% reduction in rate of serious claims from 2001-02 to 2014-15, and &#10;- 77% of fatalities were due to vehicle collisions." title="Key facts on road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fac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6110" cy="2527935"/>
                    </a:xfrm>
                    <a:prstGeom prst="rect">
                      <a:avLst/>
                    </a:prstGeom>
                  </pic:spPr>
                </pic:pic>
              </a:graphicData>
            </a:graphic>
            <wp14:sizeRelH relativeFrom="page">
              <wp14:pctWidth>0</wp14:pctWidth>
            </wp14:sizeRelH>
            <wp14:sizeRelV relativeFrom="page">
              <wp14:pctHeight>0</wp14:pctHeight>
            </wp14:sizeRelV>
          </wp:anchor>
        </w:drawing>
      </w:r>
      <w:r w:rsidR="00574FA9">
        <w:rPr>
          <w:rFonts w:ascii="Arial" w:hAnsi="Arial" w:cs="Arial"/>
          <w:b/>
          <w:noProof/>
          <w:color w:val="FFFFFF" w:themeColor="background1"/>
          <w:sz w:val="80"/>
          <w:szCs w:val="80"/>
        </w:rPr>
        <w:drawing>
          <wp:anchor distT="0" distB="0" distL="114300" distR="114300" simplePos="0" relativeHeight="251669504" behindDoc="1" locked="0" layoutInCell="1" allowOverlap="1" wp14:anchorId="1DFFB1E7" wp14:editId="7558A296">
            <wp:simplePos x="0" y="0"/>
            <wp:positionH relativeFrom="column">
              <wp:posOffset>-882015</wp:posOffset>
            </wp:positionH>
            <wp:positionV relativeFrom="paragraph">
              <wp:posOffset>-805815</wp:posOffset>
            </wp:positionV>
            <wp:extent cx="8169275" cy="2934335"/>
            <wp:effectExtent l="0" t="0" r="3175" b="0"/>
            <wp:wrapNone/>
            <wp:docPr id="5" name="Picture 5" title="Safe Work Australia report titl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W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69275" cy="2934335"/>
                    </a:xfrm>
                    <a:prstGeom prst="rect">
                      <a:avLst/>
                    </a:prstGeom>
                  </pic:spPr>
                </pic:pic>
              </a:graphicData>
            </a:graphic>
            <wp14:sizeRelH relativeFrom="page">
              <wp14:pctWidth>0</wp14:pctWidth>
            </wp14:sizeRelH>
            <wp14:sizeRelV relativeFrom="page">
              <wp14:pctHeight>0</wp14:pctHeight>
            </wp14:sizeRelV>
          </wp:anchor>
        </w:drawing>
      </w:r>
      <w:r w:rsidR="00574FA9">
        <w:rPr>
          <w:noProof/>
        </w:rPr>
        <mc:AlternateContent>
          <mc:Choice Requires="wps">
            <w:drawing>
              <wp:anchor distT="0" distB="0" distL="114300" distR="114300" simplePos="0" relativeHeight="251671552" behindDoc="0" locked="0" layoutInCell="1" allowOverlap="1" wp14:anchorId="350E8E2C" wp14:editId="0A710C06">
                <wp:simplePos x="0" y="0"/>
                <wp:positionH relativeFrom="column">
                  <wp:posOffset>-526075</wp:posOffset>
                </wp:positionH>
                <wp:positionV relativeFrom="paragraph">
                  <wp:posOffset>226355</wp:posOffset>
                </wp:positionV>
                <wp:extent cx="550735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1403985"/>
                        </a:xfrm>
                        <a:prstGeom prst="rect">
                          <a:avLst/>
                        </a:prstGeom>
                        <a:noFill/>
                        <a:ln w="9525">
                          <a:noFill/>
                          <a:miter lim="800000"/>
                          <a:headEnd/>
                          <a:tailEnd/>
                        </a:ln>
                      </wps:spPr>
                      <wps:txbx>
                        <w:txbxContent>
                          <w:p w:rsidR="00AD7950" w:rsidRDefault="00AD7950" w:rsidP="00574FA9">
                            <w:pPr>
                              <w:pStyle w:val="Title"/>
                              <w:spacing w:before="240" w:after="0"/>
                              <w:rPr>
                                <w:rFonts w:ascii="Arial" w:hAnsi="Arial" w:cs="Arial"/>
                                <w:b/>
                                <w:color w:val="FFFFFF" w:themeColor="background1"/>
                                <w:sz w:val="80"/>
                                <w:szCs w:val="80"/>
                              </w:rPr>
                            </w:pPr>
                            <w:r>
                              <w:rPr>
                                <w:rFonts w:ascii="Arial" w:hAnsi="Arial" w:cs="Arial"/>
                                <w:b/>
                                <w:color w:val="FFFFFF" w:themeColor="background1"/>
                                <w:sz w:val="80"/>
                                <w:szCs w:val="80"/>
                              </w:rPr>
                              <w:t>R</w:t>
                            </w:r>
                            <w:r w:rsidRPr="00C56FFA">
                              <w:rPr>
                                <w:rFonts w:ascii="Arial" w:hAnsi="Arial" w:cs="Arial"/>
                                <w:b/>
                                <w:color w:val="FFFFFF" w:themeColor="background1"/>
                                <w:sz w:val="80"/>
                                <w:szCs w:val="80"/>
                              </w:rPr>
                              <w:t xml:space="preserve">oad Transport </w:t>
                            </w:r>
                          </w:p>
                          <w:p w:rsidR="00AD7950" w:rsidRPr="00C56FFA" w:rsidRDefault="00AD7950" w:rsidP="00574FA9">
                            <w:pPr>
                              <w:pStyle w:val="Title"/>
                              <w:spacing w:before="0" w:after="0"/>
                              <w:rPr>
                                <w:rFonts w:ascii="Arial" w:hAnsi="Arial" w:cs="Arial"/>
                                <w:b/>
                                <w:color w:val="C10A27"/>
                                <w:sz w:val="80"/>
                                <w:szCs w:val="80"/>
                              </w:rPr>
                            </w:pPr>
                            <w:r w:rsidRPr="00C56FFA">
                              <w:rPr>
                                <w:rFonts w:ascii="Arial" w:hAnsi="Arial" w:cs="Arial"/>
                                <w:b/>
                                <w:color w:val="FFFFFF" w:themeColor="background1"/>
                                <w:sz w:val="80"/>
                                <w:szCs w:val="80"/>
                              </w:rPr>
                              <w:t>Industry Profile</w:t>
                            </w:r>
                          </w:p>
                          <w:p w:rsidR="00AD7950" w:rsidRDefault="00AD795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17.8pt;width:433.6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" filled="f" stroked="f">
                <v:textbox style="mso-fit-shape-to-text:t">
                  <w:txbxContent>
                    <w:p w:rsidR="00AD7950" w:rsidRDefault="00AD7950" w:rsidP="00574FA9">
                      <w:pPr>
                        <w:pStyle w:val="Title"/>
                        <w:spacing w:before="240" w:after="0"/>
                        <w:rPr>
                          <w:rFonts w:ascii="Arial" w:hAnsi="Arial" w:cs="Arial"/>
                          <w:b/>
                          <w:color w:val="FFFFFF" w:themeColor="background1"/>
                          <w:sz w:val="80"/>
                          <w:szCs w:val="80"/>
                        </w:rPr>
                      </w:pPr>
                      <w:r>
                        <w:rPr>
                          <w:rFonts w:ascii="Arial" w:hAnsi="Arial" w:cs="Arial"/>
                          <w:b/>
                          <w:color w:val="FFFFFF" w:themeColor="background1"/>
                          <w:sz w:val="80"/>
                          <w:szCs w:val="80"/>
                        </w:rPr>
                        <w:t>R</w:t>
                      </w:r>
                      <w:r w:rsidRPr="00C56FFA">
                        <w:rPr>
                          <w:rFonts w:ascii="Arial" w:hAnsi="Arial" w:cs="Arial"/>
                          <w:b/>
                          <w:color w:val="FFFFFF" w:themeColor="background1"/>
                          <w:sz w:val="80"/>
                          <w:szCs w:val="80"/>
                        </w:rPr>
                        <w:t xml:space="preserve">oad Transport </w:t>
                      </w:r>
                    </w:p>
                    <w:p w:rsidR="00AD7950" w:rsidRPr="00C56FFA" w:rsidRDefault="00AD7950" w:rsidP="00574FA9">
                      <w:pPr>
                        <w:pStyle w:val="Title"/>
                        <w:spacing w:before="0" w:after="0"/>
                        <w:rPr>
                          <w:rFonts w:ascii="Arial" w:hAnsi="Arial" w:cs="Arial"/>
                          <w:b/>
                          <w:color w:val="C10A27"/>
                          <w:sz w:val="80"/>
                          <w:szCs w:val="80"/>
                        </w:rPr>
                      </w:pPr>
                      <w:r w:rsidRPr="00C56FFA">
                        <w:rPr>
                          <w:rFonts w:ascii="Arial" w:hAnsi="Arial" w:cs="Arial"/>
                          <w:b/>
                          <w:color w:val="FFFFFF" w:themeColor="background1"/>
                          <w:sz w:val="80"/>
                          <w:szCs w:val="80"/>
                        </w:rPr>
                        <w:t>Industry Profile</w:t>
                      </w:r>
                    </w:p>
                    <w:p w:rsidR="00AD7950" w:rsidRDefault="00AD7950"/>
                  </w:txbxContent>
                </v:textbox>
              </v:shape>
            </w:pict>
          </mc:Fallback>
        </mc:AlternateContent>
      </w:r>
      <w:r w:rsidR="000019FE" w:rsidRPr="004076EF">
        <w:rPr>
          <w:rFonts w:ascii="Arial" w:hAnsi="Arial" w:cs="Arial"/>
          <w:sz w:val="22"/>
          <w:szCs w:val="22"/>
        </w:rPr>
        <w:t xml:space="preserve">Road transport </w:t>
      </w:r>
      <w:r w:rsidR="00DA4DBC" w:rsidRPr="004076EF">
        <w:rPr>
          <w:rFonts w:ascii="Arial" w:hAnsi="Arial" w:cs="Arial"/>
          <w:sz w:val="22"/>
          <w:szCs w:val="22"/>
        </w:rPr>
        <w:t xml:space="preserve">is </w:t>
      </w:r>
      <w:r w:rsidR="000019FE" w:rsidRPr="004076EF">
        <w:rPr>
          <w:rFonts w:ascii="Arial" w:hAnsi="Arial" w:cs="Arial"/>
          <w:sz w:val="22"/>
          <w:szCs w:val="22"/>
        </w:rPr>
        <w:t xml:space="preserve">identified as a national priority </w:t>
      </w:r>
      <w:r w:rsidR="00DA4DBC" w:rsidRPr="004076EF">
        <w:rPr>
          <w:rFonts w:ascii="Arial" w:hAnsi="Arial" w:cs="Arial"/>
          <w:sz w:val="22"/>
          <w:szCs w:val="22"/>
        </w:rPr>
        <w:t xml:space="preserve">under the </w:t>
      </w:r>
      <w:r w:rsidR="00DA4DBC" w:rsidRPr="007F5A29">
        <w:rPr>
          <w:rFonts w:ascii="Arial" w:hAnsi="Arial" w:cs="Arial"/>
          <w:i/>
          <w:sz w:val="22"/>
          <w:szCs w:val="22"/>
        </w:rPr>
        <w:t>Australian Work Health and Safety Strategy 2012-2022</w:t>
      </w:r>
      <w:r w:rsidR="00DA4DBC" w:rsidRPr="004076EF">
        <w:rPr>
          <w:rFonts w:ascii="Arial" w:hAnsi="Arial" w:cs="Arial"/>
          <w:sz w:val="22"/>
          <w:szCs w:val="22"/>
        </w:rPr>
        <w:t xml:space="preserve"> due to the </w:t>
      </w:r>
      <w:r w:rsidR="0001009B" w:rsidRPr="004076EF">
        <w:rPr>
          <w:rFonts w:ascii="Arial" w:hAnsi="Arial" w:cs="Arial"/>
          <w:sz w:val="22"/>
          <w:szCs w:val="22"/>
        </w:rPr>
        <w:t>high number and rate of fatalities</w:t>
      </w:r>
      <w:r w:rsidR="00DA4DBC" w:rsidRPr="004076EF">
        <w:rPr>
          <w:rFonts w:ascii="Arial" w:hAnsi="Arial" w:cs="Arial"/>
          <w:sz w:val="22"/>
          <w:szCs w:val="22"/>
        </w:rPr>
        <w:t xml:space="preserve"> in this industry</w:t>
      </w:r>
      <w:r w:rsidR="000019FE" w:rsidRPr="004076EF">
        <w:rPr>
          <w:rFonts w:ascii="Arial" w:hAnsi="Arial" w:cs="Arial"/>
          <w:sz w:val="22"/>
          <w:szCs w:val="22"/>
        </w:rPr>
        <w:t xml:space="preserve">. </w:t>
      </w:r>
      <w:r w:rsidR="00340379" w:rsidRPr="004076EF">
        <w:rPr>
          <w:rFonts w:ascii="Arial" w:hAnsi="Arial" w:cs="Arial"/>
          <w:sz w:val="22"/>
          <w:szCs w:val="22"/>
        </w:rPr>
        <w:t>The R</w:t>
      </w:r>
      <w:r w:rsidR="00747C75" w:rsidRPr="004076EF">
        <w:rPr>
          <w:rFonts w:ascii="Arial" w:hAnsi="Arial" w:cs="Arial"/>
          <w:sz w:val="22"/>
          <w:szCs w:val="22"/>
        </w:rPr>
        <w:t xml:space="preserve">oad transport industry </w:t>
      </w:r>
      <w:r w:rsidR="00D33756" w:rsidRPr="004076EF">
        <w:rPr>
          <w:rFonts w:ascii="Arial" w:hAnsi="Arial" w:cs="Arial"/>
          <w:sz w:val="22"/>
          <w:szCs w:val="22"/>
        </w:rPr>
        <w:t>is one of eight</w:t>
      </w:r>
      <w:r w:rsidR="00940622" w:rsidRPr="004076EF">
        <w:rPr>
          <w:rFonts w:ascii="Arial" w:hAnsi="Arial" w:cs="Arial"/>
          <w:sz w:val="22"/>
          <w:szCs w:val="22"/>
        </w:rPr>
        <w:t xml:space="preserve"> subdivision</w:t>
      </w:r>
      <w:r w:rsidR="00D33756" w:rsidRPr="004076EF">
        <w:rPr>
          <w:rFonts w:ascii="Arial" w:hAnsi="Arial" w:cs="Arial"/>
          <w:sz w:val="22"/>
          <w:szCs w:val="22"/>
        </w:rPr>
        <w:t>s</w:t>
      </w:r>
      <w:r w:rsidR="00940622" w:rsidRPr="004076EF">
        <w:rPr>
          <w:rFonts w:ascii="Arial" w:hAnsi="Arial" w:cs="Arial"/>
          <w:sz w:val="22"/>
          <w:szCs w:val="22"/>
        </w:rPr>
        <w:t xml:space="preserve"> of the Transport, postal and warehousing industry</w:t>
      </w:r>
      <w:r w:rsidR="00DA4DBC" w:rsidRPr="004076EF">
        <w:rPr>
          <w:rFonts w:ascii="Arial" w:hAnsi="Arial" w:cs="Arial"/>
          <w:sz w:val="22"/>
          <w:szCs w:val="22"/>
        </w:rPr>
        <w:t xml:space="preserve"> and consists of </w:t>
      </w:r>
      <w:r w:rsidR="009C07DC" w:rsidRPr="004076EF">
        <w:rPr>
          <w:rFonts w:ascii="Arial" w:hAnsi="Arial" w:cs="Arial"/>
          <w:sz w:val="22"/>
          <w:szCs w:val="22"/>
        </w:rPr>
        <w:t>road freight transport and r</w:t>
      </w:r>
      <w:r w:rsidR="0001009B" w:rsidRPr="004076EF">
        <w:rPr>
          <w:rFonts w:ascii="Arial" w:hAnsi="Arial" w:cs="Arial"/>
          <w:sz w:val="22"/>
          <w:szCs w:val="22"/>
        </w:rPr>
        <w:t>oad passenger transport.</w:t>
      </w:r>
    </w:p>
    <w:p w:rsidR="00D80106" w:rsidRPr="004076EF" w:rsidRDefault="00DA4DBC" w:rsidP="00564DD2">
      <w:pPr>
        <w:spacing w:line="288" w:lineRule="auto"/>
        <w:rPr>
          <w:rFonts w:ascii="Arial" w:hAnsi="Arial" w:cs="Arial"/>
          <w:sz w:val="22"/>
          <w:szCs w:val="22"/>
        </w:rPr>
      </w:pPr>
      <w:r w:rsidRPr="004076EF">
        <w:rPr>
          <w:rFonts w:ascii="Arial" w:hAnsi="Arial" w:cs="Arial"/>
          <w:sz w:val="22"/>
          <w:szCs w:val="22"/>
        </w:rPr>
        <w:t>Broadly, t</w:t>
      </w:r>
      <w:r w:rsidR="009C07DC" w:rsidRPr="004076EF">
        <w:rPr>
          <w:rFonts w:ascii="Arial" w:hAnsi="Arial" w:cs="Arial"/>
          <w:sz w:val="22"/>
          <w:szCs w:val="22"/>
        </w:rPr>
        <w:t xml:space="preserve">he </w:t>
      </w:r>
      <w:r w:rsidR="007F5A29">
        <w:rPr>
          <w:rFonts w:ascii="Arial" w:hAnsi="Arial" w:cs="Arial"/>
          <w:sz w:val="22"/>
          <w:szCs w:val="22"/>
        </w:rPr>
        <w:t>R</w:t>
      </w:r>
      <w:r w:rsidR="00D80106" w:rsidRPr="004076EF">
        <w:rPr>
          <w:rFonts w:ascii="Arial" w:hAnsi="Arial" w:cs="Arial"/>
          <w:sz w:val="22"/>
          <w:szCs w:val="22"/>
        </w:rPr>
        <w:t xml:space="preserve">oad transport industry comprises work involved in the transportation of freight by road and the operation of buses </w:t>
      </w:r>
      <w:r w:rsidR="009C07DC" w:rsidRPr="004076EF">
        <w:rPr>
          <w:rFonts w:ascii="Arial" w:hAnsi="Arial" w:cs="Arial"/>
          <w:sz w:val="22"/>
          <w:szCs w:val="22"/>
        </w:rPr>
        <w:t>and other vehicles (e</w:t>
      </w:r>
      <w:r w:rsidR="00E56946">
        <w:rPr>
          <w:rFonts w:ascii="Arial" w:hAnsi="Arial" w:cs="Arial"/>
          <w:sz w:val="22"/>
          <w:szCs w:val="22"/>
        </w:rPr>
        <w:t>.</w:t>
      </w:r>
      <w:r w:rsidR="009C07DC" w:rsidRPr="004076EF">
        <w:rPr>
          <w:rFonts w:ascii="Arial" w:hAnsi="Arial" w:cs="Arial"/>
          <w:sz w:val="22"/>
          <w:szCs w:val="22"/>
        </w:rPr>
        <w:t>g</w:t>
      </w:r>
      <w:r w:rsidR="00E56946">
        <w:rPr>
          <w:rFonts w:ascii="Arial" w:hAnsi="Arial" w:cs="Arial"/>
          <w:sz w:val="22"/>
          <w:szCs w:val="22"/>
        </w:rPr>
        <w:t>. </w:t>
      </w:r>
      <w:r w:rsidR="009C07DC" w:rsidRPr="004076EF">
        <w:rPr>
          <w:rFonts w:ascii="Arial" w:hAnsi="Arial" w:cs="Arial"/>
          <w:sz w:val="22"/>
          <w:szCs w:val="22"/>
        </w:rPr>
        <w:t xml:space="preserve">taxis) </w:t>
      </w:r>
      <w:r w:rsidR="00D80106" w:rsidRPr="004076EF">
        <w:rPr>
          <w:rFonts w:ascii="Arial" w:hAnsi="Arial" w:cs="Arial"/>
          <w:sz w:val="22"/>
          <w:szCs w:val="22"/>
        </w:rPr>
        <w:t>for the transp</w:t>
      </w:r>
      <w:r w:rsidR="009C07DC" w:rsidRPr="004076EF">
        <w:rPr>
          <w:rFonts w:ascii="Arial" w:hAnsi="Arial" w:cs="Arial"/>
          <w:sz w:val="22"/>
          <w:szCs w:val="22"/>
        </w:rPr>
        <w:t>ortation of passengers</w:t>
      </w:r>
      <w:r w:rsidR="00D80106" w:rsidRPr="004076EF">
        <w:rPr>
          <w:rFonts w:ascii="Arial" w:hAnsi="Arial" w:cs="Arial"/>
          <w:sz w:val="22"/>
          <w:szCs w:val="22"/>
        </w:rPr>
        <w:t>.</w:t>
      </w:r>
    </w:p>
    <w:p w:rsidR="00D80106" w:rsidRPr="004076EF" w:rsidRDefault="00E56946" w:rsidP="00564DD2">
      <w:pPr>
        <w:spacing w:line="288" w:lineRule="auto"/>
        <w:rPr>
          <w:rFonts w:ascii="Arial" w:hAnsi="Arial" w:cs="Arial"/>
          <w:sz w:val="22"/>
          <w:szCs w:val="22"/>
        </w:rPr>
      </w:pPr>
      <w:r>
        <w:rPr>
          <w:rFonts w:ascii="Arial" w:hAnsi="Arial" w:cs="Arial"/>
          <w:sz w:val="22"/>
          <w:szCs w:val="22"/>
        </w:rPr>
        <w:t>ABS data show that t</w:t>
      </w:r>
      <w:r w:rsidR="005360FE" w:rsidRPr="004076EF">
        <w:rPr>
          <w:rFonts w:ascii="Arial" w:hAnsi="Arial" w:cs="Arial"/>
          <w:sz w:val="22"/>
          <w:szCs w:val="22"/>
        </w:rPr>
        <w:t>he number of workers in t</w:t>
      </w:r>
      <w:r w:rsidR="00340379" w:rsidRPr="004076EF">
        <w:rPr>
          <w:rFonts w:ascii="Arial" w:hAnsi="Arial" w:cs="Arial"/>
          <w:sz w:val="22"/>
          <w:szCs w:val="22"/>
        </w:rPr>
        <w:t>he R</w:t>
      </w:r>
      <w:r w:rsidR="005360FE" w:rsidRPr="004076EF">
        <w:rPr>
          <w:rFonts w:ascii="Arial" w:hAnsi="Arial" w:cs="Arial"/>
          <w:sz w:val="22"/>
          <w:szCs w:val="22"/>
        </w:rPr>
        <w:t>oad transport industry</w:t>
      </w:r>
      <w:r w:rsidR="0081015F" w:rsidRPr="004076EF">
        <w:rPr>
          <w:rFonts w:ascii="Arial" w:hAnsi="Arial" w:cs="Arial"/>
          <w:sz w:val="22"/>
          <w:szCs w:val="22"/>
        </w:rPr>
        <w:t xml:space="preserve"> has grown by 16</w:t>
      </w:r>
      <w:r>
        <w:rPr>
          <w:rFonts w:ascii="Arial" w:hAnsi="Arial" w:cs="Arial"/>
          <w:sz w:val="22"/>
          <w:szCs w:val="22"/>
        </w:rPr>
        <w:t> </w:t>
      </w:r>
      <w:r w:rsidR="0081015F" w:rsidRPr="004076EF">
        <w:rPr>
          <w:rFonts w:ascii="Arial" w:hAnsi="Arial" w:cs="Arial"/>
          <w:sz w:val="22"/>
          <w:szCs w:val="22"/>
        </w:rPr>
        <w:t>per</w:t>
      </w:r>
      <w:r>
        <w:rPr>
          <w:rFonts w:ascii="Arial" w:hAnsi="Arial" w:cs="Arial"/>
          <w:sz w:val="22"/>
          <w:szCs w:val="22"/>
        </w:rPr>
        <w:t> </w:t>
      </w:r>
      <w:r w:rsidR="0081015F" w:rsidRPr="004076EF">
        <w:rPr>
          <w:rFonts w:ascii="Arial" w:hAnsi="Arial" w:cs="Arial"/>
          <w:sz w:val="22"/>
          <w:szCs w:val="22"/>
        </w:rPr>
        <w:t>cent over the 1</w:t>
      </w:r>
      <w:r w:rsidR="00011CE9" w:rsidRPr="004076EF">
        <w:rPr>
          <w:rFonts w:ascii="Arial" w:hAnsi="Arial" w:cs="Arial"/>
          <w:sz w:val="22"/>
          <w:szCs w:val="22"/>
        </w:rPr>
        <w:t>3</w:t>
      </w:r>
      <w:r w:rsidR="00170B90" w:rsidRPr="004076EF">
        <w:rPr>
          <w:rFonts w:ascii="Arial" w:hAnsi="Arial" w:cs="Arial"/>
          <w:sz w:val="22"/>
          <w:szCs w:val="22"/>
        </w:rPr>
        <w:t> </w:t>
      </w:r>
      <w:r w:rsidR="0081015F" w:rsidRPr="004076EF">
        <w:rPr>
          <w:rFonts w:ascii="Arial" w:hAnsi="Arial" w:cs="Arial"/>
          <w:sz w:val="22"/>
          <w:szCs w:val="22"/>
        </w:rPr>
        <w:t xml:space="preserve">years from </w:t>
      </w:r>
      <w:r w:rsidR="00011CE9" w:rsidRPr="004076EF">
        <w:rPr>
          <w:rFonts w:ascii="Arial" w:hAnsi="Arial" w:cs="Arial"/>
          <w:sz w:val="22"/>
          <w:szCs w:val="22"/>
        </w:rPr>
        <w:t>2003 to 2015</w:t>
      </w:r>
      <w:r w:rsidR="0081015F" w:rsidRPr="004076EF">
        <w:rPr>
          <w:rFonts w:ascii="Arial" w:hAnsi="Arial" w:cs="Arial"/>
          <w:sz w:val="22"/>
          <w:szCs w:val="22"/>
        </w:rPr>
        <w:t>.</w:t>
      </w:r>
      <w:r w:rsidR="005360FE" w:rsidRPr="004076EF">
        <w:rPr>
          <w:rFonts w:ascii="Arial" w:hAnsi="Arial" w:cs="Arial"/>
          <w:sz w:val="22"/>
          <w:szCs w:val="22"/>
        </w:rPr>
        <w:t xml:space="preserve"> </w:t>
      </w:r>
      <w:r w:rsidR="0081015F" w:rsidRPr="004076EF">
        <w:rPr>
          <w:rFonts w:ascii="Arial" w:hAnsi="Arial" w:cs="Arial"/>
          <w:sz w:val="22"/>
          <w:szCs w:val="22"/>
        </w:rPr>
        <w:t>In 2015, 74</w:t>
      </w:r>
      <w:r w:rsidR="005360FE" w:rsidRPr="004076EF">
        <w:rPr>
          <w:rFonts w:ascii="Arial" w:hAnsi="Arial" w:cs="Arial"/>
          <w:sz w:val="22"/>
          <w:szCs w:val="22"/>
        </w:rPr>
        <w:t xml:space="preserve"> per cent of </w:t>
      </w:r>
      <w:r w:rsidR="00340379" w:rsidRPr="004076EF">
        <w:rPr>
          <w:rFonts w:ascii="Arial" w:hAnsi="Arial" w:cs="Arial"/>
          <w:sz w:val="22"/>
          <w:szCs w:val="22"/>
        </w:rPr>
        <w:t>R</w:t>
      </w:r>
      <w:r w:rsidR="009C07DC" w:rsidRPr="004076EF">
        <w:rPr>
          <w:rFonts w:ascii="Arial" w:hAnsi="Arial" w:cs="Arial"/>
          <w:sz w:val="22"/>
          <w:szCs w:val="22"/>
        </w:rPr>
        <w:t xml:space="preserve">oad transport industry </w:t>
      </w:r>
      <w:r w:rsidR="005360FE" w:rsidRPr="004076EF">
        <w:rPr>
          <w:rFonts w:ascii="Arial" w:hAnsi="Arial" w:cs="Arial"/>
          <w:sz w:val="22"/>
          <w:szCs w:val="22"/>
        </w:rPr>
        <w:t>workers were classed as employees and were covered by workers’ compensation schemes.</w:t>
      </w:r>
    </w:p>
    <w:p w:rsidR="005360FE" w:rsidRPr="004076EF" w:rsidRDefault="00DA4DBC" w:rsidP="00564DD2">
      <w:pPr>
        <w:spacing w:line="288" w:lineRule="auto"/>
        <w:rPr>
          <w:rFonts w:ascii="Arial" w:hAnsi="Arial" w:cs="Arial"/>
          <w:sz w:val="22"/>
          <w:szCs w:val="22"/>
        </w:rPr>
      </w:pPr>
      <w:r w:rsidRPr="004076EF">
        <w:rPr>
          <w:rFonts w:ascii="Arial" w:hAnsi="Arial" w:cs="Arial"/>
          <w:sz w:val="22"/>
          <w:szCs w:val="22"/>
        </w:rPr>
        <w:t>While t</w:t>
      </w:r>
      <w:r w:rsidR="005360FE" w:rsidRPr="004076EF">
        <w:rPr>
          <w:rFonts w:ascii="Arial" w:hAnsi="Arial" w:cs="Arial"/>
          <w:sz w:val="22"/>
          <w:szCs w:val="22"/>
        </w:rPr>
        <w:t xml:space="preserve">here have been </w:t>
      </w:r>
      <w:r w:rsidR="009C07DC" w:rsidRPr="004076EF">
        <w:rPr>
          <w:rFonts w:ascii="Arial" w:hAnsi="Arial" w:cs="Arial"/>
          <w:sz w:val="22"/>
          <w:szCs w:val="22"/>
        </w:rPr>
        <w:t>substantial</w:t>
      </w:r>
      <w:r w:rsidR="00427DC5" w:rsidRPr="004076EF">
        <w:rPr>
          <w:rFonts w:ascii="Arial" w:hAnsi="Arial" w:cs="Arial"/>
          <w:sz w:val="22"/>
          <w:szCs w:val="22"/>
        </w:rPr>
        <w:t xml:space="preserve"> reductions in the numbers and rates of injuries and fatalities in this industry over the last</w:t>
      </w:r>
      <w:r w:rsidR="00692110" w:rsidRPr="004076EF">
        <w:rPr>
          <w:rFonts w:ascii="Arial" w:hAnsi="Arial" w:cs="Arial"/>
          <w:sz w:val="22"/>
          <w:szCs w:val="22"/>
        </w:rPr>
        <w:t xml:space="preserve"> 15 years</w:t>
      </w:r>
      <w:r w:rsidRPr="004076EF">
        <w:rPr>
          <w:rFonts w:ascii="Arial" w:hAnsi="Arial" w:cs="Arial"/>
          <w:sz w:val="22"/>
          <w:szCs w:val="22"/>
        </w:rPr>
        <w:t xml:space="preserve">, </w:t>
      </w:r>
      <w:r w:rsidR="00340379" w:rsidRPr="004076EF">
        <w:rPr>
          <w:rFonts w:ascii="Arial" w:hAnsi="Arial" w:cs="Arial"/>
          <w:sz w:val="22"/>
          <w:szCs w:val="22"/>
        </w:rPr>
        <w:t>the R</w:t>
      </w:r>
      <w:r w:rsidR="00692110" w:rsidRPr="004076EF">
        <w:rPr>
          <w:rFonts w:ascii="Arial" w:hAnsi="Arial" w:cs="Arial"/>
          <w:sz w:val="22"/>
          <w:szCs w:val="22"/>
        </w:rPr>
        <w:t>oad transport industry remains a high risk industry</w:t>
      </w:r>
      <w:r w:rsidR="009C07DC" w:rsidRPr="004076EF">
        <w:rPr>
          <w:rFonts w:ascii="Arial" w:hAnsi="Arial" w:cs="Arial"/>
          <w:sz w:val="22"/>
          <w:szCs w:val="22"/>
        </w:rPr>
        <w:t xml:space="preserve"> with claim and fatality rates </w:t>
      </w:r>
      <w:r w:rsidRPr="004076EF">
        <w:rPr>
          <w:rFonts w:ascii="Arial" w:hAnsi="Arial" w:cs="Arial"/>
          <w:sz w:val="22"/>
          <w:szCs w:val="22"/>
        </w:rPr>
        <w:t xml:space="preserve">substantially </w:t>
      </w:r>
      <w:r w:rsidR="009C07DC" w:rsidRPr="004076EF">
        <w:rPr>
          <w:rFonts w:ascii="Arial" w:hAnsi="Arial" w:cs="Arial"/>
          <w:sz w:val="22"/>
          <w:szCs w:val="22"/>
        </w:rPr>
        <w:t>higher than the all industry average</w:t>
      </w:r>
      <w:r w:rsidR="00692110" w:rsidRPr="004076EF">
        <w:rPr>
          <w:rFonts w:ascii="Arial" w:hAnsi="Arial" w:cs="Arial"/>
          <w:sz w:val="22"/>
          <w:szCs w:val="22"/>
        </w:rPr>
        <w:t>.</w:t>
      </w:r>
    </w:p>
    <w:p w:rsidR="00427DC5" w:rsidRDefault="00AC1C7E" w:rsidP="00564DD2">
      <w:pPr>
        <w:spacing w:line="288" w:lineRule="auto"/>
        <w:rPr>
          <w:rFonts w:ascii="Arial" w:hAnsi="Arial" w:cs="Arial"/>
          <w:sz w:val="22"/>
          <w:szCs w:val="22"/>
        </w:rPr>
      </w:pPr>
      <w:r>
        <w:rPr>
          <w:rFonts w:ascii="Arial" w:hAnsi="Arial" w:cs="Arial"/>
          <w:sz w:val="22"/>
          <w:szCs w:val="22"/>
        </w:rPr>
        <w:t>The R</w:t>
      </w:r>
      <w:r w:rsidR="00427DC5" w:rsidRPr="004076EF">
        <w:rPr>
          <w:rFonts w:ascii="Arial" w:hAnsi="Arial" w:cs="Arial"/>
          <w:sz w:val="22"/>
          <w:szCs w:val="22"/>
        </w:rPr>
        <w:t>oad transport industry account</w:t>
      </w:r>
      <w:r w:rsidR="00170B90" w:rsidRPr="004076EF">
        <w:rPr>
          <w:rFonts w:ascii="Arial" w:hAnsi="Arial" w:cs="Arial"/>
          <w:sz w:val="22"/>
          <w:szCs w:val="22"/>
        </w:rPr>
        <w:t>s</w:t>
      </w:r>
      <w:r w:rsidR="00427DC5" w:rsidRPr="004076EF">
        <w:rPr>
          <w:rFonts w:ascii="Arial" w:hAnsi="Arial" w:cs="Arial"/>
          <w:sz w:val="22"/>
          <w:szCs w:val="22"/>
        </w:rPr>
        <w:t xml:space="preserve"> for </w:t>
      </w:r>
      <w:r w:rsidR="00B82799">
        <w:rPr>
          <w:rFonts w:ascii="Arial" w:hAnsi="Arial" w:cs="Arial"/>
          <w:sz w:val="22"/>
          <w:szCs w:val="22"/>
        </w:rPr>
        <w:t>2</w:t>
      </w:r>
      <w:r w:rsidR="00692110" w:rsidRPr="004076EF">
        <w:rPr>
          <w:rFonts w:ascii="Arial" w:hAnsi="Arial" w:cs="Arial"/>
          <w:sz w:val="22"/>
          <w:szCs w:val="22"/>
        </w:rPr>
        <w:t xml:space="preserve"> per cent o</w:t>
      </w:r>
      <w:r w:rsidR="005F226C" w:rsidRPr="004076EF">
        <w:rPr>
          <w:rFonts w:ascii="Arial" w:hAnsi="Arial" w:cs="Arial"/>
          <w:sz w:val="22"/>
          <w:szCs w:val="22"/>
        </w:rPr>
        <w:t>f the Australian workforce</w:t>
      </w:r>
      <w:r w:rsidR="00170B90" w:rsidRPr="004076EF">
        <w:rPr>
          <w:rFonts w:ascii="Arial" w:hAnsi="Arial" w:cs="Arial"/>
          <w:sz w:val="22"/>
          <w:szCs w:val="22"/>
        </w:rPr>
        <w:t>, however, it</w:t>
      </w:r>
      <w:r w:rsidR="005F226C" w:rsidRPr="004076EF">
        <w:rPr>
          <w:rFonts w:ascii="Arial" w:hAnsi="Arial" w:cs="Arial"/>
          <w:sz w:val="22"/>
          <w:szCs w:val="22"/>
        </w:rPr>
        <w:t xml:space="preserve"> </w:t>
      </w:r>
      <w:r w:rsidR="00170B90" w:rsidRPr="004076EF">
        <w:rPr>
          <w:rFonts w:ascii="Arial" w:hAnsi="Arial" w:cs="Arial"/>
          <w:sz w:val="22"/>
          <w:szCs w:val="22"/>
        </w:rPr>
        <w:t xml:space="preserve">accounted for </w:t>
      </w:r>
      <w:r w:rsidR="00DA4DBC" w:rsidRPr="004076EF">
        <w:rPr>
          <w:rFonts w:ascii="Arial" w:hAnsi="Arial" w:cs="Arial"/>
          <w:sz w:val="22"/>
          <w:szCs w:val="22"/>
        </w:rPr>
        <w:t xml:space="preserve">17 per cent of work-related fatalities in 2015 and </w:t>
      </w:r>
      <w:r w:rsidR="00B82799">
        <w:rPr>
          <w:rFonts w:ascii="Arial" w:hAnsi="Arial" w:cs="Arial"/>
          <w:sz w:val="22"/>
          <w:szCs w:val="22"/>
        </w:rPr>
        <w:t>4</w:t>
      </w:r>
      <w:r w:rsidR="00170B90" w:rsidRPr="004076EF">
        <w:rPr>
          <w:rFonts w:ascii="Arial" w:hAnsi="Arial" w:cs="Arial"/>
          <w:sz w:val="22"/>
          <w:szCs w:val="22"/>
        </w:rPr>
        <w:t> </w:t>
      </w:r>
      <w:r w:rsidR="00692110" w:rsidRPr="004076EF">
        <w:rPr>
          <w:rFonts w:ascii="Arial" w:hAnsi="Arial" w:cs="Arial"/>
          <w:sz w:val="22"/>
          <w:szCs w:val="22"/>
        </w:rPr>
        <w:t>per</w:t>
      </w:r>
      <w:r w:rsidR="00170B90" w:rsidRPr="004076EF">
        <w:rPr>
          <w:rFonts w:ascii="Arial" w:hAnsi="Arial" w:cs="Arial"/>
          <w:sz w:val="22"/>
          <w:szCs w:val="22"/>
        </w:rPr>
        <w:t> </w:t>
      </w:r>
      <w:r w:rsidR="00692110" w:rsidRPr="004076EF">
        <w:rPr>
          <w:rFonts w:ascii="Arial" w:hAnsi="Arial" w:cs="Arial"/>
          <w:sz w:val="22"/>
          <w:szCs w:val="22"/>
        </w:rPr>
        <w:t xml:space="preserve">cent of </w:t>
      </w:r>
      <w:r w:rsidR="00170B90" w:rsidRPr="004076EF">
        <w:rPr>
          <w:rFonts w:ascii="Arial" w:hAnsi="Arial" w:cs="Arial"/>
          <w:sz w:val="22"/>
          <w:szCs w:val="22"/>
        </w:rPr>
        <w:t xml:space="preserve">serious </w:t>
      </w:r>
      <w:r w:rsidR="00692110" w:rsidRPr="004076EF">
        <w:rPr>
          <w:rFonts w:ascii="Arial" w:hAnsi="Arial" w:cs="Arial"/>
          <w:sz w:val="22"/>
          <w:szCs w:val="22"/>
        </w:rPr>
        <w:t xml:space="preserve">workers’ compensation claims </w:t>
      </w:r>
      <w:r w:rsidR="009C07DC" w:rsidRPr="004076EF">
        <w:rPr>
          <w:rFonts w:ascii="Arial" w:hAnsi="Arial" w:cs="Arial"/>
          <w:sz w:val="22"/>
          <w:szCs w:val="22"/>
        </w:rPr>
        <w:t>in 2014-15</w:t>
      </w:r>
      <w:r w:rsidR="00DA4DBC" w:rsidRPr="004076EF">
        <w:rPr>
          <w:rFonts w:ascii="Arial" w:hAnsi="Arial" w:cs="Arial"/>
          <w:sz w:val="22"/>
          <w:szCs w:val="22"/>
        </w:rPr>
        <w:t>.</w:t>
      </w:r>
      <w:r w:rsidR="009C07DC" w:rsidRPr="004076EF">
        <w:rPr>
          <w:rFonts w:ascii="Arial" w:hAnsi="Arial" w:cs="Arial"/>
          <w:sz w:val="22"/>
          <w:szCs w:val="22"/>
        </w:rPr>
        <w:t xml:space="preserve"> </w:t>
      </w:r>
    </w:p>
    <w:p w:rsidR="00431310" w:rsidRPr="004076EF" w:rsidRDefault="00431310" w:rsidP="009D3D4B">
      <w:pPr>
        <w:spacing w:after="0" w:line="288" w:lineRule="auto"/>
        <w:rPr>
          <w:rFonts w:ascii="Arial" w:hAnsi="Arial" w:cs="Arial"/>
          <w:sz w:val="22"/>
          <w:szCs w:val="22"/>
        </w:rPr>
      </w:pPr>
      <w:r w:rsidRPr="0002445B">
        <w:rPr>
          <w:rFonts w:ascii="Arial" w:hAnsi="Arial" w:cs="Arial"/>
          <w:b/>
          <w:noProof/>
          <w:sz w:val="22"/>
          <w:szCs w:val="18"/>
        </w:rPr>
        <w:t xml:space="preserve">Table 1: </w:t>
      </w:r>
      <w:r>
        <w:rPr>
          <w:rFonts w:ascii="Arial" w:hAnsi="Arial" w:cs="Arial"/>
          <w:b/>
          <w:noProof/>
          <w:sz w:val="22"/>
          <w:szCs w:val="18"/>
        </w:rPr>
        <w:t>Main causes of injuries and fatalities in the Road transport industry</w:t>
      </w:r>
    </w:p>
    <w:tbl>
      <w:tblPr>
        <w:tblStyle w:val="TableGrid"/>
        <w:tblW w:w="9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Main causes of injuries and fatalities in the Road transport industry"/>
        <w:tblDescription w:val="Table 1 shows that the main causes of injuries in the road transport industry were body stressing (43%), fall, slips &amp; trips (29%) and being hit by moving objects (16%). The main causes of fataliies in the road trasnport industry were vehicle collisions (77%), hit by moving objects (7%) and being hit by falling objects (4%). "/>
      </w:tblPr>
      <w:tblGrid>
        <w:gridCol w:w="850"/>
        <w:gridCol w:w="2835"/>
        <w:gridCol w:w="1101"/>
        <w:gridCol w:w="851"/>
        <w:gridCol w:w="2937"/>
        <w:gridCol w:w="890"/>
      </w:tblGrid>
      <w:tr w:rsidR="00A1063E" w:rsidRPr="004076EF" w:rsidTr="002E66AC">
        <w:trPr>
          <w:tblHeader/>
        </w:trPr>
        <w:tc>
          <w:tcPr>
            <w:tcW w:w="850" w:type="dxa"/>
            <w:shd w:val="clear" w:color="auto" w:fill="AF1E2D"/>
          </w:tcPr>
          <w:p w:rsidR="00251E83" w:rsidRPr="004076EF" w:rsidRDefault="00251E83" w:rsidP="00D80106">
            <w:pPr>
              <w:rPr>
                <w:rFonts w:ascii="Arial" w:hAnsi="Arial" w:cs="Arial"/>
                <w:b/>
                <w:color w:val="FFFFFF" w:themeColor="background1"/>
              </w:rPr>
            </w:pPr>
          </w:p>
        </w:tc>
        <w:tc>
          <w:tcPr>
            <w:tcW w:w="2835" w:type="dxa"/>
            <w:shd w:val="clear" w:color="auto" w:fill="AF1E2D"/>
          </w:tcPr>
          <w:p w:rsidR="00251E83" w:rsidRPr="004076EF" w:rsidRDefault="00251E83" w:rsidP="00D80106">
            <w:pPr>
              <w:rPr>
                <w:rFonts w:ascii="Arial" w:hAnsi="Arial" w:cs="Arial"/>
                <w:b/>
                <w:color w:val="FFFFFF" w:themeColor="background1"/>
              </w:rPr>
            </w:pPr>
            <w:r w:rsidRPr="004076EF">
              <w:rPr>
                <w:rFonts w:ascii="Arial" w:hAnsi="Arial" w:cs="Arial"/>
                <w:b/>
                <w:color w:val="FFFFFF" w:themeColor="background1"/>
              </w:rPr>
              <w:t>Main causes of injury</w:t>
            </w:r>
          </w:p>
        </w:tc>
        <w:tc>
          <w:tcPr>
            <w:tcW w:w="1101" w:type="dxa"/>
            <w:shd w:val="clear" w:color="auto" w:fill="AF1E2D"/>
            <w:vAlign w:val="bottom"/>
          </w:tcPr>
          <w:p w:rsidR="00251E83" w:rsidRPr="004076EF" w:rsidRDefault="00251E83" w:rsidP="00D57E3F">
            <w:pPr>
              <w:jc w:val="center"/>
              <w:rPr>
                <w:rFonts w:ascii="Arial" w:hAnsi="Arial" w:cs="Arial"/>
                <w:b/>
                <w:color w:val="FFFFFF" w:themeColor="background1"/>
              </w:rPr>
            </w:pPr>
            <w:r w:rsidRPr="004076EF">
              <w:rPr>
                <w:rFonts w:ascii="Arial" w:hAnsi="Arial" w:cs="Arial"/>
                <w:b/>
                <w:color w:val="FFFFFF" w:themeColor="background1"/>
              </w:rPr>
              <w:t>%</w:t>
            </w:r>
          </w:p>
        </w:tc>
        <w:tc>
          <w:tcPr>
            <w:tcW w:w="851" w:type="dxa"/>
            <w:shd w:val="clear" w:color="auto" w:fill="AF1E2D"/>
          </w:tcPr>
          <w:p w:rsidR="00251E83" w:rsidRPr="004076EF" w:rsidRDefault="00251E83" w:rsidP="00D80106">
            <w:pPr>
              <w:rPr>
                <w:rFonts w:ascii="Arial" w:hAnsi="Arial" w:cs="Arial"/>
                <w:b/>
                <w:color w:val="FFFFFF" w:themeColor="background1"/>
              </w:rPr>
            </w:pPr>
          </w:p>
        </w:tc>
        <w:tc>
          <w:tcPr>
            <w:tcW w:w="2937" w:type="dxa"/>
            <w:shd w:val="clear" w:color="auto" w:fill="AF1E2D"/>
          </w:tcPr>
          <w:p w:rsidR="00251E83" w:rsidRPr="004076EF" w:rsidRDefault="00251E83" w:rsidP="00D80106">
            <w:pPr>
              <w:rPr>
                <w:rFonts w:ascii="Arial" w:hAnsi="Arial" w:cs="Arial"/>
                <w:b/>
                <w:color w:val="FFFFFF" w:themeColor="background1"/>
              </w:rPr>
            </w:pPr>
            <w:r w:rsidRPr="004076EF">
              <w:rPr>
                <w:rFonts w:ascii="Arial" w:hAnsi="Arial" w:cs="Arial"/>
                <w:b/>
                <w:color w:val="FFFFFF" w:themeColor="background1"/>
              </w:rPr>
              <w:t>Main causes of fatalities</w:t>
            </w:r>
          </w:p>
        </w:tc>
        <w:tc>
          <w:tcPr>
            <w:tcW w:w="890" w:type="dxa"/>
            <w:shd w:val="clear" w:color="auto" w:fill="AF1E2D"/>
          </w:tcPr>
          <w:p w:rsidR="00251E83" w:rsidRPr="004076EF" w:rsidRDefault="00251E83" w:rsidP="00D57E3F">
            <w:pPr>
              <w:jc w:val="center"/>
              <w:rPr>
                <w:rFonts w:ascii="Arial" w:hAnsi="Arial" w:cs="Arial"/>
                <w:b/>
                <w:color w:val="FFFFFF" w:themeColor="background1"/>
              </w:rPr>
            </w:pPr>
            <w:r w:rsidRPr="004076EF">
              <w:rPr>
                <w:rFonts w:ascii="Arial" w:hAnsi="Arial" w:cs="Arial"/>
                <w:b/>
                <w:color w:val="FFFFFF" w:themeColor="background1"/>
              </w:rPr>
              <w:t>%</w:t>
            </w:r>
          </w:p>
        </w:tc>
      </w:tr>
      <w:tr w:rsidR="00251E83" w:rsidRPr="004076EF" w:rsidTr="00A1063E">
        <w:tc>
          <w:tcPr>
            <w:tcW w:w="850" w:type="dxa"/>
          </w:tcPr>
          <w:p w:rsidR="00251E83" w:rsidRPr="004076EF" w:rsidRDefault="00251E83" w:rsidP="00D57E3F">
            <w:pPr>
              <w:spacing w:before="40" w:after="40"/>
              <w:jc w:val="center"/>
              <w:rPr>
                <w:rFonts w:ascii="Arial" w:hAnsi="Arial" w:cs="Arial"/>
                <w:b/>
              </w:rPr>
            </w:pPr>
            <w:r w:rsidRPr="004076EF">
              <w:rPr>
                <w:rFonts w:ascii="Arial" w:hAnsi="Arial" w:cs="Arial"/>
                <w:b/>
              </w:rPr>
              <w:t>1</w:t>
            </w:r>
          </w:p>
        </w:tc>
        <w:tc>
          <w:tcPr>
            <w:tcW w:w="2835" w:type="dxa"/>
          </w:tcPr>
          <w:p w:rsidR="00251E83" w:rsidRPr="004076EF" w:rsidRDefault="00251E83" w:rsidP="00BB12FA">
            <w:pPr>
              <w:spacing w:before="40" w:after="40"/>
              <w:rPr>
                <w:rFonts w:ascii="Arial" w:hAnsi="Arial" w:cs="Arial"/>
              </w:rPr>
            </w:pPr>
            <w:r w:rsidRPr="004076EF">
              <w:rPr>
                <w:rFonts w:ascii="Arial" w:hAnsi="Arial" w:cs="Arial"/>
              </w:rPr>
              <w:t>Body stressing</w:t>
            </w:r>
          </w:p>
        </w:tc>
        <w:tc>
          <w:tcPr>
            <w:tcW w:w="1101" w:type="dxa"/>
            <w:vAlign w:val="bottom"/>
          </w:tcPr>
          <w:p w:rsidR="00251E83" w:rsidRPr="004076EF" w:rsidRDefault="00251E83" w:rsidP="00554F3C">
            <w:pPr>
              <w:spacing w:before="40" w:after="40"/>
              <w:jc w:val="center"/>
              <w:rPr>
                <w:rFonts w:ascii="Arial" w:hAnsi="Arial" w:cs="Arial"/>
              </w:rPr>
            </w:pPr>
            <w:r>
              <w:rPr>
                <w:rFonts w:ascii="Arial" w:hAnsi="Arial" w:cs="Arial"/>
              </w:rPr>
              <w:t>43</w:t>
            </w:r>
          </w:p>
        </w:tc>
        <w:tc>
          <w:tcPr>
            <w:tcW w:w="851" w:type="dxa"/>
          </w:tcPr>
          <w:p w:rsidR="00251E83" w:rsidRPr="004076EF" w:rsidRDefault="00251E83" w:rsidP="00D57E3F">
            <w:pPr>
              <w:spacing w:before="40" w:after="40"/>
              <w:jc w:val="center"/>
              <w:rPr>
                <w:rFonts w:ascii="Arial" w:hAnsi="Arial" w:cs="Arial"/>
                <w:b/>
              </w:rPr>
            </w:pPr>
            <w:r w:rsidRPr="004076EF">
              <w:rPr>
                <w:rFonts w:ascii="Arial" w:hAnsi="Arial" w:cs="Arial"/>
                <w:b/>
              </w:rPr>
              <w:t>1</w:t>
            </w:r>
          </w:p>
        </w:tc>
        <w:tc>
          <w:tcPr>
            <w:tcW w:w="2937" w:type="dxa"/>
          </w:tcPr>
          <w:p w:rsidR="00251E83" w:rsidRPr="004076EF" w:rsidRDefault="00251E83" w:rsidP="00BB12FA">
            <w:pPr>
              <w:spacing w:before="40" w:after="40"/>
              <w:rPr>
                <w:rFonts w:ascii="Arial" w:hAnsi="Arial" w:cs="Arial"/>
              </w:rPr>
            </w:pPr>
            <w:r w:rsidRPr="004076EF">
              <w:rPr>
                <w:rFonts w:ascii="Arial" w:hAnsi="Arial" w:cs="Arial"/>
              </w:rPr>
              <w:t>Vehicle collision</w:t>
            </w:r>
          </w:p>
        </w:tc>
        <w:tc>
          <w:tcPr>
            <w:tcW w:w="890" w:type="dxa"/>
            <w:vAlign w:val="bottom"/>
          </w:tcPr>
          <w:p w:rsidR="00251E83" w:rsidRPr="004076EF" w:rsidRDefault="00251E83" w:rsidP="00D57E3F">
            <w:pPr>
              <w:spacing w:before="40" w:after="40"/>
              <w:jc w:val="center"/>
              <w:rPr>
                <w:rFonts w:ascii="Arial" w:hAnsi="Arial" w:cs="Arial"/>
              </w:rPr>
            </w:pPr>
            <w:r w:rsidRPr="004076EF">
              <w:rPr>
                <w:rFonts w:ascii="Arial" w:hAnsi="Arial" w:cs="Arial"/>
              </w:rPr>
              <w:t>77</w:t>
            </w:r>
          </w:p>
        </w:tc>
      </w:tr>
      <w:tr w:rsidR="00A1063E" w:rsidRPr="004076EF" w:rsidTr="00A1063E">
        <w:tc>
          <w:tcPr>
            <w:tcW w:w="850" w:type="dxa"/>
            <w:shd w:val="clear" w:color="auto" w:fill="F2DBDB" w:themeFill="accent2" w:themeFillTint="33"/>
          </w:tcPr>
          <w:p w:rsidR="00251E83" w:rsidRPr="004076EF" w:rsidRDefault="00251E83" w:rsidP="00D57E3F">
            <w:pPr>
              <w:spacing w:before="40" w:after="40"/>
              <w:jc w:val="center"/>
              <w:rPr>
                <w:rFonts w:ascii="Arial" w:hAnsi="Arial" w:cs="Arial"/>
                <w:b/>
              </w:rPr>
            </w:pPr>
            <w:r w:rsidRPr="004076EF">
              <w:rPr>
                <w:rFonts w:ascii="Arial" w:hAnsi="Arial" w:cs="Arial"/>
                <w:b/>
              </w:rPr>
              <w:t>2</w:t>
            </w:r>
          </w:p>
        </w:tc>
        <w:tc>
          <w:tcPr>
            <w:tcW w:w="2835" w:type="dxa"/>
            <w:shd w:val="clear" w:color="auto" w:fill="F2DBDB" w:themeFill="accent2" w:themeFillTint="33"/>
          </w:tcPr>
          <w:p w:rsidR="00251E83" w:rsidRPr="004076EF" w:rsidRDefault="00251E83" w:rsidP="00BB12FA">
            <w:pPr>
              <w:spacing w:before="40" w:after="40"/>
              <w:rPr>
                <w:rFonts w:ascii="Arial" w:hAnsi="Arial" w:cs="Arial"/>
              </w:rPr>
            </w:pPr>
            <w:r w:rsidRPr="004076EF">
              <w:rPr>
                <w:rFonts w:ascii="Arial" w:hAnsi="Arial" w:cs="Arial"/>
              </w:rPr>
              <w:t>Falls, trips &amp; slips of a person</w:t>
            </w:r>
          </w:p>
        </w:tc>
        <w:tc>
          <w:tcPr>
            <w:tcW w:w="1101" w:type="dxa"/>
            <w:shd w:val="clear" w:color="auto" w:fill="F2DBDB" w:themeFill="accent2" w:themeFillTint="33"/>
            <w:vAlign w:val="bottom"/>
          </w:tcPr>
          <w:p w:rsidR="00251E83" w:rsidRPr="004076EF" w:rsidRDefault="00251E83" w:rsidP="00D57E3F">
            <w:pPr>
              <w:spacing w:before="40" w:after="40"/>
              <w:jc w:val="center"/>
              <w:rPr>
                <w:rFonts w:ascii="Arial" w:hAnsi="Arial" w:cs="Arial"/>
              </w:rPr>
            </w:pPr>
            <w:r w:rsidRPr="004076EF">
              <w:rPr>
                <w:rFonts w:ascii="Arial" w:hAnsi="Arial" w:cs="Arial"/>
              </w:rPr>
              <w:t>29</w:t>
            </w:r>
          </w:p>
        </w:tc>
        <w:tc>
          <w:tcPr>
            <w:tcW w:w="851" w:type="dxa"/>
            <w:shd w:val="clear" w:color="auto" w:fill="F2DBDB" w:themeFill="accent2" w:themeFillTint="33"/>
          </w:tcPr>
          <w:p w:rsidR="00251E83" w:rsidRPr="004076EF" w:rsidRDefault="00251E83" w:rsidP="00D57E3F">
            <w:pPr>
              <w:spacing w:before="40" w:after="40"/>
              <w:jc w:val="center"/>
              <w:rPr>
                <w:rFonts w:ascii="Arial" w:hAnsi="Arial" w:cs="Arial"/>
                <w:b/>
              </w:rPr>
            </w:pPr>
            <w:r w:rsidRPr="004076EF">
              <w:rPr>
                <w:rFonts w:ascii="Arial" w:hAnsi="Arial" w:cs="Arial"/>
                <w:b/>
              </w:rPr>
              <w:t>2</w:t>
            </w:r>
          </w:p>
        </w:tc>
        <w:tc>
          <w:tcPr>
            <w:tcW w:w="2937" w:type="dxa"/>
            <w:shd w:val="clear" w:color="auto" w:fill="F2DBDB" w:themeFill="accent2" w:themeFillTint="33"/>
          </w:tcPr>
          <w:p w:rsidR="00251E83" w:rsidRPr="004076EF" w:rsidRDefault="00251E83" w:rsidP="00BB12FA">
            <w:pPr>
              <w:spacing w:before="40" w:after="40"/>
              <w:rPr>
                <w:rFonts w:ascii="Arial" w:hAnsi="Arial" w:cs="Arial"/>
              </w:rPr>
            </w:pPr>
            <w:r w:rsidRPr="004076EF">
              <w:rPr>
                <w:rFonts w:ascii="Arial" w:hAnsi="Arial" w:cs="Arial"/>
              </w:rPr>
              <w:t>Hit by moving objects</w:t>
            </w:r>
          </w:p>
        </w:tc>
        <w:tc>
          <w:tcPr>
            <w:tcW w:w="890" w:type="dxa"/>
            <w:shd w:val="clear" w:color="auto" w:fill="F2DBDB" w:themeFill="accent2" w:themeFillTint="33"/>
            <w:vAlign w:val="bottom"/>
          </w:tcPr>
          <w:p w:rsidR="00251E83" w:rsidRPr="004076EF" w:rsidRDefault="00251E83" w:rsidP="00D57E3F">
            <w:pPr>
              <w:spacing w:before="40" w:after="40"/>
              <w:jc w:val="center"/>
              <w:rPr>
                <w:rFonts w:ascii="Arial" w:hAnsi="Arial" w:cs="Arial"/>
              </w:rPr>
            </w:pPr>
            <w:r w:rsidRPr="004076EF">
              <w:rPr>
                <w:rFonts w:ascii="Arial" w:hAnsi="Arial" w:cs="Arial"/>
              </w:rPr>
              <w:t>7</w:t>
            </w:r>
          </w:p>
        </w:tc>
      </w:tr>
      <w:tr w:rsidR="00A1063E" w:rsidRPr="004076EF" w:rsidTr="00A1063E">
        <w:tc>
          <w:tcPr>
            <w:tcW w:w="850" w:type="dxa"/>
          </w:tcPr>
          <w:p w:rsidR="00251E83" w:rsidRPr="004076EF" w:rsidRDefault="00251E83" w:rsidP="00D57E3F">
            <w:pPr>
              <w:spacing w:before="40" w:after="40"/>
              <w:jc w:val="center"/>
              <w:rPr>
                <w:rFonts w:ascii="Arial" w:hAnsi="Arial" w:cs="Arial"/>
                <w:b/>
              </w:rPr>
            </w:pPr>
            <w:r w:rsidRPr="004076EF">
              <w:rPr>
                <w:rFonts w:ascii="Arial" w:hAnsi="Arial" w:cs="Arial"/>
                <w:b/>
              </w:rPr>
              <w:t>3</w:t>
            </w:r>
          </w:p>
        </w:tc>
        <w:tc>
          <w:tcPr>
            <w:tcW w:w="2835" w:type="dxa"/>
          </w:tcPr>
          <w:p w:rsidR="00251E83" w:rsidRPr="004076EF" w:rsidRDefault="00251E83" w:rsidP="00BB12FA">
            <w:pPr>
              <w:spacing w:before="40" w:after="40"/>
              <w:rPr>
                <w:rFonts w:ascii="Arial" w:hAnsi="Arial" w:cs="Arial"/>
              </w:rPr>
            </w:pPr>
            <w:r w:rsidRPr="004076EF">
              <w:rPr>
                <w:rFonts w:ascii="Arial" w:hAnsi="Arial" w:cs="Arial"/>
              </w:rPr>
              <w:t>Being hit by moving objects</w:t>
            </w:r>
          </w:p>
        </w:tc>
        <w:tc>
          <w:tcPr>
            <w:tcW w:w="1101" w:type="dxa"/>
            <w:vAlign w:val="bottom"/>
          </w:tcPr>
          <w:p w:rsidR="00251E83" w:rsidRPr="004076EF" w:rsidRDefault="00251E83" w:rsidP="00D57E3F">
            <w:pPr>
              <w:spacing w:before="40" w:after="40"/>
              <w:jc w:val="center"/>
              <w:rPr>
                <w:rFonts w:ascii="Arial" w:hAnsi="Arial" w:cs="Arial"/>
              </w:rPr>
            </w:pPr>
            <w:r w:rsidRPr="004076EF">
              <w:rPr>
                <w:rFonts w:ascii="Arial" w:hAnsi="Arial" w:cs="Arial"/>
              </w:rPr>
              <w:t>16</w:t>
            </w:r>
          </w:p>
        </w:tc>
        <w:tc>
          <w:tcPr>
            <w:tcW w:w="851" w:type="dxa"/>
          </w:tcPr>
          <w:p w:rsidR="00251E83" w:rsidRPr="004076EF" w:rsidRDefault="00251E83" w:rsidP="00D57E3F">
            <w:pPr>
              <w:spacing w:before="40" w:after="40"/>
              <w:jc w:val="center"/>
              <w:rPr>
                <w:rFonts w:ascii="Arial" w:hAnsi="Arial" w:cs="Arial"/>
                <w:b/>
              </w:rPr>
            </w:pPr>
            <w:r w:rsidRPr="004076EF">
              <w:rPr>
                <w:rFonts w:ascii="Arial" w:hAnsi="Arial" w:cs="Arial"/>
                <w:b/>
              </w:rPr>
              <w:t>3</w:t>
            </w:r>
          </w:p>
        </w:tc>
        <w:tc>
          <w:tcPr>
            <w:tcW w:w="2937" w:type="dxa"/>
          </w:tcPr>
          <w:p w:rsidR="00251E83" w:rsidRPr="004076EF" w:rsidRDefault="00251E83" w:rsidP="00BB12FA">
            <w:pPr>
              <w:spacing w:before="40" w:after="40"/>
              <w:rPr>
                <w:rFonts w:ascii="Arial" w:hAnsi="Arial" w:cs="Arial"/>
              </w:rPr>
            </w:pPr>
            <w:r w:rsidRPr="004076EF">
              <w:rPr>
                <w:rFonts w:ascii="Arial" w:hAnsi="Arial" w:cs="Arial"/>
              </w:rPr>
              <w:t>Being hit by falling object</w:t>
            </w:r>
          </w:p>
        </w:tc>
        <w:tc>
          <w:tcPr>
            <w:tcW w:w="890" w:type="dxa"/>
            <w:vAlign w:val="bottom"/>
          </w:tcPr>
          <w:p w:rsidR="00251E83" w:rsidRPr="004076EF" w:rsidRDefault="00251E83" w:rsidP="00D57E3F">
            <w:pPr>
              <w:spacing w:before="40" w:after="40"/>
              <w:jc w:val="center"/>
              <w:rPr>
                <w:rFonts w:ascii="Arial" w:hAnsi="Arial" w:cs="Arial"/>
              </w:rPr>
            </w:pPr>
            <w:r w:rsidRPr="004076EF">
              <w:rPr>
                <w:rFonts w:ascii="Arial" w:hAnsi="Arial" w:cs="Arial"/>
              </w:rPr>
              <w:t>4</w:t>
            </w:r>
          </w:p>
        </w:tc>
      </w:tr>
    </w:tbl>
    <w:p w:rsidR="00F62087" w:rsidRDefault="00F62087" w:rsidP="00046BC1">
      <w:pPr>
        <w:rPr>
          <w:rFonts w:ascii="Arial" w:hAnsi="Arial" w:cs="Arial"/>
          <w:sz w:val="22"/>
          <w:szCs w:val="22"/>
        </w:rPr>
        <w:sectPr w:rsidR="00F62087" w:rsidSect="00F62087">
          <w:footerReference w:type="default" r:id="rId11"/>
          <w:pgSz w:w="11906" w:h="16838" w:code="9"/>
          <w:pgMar w:top="1238" w:right="1134" w:bottom="1135" w:left="1418" w:header="567" w:footer="725" w:gutter="0"/>
          <w:cols w:space="708"/>
          <w:docGrid w:linePitch="360"/>
        </w:sectPr>
      </w:pPr>
    </w:p>
    <w:p w:rsidR="009F55BE" w:rsidRPr="007F5A29" w:rsidRDefault="00292D90" w:rsidP="009F55BE">
      <w:pPr>
        <w:rPr>
          <w:rFonts w:ascii="Arial" w:hAnsi="Arial" w:cs="Arial"/>
          <w:b/>
          <w:color w:val="C10A27"/>
          <w:sz w:val="32"/>
          <w:szCs w:val="24"/>
        </w:rPr>
      </w:pPr>
      <w:r w:rsidRPr="007F5A29">
        <w:rPr>
          <w:rFonts w:ascii="Arial" w:hAnsi="Arial" w:cs="Arial"/>
          <w:b/>
          <w:color w:val="C10A27"/>
          <w:sz w:val="32"/>
          <w:szCs w:val="24"/>
        </w:rPr>
        <w:lastRenderedPageBreak/>
        <w:t xml:space="preserve">SERIOUS </w:t>
      </w:r>
      <w:r w:rsidR="00DA4DBC" w:rsidRPr="007F5A29">
        <w:rPr>
          <w:rFonts w:ascii="Arial" w:hAnsi="Arial" w:cs="Arial"/>
          <w:b/>
          <w:color w:val="C10A27"/>
          <w:sz w:val="32"/>
          <w:szCs w:val="24"/>
        </w:rPr>
        <w:t>WORKERS</w:t>
      </w:r>
      <w:r w:rsidR="00B82799">
        <w:rPr>
          <w:rFonts w:ascii="Arial" w:hAnsi="Arial" w:cs="Arial"/>
          <w:b/>
          <w:color w:val="C10A27"/>
          <w:sz w:val="32"/>
          <w:szCs w:val="24"/>
        </w:rPr>
        <w:t>’</w:t>
      </w:r>
      <w:r w:rsidR="00DA4DBC" w:rsidRPr="007F5A29">
        <w:rPr>
          <w:rFonts w:ascii="Arial" w:hAnsi="Arial" w:cs="Arial"/>
          <w:b/>
          <w:color w:val="C10A27"/>
          <w:sz w:val="32"/>
          <w:szCs w:val="24"/>
        </w:rPr>
        <w:t xml:space="preserve"> COMPENSATION </w:t>
      </w:r>
      <w:r w:rsidRPr="007F5A29">
        <w:rPr>
          <w:rFonts w:ascii="Arial" w:hAnsi="Arial" w:cs="Arial"/>
          <w:b/>
          <w:color w:val="C10A27"/>
          <w:sz w:val="32"/>
          <w:szCs w:val="24"/>
        </w:rPr>
        <w:t>CLAIMS</w:t>
      </w:r>
    </w:p>
    <w:p w:rsidR="0024348C" w:rsidRPr="004076EF" w:rsidRDefault="0024348C" w:rsidP="009F55BE">
      <w:pPr>
        <w:rPr>
          <w:rFonts w:ascii="Arial" w:hAnsi="Arial" w:cs="Arial"/>
          <w:b/>
          <w:color w:val="365F91" w:themeColor="accent1" w:themeShade="BF"/>
          <w:sz w:val="24"/>
          <w:szCs w:val="24"/>
        </w:rPr>
      </w:pPr>
    </w:p>
    <w:p w:rsidR="00292D90" w:rsidRPr="004076EF" w:rsidRDefault="00B45EF7" w:rsidP="00564DD2">
      <w:pPr>
        <w:spacing w:line="288" w:lineRule="auto"/>
        <w:rPr>
          <w:rFonts w:ascii="Arial" w:hAnsi="Arial" w:cs="Arial"/>
          <w:sz w:val="22"/>
          <w:szCs w:val="22"/>
        </w:rPr>
      </w:pPr>
      <w:r>
        <w:rPr>
          <w:rFonts w:ascii="Arial" w:hAnsi="Arial" w:cs="Arial"/>
          <w:noProof/>
          <w:sz w:val="22"/>
          <w:szCs w:val="22"/>
        </w:rPr>
        <w:drawing>
          <wp:anchor distT="0" distB="0" distL="114300" distR="114300" simplePos="0" relativeHeight="251668480" behindDoc="0" locked="0" layoutInCell="1" allowOverlap="1">
            <wp:simplePos x="0" y="0"/>
            <wp:positionH relativeFrom="column">
              <wp:posOffset>3175</wp:posOffset>
            </wp:positionH>
            <wp:positionV relativeFrom="paragraph">
              <wp:posOffset>-5715</wp:posOffset>
            </wp:positionV>
            <wp:extent cx="3200400" cy="2508885"/>
            <wp:effectExtent l="0" t="0" r="0" b="5715"/>
            <wp:wrapSquare wrapText="bothSides"/>
            <wp:docPr id="3" name="Picture 3" descr="This infographic shows that:&#10;- There are 5100 serious claims each year in the road transport industry - this equates to 14 each day&#10;- Typically, 7.4 weeks were lost from work, and &#10;- $12 800 was the median compensation payment." title="Serious claims in the road transport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ious claims_080520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2508885"/>
                    </a:xfrm>
                    <a:prstGeom prst="rect">
                      <a:avLst/>
                    </a:prstGeom>
                  </pic:spPr>
                </pic:pic>
              </a:graphicData>
            </a:graphic>
            <wp14:sizeRelH relativeFrom="page">
              <wp14:pctWidth>0</wp14:pctWidth>
            </wp14:sizeRelH>
            <wp14:sizeRelV relativeFrom="page">
              <wp14:pctHeight>0</wp14:pctHeight>
            </wp14:sizeRelV>
          </wp:anchor>
        </w:drawing>
      </w:r>
      <w:r w:rsidR="0001009B" w:rsidRPr="004076EF">
        <w:rPr>
          <w:rFonts w:ascii="Arial" w:hAnsi="Arial" w:cs="Arial"/>
          <w:sz w:val="22"/>
          <w:szCs w:val="22"/>
        </w:rPr>
        <w:t>A serious claim is</w:t>
      </w:r>
      <w:r w:rsidR="00292D90" w:rsidRPr="004076EF">
        <w:rPr>
          <w:rFonts w:ascii="Arial" w:hAnsi="Arial" w:cs="Arial"/>
          <w:sz w:val="22"/>
          <w:szCs w:val="22"/>
        </w:rPr>
        <w:t xml:space="preserve"> a workers’ compensation claim for an incapacity </w:t>
      </w:r>
      <w:r w:rsidR="00B82E5A" w:rsidRPr="004076EF">
        <w:rPr>
          <w:rFonts w:ascii="Arial" w:hAnsi="Arial" w:cs="Arial"/>
          <w:sz w:val="22"/>
          <w:szCs w:val="22"/>
        </w:rPr>
        <w:t>which</w:t>
      </w:r>
      <w:r w:rsidR="00292D90" w:rsidRPr="004076EF">
        <w:rPr>
          <w:rFonts w:ascii="Arial" w:hAnsi="Arial" w:cs="Arial"/>
          <w:sz w:val="22"/>
          <w:szCs w:val="22"/>
        </w:rPr>
        <w:t xml:space="preserve"> results in a total absence from work of one working week or more. The </w:t>
      </w:r>
      <w:r w:rsidR="00B82E5A" w:rsidRPr="004076EF">
        <w:rPr>
          <w:rFonts w:ascii="Arial" w:hAnsi="Arial" w:cs="Arial"/>
          <w:sz w:val="22"/>
          <w:szCs w:val="22"/>
        </w:rPr>
        <w:t>number</w:t>
      </w:r>
      <w:r w:rsidR="00C7047B" w:rsidRPr="004076EF">
        <w:rPr>
          <w:rFonts w:ascii="Arial" w:hAnsi="Arial" w:cs="Arial"/>
          <w:sz w:val="22"/>
          <w:szCs w:val="22"/>
        </w:rPr>
        <w:t xml:space="preserve"> of serious claims reported in 2014-15 are</w:t>
      </w:r>
      <w:r w:rsidR="0001009B" w:rsidRPr="004076EF">
        <w:rPr>
          <w:rFonts w:ascii="Arial" w:hAnsi="Arial" w:cs="Arial"/>
          <w:sz w:val="22"/>
          <w:szCs w:val="22"/>
        </w:rPr>
        <w:t xml:space="preserve"> preliminary (as denoted by the letter ‘p’) and are likely to increase as more claims are accepted or amended </w:t>
      </w:r>
      <w:r w:rsidR="009C07DC" w:rsidRPr="004076EF">
        <w:rPr>
          <w:rFonts w:ascii="Arial" w:hAnsi="Arial" w:cs="Arial"/>
          <w:sz w:val="22"/>
          <w:szCs w:val="22"/>
        </w:rPr>
        <w:t>by jurisdictional authorities</w:t>
      </w:r>
      <w:r w:rsidR="0001009B" w:rsidRPr="004076EF">
        <w:rPr>
          <w:rFonts w:ascii="Arial" w:hAnsi="Arial" w:cs="Arial"/>
          <w:sz w:val="22"/>
          <w:szCs w:val="22"/>
        </w:rPr>
        <w:t>.</w:t>
      </w:r>
    </w:p>
    <w:p w:rsidR="00BB12FA" w:rsidRPr="007F5A29" w:rsidRDefault="00BB12FA" w:rsidP="007F5A29">
      <w:pPr>
        <w:rPr>
          <w:rFonts w:ascii="Arial" w:hAnsi="Arial" w:cs="Arial"/>
          <w:b/>
          <w:color w:val="365F91" w:themeColor="accent1" w:themeShade="BF"/>
          <w:sz w:val="28"/>
          <w:szCs w:val="24"/>
        </w:rPr>
      </w:pPr>
      <w:r w:rsidRPr="007F5A29">
        <w:rPr>
          <w:rFonts w:ascii="Arial" w:hAnsi="Arial" w:cs="Arial"/>
          <w:b/>
          <w:color w:val="AF1E2D"/>
          <w:sz w:val="28"/>
          <w:szCs w:val="24"/>
        </w:rPr>
        <w:t>Trends in serious claims</w:t>
      </w:r>
    </w:p>
    <w:p w:rsidR="00BB12FA" w:rsidRPr="004076EF" w:rsidRDefault="00FA03F8" w:rsidP="00564DD2">
      <w:pPr>
        <w:spacing w:line="288" w:lineRule="auto"/>
        <w:rPr>
          <w:rFonts w:ascii="Arial" w:hAnsi="Arial" w:cs="Arial"/>
          <w:sz w:val="22"/>
          <w:szCs w:val="22"/>
        </w:rPr>
      </w:pPr>
      <w:r>
        <w:rPr>
          <w:rFonts w:ascii="Arial" w:hAnsi="Arial" w:cs="Arial"/>
          <w:sz w:val="22"/>
          <w:szCs w:val="22"/>
        </w:rPr>
        <w:t xml:space="preserve">Over the period from 2001-02 to 2014-15 there has been on average 5100 serious claims made in the Road transport industry </w:t>
      </w:r>
      <w:r w:rsidR="00C56FFA">
        <w:rPr>
          <w:rFonts w:ascii="Arial" w:hAnsi="Arial" w:cs="Arial"/>
          <w:sz w:val="22"/>
          <w:szCs w:val="22"/>
        </w:rPr>
        <w:t>each</w:t>
      </w:r>
      <w:r>
        <w:rPr>
          <w:rFonts w:ascii="Arial" w:hAnsi="Arial" w:cs="Arial"/>
          <w:sz w:val="22"/>
          <w:szCs w:val="22"/>
        </w:rPr>
        <w:t xml:space="preserve"> year. </w:t>
      </w:r>
      <w:r w:rsidR="00BB12FA" w:rsidRPr="004076EF">
        <w:rPr>
          <w:rFonts w:ascii="Arial" w:hAnsi="Arial" w:cs="Arial"/>
          <w:sz w:val="22"/>
          <w:szCs w:val="22"/>
        </w:rPr>
        <w:t>F</w:t>
      </w:r>
      <w:r w:rsidR="00F6735C" w:rsidRPr="004076EF">
        <w:rPr>
          <w:rFonts w:ascii="Arial" w:hAnsi="Arial" w:cs="Arial"/>
          <w:sz w:val="22"/>
          <w:szCs w:val="22"/>
        </w:rPr>
        <w:t>igure 1</w:t>
      </w:r>
      <w:r>
        <w:rPr>
          <w:rFonts w:ascii="Arial" w:hAnsi="Arial" w:cs="Arial"/>
          <w:sz w:val="22"/>
          <w:szCs w:val="22"/>
        </w:rPr>
        <w:t>, however,</w:t>
      </w:r>
      <w:r w:rsidR="00F6735C" w:rsidRPr="004076EF">
        <w:rPr>
          <w:rFonts w:ascii="Arial" w:hAnsi="Arial" w:cs="Arial"/>
          <w:sz w:val="22"/>
          <w:szCs w:val="22"/>
        </w:rPr>
        <w:t xml:space="preserve"> shows </w:t>
      </w:r>
      <w:r w:rsidR="00DA4DBC" w:rsidRPr="004076EF">
        <w:rPr>
          <w:rFonts w:ascii="Arial" w:hAnsi="Arial" w:cs="Arial"/>
          <w:sz w:val="22"/>
          <w:szCs w:val="22"/>
        </w:rPr>
        <w:t xml:space="preserve">that despite a rise between 2007-08 and 2011-12, </w:t>
      </w:r>
      <w:r w:rsidR="00F6735C" w:rsidRPr="004076EF">
        <w:rPr>
          <w:rFonts w:ascii="Arial" w:hAnsi="Arial" w:cs="Arial"/>
          <w:sz w:val="22"/>
          <w:szCs w:val="22"/>
        </w:rPr>
        <w:t>the frequ</w:t>
      </w:r>
      <w:r w:rsidR="00340379" w:rsidRPr="004076EF">
        <w:rPr>
          <w:rFonts w:ascii="Arial" w:hAnsi="Arial" w:cs="Arial"/>
          <w:sz w:val="22"/>
          <w:szCs w:val="22"/>
        </w:rPr>
        <w:t xml:space="preserve">ency rate of serious claims in </w:t>
      </w:r>
      <w:r w:rsidR="007F5A29">
        <w:rPr>
          <w:rFonts w:ascii="Arial" w:hAnsi="Arial" w:cs="Arial"/>
          <w:sz w:val="22"/>
          <w:szCs w:val="22"/>
        </w:rPr>
        <w:t xml:space="preserve">the </w:t>
      </w:r>
      <w:r w:rsidR="00340379" w:rsidRPr="004076EF">
        <w:rPr>
          <w:rFonts w:ascii="Arial" w:hAnsi="Arial" w:cs="Arial"/>
          <w:sz w:val="22"/>
          <w:szCs w:val="22"/>
        </w:rPr>
        <w:t>R</w:t>
      </w:r>
      <w:r w:rsidR="00F6735C" w:rsidRPr="004076EF">
        <w:rPr>
          <w:rFonts w:ascii="Arial" w:hAnsi="Arial" w:cs="Arial"/>
          <w:sz w:val="22"/>
          <w:szCs w:val="22"/>
        </w:rPr>
        <w:t xml:space="preserve">oad transport </w:t>
      </w:r>
      <w:r w:rsidR="007F5A29">
        <w:rPr>
          <w:rFonts w:ascii="Arial" w:hAnsi="Arial" w:cs="Arial"/>
          <w:sz w:val="22"/>
          <w:szCs w:val="22"/>
        </w:rPr>
        <w:t xml:space="preserve">industry </w:t>
      </w:r>
      <w:r w:rsidR="00F6735C" w:rsidRPr="004076EF">
        <w:rPr>
          <w:rFonts w:ascii="Arial" w:hAnsi="Arial" w:cs="Arial"/>
          <w:sz w:val="22"/>
          <w:szCs w:val="22"/>
        </w:rPr>
        <w:t xml:space="preserve">has fallen </w:t>
      </w:r>
      <w:r w:rsidR="002444A9" w:rsidRPr="004076EF">
        <w:rPr>
          <w:rFonts w:ascii="Arial" w:hAnsi="Arial" w:cs="Arial"/>
          <w:sz w:val="22"/>
          <w:szCs w:val="22"/>
        </w:rPr>
        <w:t>27</w:t>
      </w:r>
      <w:r w:rsidR="00F6735C" w:rsidRPr="004076EF">
        <w:rPr>
          <w:rFonts w:ascii="Arial" w:hAnsi="Arial" w:cs="Arial"/>
          <w:sz w:val="22"/>
          <w:szCs w:val="22"/>
        </w:rPr>
        <w:t xml:space="preserve"> pe</w:t>
      </w:r>
      <w:r w:rsidR="002D4E89" w:rsidRPr="004076EF">
        <w:rPr>
          <w:rFonts w:ascii="Arial" w:hAnsi="Arial" w:cs="Arial"/>
          <w:sz w:val="22"/>
          <w:szCs w:val="22"/>
        </w:rPr>
        <w:t xml:space="preserve">r cent from </w:t>
      </w:r>
      <w:r w:rsidR="002444A9" w:rsidRPr="004076EF">
        <w:rPr>
          <w:rFonts w:ascii="Arial" w:hAnsi="Arial" w:cs="Arial"/>
          <w:sz w:val="22"/>
          <w:szCs w:val="22"/>
        </w:rPr>
        <w:t xml:space="preserve">15.5 </w:t>
      </w:r>
      <w:r w:rsidR="002D4E89" w:rsidRPr="004076EF">
        <w:rPr>
          <w:rFonts w:ascii="Arial" w:hAnsi="Arial" w:cs="Arial"/>
          <w:sz w:val="22"/>
          <w:szCs w:val="22"/>
        </w:rPr>
        <w:t xml:space="preserve">claims per </w:t>
      </w:r>
      <w:r w:rsidR="00F6735C" w:rsidRPr="004076EF">
        <w:rPr>
          <w:rFonts w:ascii="Arial" w:hAnsi="Arial" w:cs="Arial"/>
          <w:sz w:val="22"/>
          <w:szCs w:val="22"/>
        </w:rPr>
        <w:t>million hours worked</w:t>
      </w:r>
      <w:r w:rsidR="002444A9" w:rsidRPr="004076EF">
        <w:rPr>
          <w:rFonts w:ascii="Arial" w:hAnsi="Arial" w:cs="Arial"/>
          <w:sz w:val="22"/>
          <w:szCs w:val="22"/>
        </w:rPr>
        <w:t xml:space="preserve"> in 2001-02 to 11.3</w:t>
      </w:r>
      <w:r w:rsidR="0086407B">
        <w:rPr>
          <w:rFonts w:ascii="Arial" w:hAnsi="Arial" w:cs="Arial"/>
          <w:sz w:val="22"/>
          <w:szCs w:val="22"/>
        </w:rPr>
        <w:t xml:space="preserve"> claims per million hours worked</w:t>
      </w:r>
      <w:r w:rsidR="002444A9" w:rsidRPr="004076EF">
        <w:rPr>
          <w:rFonts w:ascii="Arial" w:hAnsi="Arial" w:cs="Arial"/>
          <w:sz w:val="22"/>
          <w:szCs w:val="22"/>
        </w:rPr>
        <w:t xml:space="preserve"> in 2014-15</w:t>
      </w:r>
      <w:r w:rsidR="00F62087">
        <w:rPr>
          <w:rFonts w:ascii="Arial" w:hAnsi="Arial" w:cs="Arial"/>
          <w:sz w:val="22"/>
          <w:szCs w:val="22"/>
        </w:rPr>
        <w:t>p</w:t>
      </w:r>
      <w:r w:rsidR="00DA4DBC" w:rsidRPr="004076EF">
        <w:rPr>
          <w:rFonts w:ascii="Arial" w:hAnsi="Arial" w:cs="Arial"/>
          <w:sz w:val="22"/>
          <w:szCs w:val="22"/>
        </w:rPr>
        <w:t>.</w:t>
      </w:r>
      <w:r w:rsidR="009726E3" w:rsidRPr="004076EF">
        <w:rPr>
          <w:rFonts w:ascii="Arial" w:hAnsi="Arial" w:cs="Arial"/>
          <w:sz w:val="22"/>
          <w:szCs w:val="22"/>
        </w:rPr>
        <w:t xml:space="preserve"> </w:t>
      </w:r>
      <w:r w:rsidR="00DA4DBC" w:rsidRPr="004076EF">
        <w:rPr>
          <w:rFonts w:ascii="Arial" w:hAnsi="Arial" w:cs="Arial"/>
          <w:sz w:val="22"/>
          <w:szCs w:val="22"/>
        </w:rPr>
        <w:t>T</w:t>
      </w:r>
      <w:r w:rsidR="00F6735C" w:rsidRPr="004076EF">
        <w:rPr>
          <w:rFonts w:ascii="Arial" w:hAnsi="Arial" w:cs="Arial"/>
          <w:sz w:val="22"/>
          <w:szCs w:val="22"/>
        </w:rPr>
        <w:t>his rate</w:t>
      </w:r>
      <w:r w:rsidR="00DA4DBC" w:rsidRPr="004076EF">
        <w:rPr>
          <w:rFonts w:ascii="Arial" w:hAnsi="Arial" w:cs="Arial"/>
          <w:sz w:val="22"/>
          <w:szCs w:val="22"/>
        </w:rPr>
        <w:t>, however,</w:t>
      </w:r>
      <w:r w:rsidR="00F6735C" w:rsidRPr="004076EF">
        <w:rPr>
          <w:rFonts w:ascii="Arial" w:hAnsi="Arial" w:cs="Arial"/>
          <w:sz w:val="22"/>
          <w:szCs w:val="22"/>
        </w:rPr>
        <w:t xml:space="preserve"> remains </w:t>
      </w:r>
      <w:r w:rsidR="002444A9" w:rsidRPr="004076EF">
        <w:rPr>
          <w:rFonts w:ascii="Arial" w:hAnsi="Arial" w:cs="Arial"/>
          <w:sz w:val="22"/>
          <w:szCs w:val="22"/>
        </w:rPr>
        <w:t>almost double</w:t>
      </w:r>
      <w:r w:rsidR="00F6735C" w:rsidRPr="004076EF">
        <w:rPr>
          <w:rFonts w:ascii="Arial" w:hAnsi="Arial" w:cs="Arial"/>
          <w:sz w:val="22"/>
          <w:szCs w:val="22"/>
        </w:rPr>
        <w:t xml:space="preserve"> </w:t>
      </w:r>
      <w:r w:rsidR="002444A9" w:rsidRPr="004076EF">
        <w:rPr>
          <w:rFonts w:ascii="Arial" w:hAnsi="Arial" w:cs="Arial"/>
          <w:sz w:val="22"/>
          <w:szCs w:val="22"/>
        </w:rPr>
        <w:t>the rate for all industries (6.5</w:t>
      </w:r>
      <w:r w:rsidR="009711BB">
        <w:rPr>
          <w:rFonts w:ascii="Arial" w:hAnsi="Arial" w:cs="Arial"/>
          <w:sz w:val="22"/>
          <w:szCs w:val="22"/>
        </w:rPr>
        <w:t xml:space="preserve"> </w:t>
      </w:r>
      <w:r w:rsidR="000B7228">
        <w:rPr>
          <w:rFonts w:ascii="Arial" w:hAnsi="Arial" w:cs="Arial"/>
          <w:sz w:val="22"/>
          <w:szCs w:val="22"/>
        </w:rPr>
        <w:t>claims per million hours worked</w:t>
      </w:r>
      <w:r w:rsidR="00F6735C" w:rsidRPr="004076EF">
        <w:rPr>
          <w:rFonts w:ascii="Arial" w:hAnsi="Arial" w:cs="Arial"/>
          <w:sz w:val="22"/>
          <w:szCs w:val="22"/>
        </w:rPr>
        <w:t xml:space="preserve">) and was the </w:t>
      </w:r>
      <w:r w:rsidR="008D53D4" w:rsidRPr="004076EF">
        <w:rPr>
          <w:rFonts w:ascii="Arial" w:hAnsi="Arial" w:cs="Arial"/>
          <w:sz w:val="22"/>
          <w:szCs w:val="22"/>
        </w:rPr>
        <w:t>sixth</w:t>
      </w:r>
      <w:r w:rsidR="002444A9" w:rsidRPr="004076EF">
        <w:rPr>
          <w:rFonts w:ascii="Arial" w:hAnsi="Arial" w:cs="Arial"/>
          <w:sz w:val="22"/>
          <w:szCs w:val="22"/>
        </w:rPr>
        <w:t xml:space="preserve"> highest of all </w:t>
      </w:r>
      <w:r w:rsidR="00F6735C" w:rsidRPr="004076EF">
        <w:rPr>
          <w:rFonts w:ascii="Arial" w:hAnsi="Arial" w:cs="Arial"/>
          <w:sz w:val="22"/>
          <w:szCs w:val="22"/>
        </w:rPr>
        <w:t>industry subdivisions in</w:t>
      </w:r>
      <w:r w:rsidR="002444A9" w:rsidRPr="004076EF">
        <w:rPr>
          <w:rFonts w:ascii="Arial" w:hAnsi="Arial" w:cs="Arial"/>
          <w:sz w:val="22"/>
          <w:szCs w:val="22"/>
        </w:rPr>
        <w:t xml:space="preserve"> 2014-15</w:t>
      </w:r>
      <w:r w:rsidR="009726E3" w:rsidRPr="004076EF">
        <w:rPr>
          <w:rFonts w:ascii="Arial" w:hAnsi="Arial" w:cs="Arial"/>
          <w:sz w:val="22"/>
          <w:szCs w:val="22"/>
        </w:rPr>
        <w:t xml:space="preserve">. </w:t>
      </w:r>
    </w:p>
    <w:p w:rsidR="006667AA" w:rsidRPr="004076EF" w:rsidRDefault="00AE0C6F" w:rsidP="00395FED">
      <w:pPr>
        <w:spacing w:line="288" w:lineRule="auto"/>
        <w:rPr>
          <w:rFonts w:ascii="Arial" w:hAnsi="Arial" w:cs="Arial"/>
          <w:b/>
          <w:sz w:val="22"/>
          <w:szCs w:val="22"/>
        </w:rPr>
      </w:pPr>
      <w:r w:rsidRPr="004076EF">
        <w:rPr>
          <w:rFonts w:ascii="Arial" w:hAnsi="Arial" w:cs="Arial"/>
          <w:b/>
          <w:sz w:val="22"/>
          <w:szCs w:val="22"/>
        </w:rPr>
        <w:t xml:space="preserve">Figure </w:t>
      </w:r>
      <w:r w:rsidR="00AF203A" w:rsidRPr="004076EF">
        <w:rPr>
          <w:rFonts w:ascii="Arial" w:hAnsi="Arial" w:cs="Arial"/>
          <w:b/>
          <w:sz w:val="22"/>
          <w:szCs w:val="22"/>
        </w:rPr>
        <w:t>1</w:t>
      </w:r>
      <w:r w:rsidR="009726E3" w:rsidRPr="004076EF">
        <w:rPr>
          <w:rFonts w:ascii="Arial" w:hAnsi="Arial" w:cs="Arial"/>
          <w:b/>
          <w:sz w:val="22"/>
          <w:szCs w:val="22"/>
        </w:rPr>
        <w:t>: Serious</w:t>
      </w:r>
      <w:r w:rsidR="002D4E89" w:rsidRPr="004076EF">
        <w:rPr>
          <w:rFonts w:ascii="Arial" w:hAnsi="Arial" w:cs="Arial"/>
          <w:b/>
          <w:sz w:val="22"/>
          <w:szCs w:val="22"/>
        </w:rPr>
        <w:t xml:space="preserve"> claims: frequency rate </w:t>
      </w:r>
      <w:r w:rsidR="00EE727D">
        <w:rPr>
          <w:rFonts w:ascii="Arial" w:hAnsi="Arial" w:cs="Arial"/>
          <w:b/>
          <w:sz w:val="22"/>
          <w:szCs w:val="22"/>
        </w:rPr>
        <w:t xml:space="preserve">(serious claims </w:t>
      </w:r>
      <w:r w:rsidR="002D4E89" w:rsidRPr="004076EF">
        <w:rPr>
          <w:rFonts w:ascii="Arial" w:hAnsi="Arial" w:cs="Arial"/>
          <w:b/>
          <w:sz w:val="22"/>
          <w:szCs w:val="22"/>
        </w:rPr>
        <w:t xml:space="preserve">per </w:t>
      </w:r>
      <w:r w:rsidR="00C07AD3" w:rsidRPr="004076EF">
        <w:rPr>
          <w:rFonts w:ascii="Arial" w:hAnsi="Arial" w:cs="Arial"/>
          <w:b/>
          <w:sz w:val="22"/>
          <w:szCs w:val="22"/>
        </w:rPr>
        <w:t>million hours worked</w:t>
      </w:r>
      <w:r w:rsidR="00EE727D">
        <w:rPr>
          <w:rFonts w:ascii="Arial" w:hAnsi="Arial" w:cs="Arial"/>
          <w:b/>
          <w:sz w:val="22"/>
          <w:szCs w:val="22"/>
        </w:rPr>
        <w:t>)</w:t>
      </w:r>
      <w:r w:rsidR="00C07AD3" w:rsidRPr="004076EF">
        <w:rPr>
          <w:rFonts w:ascii="Arial" w:hAnsi="Arial" w:cs="Arial"/>
          <w:b/>
          <w:sz w:val="22"/>
          <w:szCs w:val="22"/>
        </w:rPr>
        <w:t xml:space="preserve"> in </w:t>
      </w:r>
      <w:r w:rsidR="00EE727D">
        <w:rPr>
          <w:rFonts w:ascii="Arial" w:hAnsi="Arial" w:cs="Arial"/>
          <w:b/>
          <w:sz w:val="22"/>
          <w:szCs w:val="22"/>
        </w:rPr>
        <w:t>R</w:t>
      </w:r>
      <w:r w:rsidR="009726E3" w:rsidRPr="004076EF">
        <w:rPr>
          <w:rFonts w:ascii="Arial" w:hAnsi="Arial" w:cs="Arial"/>
          <w:b/>
          <w:sz w:val="22"/>
          <w:szCs w:val="22"/>
        </w:rPr>
        <w:t>oad tr</w:t>
      </w:r>
      <w:r w:rsidR="006820DA" w:rsidRPr="004076EF">
        <w:rPr>
          <w:rFonts w:ascii="Arial" w:hAnsi="Arial" w:cs="Arial"/>
          <w:b/>
          <w:sz w:val="22"/>
          <w:szCs w:val="22"/>
        </w:rPr>
        <w:t xml:space="preserve">ansport and all industries, 2001-02 </w:t>
      </w:r>
      <w:r w:rsidR="009726E3" w:rsidRPr="004076EF">
        <w:rPr>
          <w:rFonts w:ascii="Arial" w:hAnsi="Arial" w:cs="Arial"/>
          <w:b/>
          <w:sz w:val="22"/>
          <w:szCs w:val="22"/>
        </w:rPr>
        <w:t>to 2014-15p</w:t>
      </w:r>
    </w:p>
    <w:p w:rsidR="00302F43" w:rsidRPr="004076EF" w:rsidRDefault="00395FED" w:rsidP="00B722EB">
      <w:pPr>
        <w:rPr>
          <w:rFonts w:ascii="Arial" w:hAnsi="Arial" w:cs="Arial"/>
          <w:b/>
          <w:color w:val="365F91" w:themeColor="accent1" w:themeShade="BF"/>
          <w:sz w:val="24"/>
          <w:szCs w:val="24"/>
        </w:rPr>
      </w:pPr>
      <w:r w:rsidRPr="004076EF">
        <w:rPr>
          <w:rFonts w:ascii="Arial" w:hAnsi="Arial" w:cs="Arial"/>
          <w:noProof/>
        </w:rPr>
        <w:drawing>
          <wp:inline distT="0" distB="0" distL="0" distR="0" wp14:anchorId="77695B17" wp14:editId="1FD86BE8">
            <wp:extent cx="5936876" cy="2467536"/>
            <wp:effectExtent l="0" t="0" r="26035" b="9525"/>
            <wp:docPr id="13" name="Chart 13" descr="Figure 1 shows that despite a rise between 2007-08 and 2011-12, the frequency rate of serious claims in the Road transport industry has fallen 27 per cent from 15.5 claims per million hours worked in 2001-02 to 11.3 claims per million hours worked in 2014-15p. " title="Serious claims: frequency rate (serious claims per million hours worked) in Road transport and all industries, 2001-02 to 2014-15p"/>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0125" w:rsidRDefault="0068505E" w:rsidP="007772DB">
      <w:pPr>
        <w:spacing w:line="288" w:lineRule="auto"/>
        <w:rPr>
          <w:rFonts w:ascii="Arial" w:hAnsi="Arial" w:cs="Arial"/>
          <w:b/>
          <w:noProof/>
          <w:sz w:val="18"/>
          <w:szCs w:val="18"/>
        </w:rPr>
      </w:pPr>
      <w:r w:rsidRPr="004076EF">
        <w:rPr>
          <w:rFonts w:ascii="Arial" w:hAnsi="Arial" w:cs="Arial"/>
          <w:sz w:val="22"/>
          <w:szCs w:val="22"/>
        </w:rPr>
        <w:t xml:space="preserve">As shown in Table </w:t>
      </w:r>
      <w:proofErr w:type="spellStart"/>
      <w:r w:rsidR="00554F3C">
        <w:rPr>
          <w:rFonts w:ascii="Arial" w:hAnsi="Arial" w:cs="Arial"/>
          <w:sz w:val="22"/>
          <w:szCs w:val="22"/>
        </w:rPr>
        <w:t>2</w:t>
      </w:r>
      <w:r w:rsidR="00AD7950">
        <w:rPr>
          <w:rFonts w:ascii="Arial" w:hAnsi="Arial" w:cs="Arial"/>
          <w:sz w:val="22"/>
          <w:szCs w:val="22"/>
        </w:rPr>
        <w:t>a</w:t>
      </w:r>
      <w:proofErr w:type="spellEnd"/>
      <w:r w:rsidRPr="004076EF">
        <w:rPr>
          <w:rFonts w:ascii="Arial" w:hAnsi="Arial" w:cs="Arial"/>
          <w:sz w:val="22"/>
          <w:szCs w:val="22"/>
        </w:rPr>
        <w:t>,</w:t>
      </w:r>
      <w:r w:rsidR="00DA4DBC" w:rsidRPr="004076EF">
        <w:rPr>
          <w:rFonts w:ascii="Arial" w:hAnsi="Arial" w:cs="Arial"/>
          <w:sz w:val="22"/>
          <w:szCs w:val="22"/>
        </w:rPr>
        <w:t xml:space="preserve"> Road </w:t>
      </w:r>
      <w:r w:rsidR="00E57023" w:rsidRPr="004076EF">
        <w:rPr>
          <w:rFonts w:ascii="Arial" w:hAnsi="Arial" w:cs="Arial"/>
          <w:sz w:val="22"/>
          <w:szCs w:val="22"/>
        </w:rPr>
        <w:t>f</w:t>
      </w:r>
      <w:r w:rsidR="00DA4DBC" w:rsidRPr="004076EF">
        <w:rPr>
          <w:rFonts w:ascii="Arial" w:hAnsi="Arial" w:cs="Arial"/>
          <w:sz w:val="22"/>
          <w:szCs w:val="22"/>
        </w:rPr>
        <w:t xml:space="preserve">reight transport accounts for the majority </w:t>
      </w:r>
      <w:r w:rsidR="00E57023" w:rsidRPr="004076EF">
        <w:rPr>
          <w:rFonts w:ascii="Arial" w:hAnsi="Arial" w:cs="Arial"/>
          <w:sz w:val="22"/>
          <w:szCs w:val="22"/>
        </w:rPr>
        <w:t xml:space="preserve">(over 80 per cent) </w:t>
      </w:r>
      <w:r w:rsidR="00DA4DBC" w:rsidRPr="004076EF">
        <w:rPr>
          <w:rFonts w:ascii="Arial" w:hAnsi="Arial" w:cs="Arial"/>
          <w:sz w:val="22"/>
          <w:szCs w:val="22"/>
        </w:rPr>
        <w:t>of serious claims</w:t>
      </w:r>
      <w:r w:rsidRPr="004076EF">
        <w:rPr>
          <w:rFonts w:ascii="Arial" w:hAnsi="Arial" w:cs="Arial"/>
          <w:sz w:val="22"/>
          <w:szCs w:val="22"/>
        </w:rPr>
        <w:t xml:space="preserve"> in the Road transport industry</w:t>
      </w:r>
      <w:r w:rsidR="00E57023" w:rsidRPr="004076EF">
        <w:rPr>
          <w:rFonts w:ascii="Arial" w:hAnsi="Arial" w:cs="Arial"/>
          <w:sz w:val="22"/>
          <w:szCs w:val="22"/>
        </w:rPr>
        <w:t xml:space="preserve"> – of the 4245 serious claims in the Road transport industry</w:t>
      </w:r>
      <w:r w:rsidR="009711BB">
        <w:rPr>
          <w:rFonts w:ascii="Arial" w:hAnsi="Arial" w:cs="Arial"/>
          <w:sz w:val="22"/>
          <w:szCs w:val="22"/>
        </w:rPr>
        <w:t xml:space="preserve"> in 2014-15</w:t>
      </w:r>
      <w:r w:rsidR="00D6138C">
        <w:rPr>
          <w:rFonts w:ascii="Arial" w:hAnsi="Arial" w:cs="Arial"/>
          <w:sz w:val="22"/>
          <w:szCs w:val="22"/>
        </w:rPr>
        <w:t>p</w:t>
      </w:r>
      <w:r w:rsidR="00E57023" w:rsidRPr="004076EF">
        <w:rPr>
          <w:rFonts w:ascii="Arial" w:hAnsi="Arial" w:cs="Arial"/>
          <w:sz w:val="22"/>
          <w:szCs w:val="22"/>
        </w:rPr>
        <w:t xml:space="preserve">, 3545 were in Road freight transport and 700 in Road passenger transport.  Road freight transport </w:t>
      </w:r>
      <w:r w:rsidR="007F5A29">
        <w:rPr>
          <w:rFonts w:ascii="Arial" w:hAnsi="Arial" w:cs="Arial"/>
          <w:sz w:val="22"/>
          <w:szCs w:val="22"/>
        </w:rPr>
        <w:t xml:space="preserve">also </w:t>
      </w:r>
      <w:r w:rsidR="00E57023" w:rsidRPr="004076EF">
        <w:rPr>
          <w:rFonts w:ascii="Arial" w:hAnsi="Arial" w:cs="Arial"/>
          <w:sz w:val="22"/>
          <w:szCs w:val="22"/>
        </w:rPr>
        <w:t>has a</w:t>
      </w:r>
      <w:r w:rsidRPr="004076EF">
        <w:rPr>
          <w:rFonts w:ascii="Arial" w:hAnsi="Arial" w:cs="Arial"/>
          <w:sz w:val="22"/>
          <w:szCs w:val="22"/>
        </w:rPr>
        <w:t xml:space="preserve"> significantly </w:t>
      </w:r>
      <w:r w:rsidR="00E57023" w:rsidRPr="004076EF">
        <w:rPr>
          <w:rFonts w:ascii="Arial" w:hAnsi="Arial" w:cs="Arial"/>
          <w:sz w:val="22"/>
          <w:szCs w:val="22"/>
        </w:rPr>
        <w:t>higher frequency rate of serious claims than Road</w:t>
      </w:r>
      <w:r w:rsidR="007772DB">
        <w:rPr>
          <w:rFonts w:ascii="Arial" w:hAnsi="Arial" w:cs="Arial"/>
          <w:sz w:val="22"/>
          <w:szCs w:val="22"/>
        </w:rPr>
        <w:t xml:space="preserve"> </w:t>
      </w:r>
      <w:r w:rsidR="00E57023" w:rsidRPr="004076EF">
        <w:rPr>
          <w:rFonts w:ascii="Arial" w:hAnsi="Arial" w:cs="Arial"/>
          <w:sz w:val="22"/>
          <w:szCs w:val="22"/>
        </w:rPr>
        <w:t xml:space="preserve">passenger transport – 12.5 serious claims per million hours </w:t>
      </w:r>
      <w:r w:rsidR="009711BB">
        <w:rPr>
          <w:rFonts w:ascii="Arial" w:hAnsi="Arial" w:cs="Arial"/>
          <w:sz w:val="22"/>
          <w:szCs w:val="22"/>
        </w:rPr>
        <w:t>w</w:t>
      </w:r>
      <w:r w:rsidR="00E57023" w:rsidRPr="004076EF">
        <w:rPr>
          <w:rFonts w:ascii="Arial" w:hAnsi="Arial" w:cs="Arial"/>
          <w:sz w:val="22"/>
          <w:szCs w:val="22"/>
        </w:rPr>
        <w:t>orked in 2014-15p compared with 7.6 in Road passenger transport.</w:t>
      </w:r>
      <w:r w:rsidR="00AF0125">
        <w:rPr>
          <w:rFonts w:ascii="Arial" w:hAnsi="Arial" w:cs="Arial"/>
          <w:b/>
          <w:noProof/>
          <w:sz w:val="18"/>
          <w:szCs w:val="18"/>
        </w:rPr>
        <w:br w:type="page"/>
      </w:r>
    </w:p>
    <w:p w:rsidR="005C5E44" w:rsidRPr="0002445B" w:rsidRDefault="005C5E44" w:rsidP="00E35579">
      <w:pPr>
        <w:rPr>
          <w:rFonts w:ascii="Arial" w:hAnsi="Arial" w:cs="Arial"/>
          <w:b/>
          <w:noProof/>
          <w:sz w:val="22"/>
          <w:szCs w:val="18"/>
        </w:rPr>
      </w:pPr>
      <w:r w:rsidRPr="0002445B">
        <w:rPr>
          <w:rFonts w:ascii="Arial" w:hAnsi="Arial" w:cs="Arial"/>
          <w:b/>
          <w:noProof/>
          <w:sz w:val="22"/>
          <w:szCs w:val="18"/>
        </w:rPr>
        <w:lastRenderedPageBreak/>
        <w:t>Table</w:t>
      </w:r>
      <w:r w:rsidR="00AE0C6F" w:rsidRPr="0002445B">
        <w:rPr>
          <w:rFonts w:ascii="Arial" w:hAnsi="Arial" w:cs="Arial"/>
          <w:b/>
          <w:noProof/>
          <w:sz w:val="22"/>
          <w:szCs w:val="18"/>
        </w:rPr>
        <w:t xml:space="preserve"> </w:t>
      </w:r>
      <w:r w:rsidR="00554F3C">
        <w:rPr>
          <w:rFonts w:ascii="Arial" w:hAnsi="Arial" w:cs="Arial"/>
          <w:b/>
          <w:noProof/>
          <w:sz w:val="22"/>
          <w:szCs w:val="18"/>
        </w:rPr>
        <w:t>2</w:t>
      </w:r>
      <w:r w:rsidR="00E60D67">
        <w:rPr>
          <w:rFonts w:ascii="Arial" w:hAnsi="Arial" w:cs="Arial"/>
          <w:b/>
          <w:noProof/>
          <w:sz w:val="22"/>
          <w:szCs w:val="18"/>
        </w:rPr>
        <w:t>a</w:t>
      </w:r>
      <w:r w:rsidRPr="0002445B">
        <w:rPr>
          <w:rFonts w:ascii="Arial" w:hAnsi="Arial" w:cs="Arial"/>
          <w:b/>
          <w:noProof/>
          <w:sz w:val="22"/>
          <w:szCs w:val="18"/>
        </w:rPr>
        <w:t xml:space="preserve">: Serious claims: </w:t>
      </w:r>
      <w:r w:rsidR="00C07AD3" w:rsidRPr="0002445B">
        <w:rPr>
          <w:rFonts w:ascii="Arial" w:hAnsi="Arial" w:cs="Arial"/>
          <w:b/>
          <w:noProof/>
          <w:sz w:val="22"/>
          <w:szCs w:val="18"/>
        </w:rPr>
        <w:t xml:space="preserve">number </w:t>
      </w:r>
      <w:r w:rsidR="002D483D" w:rsidRPr="0002445B">
        <w:rPr>
          <w:rFonts w:ascii="Arial" w:hAnsi="Arial" w:cs="Arial"/>
          <w:b/>
          <w:noProof/>
          <w:sz w:val="22"/>
          <w:szCs w:val="18"/>
        </w:rPr>
        <w:t>in R</w:t>
      </w:r>
      <w:r w:rsidRPr="0002445B">
        <w:rPr>
          <w:rFonts w:ascii="Arial" w:hAnsi="Arial" w:cs="Arial"/>
          <w:b/>
          <w:noProof/>
          <w:sz w:val="22"/>
          <w:szCs w:val="18"/>
        </w:rPr>
        <w:t>oad</w:t>
      </w:r>
      <w:r w:rsidR="0002445B">
        <w:rPr>
          <w:rFonts w:ascii="Arial" w:hAnsi="Arial" w:cs="Arial"/>
          <w:b/>
          <w:noProof/>
          <w:sz w:val="22"/>
          <w:szCs w:val="18"/>
        </w:rPr>
        <w:t> </w:t>
      </w:r>
      <w:r w:rsidRPr="0002445B">
        <w:rPr>
          <w:rFonts w:ascii="Arial" w:hAnsi="Arial" w:cs="Arial"/>
          <w:b/>
          <w:noProof/>
          <w:sz w:val="22"/>
          <w:szCs w:val="18"/>
        </w:rPr>
        <w:t xml:space="preserve">transport by </w:t>
      </w:r>
      <w:r w:rsidR="00EE727D">
        <w:rPr>
          <w:rFonts w:ascii="Arial" w:hAnsi="Arial" w:cs="Arial"/>
          <w:b/>
          <w:noProof/>
          <w:sz w:val="22"/>
          <w:szCs w:val="18"/>
        </w:rPr>
        <w:t>industry sub-division</w:t>
      </w:r>
      <w:r w:rsidRPr="0002445B">
        <w:rPr>
          <w:rFonts w:ascii="Arial" w:hAnsi="Arial" w:cs="Arial"/>
          <w:b/>
          <w:noProof/>
          <w:sz w:val="22"/>
          <w:szCs w:val="18"/>
        </w:rPr>
        <w:t>, 2010-11 to 2014-15p</w:t>
      </w:r>
    </w:p>
    <w:tbl>
      <w:tblPr>
        <w:tblW w:w="8460"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Serious claims: number in Road transport by industry sub-division, 2010-11 to 2014-15p"/>
        <w:tblDescription w:val="Table 2a shows that Road freight transport accounts for the majority (over 80 per cent) of serious claims in the Road transport industry – of the 4245 serious claims in the Road transport industry in 2014-15p, 3545 were in Road freight transport and 700 in Road passenger transport.  "/>
      </w:tblPr>
      <w:tblGrid>
        <w:gridCol w:w="2900"/>
        <w:gridCol w:w="1140"/>
        <w:gridCol w:w="1060"/>
        <w:gridCol w:w="1120"/>
        <w:gridCol w:w="1080"/>
        <w:gridCol w:w="1160"/>
      </w:tblGrid>
      <w:tr w:rsidR="0002445B" w:rsidRPr="00A7441D" w:rsidTr="00F157E2">
        <w:trPr>
          <w:trHeight w:val="456"/>
        </w:trPr>
        <w:tc>
          <w:tcPr>
            <w:tcW w:w="2900" w:type="dxa"/>
            <w:shd w:val="clear" w:color="auto" w:fill="AF1E2D"/>
            <w:noWrap/>
            <w:vAlign w:val="center"/>
            <w:hideMark/>
          </w:tcPr>
          <w:p w:rsidR="0002445B" w:rsidRPr="00A7441D" w:rsidRDefault="0002445B" w:rsidP="00A7441D">
            <w:pPr>
              <w:spacing w:before="0" w:after="0"/>
              <w:rPr>
                <w:rFonts w:ascii="Arial" w:hAnsi="Arial" w:cs="Arial"/>
                <w:color w:val="FFFFFF" w:themeColor="background1"/>
              </w:rPr>
            </w:pPr>
          </w:p>
        </w:tc>
        <w:tc>
          <w:tcPr>
            <w:tcW w:w="1140" w:type="dxa"/>
            <w:shd w:val="clear" w:color="auto" w:fill="AF1E2D"/>
            <w:noWrap/>
            <w:vAlign w:val="center"/>
            <w:hideMark/>
          </w:tcPr>
          <w:p w:rsidR="0002445B" w:rsidRPr="00A7441D" w:rsidRDefault="0002445B" w:rsidP="00A7441D">
            <w:pPr>
              <w:spacing w:before="0" w:after="0"/>
              <w:jc w:val="center"/>
              <w:rPr>
                <w:rFonts w:ascii="Arial" w:hAnsi="Arial" w:cs="Arial"/>
                <w:b/>
                <w:color w:val="FFFFFF" w:themeColor="background1"/>
              </w:rPr>
            </w:pPr>
            <w:r w:rsidRPr="00A7441D">
              <w:rPr>
                <w:rFonts w:ascii="Arial" w:hAnsi="Arial" w:cs="Arial"/>
                <w:b/>
                <w:color w:val="FFFFFF" w:themeColor="background1"/>
              </w:rPr>
              <w:t>2010-11</w:t>
            </w:r>
          </w:p>
        </w:tc>
        <w:tc>
          <w:tcPr>
            <w:tcW w:w="1060" w:type="dxa"/>
            <w:shd w:val="clear" w:color="auto" w:fill="AF1E2D"/>
            <w:noWrap/>
            <w:vAlign w:val="center"/>
            <w:hideMark/>
          </w:tcPr>
          <w:p w:rsidR="0002445B" w:rsidRPr="00A7441D" w:rsidRDefault="0002445B" w:rsidP="00A7441D">
            <w:pPr>
              <w:spacing w:before="0" w:after="0"/>
              <w:jc w:val="center"/>
              <w:rPr>
                <w:rFonts w:ascii="Arial" w:hAnsi="Arial" w:cs="Arial"/>
                <w:b/>
                <w:color w:val="FFFFFF" w:themeColor="background1"/>
              </w:rPr>
            </w:pPr>
            <w:r w:rsidRPr="00A7441D">
              <w:rPr>
                <w:rFonts w:ascii="Arial" w:hAnsi="Arial" w:cs="Arial"/>
                <w:b/>
                <w:color w:val="FFFFFF" w:themeColor="background1"/>
              </w:rPr>
              <w:t>2011-12</w:t>
            </w:r>
          </w:p>
        </w:tc>
        <w:tc>
          <w:tcPr>
            <w:tcW w:w="1120" w:type="dxa"/>
            <w:shd w:val="clear" w:color="auto" w:fill="AF1E2D"/>
            <w:noWrap/>
            <w:vAlign w:val="center"/>
            <w:hideMark/>
          </w:tcPr>
          <w:p w:rsidR="0002445B" w:rsidRPr="00A7441D" w:rsidRDefault="0002445B" w:rsidP="00A7441D">
            <w:pPr>
              <w:spacing w:before="0" w:after="0"/>
              <w:jc w:val="center"/>
              <w:rPr>
                <w:rFonts w:ascii="Arial" w:hAnsi="Arial" w:cs="Arial"/>
                <w:b/>
                <w:color w:val="FFFFFF" w:themeColor="background1"/>
              </w:rPr>
            </w:pPr>
            <w:r w:rsidRPr="00A7441D">
              <w:rPr>
                <w:rFonts w:ascii="Arial" w:hAnsi="Arial" w:cs="Arial"/>
                <w:b/>
                <w:color w:val="FFFFFF" w:themeColor="background1"/>
              </w:rPr>
              <w:t>2012-13</w:t>
            </w:r>
          </w:p>
        </w:tc>
        <w:tc>
          <w:tcPr>
            <w:tcW w:w="1080" w:type="dxa"/>
            <w:shd w:val="clear" w:color="auto" w:fill="AF1E2D"/>
            <w:noWrap/>
            <w:vAlign w:val="center"/>
            <w:hideMark/>
          </w:tcPr>
          <w:p w:rsidR="0002445B" w:rsidRPr="00A7441D" w:rsidRDefault="0002445B" w:rsidP="00A7441D">
            <w:pPr>
              <w:spacing w:before="0" w:after="0"/>
              <w:jc w:val="center"/>
              <w:rPr>
                <w:rFonts w:ascii="Arial" w:hAnsi="Arial" w:cs="Arial"/>
                <w:b/>
                <w:color w:val="FFFFFF" w:themeColor="background1"/>
              </w:rPr>
            </w:pPr>
            <w:r w:rsidRPr="00A7441D">
              <w:rPr>
                <w:rFonts w:ascii="Arial" w:hAnsi="Arial" w:cs="Arial"/>
                <w:b/>
                <w:color w:val="FFFFFF" w:themeColor="background1"/>
              </w:rPr>
              <w:t>2013-14</w:t>
            </w:r>
          </w:p>
        </w:tc>
        <w:tc>
          <w:tcPr>
            <w:tcW w:w="1160" w:type="dxa"/>
            <w:shd w:val="clear" w:color="auto" w:fill="AF1E2D"/>
            <w:noWrap/>
            <w:vAlign w:val="center"/>
            <w:hideMark/>
          </w:tcPr>
          <w:p w:rsidR="0002445B" w:rsidRPr="00A7441D" w:rsidRDefault="0002445B" w:rsidP="00A7441D">
            <w:pPr>
              <w:spacing w:before="0" w:after="0"/>
              <w:jc w:val="center"/>
              <w:rPr>
                <w:rFonts w:ascii="Arial" w:hAnsi="Arial" w:cs="Arial"/>
                <w:b/>
                <w:color w:val="FFFFFF" w:themeColor="background1"/>
              </w:rPr>
            </w:pPr>
            <w:r w:rsidRPr="00A7441D">
              <w:rPr>
                <w:rFonts w:ascii="Arial" w:hAnsi="Arial" w:cs="Arial"/>
                <w:b/>
                <w:color w:val="FFFFFF" w:themeColor="background1"/>
              </w:rPr>
              <w:t>2014-15p</w:t>
            </w:r>
          </w:p>
        </w:tc>
      </w:tr>
      <w:tr w:rsidR="00A7441D" w:rsidRPr="00A7441D" w:rsidTr="00F157E2">
        <w:trPr>
          <w:trHeight w:val="315"/>
        </w:trPr>
        <w:tc>
          <w:tcPr>
            <w:tcW w:w="2900" w:type="dxa"/>
            <w:shd w:val="clear" w:color="auto" w:fill="E5B8B7" w:themeFill="accent2" w:themeFillTint="66"/>
            <w:noWrap/>
            <w:vAlign w:val="center"/>
            <w:hideMark/>
          </w:tcPr>
          <w:p w:rsidR="00A7441D" w:rsidRPr="00A7441D" w:rsidRDefault="00A7441D" w:rsidP="00A7441D">
            <w:pPr>
              <w:spacing w:before="0" w:after="0"/>
              <w:rPr>
                <w:rFonts w:ascii="Arial" w:hAnsi="Arial" w:cs="Arial"/>
                <w:b/>
              </w:rPr>
            </w:pPr>
            <w:r w:rsidRPr="00A7441D">
              <w:rPr>
                <w:rFonts w:ascii="Arial" w:hAnsi="Arial" w:cs="Arial"/>
                <w:b/>
              </w:rPr>
              <w:t>Road transport</w:t>
            </w:r>
          </w:p>
        </w:tc>
        <w:tc>
          <w:tcPr>
            <w:tcW w:w="1140" w:type="dxa"/>
            <w:shd w:val="clear" w:color="auto" w:fill="E5B8B7" w:themeFill="accent2" w:themeFillTint="66"/>
            <w:noWrap/>
            <w:vAlign w:val="center"/>
            <w:hideMark/>
          </w:tcPr>
          <w:p w:rsidR="00A7441D" w:rsidRPr="00A7441D" w:rsidRDefault="00A7441D" w:rsidP="000A29D0">
            <w:pPr>
              <w:spacing w:before="0" w:after="0"/>
              <w:jc w:val="center"/>
              <w:rPr>
                <w:rFonts w:ascii="Arial" w:hAnsi="Arial" w:cs="Arial"/>
                <w:b/>
                <w:bCs/>
              </w:rPr>
            </w:pPr>
            <w:r w:rsidRPr="00A7441D">
              <w:rPr>
                <w:rFonts w:ascii="Arial" w:hAnsi="Arial" w:cs="Arial"/>
                <w:b/>
                <w:bCs/>
              </w:rPr>
              <w:t>5165</w:t>
            </w:r>
          </w:p>
        </w:tc>
        <w:tc>
          <w:tcPr>
            <w:tcW w:w="1060" w:type="dxa"/>
            <w:shd w:val="clear" w:color="auto" w:fill="E5B8B7" w:themeFill="accent2" w:themeFillTint="66"/>
            <w:noWrap/>
            <w:vAlign w:val="center"/>
            <w:hideMark/>
          </w:tcPr>
          <w:p w:rsidR="00A7441D" w:rsidRPr="00A7441D" w:rsidRDefault="00A7441D" w:rsidP="000A29D0">
            <w:pPr>
              <w:spacing w:before="0" w:after="0"/>
              <w:jc w:val="center"/>
              <w:rPr>
                <w:rFonts w:ascii="Arial" w:hAnsi="Arial" w:cs="Arial"/>
                <w:b/>
                <w:bCs/>
              </w:rPr>
            </w:pPr>
            <w:r w:rsidRPr="00A7441D">
              <w:rPr>
                <w:rFonts w:ascii="Arial" w:hAnsi="Arial" w:cs="Arial"/>
                <w:b/>
                <w:bCs/>
              </w:rPr>
              <w:t>5210</w:t>
            </w:r>
          </w:p>
        </w:tc>
        <w:tc>
          <w:tcPr>
            <w:tcW w:w="1120" w:type="dxa"/>
            <w:shd w:val="clear" w:color="auto" w:fill="E5B8B7" w:themeFill="accent2" w:themeFillTint="66"/>
            <w:noWrap/>
            <w:vAlign w:val="center"/>
            <w:hideMark/>
          </w:tcPr>
          <w:p w:rsidR="00A7441D" w:rsidRPr="00A7441D" w:rsidRDefault="00A7441D" w:rsidP="000A29D0">
            <w:pPr>
              <w:spacing w:before="0" w:after="0"/>
              <w:jc w:val="center"/>
              <w:rPr>
                <w:rFonts w:ascii="Arial" w:hAnsi="Arial" w:cs="Arial"/>
                <w:b/>
                <w:bCs/>
              </w:rPr>
            </w:pPr>
            <w:r w:rsidRPr="00A7441D">
              <w:rPr>
                <w:rFonts w:ascii="Arial" w:hAnsi="Arial" w:cs="Arial"/>
                <w:b/>
                <w:bCs/>
              </w:rPr>
              <w:t>4970</w:t>
            </w:r>
          </w:p>
        </w:tc>
        <w:tc>
          <w:tcPr>
            <w:tcW w:w="1080" w:type="dxa"/>
            <w:shd w:val="clear" w:color="auto" w:fill="E5B8B7" w:themeFill="accent2" w:themeFillTint="66"/>
            <w:noWrap/>
            <w:vAlign w:val="center"/>
            <w:hideMark/>
          </w:tcPr>
          <w:p w:rsidR="00A7441D" w:rsidRPr="00A7441D" w:rsidRDefault="00A7441D" w:rsidP="000A29D0">
            <w:pPr>
              <w:spacing w:before="0" w:after="0"/>
              <w:jc w:val="center"/>
              <w:rPr>
                <w:rFonts w:ascii="Arial" w:hAnsi="Arial" w:cs="Arial"/>
                <w:b/>
                <w:bCs/>
              </w:rPr>
            </w:pPr>
            <w:r w:rsidRPr="00A7441D">
              <w:rPr>
                <w:rFonts w:ascii="Arial" w:hAnsi="Arial" w:cs="Arial"/>
                <w:b/>
                <w:bCs/>
              </w:rPr>
              <w:t>4530</w:t>
            </w:r>
          </w:p>
        </w:tc>
        <w:tc>
          <w:tcPr>
            <w:tcW w:w="1160" w:type="dxa"/>
            <w:shd w:val="clear" w:color="auto" w:fill="E5B8B7" w:themeFill="accent2" w:themeFillTint="66"/>
            <w:noWrap/>
            <w:vAlign w:val="center"/>
            <w:hideMark/>
          </w:tcPr>
          <w:p w:rsidR="00A7441D" w:rsidRPr="00A7441D" w:rsidRDefault="00A7441D" w:rsidP="000A29D0">
            <w:pPr>
              <w:spacing w:before="0" w:after="0"/>
              <w:jc w:val="center"/>
              <w:rPr>
                <w:rFonts w:ascii="Arial" w:hAnsi="Arial" w:cs="Arial"/>
                <w:b/>
                <w:bCs/>
              </w:rPr>
            </w:pPr>
            <w:r w:rsidRPr="00A7441D">
              <w:rPr>
                <w:rFonts w:ascii="Arial" w:hAnsi="Arial" w:cs="Arial"/>
                <w:b/>
                <w:bCs/>
              </w:rPr>
              <w:t>4245</w:t>
            </w:r>
          </w:p>
        </w:tc>
      </w:tr>
      <w:tr w:rsidR="00A7441D" w:rsidRPr="00A7441D" w:rsidTr="00F157E2">
        <w:trPr>
          <w:trHeight w:val="315"/>
        </w:trPr>
        <w:tc>
          <w:tcPr>
            <w:tcW w:w="2900" w:type="dxa"/>
            <w:shd w:val="clear" w:color="auto" w:fill="auto"/>
            <w:noWrap/>
            <w:vAlign w:val="center"/>
            <w:hideMark/>
          </w:tcPr>
          <w:p w:rsidR="00A7441D" w:rsidRPr="00A7441D" w:rsidRDefault="00A7441D" w:rsidP="00A7441D">
            <w:pPr>
              <w:spacing w:before="0" w:after="0"/>
              <w:rPr>
                <w:rFonts w:ascii="Arial" w:hAnsi="Arial" w:cs="Arial"/>
                <w:i/>
                <w:iCs/>
              </w:rPr>
            </w:pPr>
            <w:r w:rsidRPr="00A7441D">
              <w:rPr>
                <w:rFonts w:ascii="Arial" w:hAnsi="Arial" w:cs="Arial"/>
                <w:i/>
                <w:iCs/>
              </w:rPr>
              <w:t>   Road freight transport</w:t>
            </w:r>
          </w:p>
        </w:tc>
        <w:tc>
          <w:tcPr>
            <w:tcW w:w="1140" w:type="dxa"/>
            <w:shd w:val="clear" w:color="auto" w:fill="auto"/>
            <w:noWrap/>
            <w:vAlign w:val="center"/>
            <w:hideMark/>
          </w:tcPr>
          <w:p w:rsidR="00A7441D" w:rsidRPr="00A7441D" w:rsidRDefault="00A7441D" w:rsidP="000A29D0">
            <w:pPr>
              <w:spacing w:before="0" w:after="0"/>
              <w:jc w:val="center"/>
              <w:rPr>
                <w:rFonts w:ascii="Arial" w:hAnsi="Arial" w:cs="Arial"/>
                <w:i/>
                <w:iCs/>
              </w:rPr>
            </w:pPr>
            <w:r w:rsidRPr="00A7441D">
              <w:rPr>
                <w:rFonts w:ascii="Arial" w:hAnsi="Arial" w:cs="Arial"/>
                <w:i/>
                <w:iCs/>
              </w:rPr>
              <w:t>4125</w:t>
            </w:r>
          </w:p>
        </w:tc>
        <w:tc>
          <w:tcPr>
            <w:tcW w:w="1060" w:type="dxa"/>
            <w:shd w:val="clear" w:color="auto" w:fill="auto"/>
            <w:noWrap/>
            <w:vAlign w:val="center"/>
            <w:hideMark/>
          </w:tcPr>
          <w:p w:rsidR="00A7441D" w:rsidRPr="00A7441D" w:rsidRDefault="00A7441D" w:rsidP="000A29D0">
            <w:pPr>
              <w:spacing w:before="0" w:after="0"/>
              <w:jc w:val="center"/>
              <w:rPr>
                <w:rFonts w:ascii="Arial" w:hAnsi="Arial" w:cs="Arial"/>
                <w:i/>
                <w:iCs/>
              </w:rPr>
            </w:pPr>
            <w:r w:rsidRPr="00A7441D">
              <w:rPr>
                <w:rFonts w:ascii="Arial" w:hAnsi="Arial" w:cs="Arial"/>
                <w:i/>
                <w:iCs/>
              </w:rPr>
              <w:t>4150</w:t>
            </w:r>
          </w:p>
        </w:tc>
        <w:tc>
          <w:tcPr>
            <w:tcW w:w="1120" w:type="dxa"/>
            <w:shd w:val="clear" w:color="auto" w:fill="auto"/>
            <w:noWrap/>
            <w:vAlign w:val="center"/>
            <w:hideMark/>
          </w:tcPr>
          <w:p w:rsidR="00A7441D" w:rsidRPr="00A7441D" w:rsidRDefault="00A7441D" w:rsidP="000A29D0">
            <w:pPr>
              <w:spacing w:before="0" w:after="0"/>
              <w:jc w:val="center"/>
              <w:rPr>
                <w:rFonts w:ascii="Arial" w:hAnsi="Arial" w:cs="Arial"/>
                <w:i/>
                <w:iCs/>
              </w:rPr>
            </w:pPr>
            <w:r w:rsidRPr="00A7441D">
              <w:rPr>
                <w:rFonts w:ascii="Arial" w:hAnsi="Arial" w:cs="Arial"/>
                <w:i/>
                <w:iCs/>
              </w:rPr>
              <w:t>4050</w:t>
            </w:r>
          </w:p>
        </w:tc>
        <w:tc>
          <w:tcPr>
            <w:tcW w:w="1080" w:type="dxa"/>
            <w:shd w:val="clear" w:color="auto" w:fill="auto"/>
            <w:noWrap/>
            <w:vAlign w:val="center"/>
            <w:hideMark/>
          </w:tcPr>
          <w:p w:rsidR="00A7441D" w:rsidRPr="00A7441D" w:rsidRDefault="00A7441D" w:rsidP="000A29D0">
            <w:pPr>
              <w:spacing w:before="0" w:after="0"/>
              <w:jc w:val="center"/>
              <w:rPr>
                <w:rFonts w:ascii="Arial" w:hAnsi="Arial" w:cs="Arial"/>
                <w:i/>
                <w:iCs/>
              </w:rPr>
            </w:pPr>
            <w:r w:rsidRPr="00A7441D">
              <w:rPr>
                <w:rFonts w:ascii="Arial" w:hAnsi="Arial" w:cs="Arial"/>
                <w:i/>
                <w:iCs/>
              </w:rPr>
              <w:t>3680</w:t>
            </w:r>
          </w:p>
        </w:tc>
        <w:tc>
          <w:tcPr>
            <w:tcW w:w="1160" w:type="dxa"/>
            <w:shd w:val="clear" w:color="auto" w:fill="auto"/>
            <w:noWrap/>
            <w:vAlign w:val="center"/>
            <w:hideMark/>
          </w:tcPr>
          <w:p w:rsidR="00A7441D" w:rsidRPr="00A7441D" w:rsidRDefault="00A7441D" w:rsidP="000A29D0">
            <w:pPr>
              <w:spacing w:before="0" w:after="0"/>
              <w:jc w:val="center"/>
              <w:rPr>
                <w:rFonts w:ascii="Arial" w:hAnsi="Arial" w:cs="Arial"/>
                <w:i/>
                <w:iCs/>
              </w:rPr>
            </w:pPr>
            <w:r w:rsidRPr="00A7441D">
              <w:rPr>
                <w:rFonts w:ascii="Arial" w:hAnsi="Arial" w:cs="Arial"/>
                <w:i/>
                <w:iCs/>
              </w:rPr>
              <w:t>3545</w:t>
            </w:r>
          </w:p>
        </w:tc>
      </w:tr>
      <w:tr w:rsidR="00A7441D" w:rsidRPr="00A7441D" w:rsidTr="00F157E2">
        <w:trPr>
          <w:trHeight w:val="315"/>
        </w:trPr>
        <w:tc>
          <w:tcPr>
            <w:tcW w:w="2900" w:type="dxa"/>
            <w:shd w:val="clear" w:color="auto" w:fill="F2DBDB" w:themeFill="accent2" w:themeFillTint="33"/>
            <w:noWrap/>
            <w:vAlign w:val="center"/>
            <w:hideMark/>
          </w:tcPr>
          <w:p w:rsidR="00A7441D" w:rsidRPr="00A7441D" w:rsidRDefault="00A7441D" w:rsidP="00A7441D">
            <w:pPr>
              <w:spacing w:before="0" w:after="0"/>
              <w:rPr>
                <w:rFonts w:ascii="Arial" w:hAnsi="Arial" w:cs="Arial"/>
                <w:i/>
                <w:iCs/>
              </w:rPr>
            </w:pPr>
            <w:r w:rsidRPr="00A7441D">
              <w:rPr>
                <w:rFonts w:ascii="Arial" w:hAnsi="Arial" w:cs="Arial"/>
                <w:i/>
                <w:iCs/>
              </w:rPr>
              <w:t>   Road passenger transport</w:t>
            </w:r>
          </w:p>
        </w:tc>
        <w:tc>
          <w:tcPr>
            <w:tcW w:w="1140" w:type="dxa"/>
            <w:shd w:val="clear" w:color="auto" w:fill="F2DBDB" w:themeFill="accent2" w:themeFillTint="33"/>
            <w:noWrap/>
            <w:vAlign w:val="center"/>
            <w:hideMark/>
          </w:tcPr>
          <w:p w:rsidR="00A7441D" w:rsidRPr="00A7441D" w:rsidRDefault="00A7441D" w:rsidP="000A29D0">
            <w:pPr>
              <w:spacing w:before="0" w:after="0"/>
              <w:jc w:val="center"/>
              <w:rPr>
                <w:rFonts w:ascii="Arial" w:hAnsi="Arial" w:cs="Arial"/>
                <w:i/>
                <w:iCs/>
              </w:rPr>
            </w:pPr>
            <w:r w:rsidRPr="00A7441D">
              <w:rPr>
                <w:rFonts w:ascii="Arial" w:hAnsi="Arial" w:cs="Arial"/>
                <w:i/>
                <w:iCs/>
              </w:rPr>
              <w:t>1040</w:t>
            </w:r>
          </w:p>
        </w:tc>
        <w:tc>
          <w:tcPr>
            <w:tcW w:w="1060" w:type="dxa"/>
            <w:shd w:val="clear" w:color="auto" w:fill="F2DBDB" w:themeFill="accent2" w:themeFillTint="33"/>
            <w:noWrap/>
            <w:vAlign w:val="center"/>
            <w:hideMark/>
          </w:tcPr>
          <w:p w:rsidR="00A7441D" w:rsidRPr="00A7441D" w:rsidRDefault="00A7441D" w:rsidP="000A29D0">
            <w:pPr>
              <w:spacing w:before="0" w:after="0"/>
              <w:jc w:val="center"/>
              <w:rPr>
                <w:rFonts w:ascii="Arial" w:hAnsi="Arial" w:cs="Arial"/>
                <w:i/>
                <w:iCs/>
              </w:rPr>
            </w:pPr>
            <w:r w:rsidRPr="00A7441D">
              <w:rPr>
                <w:rFonts w:ascii="Arial" w:hAnsi="Arial" w:cs="Arial"/>
                <w:i/>
                <w:iCs/>
              </w:rPr>
              <w:t>1060</w:t>
            </w:r>
          </w:p>
        </w:tc>
        <w:tc>
          <w:tcPr>
            <w:tcW w:w="1120" w:type="dxa"/>
            <w:shd w:val="clear" w:color="auto" w:fill="F2DBDB" w:themeFill="accent2" w:themeFillTint="33"/>
            <w:noWrap/>
            <w:vAlign w:val="center"/>
            <w:hideMark/>
          </w:tcPr>
          <w:p w:rsidR="00A7441D" w:rsidRPr="00A7441D" w:rsidRDefault="00A7441D" w:rsidP="00A7441D">
            <w:pPr>
              <w:spacing w:before="0" w:after="0"/>
              <w:jc w:val="center"/>
              <w:rPr>
                <w:rFonts w:ascii="Arial" w:hAnsi="Arial" w:cs="Arial"/>
                <w:i/>
                <w:iCs/>
              </w:rPr>
            </w:pPr>
            <w:r w:rsidRPr="00A7441D">
              <w:rPr>
                <w:rFonts w:ascii="Arial" w:hAnsi="Arial" w:cs="Arial"/>
                <w:i/>
                <w:iCs/>
              </w:rPr>
              <w:t>920</w:t>
            </w:r>
          </w:p>
        </w:tc>
        <w:tc>
          <w:tcPr>
            <w:tcW w:w="1080" w:type="dxa"/>
            <w:shd w:val="clear" w:color="auto" w:fill="F2DBDB" w:themeFill="accent2" w:themeFillTint="33"/>
            <w:noWrap/>
            <w:vAlign w:val="center"/>
            <w:hideMark/>
          </w:tcPr>
          <w:p w:rsidR="00A7441D" w:rsidRPr="00A7441D" w:rsidRDefault="00A7441D" w:rsidP="00A7441D">
            <w:pPr>
              <w:spacing w:before="0" w:after="0"/>
              <w:jc w:val="center"/>
              <w:rPr>
                <w:rFonts w:ascii="Arial" w:hAnsi="Arial" w:cs="Arial"/>
                <w:i/>
                <w:iCs/>
              </w:rPr>
            </w:pPr>
            <w:r w:rsidRPr="00A7441D">
              <w:rPr>
                <w:rFonts w:ascii="Arial" w:hAnsi="Arial" w:cs="Arial"/>
                <w:i/>
                <w:iCs/>
              </w:rPr>
              <w:t>855</w:t>
            </w:r>
          </w:p>
        </w:tc>
        <w:tc>
          <w:tcPr>
            <w:tcW w:w="1160" w:type="dxa"/>
            <w:shd w:val="clear" w:color="auto" w:fill="F2DBDB" w:themeFill="accent2" w:themeFillTint="33"/>
            <w:noWrap/>
            <w:vAlign w:val="center"/>
            <w:hideMark/>
          </w:tcPr>
          <w:p w:rsidR="00A7441D" w:rsidRPr="00A7441D" w:rsidRDefault="00A7441D" w:rsidP="00A7441D">
            <w:pPr>
              <w:spacing w:before="0" w:after="0"/>
              <w:jc w:val="center"/>
              <w:rPr>
                <w:rFonts w:ascii="Arial" w:hAnsi="Arial" w:cs="Arial"/>
                <w:i/>
                <w:iCs/>
              </w:rPr>
            </w:pPr>
            <w:r w:rsidRPr="00A7441D">
              <w:rPr>
                <w:rFonts w:ascii="Arial" w:hAnsi="Arial" w:cs="Arial"/>
                <w:i/>
                <w:iCs/>
              </w:rPr>
              <w:t>700</w:t>
            </w:r>
          </w:p>
        </w:tc>
      </w:tr>
      <w:tr w:rsidR="0041580C" w:rsidRPr="0041580C" w:rsidTr="00892EBD">
        <w:trPr>
          <w:trHeight w:val="315"/>
        </w:trPr>
        <w:tc>
          <w:tcPr>
            <w:tcW w:w="2900" w:type="dxa"/>
            <w:shd w:val="clear" w:color="auto" w:fill="808080"/>
            <w:noWrap/>
            <w:vAlign w:val="center"/>
            <w:hideMark/>
          </w:tcPr>
          <w:p w:rsidR="00A7441D" w:rsidRPr="00A7441D" w:rsidRDefault="00A7441D" w:rsidP="00A7441D">
            <w:pPr>
              <w:spacing w:before="0" w:after="0"/>
              <w:rPr>
                <w:rFonts w:ascii="Arial" w:hAnsi="Arial" w:cs="Arial"/>
                <w:b/>
                <w:color w:val="FFFFFF" w:themeColor="background1"/>
              </w:rPr>
            </w:pPr>
            <w:r w:rsidRPr="00A7441D">
              <w:rPr>
                <w:rFonts w:ascii="Arial" w:hAnsi="Arial" w:cs="Arial"/>
                <w:b/>
                <w:color w:val="FFFFFF" w:themeColor="background1"/>
              </w:rPr>
              <w:t>All industries</w:t>
            </w:r>
          </w:p>
        </w:tc>
        <w:tc>
          <w:tcPr>
            <w:tcW w:w="1140" w:type="dxa"/>
            <w:shd w:val="clear" w:color="auto" w:fill="808080"/>
            <w:noWrap/>
            <w:vAlign w:val="center"/>
            <w:hideMark/>
          </w:tcPr>
          <w:p w:rsidR="00A7441D" w:rsidRPr="00A7441D" w:rsidRDefault="00A7441D" w:rsidP="00A7441D">
            <w:pPr>
              <w:spacing w:before="0" w:after="0"/>
              <w:jc w:val="center"/>
              <w:rPr>
                <w:rFonts w:ascii="Arial" w:hAnsi="Arial" w:cs="Arial"/>
                <w:b/>
                <w:bCs/>
                <w:color w:val="FFFFFF" w:themeColor="background1"/>
              </w:rPr>
            </w:pPr>
            <w:r w:rsidRPr="00A7441D">
              <w:rPr>
                <w:rFonts w:ascii="Arial" w:hAnsi="Arial" w:cs="Arial"/>
                <w:b/>
                <w:bCs/>
                <w:color w:val="FFFFFF" w:themeColor="background1"/>
              </w:rPr>
              <w:t>128 170</w:t>
            </w:r>
          </w:p>
        </w:tc>
        <w:tc>
          <w:tcPr>
            <w:tcW w:w="1060" w:type="dxa"/>
            <w:shd w:val="clear" w:color="auto" w:fill="808080"/>
            <w:noWrap/>
            <w:vAlign w:val="center"/>
            <w:hideMark/>
          </w:tcPr>
          <w:p w:rsidR="00A7441D" w:rsidRPr="00A7441D" w:rsidRDefault="00A7441D" w:rsidP="00A7441D">
            <w:pPr>
              <w:spacing w:before="0" w:after="0"/>
              <w:jc w:val="center"/>
              <w:rPr>
                <w:rFonts w:ascii="Arial" w:hAnsi="Arial" w:cs="Arial"/>
                <w:b/>
                <w:bCs/>
                <w:color w:val="FFFFFF" w:themeColor="background1"/>
              </w:rPr>
            </w:pPr>
            <w:r w:rsidRPr="00A7441D">
              <w:rPr>
                <w:rFonts w:ascii="Arial" w:hAnsi="Arial" w:cs="Arial"/>
                <w:b/>
                <w:bCs/>
                <w:color w:val="FFFFFF" w:themeColor="background1"/>
              </w:rPr>
              <w:t>128 345</w:t>
            </w:r>
          </w:p>
        </w:tc>
        <w:tc>
          <w:tcPr>
            <w:tcW w:w="1120" w:type="dxa"/>
            <w:shd w:val="clear" w:color="auto" w:fill="808080"/>
            <w:noWrap/>
            <w:vAlign w:val="center"/>
            <w:hideMark/>
          </w:tcPr>
          <w:p w:rsidR="00A7441D" w:rsidRPr="00A7441D" w:rsidRDefault="00A7441D" w:rsidP="00A7441D">
            <w:pPr>
              <w:spacing w:before="0" w:after="0"/>
              <w:jc w:val="center"/>
              <w:rPr>
                <w:rFonts w:ascii="Arial" w:hAnsi="Arial" w:cs="Arial"/>
                <w:b/>
                <w:bCs/>
                <w:color w:val="FFFFFF" w:themeColor="background1"/>
              </w:rPr>
            </w:pPr>
            <w:r w:rsidRPr="00A7441D">
              <w:rPr>
                <w:rFonts w:ascii="Arial" w:hAnsi="Arial" w:cs="Arial"/>
                <w:b/>
                <w:bCs/>
                <w:color w:val="FFFFFF" w:themeColor="background1"/>
              </w:rPr>
              <w:t>120 050</w:t>
            </w:r>
          </w:p>
        </w:tc>
        <w:tc>
          <w:tcPr>
            <w:tcW w:w="1080" w:type="dxa"/>
            <w:shd w:val="clear" w:color="auto" w:fill="808080"/>
            <w:noWrap/>
            <w:vAlign w:val="center"/>
            <w:hideMark/>
          </w:tcPr>
          <w:p w:rsidR="00A7441D" w:rsidRPr="00A7441D" w:rsidRDefault="00A7441D" w:rsidP="00A7441D">
            <w:pPr>
              <w:spacing w:before="0" w:after="0"/>
              <w:jc w:val="center"/>
              <w:rPr>
                <w:rFonts w:ascii="Arial" w:hAnsi="Arial" w:cs="Arial"/>
                <w:b/>
                <w:bCs/>
                <w:color w:val="FFFFFF" w:themeColor="background1"/>
              </w:rPr>
            </w:pPr>
            <w:r w:rsidRPr="00A7441D">
              <w:rPr>
                <w:rFonts w:ascii="Arial" w:hAnsi="Arial" w:cs="Arial"/>
                <w:b/>
                <w:bCs/>
                <w:color w:val="FFFFFF" w:themeColor="background1"/>
              </w:rPr>
              <w:t>113 965</w:t>
            </w:r>
          </w:p>
        </w:tc>
        <w:tc>
          <w:tcPr>
            <w:tcW w:w="1160" w:type="dxa"/>
            <w:shd w:val="clear" w:color="auto" w:fill="808080"/>
            <w:noWrap/>
            <w:vAlign w:val="center"/>
            <w:hideMark/>
          </w:tcPr>
          <w:p w:rsidR="00A7441D" w:rsidRPr="00A7441D" w:rsidRDefault="00A7441D" w:rsidP="00A7441D">
            <w:pPr>
              <w:spacing w:before="0" w:after="0"/>
              <w:jc w:val="center"/>
              <w:rPr>
                <w:rFonts w:ascii="Arial" w:hAnsi="Arial" w:cs="Arial"/>
                <w:b/>
                <w:bCs/>
                <w:color w:val="FFFFFF" w:themeColor="background1"/>
              </w:rPr>
            </w:pPr>
            <w:r w:rsidRPr="00A7441D">
              <w:rPr>
                <w:rFonts w:ascii="Arial" w:hAnsi="Arial" w:cs="Arial"/>
                <w:b/>
                <w:bCs/>
                <w:color w:val="FFFFFF" w:themeColor="background1"/>
              </w:rPr>
              <w:t>107 355</w:t>
            </w:r>
          </w:p>
        </w:tc>
      </w:tr>
    </w:tbl>
    <w:p w:rsidR="00E60D67" w:rsidRPr="0002445B" w:rsidRDefault="00E60D67" w:rsidP="00E60D67">
      <w:pPr>
        <w:rPr>
          <w:rFonts w:ascii="Arial" w:hAnsi="Arial" w:cs="Arial"/>
          <w:b/>
          <w:noProof/>
          <w:sz w:val="22"/>
          <w:szCs w:val="18"/>
        </w:rPr>
      </w:pPr>
      <w:r w:rsidRPr="0002445B">
        <w:rPr>
          <w:rFonts w:ascii="Arial" w:hAnsi="Arial" w:cs="Arial"/>
          <w:b/>
          <w:noProof/>
          <w:sz w:val="22"/>
          <w:szCs w:val="18"/>
        </w:rPr>
        <w:t xml:space="preserve">Table </w:t>
      </w:r>
      <w:r>
        <w:rPr>
          <w:rFonts w:ascii="Arial" w:hAnsi="Arial" w:cs="Arial"/>
          <w:b/>
          <w:noProof/>
          <w:sz w:val="22"/>
          <w:szCs w:val="18"/>
        </w:rPr>
        <w:t>2b</w:t>
      </w:r>
      <w:r w:rsidRPr="0002445B">
        <w:rPr>
          <w:rFonts w:ascii="Arial" w:hAnsi="Arial" w:cs="Arial"/>
          <w:b/>
          <w:noProof/>
          <w:sz w:val="22"/>
          <w:szCs w:val="18"/>
        </w:rPr>
        <w:t xml:space="preserve">: Serious claims: frequency rate </w:t>
      </w:r>
      <w:r>
        <w:rPr>
          <w:rFonts w:ascii="Arial" w:hAnsi="Arial" w:cs="Arial"/>
          <w:b/>
          <w:noProof/>
          <w:sz w:val="22"/>
          <w:szCs w:val="18"/>
        </w:rPr>
        <w:t xml:space="preserve">(serious claims </w:t>
      </w:r>
      <w:r w:rsidRPr="0002445B">
        <w:rPr>
          <w:rFonts w:ascii="Arial" w:hAnsi="Arial" w:cs="Arial"/>
          <w:b/>
          <w:noProof/>
          <w:sz w:val="22"/>
          <w:szCs w:val="18"/>
        </w:rPr>
        <w:t>per million hours worked</w:t>
      </w:r>
      <w:r>
        <w:rPr>
          <w:rFonts w:ascii="Arial" w:hAnsi="Arial" w:cs="Arial"/>
          <w:b/>
          <w:noProof/>
          <w:sz w:val="22"/>
          <w:szCs w:val="18"/>
        </w:rPr>
        <w:t>)</w:t>
      </w:r>
      <w:r w:rsidRPr="0002445B">
        <w:rPr>
          <w:rFonts w:ascii="Arial" w:hAnsi="Arial" w:cs="Arial"/>
          <w:b/>
          <w:noProof/>
          <w:sz w:val="22"/>
          <w:szCs w:val="18"/>
        </w:rPr>
        <w:t xml:space="preserve"> in Road</w:t>
      </w:r>
      <w:r>
        <w:rPr>
          <w:rFonts w:ascii="Arial" w:hAnsi="Arial" w:cs="Arial"/>
          <w:b/>
          <w:noProof/>
          <w:sz w:val="22"/>
          <w:szCs w:val="18"/>
        </w:rPr>
        <w:t> </w:t>
      </w:r>
      <w:r w:rsidRPr="0002445B">
        <w:rPr>
          <w:rFonts w:ascii="Arial" w:hAnsi="Arial" w:cs="Arial"/>
          <w:b/>
          <w:noProof/>
          <w:sz w:val="22"/>
          <w:szCs w:val="18"/>
        </w:rPr>
        <w:t xml:space="preserve">transport by </w:t>
      </w:r>
      <w:r>
        <w:rPr>
          <w:rFonts w:ascii="Arial" w:hAnsi="Arial" w:cs="Arial"/>
          <w:b/>
          <w:noProof/>
          <w:sz w:val="22"/>
          <w:szCs w:val="18"/>
        </w:rPr>
        <w:t>industry sub-division</w:t>
      </w:r>
      <w:r w:rsidRPr="0002445B">
        <w:rPr>
          <w:rFonts w:ascii="Arial" w:hAnsi="Arial" w:cs="Arial"/>
          <w:b/>
          <w:noProof/>
          <w:sz w:val="22"/>
          <w:szCs w:val="18"/>
        </w:rPr>
        <w:t>, 2010-11 to 2014-15p</w:t>
      </w:r>
    </w:p>
    <w:tbl>
      <w:tblPr>
        <w:tblW w:w="8460"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Serious claims: frequency rate (serious claims per million hours worked) in Road transport by industry sub-division, 2010-11 to 2014-15p"/>
        <w:tblDescription w:val="Table 2b shows that Road freight transport has consistently had a significantly higher frequency rate of serious claims than Road passenger transport over the last 5 years – 12.5 serious claims per million hours worked in 2014-15p compared with 7.6 in Road passenger transport."/>
      </w:tblPr>
      <w:tblGrid>
        <w:gridCol w:w="2900"/>
        <w:gridCol w:w="1140"/>
        <w:gridCol w:w="1060"/>
        <w:gridCol w:w="1120"/>
        <w:gridCol w:w="1080"/>
        <w:gridCol w:w="1160"/>
      </w:tblGrid>
      <w:tr w:rsidR="00F157E2" w:rsidRPr="00A7441D" w:rsidTr="00A1063E">
        <w:trPr>
          <w:trHeight w:val="454"/>
        </w:trPr>
        <w:tc>
          <w:tcPr>
            <w:tcW w:w="2900" w:type="dxa"/>
            <w:shd w:val="clear" w:color="auto" w:fill="AF1E2D"/>
            <w:noWrap/>
            <w:vAlign w:val="center"/>
          </w:tcPr>
          <w:p w:rsidR="00F157E2" w:rsidRPr="00A7441D" w:rsidRDefault="00F157E2" w:rsidP="00F157E2">
            <w:pPr>
              <w:spacing w:before="0" w:after="0"/>
              <w:rPr>
                <w:rFonts w:ascii="Arial" w:hAnsi="Arial" w:cs="Arial"/>
                <w:color w:val="FFFFFF" w:themeColor="background1"/>
              </w:rPr>
            </w:pPr>
          </w:p>
        </w:tc>
        <w:tc>
          <w:tcPr>
            <w:tcW w:w="1140" w:type="dxa"/>
            <w:shd w:val="clear" w:color="auto" w:fill="AF1E2D"/>
            <w:vAlign w:val="center"/>
          </w:tcPr>
          <w:p w:rsidR="00F157E2" w:rsidRPr="00A7441D" w:rsidRDefault="00F157E2" w:rsidP="00F157E2">
            <w:pPr>
              <w:spacing w:before="0" w:after="0"/>
              <w:jc w:val="center"/>
              <w:rPr>
                <w:rFonts w:ascii="Arial" w:hAnsi="Arial" w:cs="Arial"/>
                <w:b/>
                <w:color w:val="FFFFFF" w:themeColor="background1"/>
              </w:rPr>
            </w:pPr>
            <w:r w:rsidRPr="00A7441D">
              <w:rPr>
                <w:rFonts w:ascii="Arial" w:hAnsi="Arial" w:cs="Arial"/>
                <w:b/>
                <w:color w:val="FFFFFF" w:themeColor="background1"/>
              </w:rPr>
              <w:t>2010-11</w:t>
            </w:r>
          </w:p>
        </w:tc>
        <w:tc>
          <w:tcPr>
            <w:tcW w:w="1060" w:type="dxa"/>
            <w:shd w:val="clear" w:color="auto" w:fill="AF1E2D"/>
            <w:vAlign w:val="center"/>
          </w:tcPr>
          <w:p w:rsidR="00F157E2" w:rsidRPr="00A7441D" w:rsidRDefault="00F157E2" w:rsidP="00F157E2">
            <w:pPr>
              <w:spacing w:before="0" w:after="0"/>
              <w:jc w:val="center"/>
              <w:rPr>
                <w:rFonts w:ascii="Arial" w:hAnsi="Arial" w:cs="Arial"/>
                <w:b/>
                <w:color w:val="FFFFFF" w:themeColor="background1"/>
              </w:rPr>
            </w:pPr>
            <w:r w:rsidRPr="00A7441D">
              <w:rPr>
                <w:rFonts w:ascii="Arial" w:hAnsi="Arial" w:cs="Arial"/>
                <w:b/>
                <w:color w:val="FFFFFF" w:themeColor="background1"/>
              </w:rPr>
              <w:t>2011-12</w:t>
            </w:r>
          </w:p>
        </w:tc>
        <w:tc>
          <w:tcPr>
            <w:tcW w:w="1120" w:type="dxa"/>
            <w:shd w:val="clear" w:color="auto" w:fill="AF1E2D"/>
            <w:vAlign w:val="center"/>
          </w:tcPr>
          <w:p w:rsidR="00F157E2" w:rsidRPr="00A7441D" w:rsidRDefault="00F157E2" w:rsidP="00F157E2">
            <w:pPr>
              <w:spacing w:before="0" w:after="0"/>
              <w:jc w:val="center"/>
              <w:rPr>
                <w:rFonts w:ascii="Arial" w:hAnsi="Arial" w:cs="Arial"/>
                <w:b/>
                <w:color w:val="FFFFFF" w:themeColor="background1"/>
              </w:rPr>
            </w:pPr>
            <w:r w:rsidRPr="00A7441D">
              <w:rPr>
                <w:rFonts w:ascii="Arial" w:hAnsi="Arial" w:cs="Arial"/>
                <w:b/>
                <w:color w:val="FFFFFF" w:themeColor="background1"/>
              </w:rPr>
              <w:t>2012-13</w:t>
            </w:r>
          </w:p>
        </w:tc>
        <w:tc>
          <w:tcPr>
            <w:tcW w:w="1080" w:type="dxa"/>
            <w:shd w:val="clear" w:color="auto" w:fill="AF1E2D"/>
            <w:vAlign w:val="center"/>
          </w:tcPr>
          <w:p w:rsidR="00F157E2" w:rsidRPr="00A7441D" w:rsidRDefault="00F157E2" w:rsidP="00F157E2">
            <w:pPr>
              <w:spacing w:before="0" w:after="0"/>
              <w:jc w:val="center"/>
              <w:rPr>
                <w:rFonts w:ascii="Arial" w:hAnsi="Arial" w:cs="Arial"/>
                <w:b/>
                <w:color w:val="FFFFFF" w:themeColor="background1"/>
              </w:rPr>
            </w:pPr>
            <w:r w:rsidRPr="00A7441D">
              <w:rPr>
                <w:rFonts w:ascii="Arial" w:hAnsi="Arial" w:cs="Arial"/>
                <w:b/>
                <w:color w:val="FFFFFF" w:themeColor="background1"/>
              </w:rPr>
              <w:t>2013-14</w:t>
            </w:r>
          </w:p>
        </w:tc>
        <w:tc>
          <w:tcPr>
            <w:tcW w:w="1160" w:type="dxa"/>
            <w:shd w:val="clear" w:color="auto" w:fill="AF1E2D"/>
            <w:vAlign w:val="center"/>
          </w:tcPr>
          <w:p w:rsidR="00F157E2" w:rsidRPr="00A7441D" w:rsidRDefault="00F157E2" w:rsidP="00F157E2">
            <w:pPr>
              <w:spacing w:before="0" w:after="0"/>
              <w:jc w:val="center"/>
              <w:rPr>
                <w:rFonts w:ascii="Arial" w:hAnsi="Arial" w:cs="Arial"/>
                <w:b/>
                <w:color w:val="FFFFFF" w:themeColor="background1"/>
              </w:rPr>
            </w:pPr>
            <w:r w:rsidRPr="00A7441D">
              <w:rPr>
                <w:rFonts w:ascii="Arial" w:hAnsi="Arial" w:cs="Arial"/>
                <w:b/>
                <w:color w:val="FFFFFF" w:themeColor="background1"/>
              </w:rPr>
              <w:t>2014-15p</w:t>
            </w:r>
          </w:p>
        </w:tc>
      </w:tr>
      <w:tr w:rsidR="00F157E2" w:rsidRPr="00A7441D" w:rsidTr="00F157E2">
        <w:trPr>
          <w:trHeight w:val="315"/>
        </w:trPr>
        <w:tc>
          <w:tcPr>
            <w:tcW w:w="2900" w:type="dxa"/>
            <w:shd w:val="clear" w:color="auto" w:fill="E5B8B7" w:themeFill="accent2" w:themeFillTint="66"/>
            <w:noWrap/>
            <w:vAlign w:val="center"/>
            <w:hideMark/>
          </w:tcPr>
          <w:p w:rsidR="00F157E2" w:rsidRPr="00A7441D" w:rsidRDefault="00F157E2" w:rsidP="00F157E2">
            <w:pPr>
              <w:spacing w:before="0" w:after="0"/>
              <w:rPr>
                <w:rFonts w:ascii="Arial" w:hAnsi="Arial" w:cs="Arial"/>
                <w:b/>
              </w:rPr>
            </w:pPr>
            <w:r w:rsidRPr="00A7441D">
              <w:rPr>
                <w:rFonts w:ascii="Arial" w:hAnsi="Arial" w:cs="Arial"/>
                <w:b/>
              </w:rPr>
              <w:t>Road transport</w:t>
            </w:r>
          </w:p>
        </w:tc>
        <w:tc>
          <w:tcPr>
            <w:tcW w:w="1140" w:type="dxa"/>
            <w:shd w:val="clear" w:color="auto" w:fill="E5B8B7" w:themeFill="accent2" w:themeFillTint="66"/>
            <w:noWrap/>
            <w:vAlign w:val="center"/>
            <w:hideMark/>
          </w:tcPr>
          <w:p w:rsidR="00F157E2" w:rsidRPr="00A7441D" w:rsidRDefault="00F157E2" w:rsidP="00F157E2">
            <w:pPr>
              <w:spacing w:before="0" w:after="0"/>
              <w:jc w:val="center"/>
              <w:rPr>
                <w:rFonts w:ascii="Arial" w:hAnsi="Arial" w:cs="Arial"/>
                <w:b/>
                <w:bCs/>
              </w:rPr>
            </w:pPr>
            <w:r w:rsidRPr="00A7441D">
              <w:rPr>
                <w:rFonts w:ascii="Arial" w:hAnsi="Arial" w:cs="Arial"/>
                <w:b/>
                <w:bCs/>
              </w:rPr>
              <w:t>14.9</w:t>
            </w:r>
          </w:p>
        </w:tc>
        <w:tc>
          <w:tcPr>
            <w:tcW w:w="1060" w:type="dxa"/>
            <w:shd w:val="clear" w:color="auto" w:fill="E5B8B7" w:themeFill="accent2" w:themeFillTint="66"/>
            <w:noWrap/>
            <w:vAlign w:val="center"/>
            <w:hideMark/>
          </w:tcPr>
          <w:p w:rsidR="00F157E2" w:rsidRPr="00A7441D" w:rsidRDefault="00F157E2" w:rsidP="00F157E2">
            <w:pPr>
              <w:spacing w:before="0" w:after="0"/>
              <w:jc w:val="center"/>
              <w:rPr>
                <w:rFonts w:ascii="Arial" w:hAnsi="Arial" w:cs="Arial"/>
                <w:b/>
                <w:bCs/>
              </w:rPr>
            </w:pPr>
            <w:r w:rsidRPr="00A7441D">
              <w:rPr>
                <w:rFonts w:ascii="Arial" w:hAnsi="Arial" w:cs="Arial"/>
                <w:b/>
                <w:bCs/>
              </w:rPr>
              <w:t>15.1</w:t>
            </w:r>
          </w:p>
        </w:tc>
        <w:tc>
          <w:tcPr>
            <w:tcW w:w="1120" w:type="dxa"/>
            <w:shd w:val="clear" w:color="auto" w:fill="E5B8B7" w:themeFill="accent2" w:themeFillTint="66"/>
            <w:noWrap/>
            <w:vAlign w:val="center"/>
            <w:hideMark/>
          </w:tcPr>
          <w:p w:rsidR="00F157E2" w:rsidRPr="00A7441D" w:rsidRDefault="00F157E2" w:rsidP="00F157E2">
            <w:pPr>
              <w:spacing w:before="0" w:after="0"/>
              <w:jc w:val="center"/>
              <w:rPr>
                <w:rFonts w:ascii="Arial" w:hAnsi="Arial" w:cs="Arial"/>
                <w:b/>
                <w:bCs/>
              </w:rPr>
            </w:pPr>
            <w:r w:rsidRPr="00A7441D">
              <w:rPr>
                <w:rFonts w:ascii="Arial" w:hAnsi="Arial" w:cs="Arial"/>
                <w:b/>
                <w:bCs/>
              </w:rPr>
              <w:t>12.9</w:t>
            </w:r>
          </w:p>
        </w:tc>
        <w:tc>
          <w:tcPr>
            <w:tcW w:w="1080" w:type="dxa"/>
            <w:shd w:val="clear" w:color="auto" w:fill="E5B8B7" w:themeFill="accent2" w:themeFillTint="66"/>
            <w:noWrap/>
            <w:vAlign w:val="center"/>
            <w:hideMark/>
          </w:tcPr>
          <w:p w:rsidR="00F157E2" w:rsidRPr="00A7441D" w:rsidRDefault="00F157E2" w:rsidP="00F157E2">
            <w:pPr>
              <w:spacing w:before="0" w:after="0"/>
              <w:jc w:val="center"/>
              <w:rPr>
                <w:rFonts w:ascii="Arial" w:hAnsi="Arial" w:cs="Arial"/>
                <w:b/>
                <w:bCs/>
              </w:rPr>
            </w:pPr>
            <w:r w:rsidRPr="00A7441D">
              <w:rPr>
                <w:rFonts w:ascii="Arial" w:hAnsi="Arial" w:cs="Arial"/>
                <w:b/>
                <w:bCs/>
              </w:rPr>
              <w:t>12.1</w:t>
            </w:r>
          </w:p>
        </w:tc>
        <w:tc>
          <w:tcPr>
            <w:tcW w:w="1160" w:type="dxa"/>
            <w:shd w:val="clear" w:color="auto" w:fill="E5B8B7" w:themeFill="accent2" w:themeFillTint="66"/>
            <w:noWrap/>
            <w:vAlign w:val="center"/>
            <w:hideMark/>
          </w:tcPr>
          <w:p w:rsidR="00F157E2" w:rsidRPr="00A7441D" w:rsidRDefault="00F157E2" w:rsidP="00F157E2">
            <w:pPr>
              <w:spacing w:before="0" w:after="0"/>
              <w:jc w:val="center"/>
              <w:rPr>
                <w:rFonts w:ascii="Arial" w:hAnsi="Arial" w:cs="Arial"/>
                <w:b/>
                <w:bCs/>
              </w:rPr>
            </w:pPr>
            <w:r w:rsidRPr="00A7441D">
              <w:rPr>
                <w:rFonts w:ascii="Arial" w:hAnsi="Arial" w:cs="Arial"/>
                <w:b/>
                <w:bCs/>
              </w:rPr>
              <w:t>11.3</w:t>
            </w:r>
          </w:p>
        </w:tc>
      </w:tr>
      <w:tr w:rsidR="00F157E2" w:rsidRPr="00A7441D" w:rsidTr="00F157E2">
        <w:trPr>
          <w:trHeight w:val="315"/>
        </w:trPr>
        <w:tc>
          <w:tcPr>
            <w:tcW w:w="2900" w:type="dxa"/>
            <w:shd w:val="clear" w:color="auto" w:fill="auto"/>
            <w:noWrap/>
            <w:vAlign w:val="center"/>
            <w:hideMark/>
          </w:tcPr>
          <w:p w:rsidR="00F157E2" w:rsidRPr="00A7441D" w:rsidRDefault="00F157E2" w:rsidP="00F157E2">
            <w:pPr>
              <w:spacing w:before="0" w:after="0"/>
              <w:rPr>
                <w:rFonts w:ascii="Arial" w:hAnsi="Arial" w:cs="Arial"/>
                <w:i/>
                <w:iCs/>
              </w:rPr>
            </w:pPr>
            <w:r w:rsidRPr="00A7441D">
              <w:rPr>
                <w:rFonts w:ascii="Arial" w:hAnsi="Arial" w:cs="Arial"/>
                <w:i/>
                <w:iCs/>
              </w:rPr>
              <w:t>   Road freight transport</w:t>
            </w:r>
          </w:p>
        </w:tc>
        <w:tc>
          <w:tcPr>
            <w:tcW w:w="1140" w:type="dxa"/>
            <w:shd w:val="clear" w:color="auto" w:fill="auto"/>
            <w:noWrap/>
            <w:vAlign w:val="center"/>
            <w:hideMark/>
          </w:tcPr>
          <w:p w:rsidR="00F157E2" w:rsidRPr="00A7441D" w:rsidRDefault="00F157E2" w:rsidP="00F157E2">
            <w:pPr>
              <w:spacing w:before="0" w:after="0"/>
              <w:jc w:val="center"/>
              <w:rPr>
                <w:rFonts w:ascii="Arial" w:hAnsi="Arial" w:cs="Arial"/>
                <w:i/>
                <w:iCs/>
              </w:rPr>
            </w:pPr>
            <w:r w:rsidRPr="00A7441D">
              <w:rPr>
                <w:rFonts w:ascii="Arial" w:hAnsi="Arial" w:cs="Arial"/>
                <w:i/>
                <w:iCs/>
              </w:rPr>
              <w:t>15.9</w:t>
            </w:r>
          </w:p>
        </w:tc>
        <w:tc>
          <w:tcPr>
            <w:tcW w:w="1060" w:type="dxa"/>
            <w:shd w:val="clear" w:color="auto" w:fill="auto"/>
            <w:noWrap/>
            <w:vAlign w:val="center"/>
            <w:hideMark/>
          </w:tcPr>
          <w:p w:rsidR="00F157E2" w:rsidRPr="00A7441D" w:rsidRDefault="00F157E2" w:rsidP="00F157E2">
            <w:pPr>
              <w:spacing w:before="0" w:after="0"/>
              <w:jc w:val="center"/>
              <w:rPr>
                <w:rFonts w:ascii="Arial" w:hAnsi="Arial" w:cs="Arial"/>
                <w:i/>
                <w:iCs/>
              </w:rPr>
            </w:pPr>
            <w:r w:rsidRPr="00A7441D">
              <w:rPr>
                <w:rFonts w:ascii="Arial" w:hAnsi="Arial" w:cs="Arial"/>
                <w:i/>
                <w:iCs/>
              </w:rPr>
              <w:t>16.4</w:t>
            </w:r>
          </w:p>
        </w:tc>
        <w:tc>
          <w:tcPr>
            <w:tcW w:w="1120" w:type="dxa"/>
            <w:shd w:val="clear" w:color="auto" w:fill="auto"/>
            <w:noWrap/>
            <w:vAlign w:val="center"/>
            <w:hideMark/>
          </w:tcPr>
          <w:p w:rsidR="00F157E2" w:rsidRPr="00A7441D" w:rsidRDefault="00F157E2" w:rsidP="00F157E2">
            <w:pPr>
              <w:spacing w:before="0" w:after="0"/>
              <w:jc w:val="center"/>
              <w:rPr>
                <w:rFonts w:ascii="Arial" w:hAnsi="Arial" w:cs="Arial"/>
                <w:i/>
                <w:iCs/>
              </w:rPr>
            </w:pPr>
            <w:r w:rsidRPr="00A7441D">
              <w:rPr>
                <w:rFonts w:ascii="Arial" w:hAnsi="Arial" w:cs="Arial"/>
                <w:i/>
                <w:iCs/>
              </w:rPr>
              <w:t>14.2</w:t>
            </w:r>
          </w:p>
        </w:tc>
        <w:tc>
          <w:tcPr>
            <w:tcW w:w="1080" w:type="dxa"/>
            <w:shd w:val="clear" w:color="auto" w:fill="auto"/>
            <w:noWrap/>
            <w:vAlign w:val="center"/>
            <w:hideMark/>
          </w:tcPr>
          <w:p w:rsidR="00F157E2" w:rsidRPr="00A7441D" w:rsidRDefault="00F157E2" w:rsidP="00F157E2">
            <w:pPr>
              <w:spacing w:before="0" w:after="0"/>
              <w:jc w:val="center"/>
              <w:rPr>
                <w:rFonts w:ascii="Arial" w:hAnsi="Arial" w:cs="Arial"/>
                <w:i/>
                <w:iCs/>
              </w:rPr>
            </w:pPr>
            <w:r w:rsidRPr="00A7441D">
              <w:rPr>
                <w:rFonts w:ascii="Arial" w:hAnsi="Arial" w:cs="Arial"/>
                <w:i/>
                <w:iCs/>
              </w:rPr>
              <w:t>13.2</w:t>
            </w:r>
          </w:p>
        </w:tc>
        <w:tc>
          <w:tcPr>
            <w:tcW w:w="1160" w:type="dxa"/>
            <w:shd w:val="clear" w:color="auto" w:fill="auto"/>
            <w:noWrap/>
            <w:vAlign w:val="center"/>
            <w:hideMark/>
          </w:tcPr>
          <w:p w:rsidR="00F157E2" w:rsidRPr="00A7441D" w:rsidRDefault="00F157E2" w:rsidP="00F157E2">
            <w:pPr>
              <w:spacing w:before="0" w:after="0"/>
              <w:jc w:val="center"/>
              <w:rPr>
                <w:rFonts w:ascii="Arial" w:hAnsi="Arial" w:cs="Arial"/>
                <w:i/>
                <w:iCs/>
              </w:rPr>
            </w:pPr>
            <w:r w:rsidRPr="00A7441D">
              <w:rPr>
                <w:rFonts w:ascii="Arial" w:hAnsi="Arial" w:cs="Arial"/>
                <w:i/>
                <w:iCs/>
              </w:rPr>
              <w:t>12.5</w:t>
            </w:r>
          </w:p>
        </w:tc>
      </w:tr>
      <w:tr w:rsidR="00F157E2" w:rsidRPr="00A7441D" w:rsidTr="00F157E2">
        <w:trPr>
          <w:trHeight w:val="315"/>
        </w:trPr>
        <w:tc>
          <w:tcPr>
            <w:tcW w:w="2900" w:type="dxa"/>
            <w:shd w:val="clear" w:color="auto" w:fill="F2DBDB" w:themeFill="accent2" w:themeFillTint="33"/>
            <w:noWrap/>
            <w:vAlign w:val="center"/>
            <w:hideMark/>
          </w:tcPr>
          <w:p w:rsidR="00F157E2" w:rsidRPr="00A7441D" w:rsidRDefault="00F157E2" w:rsidP="00F157E2">
            <w:pPr>
              <w:spacing w:before="0" w:after="0"/>
              <w:rPr>
                <w:rFonts w:ascii="Arial" w:hAnsi="Arial" w:cs="Arial"/>
                <w:i/>
                <w:iCs/>
              </w:rPr>
            </w:pPr>
            <w:r w:rsidRPr="00A7441D">
              <w:rPr>
                <w:rFonts w:ascii="Arial" w:hAnsi="Arial" w:cs="Arial"/>
                <w:i/>
                <w:iCs/>
              </w:rPr>
              <w:t>   Road passenger transport</w:t>
            </w:r>
          </w:p>
        </w:tc>
        <w:tc>
          <w:tcPr>
            <w:tcW w:w="1140" w:type="dxa"/>
            <w:shd w:val="clear" w:color="auto" w:fill="F2DBDB" w:themeFill="accent2" w:themeFillTint="33"/>
            <w:noWrap/>
            <w:vAlign w:val="center"/>
            <w:hideMark/>
          </w:tcPr>
          <w:p w:rsidR="00F157E2" w:rsidRPr="00A7441D" w:rsidRDefault="00F157E2" w:rsidP="00F157E2">
            <w:pPr>
              <w:spacing w:before="0" w:after="0"/>
              <w:jc w:val="center"/>
              <w:rPr>
                <w:rFonts w:ascii="Arial" w:hAnsi="Arial" w:cs="Arial"/>
                <w:i/>
                <w:iCs/>
              </w:rPr>
            </w:pPr>
            <w:r w:rsidRPr="00A7441D">
              <w:rPr>
                <w:rFonts w:ascii="Arial" w:hAnsi="Arial" w:cs="Arial"/>
                <w:i/>
                <w:iCs/>
              </w:rPr>
              <w:t>12.1</w:t>
            </w:r>
          </w:p>
        </w:tc>
        <w:tc>
          <w:tcPr>
            <w:tcW w:w="1060" w:type="dxa"/>
            <w:shd w:val="clear" w:color="auto" w:fill="F2DBDB" w:themeFill="accent2" w:themeFillTint="33"/>
            <w:noWrap/>
            <w:vAlign w:val="center"/>
            <w:hideMark/>
          </w:tcPr>
          <w:p w:rsidR="00F157E2" w:rsidRPr="00A7441D" w:rsidRDefault="00F157E2" w:rsidP="00F157E2">
            <w:pPr>
              <w:spacing w:before="0" w:after="0"/>
              <w:jc w:val="center"/>
              <w:rPr>
                <w:rFonts w:ascii="Arial" w:hAnsi="Arial" w:cs="Arial"/>
                <w:i/>
                <w:iCs/>
              </w:rPr>
            </w:pPr>
            <w:r w:rsidRPr="00A7441D">
              <w:rPr>
                <w:rFonts w:ascii="Arial" w:hAnsi="Arial" w:cs="Arial"/>
                <w:i/>
                <w:iCs/>
              </w:rPr>
              <w:t>11.6</w:t>
            </w:r>
          </w:p>
        </w:tc>
        <w:tc>
          <w:tcPr>
            <w:tcW w:w="1120" w:type="dxa"/>
            <w:shd w:val="clear" w:color="auto" w:fill="F2DBDB" w:themeFill="accent2" w:themeFillTint="33"/>
            <w:noWrap/>
            <w:vAlign w:val="center"/>
            <w:hideMark/>
          </w:tcPr>
          <w:p w:rsidR="00F157E2" w:rsidRPr="00A7441D" w:rsidRDefault="00F157E2" w:rsidP="00F157E2">
            <w:pPr>
              <w:spacing w:before="0" w:after="0"/>
              <w:jc w:val="center"/>
              <w:rPr>
                <w:rFonts w:ascii="Arial" w:hAnsi="Arial" w:cs="Arial"/>
                <w:i/>
                <w:iCs/>
              </w:rPr>
            </w:pPr>
            <w:r w:rsidRPr="00A7441D">
              <w:rPr>
                <w:rFonts w:ascii="Arial" w:hAnsi="Arial" w:cs="Arial"/>
                <w:i/>
                <w:iCs/>
              </w:rPr>
              <w:t>9.4</w:t>
            </w:r>
          </w:p>
        </w:tc>
        <w:tc>
          <w:tcPr>
            <w:tcW w:w="1080" w:type="dxa"/>
            <w:shd w:val="clear" w:color="auto" w:fill="F2DBDB" w:themeFill="accent2" w:themeFillTint="33"/>
            <w:noWrap/>
            <w:vAlign w:val="center"/>
            <w:hideMark/>
          </w:tcPr>
          <w:p w:rsidR="00F157E2" w:rsidRPr="00A7441D" w:rsidRDefault="00F157E2" w:rsidP="00F157E2">
            <w:pPr>
              <w:spacing w:before="0" w:after="0"/>
              <w:jc w:val="center"/>
              <w:rPr>
                <w:rFonts w:ascii="Arial" w:hAnsi="Arial" w:cs="Arial"/>
                <w:i/>
                <w:iCs/>
              </w:rPr>
            </w:pPr>
            <w:r w:rsidRPr="00A7441D">
              <w:rPr>
                <w:rFonts w:ascii="Arial" w:hAnsi="Arial" w:cs="Arial"/>
                <w:i/>
                <w:iCs/>
              </w:rPr>
              <w:t>8.9</w:t>
            </w:r>
          </w:p>
        </w:tc>
        <w:tc>
          <w:tcPr>
            <w:tcW w:w="1160" w:type="dxa"/>
            <w:shd w:val="clear" w:color="auto" w:fill="F2DBDB" w:themeFill="accent2" w:themeFillTint="33"/>
            <w:noWrap/>
            <w:vAlign w:val="center"/>
            <w:hideMark/>
          </w:tcPr>
          <w:p w:rsidR="00F157E2" w:rsidRPr="00A7441D" w:rsidRDefault="00F157E2" w:rsidP="00F157E2">
            <w:pPr>
              <w:spacing w:before="0" w:after="0"/>
              <w:jc w:val="center"/>
              <w:rPr>
                <w:rFonts w:ascii="Arial" w:hAnsi="Arial" w:cs="Arial"/>
                <w:i/>
                <w:iCs/>
              </w:rPr>
            </w:pPr>
            <w:r w:rsidRPr="00A7441D">
              <w:rPr>
                <w:rFonts w:ascii="Arial" w:hAnsi="Arial" w:cs="Arial"/>
                <w:i/>
                <w:iCs/>
              </w:rPr>
              <w:t>7.6</w:t>
            </w:r>
          </w:p>
        </w:tc>
      </w:tr>
      <w:tr w:rsidR="00F157E2" w:rsidRPr="00A7441D" w:rsidTr="00892EBD">
        <w:trPr>
          <w:trHeight w:val="315"/>
        </w:trPr>
        <w:tc>
          <w:tcPr>
            <w:tcW w:w="2900" w:type="dxa"/>
            <w:shd w:val="clear" w:color="auto" w:fill="808080"/>
            <w:noWrap/>
            <w:vAlign w:val="center"/>
            <w:hideMark/>
          </w:tcPr>
          <w:p w:rsidR="00F157E2" w:rsidRPr="00A7441D" w:rsidRDefault="00F157E2" w:rsidP="00F157E2">
            <w:pPr>
              <w:spacing w:before="0" w:after="0"/>
              <w:rPr>
                <w:rFonts w:ascii="Arial" w:hAnsi="Arial" w:cs="Arial"/>
                <w:b/>
                <w:color w:val="FFFFFF" w:themeColor="background1"/>
              </w:rPr>
            </w:pPr>
            <w:r w:rsidRPr="00A7441D">
              <w:rPr>
                <w:rFonts w:ascii="Arial" w:hAnsi="Arial" w:cs="Arial"/>
                <w:b/>
                <w:color w:val="FFFFFF" w:themeColor="background1"/>
              </w:rPr>
              <w:t>All industries</w:t>
            </w:r>
          </w:p>
        </w:tc>
        <w:tc>
          <w:tcPr>
            <w:tcW w:w="1140" w:type="dxa"/>
            <w:shd w:val="clear" w:color="auto" w:fill="808080"/>
            <w:noWrap/>
            <w:vAlign w:val="center"/>
            <w:hideMark/>
          </w:tcPr>
          <w:p w:rsidR="00F157E2" w:rsidRPr="00A7441D" w:rsidRDefault="00F157E2" w:rsidP="00F157E2">
            <w:pPr>
              <w:spacing w:before="0" w:after="0"/>
              <w:jc w:val="center"/>
              <w:rPr>
                <w:rFonts w:ascii="Arial" w:hAnsi="Arial" w:cs="Arial"/>
                <w:b/>
                <w:bCs/>
                <w:color w:val="FFFFFF" w:themeColor="background1"/>
              </w:rPr>
            </w:pPr>
            <w:r w:rsidRPr="00A7441D">
              <w:rPr>
                <w:rFonts w:ascii="Arial" w:hAnsi="Arial" w:cs="Arial"/>
                <w:b/>
                <w:bCs/>
                <w:color w:val="FFFFFF" w:themeColor="background1"/>
              </w:rPr>
              <w:t>7.6</w:t>
            </w:r>
          </w:p>
        </w:tc>
        <w:tc>
          <w:tcPr>
            <w:tcW w:w="1060" w:type="dxa"/>
            <w:shd w:val="clear" w:color="auto" w:fill="808080"/>
            <w:noWrap/>
            <w:vAlign w:val="center"/>
            <w:hideMark/>
          </w:tcPr>
          <w:p w:rsidR="00F157E2" w:rsidRPr="00A7441D" w:rsidRDefault="00F157E2" w:rsidP="00F157E2">
            <w:pPr>
              <w:spacing w:before="0" w:after="0"/>
              <w:jc w:val="center"/>
              <w:rPr>
                <w:rFonts w:ascii="Arial" w:hAnsi="Arial" w:cs="Arial"/>
                <w:b/>
                <w:bCs/>
                <w:color w:val="FFFFFF" w:themeColor="background1"/>
              </w:rPr>
            </w:pPr>
            <w:r w:rsidRPr="00A7441D">
              <w:rPr>
                <w:rFonts w:ascii="Arial" w:hAnsi="Arial" w:cs="Arial"/>
                <w:b/>
                <w:bCs/>
                <w:color w:val="FFFFFF" w:themeColor="background1"/>
              </w:rPr>
              <w:t>7.4</w:t>
            </w:r>
          </w:p>
        </w:tc>
        <w:tc>
          <w:tcPr>
            <w:tcW w:w="1120" w:type="dxa"/>
            <w:shd w:val="clear" w:color="auto" w:fill="808080"/>
            <w:noWrap/>
            <w:vAlign w:val="center"/>
            <w:hideMark/>
          </w:tcPr>
          <w:p w:rsidR="00F157E2" w:rsidRPr="00A7441D" w:rsidRDefault="00F157E2" w:rsidP="00F157E2">
            <w:pPr>
              <w:spacing w:before="0" w:after="0"/>
              <w:jc w:val="center"/>
              <w:rPr>
                <w:rFonts w:ascii="Arial" w:hAnsi="Arial" w:cs="Arial"/>
                <w:b/>
                <w:bCs/>
                <w:color w:val="FFFFFF" w:themeColor="background1"/>
              </w:rPr>
            </w:pPr>
            <w:r w:rsidRPr="00A7441D">
              <w:rPr>
                <w:rFonts w:ascii="Arial" w:hAnsi="Arial" w:cs="Arial"/>
                <w:b/>
                <w:bCs/>
                <w:color w:val="FFFFFF" w:themeColor="background1"/>
              </w:rPr>
              <w:t>6.7</w:t>
            </w:r>
          </w:p>
        </w:tc>
        <w:tc>
          <w:tcPr>
            <w:tcW w:w="1080" w:type="dxa"/>
            <w:shd w:val="clear" w:color="auto" w:fill="808080"/>
            <w:noWrap/>
            <w:vAlign w:val="center"/>
            <w:hideMark/>
          </w:tcPr>
          <w:p w:rsidR="00F157E2" w:rsidRPr="00A7441D" w:rsidRDefault="00F157E2" w:rsidP="00F157E2">
            <w:pPr>
              <w:spacing w:before="0" w:after="0"/>
              <w:jc w:val="center"/>
              <w:rPr>
                <w:rFonts w:ascii="Arial" w:hAnsi="Arial" w:cs="Arial"/>
                <w:b/>
                <w:bCs/>
                <w:color w:val="FFFFFF" w:themeColor="background1"/>
              </w:rPr>
            </w:pPr>
            <w:r w:rsidRPr="00A7441D">
              <w:rPr>
                <w:rFonts w:ascii="Arial" w:hAnsi="Arial" w:cs="Arial"/>
                <w:b/>
                <w:bCs/>
                <w:color w:val="FFFFFF" w:themeColor="background1"/>
              </w:rPr>
              <w:t>6.3</w:t>
            </w:r>
          </w:p>
        </w:tc>
        <w:tc>
          <w:tcPr>
            <w:tcW w:w="1160" w:type="dxa"/>
            <w:shd w:val="clear" w:color="auto" w:fill="808080"/>
            <w:noWrap/>
            <w:vAlign w:val="center"/>
            <w:hideMark/>
          </w:tcPr>
          <w:p w:rsidR="00F157E2" w:rsidRPr="00A7441D" w:rsidRDefault="00F157E2" w:rsidP="00F157E2">
            <w:pPr>
              <w:spacing w:before="0" w:after="0"/>
              <w:jc w:val="center"/>
              <w:rPr>
                <w:rFonts w:ascii="Arial" w:hAnsi="Arial" w:cs="Arial"/>
                <w:b/>
                <w:bCs/>
                <w:color w:val="FFFFFF" w:themeColor="background1"/>
              </w:rPr>
            </w:pPr>
            <w:r w:rsidRPr="00A7441D">
              <w:rPr>
                <w:rFonts w:ascii="Arial" w:hAnsi="Arial" w:cs="Arial"/>
                <w:b/>
                <w:bCs/>
                <w:color w:val="FFFFFF" w:themeColor="background1"/>
              </w:rPr>
              <w:t>6.5</w:t>
            </w:r>
          </w:p>
        </w:tc>
      </w:tr>
    </w:tbl>
    <w:p w:rsidR="007D6070" w:rsidRPr="007F5A29" w:rsidRDefault="007D6070" w:rsidP="007F5A29">
      <w:pPr>
        <w:spacing w:before="360"/>
        <w:rPr>
          <w:rFonts w:ascii="Arial" w:hAnsi="Arial" w:cs="Arial"/>
          <w:b/>
          <w:color w:val="C10A27"/>
          <w:sz w:val="28"/>
          <w:szCs w:val="24"/>
        </w:rPr>
      </w:pPr>
      <w:r w:rsidRPr="007F5A29">
        <w:rPr>
          <w:rFonts w:ascii="Arial" w:hAnsi="Arial" w:cs="Arial"/>
          <w:b/>
          <w:color w:val="C10A27"/>
          <w:sz w:val="28"/>
          <w:szCs w:val="24"/>
        </w:rPr>
        <w:t>Serious claims by age and sex</w:t>
      </w:r>
    </w:p>
    <w:p w:rsidR="003B3AAE" w:rsidRPr="004076EF" w:rsidRDefault="003B3AAE" w:rsidP="003B3AAE">
      <w:pPr>
        <w:spacing w:line="288" w:lineRule="auto"/>
        <w:rPr>
          <w:rFonts w:ascii="Arial" w:hAnsi="Arial" w:cs="Arial"/>
          <w:sz w:val="22"/>
          <w:szCs w:val="22"/>
        </w:rPr>
      </w:pPr>
      <w:r w:rsidRPr="004076EF">
        <w:rPr>
          <w:rFonts w:ascii="Arial" w:hAnsi="Arial" w:cs="Arial"/>
          <w:sz w:val="22"/>
          <w:szCs w:val="22"/>
        </w:rPr>
        <w:t xml:space="preserve">Figure </w:t>
      </w:r>
      <w:r w:rsidR="00AF203A" w:rsidRPr="004076EF">
        <w:rPr>
          <w:rFonts w:ascii="Arial" w:hAnsi="Arial" w:cs="Arial"/>
          <w:sz w:val="22"/>
          <w:szCs w:val="22"/>
        </w:rPr>
        <w:t>2</w:t>
      </w:r>
      <w:r w:rsidRPr="004076EF">
        <w:rPr>
          <w:rFonts w:ascii="Arial" w:hAnsi="Arial" w:cs="Arial"/>
          <w:sz w:val="22"/>
          <w:szCs w:val="22"/>
        </w:rPr>
        <w:t xml:space="preserve"> shows </w:t>
      </w:r>
      <w:r w:rsidR="007F5A29">
        <w:rPr>
          <w:rFonts w:ascii="Arial" w:hAnsi="Arial" w:cs="Arial"/>
          <w:sz w:val="22"/>
          <w:szCs w:val="22"/>
        </w:rPr>
        <w:t xml:space="preserve">that </w:t>
      </w:r>
      <w:r w:rsidRPr="004076EF">
        <w:rPr>
          <w:rFonts w:ascii="Arial" w:hAnsi="Arial" w:cs="Arial"/>
          <w:sz w:val="22"/>
          <w:szCs w:val="22"/>
        </w:rPr>
        <w:t>the frequency rate of serious claims for males in Road transport was highest for workers aged less than 20 years and those aged 60-64 years (16.4 and 16.0 serious claims per million hours worked respectively) and lowest for workers aged 25-29 years (11.5</w:t>
      </w:r>
      <w:r w:rsidR="007F5A29">
        <w:rPr>
          <w:rFonts w:ascii="Arial" w:hAnsi="Arial" w:cs="Arial"/>
          <w:sz w:val="22"/>
          <w:szCs w:val="22"/>
        </w:rPr>
        <w:t> </w:t>
      </w:r>
      <w:r w:rsidRPr="004076EF">
        <w:rPr>
          <w:rFonts w:ascii="Arial" w:hAnsi="Arial" w:cs="Arial"/>
          <w:sz w:val="22"/>
          <w:szCs w:val="22"/>
        </w:rPr>
        <w:t>serious claims per million hours worked).</w:t>
      </w:r>
    </w:p>
    <w:p w:rsidR="003B3AAE" w:rsidRPr="004076EF" w:rsidRDefault="008E6D54" w:rsidP="003B3AAE">
      <w:pPr>
        <w:spacing w:line="288" w:lineRule="auto"/>
        <w:rPr>
          <w:rFonts w:ascii="Arial" w:hAnsi="Arial" w:cs="Arial"/>
          <w:sz w:val="22"/>
          <w:szCs w:val="22"/>
        </w:rPr>
      </w:pPr>
      <w:r w:rsidRPr="004076EF">
        <w:rPr>
          <w:rFonts w:ascii="Arial" w:hAnsi="Arial" w:cs="Arial"/>
          <w:sz w:val="22"/>
          <w:szCs w:val="22"/>
        </w:rPr>
        <w:t xml:space="preserve">The frequency rate of serious claims for females was lower than those for males in every age group. The difference was most evident in the youngest age group </w:t>
      </w:r>
      <w:r w:rsidR="007F5A29">
        <w:rPr>
          <w:rFonts w:ascii="Arial" w:hAnsi="Arial" w:cs="Arial"/>
          <w:sz w:val="22"/>
          <w:szCs w:val="22"/>
        </w:rPr>
        <w:t>(less than</w:t>
      </w:r>
      <w:r w:rsidR="00AC2BE3" w:rsidRPr="004076EF">
        <w:rPr>
          <w:rFonts w:ascii="Arial" w:hAnsi="Arial" w:cs="Arial"/>
          <w:sz w:val="22"/>
          <w:szCs w:val="22"/>
        </w:rPr>
        <w:t xml:space="preserve"> 20 years old), </w:t>
      </w:r>
      <w:r w:rsidRPr="004076EF">
        <w:rPr>
          <w:rFonts w:ascii="Arial" w:hAnsi="Arial" w:cs="Arial"/>
          <w:sz w:val="22"/>
          <w:szCs w:val="22"/>
        </w:rPr>
        <w:t>where the frequency rate of serious claims for males (16.4</w:t>
      </w:r>
      <w:r w:rsidR="00AF5C3D">
        <w:rPr>
          <w:rFonts w:ascii="Arial" w:hAnsi="Arial" w:cs="Arial"/>
          <w:sz w:val="22"/>
          <w:szCs w:val="22"/>
        </w:rPr>
        <w:t xml:space="preserve"> serious claims per million hours worked</w:t>
      </w:r>
      <w:r w:rsidRPr="004076EF">
        <w:rPr>
          <w:rFonts w:ascii="Arial" w:hAnsi="Arial" w:cs="Arial"/>
          <w:sz w:val="22"/>
          <w:szCs w:val="22"/>
        </w:rPr>
        <w:t>) was five times higher than the rate for females (3.1).</w:t>
      </w:r>
    </w:p>
    <w:p w:rsidR="001804E7" w:rsidRPr="0048534D" w:rsidRDefault="001804E7" w:rsidP="001804E7">
      <w:pPr>
        <w:rPr>
          <w:rFonts w:ascii="Arial" w:hAnsi="Arial" w:cs="Arial"/>
          <w:b/>
          <w:noProof/>
          <w:sz w:val="22"/>
          <w:szCs w:val="18"/>
        </w:rPr>
      </w:pPr>
      <w:r w:rsidRPr="0048534D">
        <w:rPr>
          <w:rFonts w:ascii="Arial" w:hAnsi="Arial" w:cs="Arial"/>
          <w:b/>
          <w:noProof/>
          <w:sz w:val="22"/>
          <w:szCs w:val="18"/>
        </w:rPr>
        <w:t xml:space="preserve">Figure </w:t>
      </w:r>
      <w:r w:rsidR="00AF203A" w:rsidRPr="0048534D">
        <w:rPr>
          <w:rFonts w:ascii="Arial" w:hAnsi="Arial" w:cs="Arial"/>
          <w:b/>
          <w:noProof/>
          <w:sz w:val="22"/>
          <w:szCs w:val="18"/>
        </w:rPr>
        <w:t>2</w:t>
      </w:r>
      <w:r w:rsidRPr="0048534D">
        <w:rPr>
          <w:rFonts w:ascii="Arial" w:hAnsi="Arial" w:cs="Arial"/>
          <w:b/>
          <w:noProof/>
          <w:sz w:val="22"/>
          <w:szCs w:val="18"/>
        </w:rPr>
        <w:t xml:space="preserve">: Serious claims: frequency rate </w:t>
      </w:r>
      <w:r w:rsidR="00EE727D">
        <w:rPr>
          <w:rFonts w:ascii="Arial" w:hAnsi="Arial" w:cs="Arial"/>
          <w:b/>
          <w:noProof/>
          <w:sz w:val="22"/>
          <w:szCs w:val="18"/>
        </w:rPr>
        <w:t xml:space="preserve">(serious claims </w:t>
      </w:r>
      <w:r w:rsidRPr="0048534D">
        <w:rPr>
          <w:rFonts w:ascii="Arial" w:hAnsi="Arial" w:cs="Arial"/>
          <w:b/>
          <w:noProof/>
          <w:sz w:val="22"/>
          <w:szCs w:val="18"/>
        </w:rPr>
        <w:t>per million hou</w:t>
      </w:r>
      <w:r w:rsidR="002D483D" w:rsidRPr="0048534D">
        <w:rPr>
          <w:rFonts w:ascii="Arial" w:hAnsi="Arial" w:cs="Arial"/>
          <w:b/>
          <w:noProof/>
          <w:sz w:val="22"/>
          <w:szCs w:val="18"/>
        </w:rPr>
        <w:t>rs worked</w:t>
      </w:r>
      <w:r w:rsidR="00EE727D">
        <w:rPr>
          <w:rFonts w:ascii="Arial" w:hAnsi="Arial" w:cs="Arial"/>
          <w:b/>
          <w:noProof/>
          <w:sz w:val="22"/>
          <w:szCs w:val="18"/>
        </w:rPr>
        <w:t>)</w:t>
      </w:r>
      <w:r w:rsidR="002D483D" w:rsidRPr="0048534D">
        <w:rPr>
          <w:rFonts w:ascii="Arial" w:hAnsi="Arial" w:cs="Arial"/>
          <w:b/>
          <w:noProof/>
          <w:sz w:val="22"/>
          <w:szCs w:val="18"/>
        </w:rPr>
        <w:t xml:space="preserve"> in R</w:t>
      </w:r>
      <w:r w:rsidRPr="0048534D">
        <w:rPr>
          <w:rFonts w:ascii="Arial" w:hAnsi="Arial" w:cs="Arial"/>
          <w:b/>
          <w:noProof/>
          <w:sz w:val="22"/>
          <w:szCs w:val="18"/>
        </w:rPr>
        <w:t>oad transport by age group and sex, 2010-11 to 2014-15</w:t>
      </w:r>
      <w:r w:rsidR="00D6138C">
        <w:rPr>
          <w:rFonts w:ascii="Arial" w:hAnsi="Arial" w:cs="Arial"/>
          <w:b/>
          <w:noProof/>
          <w:sz w:val="22"/>
          <w:szCs w:val="18"/>
        </w:rPr>
        <w:t>p</w:t>
      </w:r>
      <w:r w:rsidRPr="0048534D">
        <w:rPr>
          <w:rFonts w:ascii="Arial" w:hAnsi="Arial" w:cs="Arial"/>
          <w:b/>
          <w:noProof/>
          <w:sz w:val="22"/>
          <w:szCs w:val="18"/>
        </w:rPr>
        <w:t xml:space="preserve"> (combined)</w:t>
      </w:r>
    </w:p>
    <w:p w:rsidR="005653C1" w:rsidRPr="004076EF" w:rsidRDefault="0048534D" w:rsidP="007772DB">
      <w:pPr>
        <w:rPr>
          <w:rFonts w:ascii="Arial" w:hAnsi="Arial" w:cs="Arial"/>
          <w:b/>
          <w:color w:val="365F91" w:themeColor="accent1" w:themeShade="BF"/>
          <w:sz w:val="24"/>
          <w:szCs w:val="24"/>
        </w:rPr>
      </w:pPr>
      <w:r>
        <w:rPr>
          <w:noProof/>
        </w:rPr>
        <w:drawing>
          <wp:inline distT="0" distB="0" distL="0" distR="0" wp14:anchorId="4CB061FF" wp14:editId="25AC4EC0">
            <wp:extent cx="5657851" cy="2733676"/>
            <wp:effectExtent l="0" t="0" r="19050" b="9525"/>
            <wp:docPr id="18" name="Chart 18" descr="Figure 2 shows that the frequency rate of serious claims for females was lower than those for males in every age group. The frequency rate of serious claims for males in Road transport was highest for workers aged less than 20 years and those aged 60-64 years (16.4 and 16.0 serious claims per million hours worked respectively) and lowest for workers aged 25-29 years (11.5 serious claims per million hours worked)." title="Serious claims: frequency rate (serious claims per million hours worked) in Road transport by age group and sex, 2010-11 to 2014-15p (comb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653C1" w:rsidRPr="004076EF">
        <w:rPr>
          <w:rFonts w:ascii="Arial" w:hAnsi="Arial" w:cs="Arial"/>
          <w:b/>
          <w:color w:val="365F91" w:themeColor="accent1" w:themeShade="BF"/>
          <w:sz w:val="24"/>
          <w:szCs w:val="24"/>
        </w:rPr>
        <w:br w:type="page"/>
      </w:r>
    </w:p>
    <w:p w:rsidR="007D6070" w:rsidRPr="00EE727D" w:rsidRDefault="007D6070" w:rsidP="00EE727D">
      <w:pPr>
        <w:rPr>
          <w:rFonts w:ascii="Arial" w:hAnsi="Arial" w:cs="Arial"/>
          <w:b/>
          <w:color w:val="C10A27"/>
          <w:sz w:val="28"/>
          <w:szCs w:val="24"/>
        </w:rPr>
      </w:pPr>
      <w:r w:rsidRPr="00EE727D">
        <w:rPr>
          <w:rFonts w:ascii="Arial" w:hAnsi="Arial" w:cs="Arial"/>
          <w:b/>
          <w:color w:val="C10A27"/>
          <w:sz w:val="28"/>
          <w:szCs w:val="24"/>
        </w:rPr>
        <w:lastRenderedPageBreak/>
        <w:t>Serious claims and rates by jurisdiction</w:t>
      </w:r>
    </w:p>
    <w:p w:rsidR="00AC2BE3" w:rsidRDefault="007F5A29" w:rsidP="00AC2BE3">
      <w:pPr>
        <w:spacing w:line="288" w:lineRule="auto"/>
        <w:rPr>
          <w:rFonts w:ascii="Arial" w:hAnsi="Arial" w:cs="Arial"/>
          <w:sz w:val="22"/>
          <w:szCs w:val="22"/>
        </w:rPr>
      </w:pPr>
      <w:r w:rsidRPr="00EE727D">
        <w:rPr>
          <w:rFonts w:ascii="Arial" w:hAnsi="Arial" w:cs="Arial"/>
          <w:sz w:val="22"/>
          <w:szCs w:val="22"/>
        </w:rPr>
        <w:t xml:space="preserve">The frequency rate of serious claims in the Road transport industry has fallen in all jurisdictions over the last five years.  </w:t>
      </w:r>
      <w:r w:rsidR="00EE727D" w:rsidRPr="00EE727D">
        <w:rPr>
          <w:rFonts w:ascii="Arial" w:hAnsi="Arial" w:cs="Arial"/>
          <w:sz w:val="22"/>
          <w:szCs w:val="22"/>
        </w:rPr>
        <w:t xml:space="preserve">Table </w:t>
      </w:r>
      <w:proofErr w:type="spellStart"/>
      <w:r w:rsidR="00554F3C">
        <w:rPr>
          <w:rFonts w:ascii="Arial" w:hAnsi="Arial" w:cs="Arial"/>
          <w:sz w:val="22"/>
          <w:szCs w:val="22"/>
        </w:rPr>
        <w:t>3</w:t>
      </w:r>
      <w:r w:rsidR="00AD7950">
        <w:rPr>
          <w:rFonts w:ascii="Arial" w:hAnsi="Arial" w:cs="Arial"/>
          <w:sz w:val="22"/>
          <w:szCs w:val="22"/>
        </w:rPr>
        <w:t>b</w:t>
      </w:r>
      <w:proofErr w:type="spellEnd"/>
      <w:r w:rsidR="00EE727D" w:rsidRPr="00EE727D">
        <w:rPr>
          <w:rFonts w:ascii="Arial" w:hAnsi="Arial" w:cs="Arial"/>
          <w:sz w:val="22"/>
          <w:szCs w:val="22"/>
        </w:rPr>
        <w:t xml:space="preserve"> shows that i</w:t>
      </w:r>
      <w:r w:rsidRPr="00EE727D">
        <w:rPr>
          <w:rFonts w:ascii="Arial" w:hAnsi="Arial" w:cs="Arial"/>
          <w:sz w:val="22"/>
          <w:szCs w:val="22"/>
        </w:rPr>
        <w:t>n 2014-15</w:t>
      </w:r>
      <w:r w:rsidR="00C64471">
        <w:rPr>
          <w:rFonts w:ascii="Arial" w:hAnsi="Arial" w:cs="Arial"/>
          <w:sz w:val="22"/>
          <w:szCs w:val="22"/>
        </w:rPr>
        <w:t>p</w:t>
      </w:r>
      <w:r w:rsidRPr="00EE727D">
        <w:rPr>
          <w:rFonts w:ascii="Arial" w:hAnsi="Arial" w:cs="Arial"/>
          <w:sz w:val="22"/>
          <w:szCs w:val="22"/>
        </w:rPr>
        <w:t xml:space="preserve"> Queensland recorded the highest </w:t>
      </w:r>
      <w:r w:rsidR="00EE727D" w:rsidRPr="00EE727D">
        <w:rPr>
          <w:rFonts w:ascii="Arial" w:hAnsi="Arial" w:cs="Arial"/>
          <w:sz w:val="22"/>
          <w:szCs w:val="22"/>
        </w:rPr>
        <w:t>frequency rate in the Road transport industry of 14.3 serious claims per million hours worked, followed by South Australia (12.2).  New South Wales recorded the lowest rate of 9.5 serious claims per million hours worked.</w:t>
      </w:r>
    </w:p>
    <w:p w:rsidR="007D6070" w:rsidRPr="0041580C" w:rsidRDefault="007D6070" w:rsidP="007D6070">
      <w:pPr>
        <w:rPr>
          <w:rFonts w:ascii="Arial" w:hAnsi="Arial" w:cs="Arial"/>
          <w:b/>
          <w:noProof/>
          <w:sz w:val="22"/>
          <w:szCs w:val="18"/>
        </w:rPr>
      </w:pPr>
      <w:r w:rsidRPr="0041580C">
        <w:rPr>
          <w:rFonts w:ascii="Arial" w:hAnsi="Arial" w:cs="Arial"/>
          <w:b/>
          <w:noProof/>
          <w:sz w:val="22"/>
          <w:szCs w:val="18"/>
        </w:rPr>
        <w:t xml:space="preserve">Table </w:t>
      </w:r>
      <w:r w:rsidR="00554F3C">
        <w:rPr>
          <w:rFonts w:ascii="Arial" w:hAnsi="Arial" w:cs="Arial"/>
          <w:b/>
          <w:noProof/>
          <w:sz w:val="22"/>
          <w:szCs w:val="18"/>
        </w:rPr>
        <w:t>3</w:t>
      </w:r>
      <w:r w:rsidR="00F157E2">
        <w:rPr>
          <w:rFonts w:ascii="Arial" w:hAnsi="Arial" w:cs="Arial"/>
          <w:b/>
          <w:noProof/>
          <w:sz w:val="22"/>
          <w:szCs w:val="18"/>
        </w:rPr>
        <w:t>a</w:t>
      </w:r>
      <w:r w:rsidRPr="0041580C">
        <w:rPr>
          <w:rFonts w:ascii="Arial" w:hAnsi="Arial" w:cs="Arial"/>
          <w:b/>
          <w:noProof/>
          <w:sz w:val="22"/>
          <w:szCs w:val="18"/>
        </w:rPr>
        <w:t xml:space="preserve">: Serious claims: number </w:t>
      </w:r>
      <w:r w:rsidR="002D483D" w:rsidRPr="0041580C">
        <w:rPr>
          <w:rFonts w:ascii="Arial" w:hAnsi="Arial" w:cs="Arial"/>
          <w:b/>
          <w:noProof/>
          <w:sz w:val="22"/>
          <w:szCs w:val="18"/>
        </w:rPr>
        <w:t>in R</w:t>
      </w:r>
      <w:r w:rsidRPr="0041580C">
        <w:rPr>
          <w:rFonts w:ascii="Arial" w:hAnsi="Arial" w:cs="Arial"/>
          <w:b/>
          <w:noProof/>
          <w:sz w:val="22"/>
          <w:szCs w:val="18"/>
        </w:rPr>
        <w:t>oad transport by jurisdiction</w:t>
      </w:r>
      <w:r w:rsidR="008E6D54" w:rsidRPr="0041580C">
        <w:rPr>
          <w:rFonts w:ascii="Arial" w:hAnsi="Arial" w:cs="Arial"/>
          <w:b/>
          <w:noProof/>
          <w:sz w:val="22"/>
          <w:szCs w:val="18"/>
          <w:vertAlign w:val="superscript"/>
        </w:rPr>
        <w:t>a</w:t>
      </w:r>
      <w:r w:rsidRPr="0041580C">
        <w:rPr>
          <w:rFonts w:ascii="Arial" w:hAnsi="Arial" w:cs="Arial"/>
          <w:b/>
          <w:noProof/>
          <w:sz w:val="22"/>
          <w:szCs w:val="18"/>
        </w:rPr>
        <w:t>, 2010-11 to 2014-15</w:t>
      </w:r>
      <w:r w:rsidR="007F5A29">
        <w:rPr>
          <w:rFonts w:ascii="Arial" w:hAnsi="Arial" w:cs="Arial"/>
          <w:b/>
          <w:noProof/>
          <w:sz w:val="22"/>
          <w:szCs w:val="18"/>
        </w:rPr>
        <w:t>p</w:t>
      </w:r>
      <w:r w:rsidRPr="0041580C">
        <w:rPr>
          <w:rFonts w:ascii="Arial" w:hAnsi="Arial" w:cs="Arial"/>
          <w:b/>
          <w:noProof/>
          <w:sz w:val="22"/>
          <w:szCs w:val="18"/>
        </w:rPr>
        <w:t xml:space="preserve"> </w:t>
      </w:r>
    </w:p>
    <w:tbl>
      <w:tblPr>
        <w:tblW w:w="8095"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Serious claims: number in Road transport by jurisdiction, 2010-11 to 2014-15p "/>
        <w:tblDescription w:val="Table 3a shows that in 2014-15p Queensland (1295) had the highest number of serious claims, followed by New South Wales (1105)."/>
      </w:tblPr>
      <w:tblGrid>
        <w:gridCol w:w="2425"/>
        <w:gridCol w:w="1134"/>
        <w:gridCol w:w="1134"/>
        <w:gridCol w:w="1134"/>
        <w:gridCol w:w="1134"/>
        <w:gridCol w:w="1134"/>
      </w:tblGrid>
      <w:tr w:rsidR="00D27EA9" w:rsidRPr="00D27EA9" w:rsidTr="00892EBD">
        <w:trPr>
          <w:trHeight w:val="300"/>
        </w:trPr>
        <w:tc>
          <w:tcPr>
            <w:tcW w:w="2425" w:type="dxa"/>
            <w:shd w:val="clear" w:color="auto" w:fill="AF1E2D"/>
            <w:noWrap/>
            <w:vAlign w:val="center"/>
            <w:hideMark/>
          </w:tcPr>
          <w:p w:rsidR="00D27EA9" w:rsidRPr="00D27EA9" w:rsidRDefault="00D27EA9" w:rsidP="00D27EA9">
            <w:pPr>
              <w:spacing w:before="0" w:after="0"/>
              <w:rPr>
                <w:rFonts w:ascii="Arial" w:hAnsi="Arial" w:cs="Arial"/>
                <w:b/>
                <w:color w:val="FFFFFF"/>
              </w:rPr>
            </w:pPr>
            <w:r w:rsidRPr="00D27EA9">
              <w:rPr>
                <w:rFonts w:ascii="Arial" w:hAnsi="Arial" w:cs="Arial"/>
                <w:b/>
                <w:color w:val="FFFFFF"/>
              </w:rPr>
              <w:t>Jurisdiction</w:t>
            </w:r>
          </w:p>
        </w:tc>
        <w:tc>
          <w:tcPr>
            <w:tcW w:w="1134" w:type="dxa"/>
            <w:shd w:val="clear" w:color="auto" w:fill="AF1E2D"/>
            <w:vAlign w:val="center"/>
            <w:hideMark/>
          </w:tcPr>
          <w:p w:rsidR="00D27EA9" w:rsidRPr="00D27EA9" w:rsidRDefault="00D27EA9" w:rsidP="00D27EA9">
            <w:pPr>
              <w:spacing w:before="0" w:after="0"/>
              <w:jc w:val="center"/>
              <w:rPr>
                <w:rFonts w:ascii="Arial" w:hAnsi="Arial" w:cs="Arial"/>
                <w:b/>
                <w:bCs/>
                <w:color w:val="FFFFFF"/>
              </w:rPr>
            </w:pPr>
            <w:r w:rsidRPr="00D27EA9">
              <w:rPr>
                <w:rFonts w:ascii="Arial" w:hAnsi="Arial" w:cs="Arial"/>
                <w:b/>
                <w:bCs/>
                <w:color w:val="FFFFFF"/>
              </w:rPr>
              <w:t>2010-11</w:t>
            </w:r>
          </w:p>
        </w:tc>
        <w:tc>
          <w:tcPr>
            <w:tcW w:w="1134" w:type="dxa"/>
            <w:shd w:val="clear" w:color="auto" w:fill="AF1E2D"/>
            <w:vAlign w:val="center"/>
            <w:hideMark/>
          </w:tcPr>
          <w:p w:rsidR="00D27EA9" w:rsidRPr="00D27EA9" w:rsidRDefault="00D27EA9" w:rsidP="00D27EA9">
            <w:pPr>
              <w:spacing w:before="0" w:after="0"/>
              <w:jc w:val="center"/>
              <w:rPr>
                <w:rFonts w:ascii="Arial" w:hAnsi="Arial" w:cs="Arial"/>
                <w:b/>
                <w:bCs/>
                <w:color w:val="FFFFFF"/>
              </w:rPr>
            </w:pPr>
            <w:r w:rsidRPr="00D27EA9">
              <w:rPr>
                <w:rFonts w:ascii="Arial" w:hAnsi="Arial" w:cs="Arial"/>
                <w:b/>
                <w:bCs/>
                <w:color w:val="FFFFFF"/>
              </w:rPr>
              <w:t>2011-12</w:t>
            </w:r>
          </w:p>
        </w:tc>
        <w:tc>
          <w:tcPr>
            <w:tcW w:w="1134" w:type="dxa"/>
            <w:shd w:val="clear" w:color="auto" w:fill="AF1E2D"/>
            <w:vAlign w:val="center"/>
            <w:hideMark/>
          </w:tcPr>
          <w:p w:rsidR="00D27EA9" w:rsidRPr="00D27EA9" w:rsidRDefault="00D27EA9" w:rsidP="00D27EA9">
            <w:pPr>
              <w:spacing w:before="0" w:after="0"/>
              <w:jc w:val="center"/>
              <w:rPr>
                <w:rFonts w:ascii="Arial" w:hAnsi="Arial" w:cs="Arial"/>
                <w:b/>
                <w:bCs/>
                <w:color w:val="FFFFFF"/>
              </w:rPr>
            </w:pPr>
            <w:r w:rsidRPr="00D27EA9">
              <w:rPr>
                <w:rFonts w:ascii="Arial" w:hAnsi="Arial" w:cs="Arial"/>
                <w:b/>
                <w:bCs/>
                <w:color w:val="FFFFFF"/>
              </w:rPr>
              <w:t>2012-13</w:t>
            </w:r>
          </w:p>
        </w:tc>
        <w:tc>
          <w:tcPr>
            <w:tcW w:w="1134" w:type="dxa"/>
            <w:shd w:val="clear" w:color="auto" w:fill="AF1E2D"/>
            <w:vAlign w:val="center"/>
            <w:hideMark/>
          </w:tcPr>
          <w:p w:rsidR="00D27EA9" w:rsidRPr="00D27EA9" w:rsidRDefault="00D27EA9" w:rsidP="00D27EA9">
            <w:pPr>
              <w:spacing w:before="0" w:after="0"/>
              <w:jc w:val="center"/>
              <w:rPr>
                <w:rFonts w:ascii="Arial" w:hAnsi="Arial" w:cs="Arial"/>
                <w:b/>
                <w:bCs/>
                <w:color w:val="FFFFFF"/>
              </w:rPr>
            </w:pPr>
            <w:r w:rsidRPr="00D27EA9">
              <w:rPr>
                <w:rFonts w:ascii="Arial" w:hAnsi="Arial" w:cs="Arial"/>
                <w:b/>
                <w:bCs/>
                <w:color w:val="FFFFFF"/>
              </w:rPr>
              <w:t>2013-14</w:t>
            </w:r>
          </w:p>
        </w:tc>
        <w:tc>
          <w:tcPr>
            <w:tcW w:w="1134" w:type="dxa"/>
            <w:shd w:val="clear" w:color="auto" w:fill="AF1E2D"/>
            <w:vAlign w:val="center"/>
            <w:hideMark/>
          </w:tcPr>
          <w:p w:rsidR="00D27EA9" w:rsidRPr="00D27EA9" w:rsidRDefault="00D27EA9" w:rsidP="00D27EA9">
            <w:pPr>
              <w:spacing w:before="0" w:after="0"/>
              <w:jc w:val="center"/>
              <w:rPr>
                <w:rFonts w:ascii="Arial" w:hAnsi="Arial" w:cs="Arial"/>
                <w:b/>
                <w:bCs/>
                <w:color w:val="FFFFFF"/>
              </w:rPr>
            </w:pPr>
            <w:r w:rsidRPr="00D27EA9">
              <w:rPr>
                <w:rFonts w:ascii="Arial" w:hAnsi="Arial" w:cs="Arial"/>
                <w:b/>
                <w:bCs/>
                <w:color w:val="FFFFFF"/>
              </w:rPr>
              <w:t>2014-15p</w:t>
            </w:r>
          </w:p>
        </w:tc>
      </w:tr>
      <w:tr w:rsidR="00D27EA9" w:rsidRPr="00D27EA9" w:rsidTr="00F157E2">
        <w:trPr>
          <w:trHeight w:val="300"/>
        </w:trPr>
        <w:tc>
          <w:tcPr>
            <w:tcW w:w="2425" w:type="dxa"/>
            <w:shd w:val="clear" w:color="000000" w:fill="FFFFFF"/>
            <w:vAlign w:val="center"/>
            <w:hideMark/>
          </w:tcPr>
          <w:p w:rsidR="00D27EA9" w:rsidRPr="00D27EA9" w:rsidRDefault="00D27EA9" w:rsidP="00D27EA9">
            <w:pPr>
              <w:spacing w:before="0" w:after="0"/>
              <w:rPr>
                <w:rFonts w:ascii="Arial" w:hAnsi="Arial" w:cs="Arial"/>
                <w:color w:val="000000"/>
              </w:rPr>
            </w:pPr>
            <w:r w:rsidRPr="00D27EA9">
              <w:rPr>
                <w:rFonts w:ascii="Arial" w:hAnsi="Arial" w:cs="Arial"/>
                <w:color w:val="000000"/>
              </w:rPr>
              <w:t>New South Wales</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1670</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1505</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1305</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1215</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1105</w:t>
            </w:r>
          </w:p>
        </w:tc>
      </w:tr>
      <w:tr w:rsidR="0041580C" w:rsidRPr="00D27EA9" w:rsidTr="00F157E2">
        <w:trPr>
          <w:trHeight w:val="300"/>
        </w:trPr>
        <w:tc>
          <w:tcPr>
            <w:tcW w:w="2425" w:type="dxa"/>
            <w:shd w:val="clear" w:color="auto" w:fill="F2DBDB" w:themeFill="accent2" w:themeFillTint="33"/>
            <w:vAlign w:val="center"/>
            <w:hideMark/>
          </w:tcPr>
          <w:p w:rsidR="00D27EA9" w:rsidRPr="00D27EA9" w:rsidRDefault="00D27EA9" w:rsidP="00D27EA9">
            <w:pPr>
              <w:spacing w:before="0" w:after="0"/>
              <w:rPr>
                <w:rFonts w:ascii="Arial" w:hAnsi="Arial" w:cs="Arial"/>
                <w:color w:val="000000"/>
              </w:rPr>
            </w:pPr>
            <w:r w:rsidRPr="00D27EA9">
              <w:rPr>
                <w:rFonts w:ascii="Arial" w:hAnsi="Arial" w:cs="Arial"/>
                <w:color w:val="000000"/>
              </w:rPr>
              <w:t>Victoria</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1070</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1110</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1075</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925</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895</w:t>
            </w:r>
          </w:p>
        </w:tc>
      </w:tr>
      <w:tr w:rsidR="00D27EA9" w:rsidRPr="00D27EA9" w:rsidTr="00F157E2">
        <w:trPr>
          <w:trHeight w:val="300"/>
        </w:trPr>
        <w:tc>
          <w:tcPr>
            <w:tcW w:w="2425" w:type="dxa"/>
            <w:shd w:val="clear" w:color="000000" w:fill="FFFFFF"/>
            <w:vAlign w:val="center"/>
            <w:hideMark/>
          </w:tcPr>
          <w:p w:rsidR="00D27EA9" w:rsidRPr="00D27EA9" w:rsidRDefault="00D27EA9" w:rsidP="00D27EA9">
            <w:pPr>
              <w:spacing w:before="0" w:after="0"/>
              <w:rPr>
                <w:rFonts w:ascii="Arial" w:hAnsi="Arial" w:cs="Arial"/>
                <w:color w:val="000000"/>
              </w:rPr>
            </w:pPr>
            <w:r w:rsidRPr="00D27EA9">
              <w:rPr>
                <w:rFonts w:ascii="Arial" w:hAnsi="Arial" w:cs="Arial"/>
                <w:color w:val="000000"/>
              </w:rPr>
              <w:t>Queensland</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1355</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1435</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1465</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1350</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1295</w:t>
            </w:r>
          </w:p>
        </w:tc>
      </w:tr>
      <w:tr w:rsidR="0041580C" w:rsidRPr="00D27EA9" w:rsidTr="00F157E2">
        <w:trPr>
          <w:trHeight w:val="300"/>
        </w:trPr>
        <w:tc>
          <w:tcPr>
            <w:tcW w:w="2425" w:type="dxa"/>
            <w:shd w:val="clear" w:color="auto" w:fill="F2DBDB" w:themeFill="accent2" w:themeFillTint="33"/>
            <w:vAlign w:val="center"/>
            <w:hideMark/>
          </w:tcPr>
          <w:p w:rsidR="00D27EA9" w:rsidRPr="00D27EA9" w:rsidRDefault="00D27EA9" w:rsidP="00D27EA9">
            <w:pPr>
              <w:spacing w:before="0" w:after="0"/>
              <w:rPr>
                <w:rFonts w:ascii="Arial" w:hAnsi="Arial" w:cs="Arial"/>
                <w:color w:val="000000"/>
              </w:rPr>
            </w:pPr>
            <w:r w:rsidRPr="00D27EA9">
              <w:rPr>
                <w:rFonts w:ascii="Arial" w:hAnsi="Arial" w:cs="Arial"/>
                <w:color w:val="000000"/>
              </w:rPr>
              <w:t>Western Australia</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465</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585</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515</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460</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460</w:t>
            </w:r>
          </w:p>
        </w:tc>
      </w:tr>
      <w:tr w:rsidR="00D27EA9" w:rsidRPr="00D27EA9" w:rsidTr="00F157E2">
        <w:trPr>
          <w:trHeight w:val="300"/>
        </w:trPr>
        <w:tc>
          <w:tcPr>
            <w:tcW w:w="2425" w:type="dxa"/>
            <w:shd w:val="clear" w:color="000000" w:fill="FFFFFF"/>
            <w:vAlign w:val="center"/>
            <w:hideMark/>
          </w:tcPr>
          <w:p w:rsidR="00D27EA9" w:rsidRPr="00D27EA9" w:rsidRDefault="00D27EA9" w:rsidP="00D27EA9">
            <w:pPr>
              <w:spacing w:before="0" w:after="0"/>
              <w:rPr>
                <w:rFonts w:ascii="Arial" w:hAnsi="Arial" w:cs="Arial"/>
                <w:color w:val="000000"/>
              </w:rPr>
            </w:pPr>
            <w:r w:rsidRPr="00D27EA9">
              <w:rPr>
                <w:rFonts w:ascii="Arial" w:hAnsi="Arial" w:cs="Arial"/>
                <w:color w:val="000000"/>
              </w:rPr>
              <w:t>South Australia</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355</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360</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435</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385</w:t>
            </w:r>
          </w:p>
        </w:tc>
        <w:tc>
          <w:tcPr>
            <w:tcW w:w="1134" w:type="dxa"/>
            <w:shd w:val="clear" w:color="000000" w:fill="FFFFFF"/>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305</w:t>
            </w:r>
          </w:p>
        </w:tc>
      </w:tr>
      <w:tr w:rsidR="0041580C" w:rsidRPr="00D27EA9" w:rsidTr="00F157E2">
        <w:trPr>
          <w:trHeight w:val="300"/>
        </w:trPr>
        <w:tc>
          <w:tcPr>
            <w:tcW w:w="2425" w:type="dxa"/>
            <w:shd w:val="clear" w:color="auto" w:fill="F2DBDB" w:themeFill="accent2" w:themeFillTint="33"/>
            <w:vAlign w:val="center"/>
            <w:hideMark/>
          </w:tcPr>
          <w:p w:rsidR="00D27EA9" w:rsidRPr="00D27EA9" w:rsidRDefault="00D27EA9" w:rsidP="00D27EA9">
            <w:pPr>
              <w:spacing w:before="0" w:after="0"/>
              <w:rPr>
                <w:rFonts w:ascii="Arial" w:hAnsi="Arial" w:cs="Arial"/>
                <w:color w:val="000000"/>
              </w:rPr>
            </w:pPr>
            <w:r w:rsidRPr="00D27EA9">
              <w:rPr>
                <w:rFonts w:ascii="Arial" w:hAnsi="Arial" w:cs="Arial"/>
                <w:color w:val="000000"/>
              </w:rPr>
              <w:t>Tasmania</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140</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135</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90</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105</w:t>
            </w:r>
          </w:p>
        </w:tc>
        <w:tc>
          <w:tcPr>
            <w:tcW w:w="1134" w:type="dxa"/>
            <w:shd w:val="clear" w:color="auto" w:fill="F2DBDB" w:themeFill="accent2" w:themeFillTint="33"/>
            <w:vAlign w:val="center"/>
            <w:hideMark/>
          </w:tcPr>
          <w:p w:rsidR="00D27EA9" w:rsidRPr="00D27EA9" w:rsidRDefault="00D27EA9" w:rsidP="00D27EA9">
            <w:pPr>
              <w:spacing w:before="0" w:after="0"/>
              <w:jc w:val="center"/>
              <w:rPr>
                <w:rFonts w:ascii="Arial" w:hAnsi="Arial" w:cs="Arial"/>
                <w:color w:val="000000"/>
              </w:rPr>
            </w:pPr>
            <w:r w:rsidRPr="00D27EA9">
              <w:rPr>
                <w:rFonts w:ascii="Arial" w:hAnsi="Arial" w:cs="Arial"/>
                <w:color w:val="000000"/>
              </w:rPr>
              <w:t>95</w:t>
            </w:r>
          </w:p>
        </w:tc>
      </w:tr>
      <w:tr w:rsidR="0041580C" w:rsidRPr="0041580C" w:rsidTr="00892EBD">
        <w:trPr>
          <w:trHeight w:val="300"/>
        </w:trPr>
        <w:tc>
          <w:tcPr>
            <w:tcW w:w="2425" w:type="dxa"/>
            <w:shd w:val="clear" w:color="auto" w:fill="808080"/>
            <w:vAlign w:val="center"/>
            <w:hideMark/>
          </w:tcPr>
          <w:p w:rsidR="00D27EA9" w:rsidRPr="00D27EA9" w:rsidRDefault="00D27EA9" w:rsidP="00D27EA9">
            <w:pPr>
              <w:spacing w:before="0" w:after="0"/>
              <w:rPr>
                <w:rFonts w:ascii="Arial" w:hAnsi="Arial" w:cs="Arial"/>
                <w:b/>
                <w:bCs/>
                <w:color w:val="FFFFFF" w:themeColor="background1"/>
              </w:rPr>
            </w:pPr>
            <w:r w:rsidRPr="00D27EA9">
              <w:rPr>
                <w:rFonts w:ascii="Arial" w:hAnsi="Arial" w:cs="Arial"/>
                <w:b/>
                <w:bCs/>
                <w:color w:val="FFFFFF" w:themeColor="background1"/>
              </w:rPr>
              <w:t>Australia</w:t>
            </w:r>
          </w:p>
        </w:tc>
        <w:tc>
          <w:tcPr>
            <w:tcW w:w="1134" w:type="dxa"/>
            <w:shd w:val="clear" w:color="auto" w:fill="808080"/>
            <w:vAlign w:val="center"/>
            <w:hideMark/>
          </w:tcPr>
          <w:p w:rsidR="00D27EA9" w:rsidRPr="00D27EA9" w:rsidRDefault="00D27EA9" w:rsidP="00D27EA9">
            <w:pPr>
              <w:spacing w:before="0" w:after="0"/>
              <w:jc w:val="center"/>
              <w:rPr>
                <w:rFonts w:ascii="Arial" w:hAnsi="Arial" w:cs="Arial"/>
                <w:b/>
                <w:bCs/>
                <w:color w:val="FFFFFF" w:themeColor="background1"/>
              </w:rPr>
            </w:pPr>
            <w:r w:rsidRPr="00D27EA9">
              <w:rPr>
                <w:rFonts w:ascii="Arial" w:hAnsi="Arial" w:cs="Arial"/>
                <w:b/>
                <w:bCs/>
                <w:color w:val="FFFFFF" w:themeColor="background1"/>
              </w:rPr>
              <w:t>5165</w:t>
            </w:r>
          </w:p>
        </w:tc>
        <w:tc>
          <w:tcPr>
            <w:tcW w:w="1134" w:type="dxa"/>
            <w:shd w:val="clear" w:color="auto" w:fill="808080"/>
            <w:vAlign w:val="center"/>
            <w:hideMark/>
          </w:tcPr>
          <w:p w:rsidR="00D27EA9" w:rsidRPr="00D27EA9" w:rsidRDefault="00D27EA9" w:rsidP="00D27EA9">
            <w:pPr>
              <w:spacing w:before="0" w:after="0"/>
              <w:jc w:val="center"/>
              <w:rPr>
                <w:rFonts w:ascii="Arial" w:hAnsi="Arial" w:cs="Arial"/>
                <w:b/>
                <w:bCs/>
                <w:color w:val="FFFFFF" w:themeColor="background1"/>
              </w:rPr>
            </w:pPr>
            <w:r w:rsidRPr="00D27EA9">
              <w:rPr>
                <w:rFonts w:ascii="Arial" w:hAnsi="Arial" w:cs="Arial"/>
                <w:b/>
                <w:bCs/>
                <w:color w:val="FFFFFF" w:themeColor="background1"/>
              </w:rPr>
              <w:t>5210</w:t>
            </w:r>
          </w:p>
        </w:tc>
        <w:tc>
          <w:tcPr>
            <w:tcW w:w="1134" w:type="dxa"/>
            <w:shd w:val="clear" w:color="auto" w:fill="808080"/>
            <w:vAlign w:val="center"/>
            <w:hideMark/>
          </w:tcPr>
          <w:p w:rsidR="00D27EA9" w:rsidRPr="00D27EA9" w:rsidRDefault="00D27EA9" w:rsidP="00D27EA9">
            <w:pPr>
              <w:spacing w:before="0" w:after="0"/>
              <w:jc w:val="center"/>
              <w:rPr>
                <w:rFonts w:ascii="Arial" w:hAnsi="Arial" w:cs="Arial"/>
                <w:b/>
                <w:bCs/>
                <w:color w:val="FFFFFF" w:themeColor="background1"/>
              </w:rPr>
            </w:pPr>
            <w:r w:rsidRPr="00D27EA9">
              <w:rPr>
                <w:rFonts w:ascii="Arial" w:hAnsi="Arial" w:cs="Arial"/>
                <w:b/>
                <w:bCs/>
                <w:color w:val="FFFFFF" w:themeColor="background1"/>
              </w:rPr>
              <w:t>4970</w:t>
            </w:r>
          </w:p>
        </w:tc>
        <w:tc>
          <w:tcPr>
            <w:tcW w:w="1134" w:type="dxa"/>
            <w:shd w:val="clear" w:color="auto" w:fill="808080"/>
            <w:vAlign w:val="center"/>
            <w:hideMark/>
          </w:tcPr>
          <w:p w:rsidR="00D27EA9" w:rsidRPr="00D27EA9" w:rsidRDefault="00D27EA9" w:rsidP="00D27EA9">
            <w:pPr>
              <w:spacing w:before="0" w:after="0"/>
              <w:jc w:val="center"/>
              <w:rPr>
                <w:rFonts w:ascii="Arial" w:hAnsi="Arial" w:cs="Arial"/>
                <w:b/>
                <w:bCs/>
                <w:color w:val="FFFFFF" w:themeColor="background1"/>
              </w:rPr>
            </w:pPr>
            <w:r w:rsidRPr="00D27EA9">
              <w:rPr>
                <w:rFonts w:ascii="Arial" w:hAnsi="Arial" w:cs="Arial"/>
                <w:b/>
                <w:bCs/>
                <w:color w:val="FFFFFF" w:themeColor="background1"/>
              </w:rPr>
              <w:t>4530</w:t>
            </w:r>
          </w:p>
        </w:tc>
        <w:tc>
          <w:tcPr>
            <w:tcW w:w="1134" w:type="dxa"/>
            <w:shd w:val="clear" w:color="auto" w:fill="808080"/>
            <w:vAlign w:val="center"/>
            <w:hideMark/>
          </w:tcPr>
          <w:p w:rsidR="00D27EA9" w:rsidRPr="00D27EA9" w:rsidRDefault="00D27EA9" w:rsidP="00D27EA9">
            <w:pPr>
              <w:spacing w:before="0" w:after="0"/>
              <w:jc w:val="center"/>
              <w:rPr>
                <w:rFonts w:ascii="Arial" w:hAnsi="Arial" w:cs="Arial"/>
                <w:b/>
                <w:bCs/>
                <w:color w:val="FFFFFF" w:themeColor="background1"/>
              </w:rPr>
            </w:pPr>
            <w:r w:rsidRPr="00D27EA9">
              <w:rPr>
                <w:rFonts w:ascii="Arial" w:hAnsi="Arial" w:cs="Arial"/>
                <w:b/>
                <w:bCs/>
                <w:color w:val="FFFFFF" w:themeColor="background1"/>
              </w:rPr>
              <w:t>4245</w:t>
            </w:r>
          </w:p>
        </w:tc>
      </w:tr>
    </w:tbl>
    <w:p w:rsidR="00AF5C3D" w:rsidRDefault="00AF5C3D" w:rsidP="00F157E2">
      <w:pPr>
        <w:rPr>
          <w:rFonts w:ascii="Arial" w:hAnsi="Arial" w:cs="Arial"/>
          <w:b/>
          <w:noProof/>
          <w:sz w:val="22"/>
          <w:szCs w:val="18"/>
        </w:rPr>
      </w:pPr>
      <w:r w:rsidRPr="0041580C">
        <w:rPr>
          <w:rFonts w:ascii="Arial" w:hAnsi="Arial" w:cs="Arial"/>
          <w:sz w:val="18"/>
          <w:szCs w:val="16"/>
        </w:rPr>
        <w:t xml:space="preserve">a </w:t>
      </w:r>
      <w:r>
        <w:rPr>
          <w:rFonts w:ascii="Arial" w:hAnsi="Arial" w:cs="Arial"/>
          <w:sz w:val="18"/>
          <w:szCs w:val="16"/>
        </w:rPr>
        <w:t xml:space="preserve">- </w:t>
      </w:r>
      <w:r w:rsidRPr="0041580C">
        <w:rPr>
          <w:rFonts w:ascii="Arial" w:hAnsi="Arial" w:cs="Arial"/>
          <w:sz w:val="18"/>
          <w:szCs w:val="16"/>
        </w:rPr>
        <w:t>The Northern Territory</w:t>
      </w:r>
      <w:r>
        <w:rPr>
          <w:rFonts w:ascii="Arial" w:hAnsi="Arial" w:cs="Arial"/>
          <w:sz w:val="18"/>
          <w:szCs w:val="16"/>
        </w:rPr>
        <w:t xml:space="preserve"> and </w:t>
      </w:r>
      <w:r w:rsidRPr="0041580C">
        <w:rPr>
          <w:rFonts w:ascii="Arial" w:hAnsi="Arial" w:cs="Arial"/>
          <w:sz w:val="18"/>
          <w:szCs w:val="16"/>
        </w:rPr>
        <w:t>the Australian Capital Territory are not listed because of the small number of claims in these jurisdictions. However, they are included in the total figures for the Road transport industry.</w:t>
      </w:r>
    </w:p>
    <w:p w:rsidR="00F157E2" w:rsidRPr="0041580C" w:rsidRDefault="00F157E2" w:rsidP="00F157E2">
      <w:pPr>
        <w:rPr>
          <w:rFonts w:ascii="Arial" w:hAnsi="Arial" w:cs="Arial"/>
          <w:b/>
          <w:noProof/>
          <w:sz w:val="22"/>
          <w:szCs w:val="18"/>
        </w:rPr>
      </w:pPr>
      <w:r w:rsidRPr="0041580C">
        <w:rPr>
          <w:rFonts w:ascii="Arial" w:hAnsi="Arial" w:cs="Arial"/>
          <w:b/>
          <w:noProof/>
          <w:sz w:val="22"/>
          <w:szCs w:val="18"/>
        </w:rPr>
        <w:t xml:space="preserve">Table </w:t>
      </w:r>
      <w:r>
        <w:rPr>
          <w:rFonts w:ascii="Arial" w:hAnsi="Arial" w:cs="Arial"/>
          <w:b/>
          <w:noProof/>
          <w:sz w:val="22"/>
          <w:szCs w:val="18"/>
        </w:rPr>
        <w:t>3b</w:t>
      </w:r>
      <w:r w:rsidRPr="0041580C">
        <w:rPr>
          <w:rFonts w:ascii="Arial" w:hAnsi="Arial" w:cs="Arial"/>
          <w:b/>
          <w:noProof/>
          <w:sz w:val="22"/>
          <w:szCs w:val="18"/>
        </w:rPr>
        <w:t xml:space="preserve">: Serious claims: frequency rate </w:t>
      </w:r>
      <w:r>
        <w:rPr>
          <w:rFonts w:ascii="Arial" w:hAnsi="Arial" w:cs="Arial"/>
          <w:b/>
          <w:noProof/>
          <w:sz w:val="22"/>
          <w:szCs w:val="18"/>
        </w:rPr>
        <w:t xml:space="preserve">(serious claims </w:t>
      </w:r>
      <w:r w:rsidRPr="0041580C">
        <w:rPr>
          <w:rFonts w:ascii="Arial" w:hAnsi="Arial" w:cs="Arial"/>
          <w:b/>
          <w:noProof/>
          <w:sz w:val="22"/>
          <w:szCs w:val="18"/>
        </w:rPr>
        <w:t>per million hours worked</w:t>
      </w:r>
      <w:r>
        <w:rPr>
          <w:rFonts w:ascii="Arial" w:hAnsi="Arial" w:cs="Arial"/>
          <w:b/>
          <w:noProof/>
          <w:sz w:val="22"/>
          <w:szCs w:val="18"/>
        </w:rPr>
        <w:t>)</w:t>
      </w:r>
      <w:r w:rsidRPr="0041580C">
        <w:rPr>
          <w:rFonts w:ascii="Arial" w:hAnsi="Arial" w:cs="Arial"/>
          <w:b/>
          <w:noProof/>
          <w:sz w:val="22"/>
          <w:szCs w:val="18"/>
        </w:rPr>
        <w:t xml:space="preserve"> in Road transport by jurisdiction</w:t>
      </w:r>
      <w:r w:rsidRPr="0041580C">
        <w:rPr>
          <w:rFonts w:ascii="Arial" w:hAnsi="Arial" w:cs="Arial"/>
          <w:b/>
          <w:noProof/>
          <w:sz w:val="22"/>
          <w:szCs w:val="18"/>
          <w:vertAlign w:val="superscript"/>
        </w:rPr>
        <w:t>a</w:t>
      </w:r>
      <w:r w:rsidRPr="0041580C">
        <w:rPr>
          <w:rFonts w:ascii="Arial" w:hAnsi="Arial" w:cs="Arial"/>
          <w:b/>
          <w:noProof/>
          <w:sz w:val="22"/>
          <w:szCs w:val="18"/>
        </w:rPr>
        <w:t>, 2010-11 to 2014-15</w:t>
      </w:r>
      <w:r>
        <w:rPr>
          <w:rFonts w:ascii="Arial" w:hAnsi="Arial" w:cs="Arial"/>
          <w:b/>
          <w:noProof/>
          <w:sz w:val="22"/>
          <w:szCs w:val="18"/>
        </w:rPr>
        <w:t>p</w:t>
      </w:r>
      <w:r w:rsidRPr="0041580C">
        <w:rPr>
          <w:rFonts w:ascii="Arial" w:hAnsi="Arial" w:cs="Arial"/>
          <w:b/>
          <w:noProof/>
          <w:sz w:val="22"/>
          <w:szCs w:val="18"/>
        </w:rPr>
        <w:t xml:space="preserve"> </w:t>
      </w:r>
    </w:p>
    <w:tbl>
      <w:tblPr>
        <w:tblW w:w="8095"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Serious claims: frequency rate (serious claims per million hours worked) in Road transport by jurisdiction, 2010-11 to 2014-15p"/>
        <w:tblDescription w:val="Table 3b shows that the frequency rate of serious claims in the Road transport industry has fallen in all jurisdictions over the last five years.  Queensland recorded the highest frequency rate in the Road transport industry of 14.3 serious claims per million hours worked, followed by South Australia (12.2).  New South Wales recorded the lowest rate of 9.5 serious claims per million hours worked."/>
      </w:tblPr>
      <w:tblGrid>
        <w:gridCol w:w="2425"/>
        <w:gridCol w:w="1134"/>
        <w:gridCol w:w="1134"/>
        <w:gridCol w:w="1134"/>
        <w:gridCol w:w="1134"/>
        <w:gridCol w:w="1134"/>
      </w:tblGrid>
      <w:tr w:rsidR="00F157E2" w:rsidRPr="00D27EA9" w:rsidTr="00892EBD">
        <w:trPr>
          <w:trHeight w:val="301"/>
        </w:trPr>
        <w:tc>
          <w:tcPr>
            <w:tcW w:w="2425" w:type="dxa"/>
            <w:shd w:val="clear" w:color="auto" w:fill="AF1E2D"/>
            <w:noWrap/>
            <w:vAlign w:val="center"/>
          </w:tcPr>
          <w:p w:rsidR="00F157E2" w:rsidRPr="00D27EA9" w:rsidRDefault="00F157E2" w:rsidP="00F157E2">
            <w:pPr>
              <w:spacing w:before="0" w:after="0"/>
              <w:rPr>
                <w:rFonts w:ascii="Arial" w:hAnsi="Arial" w:cs="Arial"/>
                <w:b/>
                <w:color w:val="FFFFFF"/>
              </w:rPr>
            </w:pPr>
            <w:r w:rsidRPr="00D27EA9">
              <w:rPr>
                <w:rFonts w:ascii="Arial" w:hAnsi="Arial" w:cs="Arial"/>
                <w:b/>
                <w:color w:val="FFFFFF"/>
              </w:rPr>
              <w:t>Jurisdiction</w:t>
            </w:r>
          </w:p>
        </w:tc>
        <w:tc>
          <w:tcPr>
            <w:tcW w:w="1134" w:type="dxa"/>
            <w:shd w:val="clear" w:color="auto" w:fill="AF1E2D"/>
            <w:vAlign w:val="center"/>
          </w:tcPr>
          <w:p w:rsidR="00F157E2" w:rsidRPr="00D27EA9" w:rsidRDefault="00F157E2" w:rsidP="00F157E2">
            <w:pPr>
              <w:spacing w:before="0" w:after="0"/>
              <w:jc w:val="center"/>
              <w:rPr>
                <w:rFonts w:ascii="Arial" w:hAnsi="Arial" w:cs="Arial"/>
                <w:b/>
                <w:bCs/>
                <w:color w:val="FFFFFF"/>
              </w:rPr>
            </w:pPr>
            <w:r w:rsidRPr="00D27EA9">
              <w:rPr>
                <w:rFonts w:ascii="Arial" w:hAnsi="Arial" w:cs="Arial"/>
                <w:b/>
                <w:bCs/>
                <w:color w:val="FFFFFF"/>
              </w:rPr>
              <w:t>2010-11</w:t>
            </w:r>
          </w:p>
        </w:tc>
        <w:tc>
          <w:tcPr>
            <w:tcW w:w="1134" w:type="dxa"/>
            <w:shd w:val="clear" w:color="auto" w:fill="AF1E2D"/>
            <w:vAlign w:val="center"/>
          </w:tcPr>
          <w:p w:rsidR="00F157E2" w:rsidRPr="00D27EA9" w:rsidRDefault="00F157E2" w:rsidP="00F157E2">
            <w:pPr>
              <w:spacing w:before="0" w:after="0"/>
              <w:jc w:val="center"/>
              <w:rPr>
                <w:rFonts w:ascii="Arial" w:hAnsi="Arial" w:cs="Arial"/>
                <w:b/>
                <w:bCs/>
                <w:color w:val="FFFFFF"/>
              </w:rPr>
            </w:pPr>
            <w:r w:rsidRPr="00D27EA9">
              <w:rPr>
                <w:rFonts w:ascii="Arial" w:hAnsi="Arial" w:cs="Arial"/>
                <w:b/>
                <w:bCs/>
                <w:color w:val="FFFFFF"/>
              </w:rPr>
              <w:t>2011-12</w:t>
            </w:r>
          </w:p>
        </w:tc>
        <w:tc>
          <w:tcPr>
            <w:tcW w:w="1134" w:type="dxa"/>
            <w:shd w:val="clear" w:color="auto" w:fill="AF1E2D"/>
            <w:vAlign w:val="center"/>
          </w:tcPr>
          <w:p w:rsidR="00F157E2" w:rsidRPr="00D27EA9" w:rsidRDefault="00F157E2" w:rsidP="00F157E2">
            <w:pPr>
              <w:spacing w:before="0" w:after="0"/>
              <w:jc w:val="center"/>
              <w:rPr>
                <w:rFonts w:ascii="Arial" w:hAnsi="Arial" w:cs="Arial"/>
                <w:b/>
                <w:bCs/>
                <w:color w:val="FFFFFF"/>
              </w:rPr>
            </w:pPr>
            <w:r w:rsidRPr="00D27EA9">
              <w:rPr>
                <w:rFonts w:ascii="Arial" w:hAnsi="Arial" w:cs="Arial"/>
                <w:b/>
                <w:bCs/>
                <w:color w:val="FFFFFF"/>
              </w:rPr>
              <w:t>2012-13</w:t>
            </w:r>
          </w:p>
        </w:tc>
        <w:tc>
          <w:tcPr>
            <w:tcW w:w="1134" w:type="dxa"/>
            <w:shd w:val="clear" w:color="auto" w:fill="AF1E2D"/>
            <w:vAlign w:val="center"/>
          </w:tcPr>
          <w:p w:rsidR="00F157E2" w:rsidRPr="00D27EA9" w:rsidRDefault="00F157E2" w:rsidP="00F157E2">
            <w:pPr>
              <w:spacing w:before="0" w:after="0"/>
              <w:jc w:val="center"/>
              <w:rPr>
                <w:rFonts w:ascii="Arial" w:hAnsi="Arial" w:cs="Arial"/>
                <w:b/>
                <w:bCs/>
                <w:color w:val="FFFFFF"/>
              </w:rPr>
            </w:pPr>
            <w:r w:rsidRPr="00D27EA9">
              <w:rPr>
                <w:rFonts w:ascii="Arial" w:hAnsi="Arial" w:cs="Arial"/>
                <w:b/>
                <w:bCs/>
                <w:color w:val="FFFFFF"/>
              </w:rPr>
              <w:t>2013-14</w:t>
            </w:r>
          </w:p>
        </w:tc>
        <w:tc>
          <w:tcPr>
            <w:tcW w:w="1134" w:type="dxa"/>
            <w:shd w:val="clear" w:color="auto" w:fill="AF1E2D"/>
            <w:vAlign w:val="center"/>
          </w:tcPr>
          <w:p w:rsidR="00F157E2" w:rsidRPr="00D27EA9" w:rsidRDefault="00F157E2" w:rsidP="00F157E2">
            <w:pPr>
              <w:spacing w:before="0" w:after="0"/>
              <w:jc w:val="center"/>
              <w:rPr>
                <w:rFonts w:ascii="Arial" w:hAnsi="Arial" w:cs="Arial"/>
                <w:b/>
                <w:bCs/>
                <w:color w:val="FFFFFF"/>
              </w:rPr>
            </w:pPr>
            <w:r w:rsidRPr="00D27EA9">
              <w:rPr>
                <w:rFonts w:ascii="Arial" w:hAnsi="Arial" w:cs="Arial"/>
                <w:b/>
                <w:bCs/>
                <w:color w:val="FFFFFF"/>
              </w:rPr>
              <w:t>2014-15p</w:t>
            </w:r>
          </w:p>
        </w:tc>
      </w:tr>
      <w:tr w:rsidR="00F157E2" w:rsidRPr="00D27EA9" w:rsidTr="00F157E2">
        <w:trPr>
          <w:trHeight w:val="300"/>
        </w:trPr>
        <w:tc>
          <w:tcPr>
            <w:tcW w:w="2425" w:type="dxa"/>
            <w:shd w:val="clear" w:color="000000" w:fill="FFFFFF"/>
            <w:vAlign w:val="center"/>
            <w:hideMark/>
          </w:tcPr>
          <w:p w:rsidR="00F157E2" w:rsidRPr="00D27EA9" w:rsidRDefault="00F157E2" w:rsidP="00F157E2">
            <w:pPr>
              <w:spacing w:before="0" w:after="0"/>
              <w:rPr>
                <w:rFonts w:ascii="Arial" w:hAnsi="Arial" w:cs="Arial"/>
                <w:color w:val="000000"/>
              </w:rPr>
            </w:pPr>
            <w:r w:rsidRPr="00D27EA9">
              <w:rPr>
                <w:rFonts w:ascii="Arial" w:hAnsi="Arial" w:cs="Arial"/>
                <w:color w:val="000000"/>
              </w:rPr>
              <w:t>New South Wales</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15.0</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14.9</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11.6</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11.2</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9.5</w:t>
            </w:r>
          </w:p>
        </w:tc>
      </w:tr>
      <w:tr w:rsidR="00F157E2" w:rsidRPr="00D27EA9" w:rsidTr="00F157E2">
        <w:trPr>
          <w:trHeight w:val="300"/>
        </w:trPr>
        <w:tc>
          <w:tcPr>
            <w:tcW w:w="2425" w:type="dxa"/>
            <w:shd w:val="clear" w:color="auto" w:fill="F2DBDB" w:themeFill="accent2" w:themeFillTint="33"/>
            <w:vAlign w:val="center"/>
            <w:hideMark/>
          </w:tcPr>
          <w:p w:rsidR="00F157E2" w:rsidRPr="00D27EA9" w:rsidRDefault="00F157E2" w:rsidP="00F157E2">
            <w:pPr>
              <w:spacing w:before="0" w:after="0"/>
              <w:rPr>
                <w:rFonts w:ascii="Arial" w:hAnsi="Arial" w:cs="Arial"/>
                <w:color w:val="000000"/>
              </w:rPr>
            </w:pPr>
            <w:r w:rsidRPr="00D27EA9">
              <w:rPr>
                <w:rFonts w:ascii="Arial" w:hAnsi="Arial" w:cs="Arial"/>
                <w:color w:val="000000"/>
              </w:rPr>
              <w:t>Victoria</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11.9</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13.1</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11.4</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10.0</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10.6</w:t>
            </w:r>
          </w:p>
        </w:tc>
      </w:tr>
      <w:tr w:rsidR="00F157E2" w:rsidRPr="00D27EA9" w:rsidTr="00F157E2">
        <w:trPr>
          <w:trHeight w:val="300"/>
        </w:trPr>
        <w:tc>
          <w:tcPr>
            <w:tcW w:w="2425" w:type="dxa"/>
            <w:shd w:val="clear" w:color="000000" w:fill="FFFFFF"/>
            <w:vAlign w:val="center"/>
            <w:hideMark/>
          </w:tcPr>
          <w:p w:rsidR="00F157E2" w:rsidRPr="00D27EA9" w:rsidRDefault="00F157E2" w:rsidP="00F157E2">
            <w:pPr>
              <w:spacing w:before="0" w:after="0"/>
              <w:rPr>
                <w:rFonts w:ascii="Arial" w:hAnsi="Arial" w:cs="Arial"/>
                <w:color w:val="000000"/>
              </w:rPr>
            </w:pPr>
            <w:r w:rsidRPr="00D27EA9">
              <w:rPr>
                <w:rFonts w:ascii="Arial" w:hAnsi="Arial" w:cs="Arial"/>
                <w:color w:val="000000"/>
              </w:rPr>
              <w:t>Queensland</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19.5</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17.7</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15.6</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17.3</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14.3</w:t>
            </w:r>
          </w:p>
        </w:tc>
      </w:tr>
      <w:tr w:rsidR="00F157E2" w:rsidRPr="00D27EA9" w:rsidTr="00F157E2">
        <w:trPr>
          <w:trHeight w:val="300"/>
        </w:trPr>
        <w:tc>
          <w:tcPr>
            <w:tcW w:w="2425" w:type="dxa"/>
            <w:shd w:val="clear" w:color="auto" w:fill="F2DBDB" w:themeFill="accent2" w:themeFillTint="33"/>
            <w:vAlign w:val="center"/>
            <w:hideMark/>
          </w:tcPr>
          <w:p w:rsidR="00F157E2" w:rsidRPr="00D27EA9" w:rsidRDefault="00F157E2" w:rsidP="00F157E2">
            <w:pPr>
              <w:spacing w:before="0" w:after="0"/>
              <w:rPr>
                <w:rFonts w:ascii="Arial" w:hAnsi="Arial" w:cs="Arial"/>
                <w:color w:val="000000"/>
              </w:rPr>
            </w:pPr>
            <w:r w:rsidRPr="00D27EA9">
              <w:rPr>
                <w:rFonts w:ascii="Arial" w:hAnsi="Arial" w:cs="Arial"/>
                <w:color w:val="000000"/>
              </w:rPr>
              <w:t>Western Australia</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13.8</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14.3</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12.3</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9.5</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10.6</w:t>
            </w:r>
          </w:p>
        </w:tc>
      </w:tr>
      <w:tr w:rsidR="00F157E2" w:rsidRPr="00D27EA9" w:rsidTr="00F157E2">
        <w:trPr>
          <w:trHeight w:val="300"/>
        </w:trPr>
        <w:tc>
          <w:tcPr>
            <w:tcW w:w="2425" w:type="dxa"/>
            <w:shd w:val="clear" w:color="000000" w:fill="FFFFFF"/>
            <w:vAlign w:val="center"/>
            <w:hideMark/>
          </w:tcPr>
          <w:p w:rsidR="00F157E2" w:rsidRPr="00D27EA9" w:rsidRDefault="00F157E2" w:rsidP="00F157E2">
            <w:pPr>
              <w:spacing w:before="0" w:after="0"/>
              <w:rPr>
                <w:rFonts w:ascii="Arial" w:hAnsi="Arial" w:cs="Arial"/>
                <w:color w:val="000000"/>
              </w:rPr>
            </w:pPr>
            <w:r w:rsidRPr="00D27EA9">
              <w:rPr>
                <w:rFonts w:ascii="Arial" w:hAnsi="Arial" w:cs="Arial"/>
                <w:color w:val="000000"/>
              </w:rPr>
              <w:t>South Australia</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14.6</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15.7</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17.0</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12.7</w:t>
            </w:r>
          </w:p>
        </w:tc>
        <w:tc>
          <w:tcPr>
            <w:tcW w:w="1134" w:type="dxa"/>
            <w:shd w:val="clear" w:color="000000" w:fill="FFFFFF"/>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12.2</w:t>
            </w:r>
          </w:p>
        </w:tc>
      </w:tr>
      <w:tr w:rsidR="00F157E2" w:rsidRPr="00D27EA9" w:rsidTr="00F157E2">
        <w:trPr>
          <w:trHeight w:val="300"/>
        </w:trPr>
        <w:tc>
          <w:tcPr>
            <w:tcW w:w="2425" w:type="dxa"/>
            <w:shd w:val="clear" w:color="auto" w:fill="F2DBDB" w:themeFill="accent2" w:themeFillTint="33"/>
            <w:vAlign w:val="center"/>
            <w:hideMark/>
          </w:tcPr>
          <w:p w:rsidR="00F157E2" w:rsidRPr="00D27EA9" w:rsidRDefault="00F157E2" w:rsidP="00F157E2">
            <w:pPr>
              <w:spacing w:before="0" w:after="0"/>
              <w:rPr>
                <w:rFonts w:ascii="Arial" w:hAnsi="Arial" w:cs="Arial"/>
                <w:color w:val="000000"/>
              </w:rPr>
            </w:pPr>
            <w:r w:rsidRPr="00D27EA9">
              <w:rPr>
                <w:rFonts w:ascii="Arial" w:hAnsi="Arial" w:cs="Arial"/>
                <w:color w:val="000000"/>
              </w:rPr>
              <w:t>Tasmania</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16.7</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20.0</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10.9</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14.8</w:t>
            </w:r>
          </w:p>
        </w:tc>
        <w:tc>
          <w:tcPr>
            <w:tcW w:w="1134" w:type="dxa"/>
            <w:shd w:val="clear" w:color="auto" w:fill="F2DBDB" w:themeFill="accent2" w:themeFillTint="33"/>
            <w:vAlign w:val="center"/>
            <w:hideMark/>
          </w:tcPr>
          <w:p w:rsidR="00F157E2" w:rsidRPr="00D27EA9" w:rsidRDefault="00F157E2" w:rsidP="00F157E2">
            <w:pPr>
              <w:spacing w:before="0" w:after="0"/>
              <w:jc w:val="center"/>
              <w:rPr>
                <w:rFonts w:ascii="Arial" w:hAnsi="Arial" w:cs="Arial"/>
                <w:color w:val="000000"/>
              </w:rPr>
            </w:pPr>
            <w:r w:rsidRPr="00D27EA9">
              <w:rPr>
                <w:rFonts w:ascii="Arial" w:hAnsi="Arial" w:cs="Arial"/>
                <w:color w:val="000000"/>
              </w:rPr>
              <w:t>*11.6</w:t>
            </w:r>
          </w:p>
        </w:tc>
      </w:tr>
      <w:tr w:rsidR="00F157E2" w:rsidRPr="00D27EA9" w:rsidTr="00892EBD">
        <w:trPr>
          <w:trHeight w:val="300"/>
        </w:trPr>
        <w:tc>
          <w:tcPr>
            <w:tcW w:w="2425" w:type="dxa"/>
            <w:shd w:val="clear" w:color="auto" w:fill="808080"/>
            <w:vAlign w:val="center"/>
            <w:hideMark/>
          </w:tcPr>
          <w:p w:rsidR="00F157E2" w:rsidRPr="00D27EA9" w:rsidRDefault="00F157E2" w:rsidP="00F157E2">
            <w:pPr>
              <w:spacing w:before="0" w:after="0"/>
              <w:rPr>
                <w:rFonts w:ascii="Arial" w:hAnsi="Arial" w:cs="Arial"/>
                <w:b/>
                <w:bCs/>
                <w:color w:val="FFFFFF" w:themeColor="background1"/>
              </w:rPr>
            </w:pPr>
            <w:r w:rsidRPr="00D27EA9">
              <w:rPr>
                <w:rFonts w:ascii="Arial" w:hAnsi="Arial" w:cs="Arial"/>
                <w:b/>
                <w:bCs/>
                <w:color w:val="FFFFFF" w:themeColor="background1"/>
              </w:rPr>
              <w:t>Australia</w:t>
            </w:r>
          </w:p>
        </w:tc>
        <w:tc>
          <w:tcPr>
            <w:tcW w:w="1134" w:type="dxa"/>
            <w:shd w:val="clear" w:color="auto" w:fill="808080"/>
            <w:vAlign w:val="center"/>
            <w:hideMark/>
          </w:tcPr>
          <w:p w:rsidR="00F157E2" w:rsidRPr="00D27EA9" w:rsidRDefault="00F157E2" w:rsidP="00F157E2">
            <w:pPr>
              <w:spacing w:before="0" w:after="0"/>
              <w:jc w:val="center"/>
              <w:rPr>
                <w:rFonts w:ascii="Arial" w:hAnsi="Arial" w:cs="Arial"/>
                <w:b/>
                <w:bCs/>
                <w:color w:val="FFFFFF" w:themeColor="background1"/>
              </w:rPr>
            </w:pPr>
            <w:r w:rsidRPr="00D27EA9">
              <w:rPr>
                <w:rFonts w:ascii="Arial" w:hAnsi="Arial" w:cs="Arial"/>
                <w:b/>
                <w:bCs/>
                <w:color w:val="FFFFFF" w:themeColor="background1"/>
              </w:rPr>
              <w:t>14.9</w:t>
            </w:r>
          </w:p>
        </w:tc>
        <w:tc>
          <w:tcPr>
            <w:tcW w:w="1134" w:type="dxa"/>
            <w:shd w:val="clear" w:color="auto" w:fill="808080"/>
            <w:vAlign w:val="center"/>
            <w:hideMark/>
          </w:tcPr>
          <w:p w:rsidR="00F157E2" w:rsidRPr="00D27EA9" w:rsidRDefault="00F157E2" w:rsidP="00F157E2">
            <w:pPr>
              <w:spacing w:before="0" w:after="0"/>
              <w:jc w:val="center"/>
              <w:rPr>
                <w:rFonts w:ascii="Arial" w:hAnsi="Arial" w:cs="Arial"/>
                <w:b/>
                <w:bCs/>
                <w:color w:val="FFFFFF" w:themeColor="background1"/>
              </w:rPr>
            </w:pPr>
            <w:r w:rsidRPr="00D27EA9">
              <w:rPr>
                <w:rFonts w:ascii="Arial" w:hAnsi="Arial" w:cs="Arial"/>
                <w:b/>
                <w:bCs/>
                <w:color w:val="FFFFFF" w:themeColor="background1"/>
              </w:rPr>
              <w:t>15.1</w:t>
            </w:r>
          </w:p>
        </w:tc>
        <w:tc>
          <w:tcPr>
            <w:tcW w:w="1134" w:type="dxa"/>
            <w:shd w:val="clear" w:color="auto" w:fill="808080"/>
            <w:vAlign w:val="center"/>
            <w:hideMark/>
          </w:tcPr>
          <w:p w:rsidR="00F157E2" w:rsidRPr="00D27EA9" w:rsidRDefault="00F157E2" w:rsidP="00F157E2">
            <w:pPr>
              <w:spacing w:before="0" w:after="0"/>
              <w:jc w:val="center"/>
              <w:rPr>
                <w:rFonts w:ascii="Arial" w:hAnsi="Arial" w:cs="Arial"/>
                <w:b/>
                <w:bCs/>
                <w:color w:val="FFFFFF" w:themeColor="background1"/>
              </w:rPr>
            </w:pPr>
            <w:r w:rsidRPr="00D27EA9">
              <w:rPr>
                <w:rFonts w:ascii="Arial" w:hAnsi="Arial" w:cs="Arial"/>
                <w:b/>
                <w:bCs/>
                <w:color w:val="FFFFFF" w:themeColor="background1"/>
              </w:rPr>
              <w:t>12.9</w:t>
            </w:r>
          </w:p>
        </w:tc>
        <w:tc>
          <w:tcPr>
            <w:tcW w:w="1134" w:type="dxa"/>
            <w:shd w:val="clear" w:color="auto" w:fill="808080"/>
            <w:vAlign w:val="center"/>
            <w:hideMark/>
          </w:tcPr>
          <w:p w:rsidR="00F157E2" w:rsidRPr="00D27EA9" w:rsidRDefault="00F157E2" w:rsidP="00F157E2">
            <w:pPr>
              <w:spacing w:before="0" w:after="0"/>
              <w:jc w:val="center"/>
              <w:rPr>
                <w:rFonts w:ascii="Arial" w:hAnsi="Arial" w:cs="Arial"/>
                <w:b/>
                <w:bCs/>
                <w:color w:val="FFFFFF" w:themeColor="background1"/>
              </w:rPr>
            </w:pPr>
            <w:r w:rsidRPr="00D27EA9">
              <w:rPr>
                <w:rFonts w:ascii="Arial" w:hAnsi="Arial" w:cs="Arial"/>
                <w:b/>
                <w:bCs/>
                <w:color w:val="FFFFFF" w:themeColor="background1"/>
              </w:rPr>
              <w:t>12.1</w:t>
            </w:r>
          </w:p>
        </w:tc>
        <w:tc>
          <w:tcPr>
            <w:tcW w:w="1134" w:type="dxa"/>
            <w:shd w:val="clear" w:color="auto" w:fill="808080"/>
            <w:vAlign w:val="center"/>
            <w:hideMark/>
          </w:tcPr>
          <w:p w:rsidR="00F157E2" w:rsidRPr="00D27EA9" w:rsidRDefault="00F157E2" w:rsidP="00F157E2">
            <w:pPr>
              <w:spacing w:before="0" w:after="0"/>
              <w:jc w:val="center"/>
              <w:rPr>
                <w:rFonts w:ascii="Arial" w:hAnsi="Arial" w:cs="Arial"/>
                <w:b/>
                <w:bCs/>
                <w:color w:val="FFFFFF" w:themeColor="background1"/>
              </w:rPr>
            </w:pPr>
            <w:r w:rsidRPr="00D27EA9">
              <w:rPr>
                <w:rFonts w:ascii="Arial" w:hAnsi="Arial" w:cs="Arial"/>
                <w:b/>
                <w:bCs/>
                <w:color w:val="FFFFFF" w:themeColor="background1"/>
              </w:rPr>
              <w:t>11.3</w:t>
            </w:r>
          </w:p>
        </w:tc>
      </w:tr>
    </w:tbl>
    <w:p w:rsidR="008E6D54" w:rsidRPr="0041580C" w:rsidRDefault="008E6D54" w:rsidP="005653C1">
      <w:pPr>
        <w:pStyle w:val="ListParagraph"/>
        <w:spacing w:after="120"/>
        <w:ind w:left="0"/>
        <w:rPr>
          <w:rFonts w:ascii="Arial" w:hAnsi="Arial" w:cs="Arial"/>
          <w:sz w:val="18"/>
          <w:szCs w:val="16"/>
        </w:rPr>
      </w:pPr>
      <w:r w:rsidRPr="0041580C">
        <w:rPr>
          <w:rFonts w:ascii="Arial" w:hAnsi="Arial" w:cs="Arial"/>
          <w:sz w:val="18"/>
          <w:szCs w:val="16"/>
        </w:rPr>
        <w:t xml:space="preserve">a </w:t>
      </w:r>
      <w:r w:rsidR="00AF5C3D">
        <w:rPr>
          <w:rFonts w:ascii="Arial" w:hAnsi="Arial" w:cs="Arial"/>
          <w:sz w:val="18"/>
          <w:szCs w:val="16"/>
        </w:rPr>
        <w:t xml:space="preserve">- </w:t>
      </w:r>
      <w:r w:rsidRPr="0041580C">
        <w:rPr>
          <w:rFonts w:ascii="Arial" w:hAnsi="Arial" w:cs="Arial"/>
          <w:sz w:val="18"/>
          <w:szCs w:val="16"/>
        </w:rPr>
        <w:t>The Northern Territory</w:t>
      </w:r>
      <w:r w:rsidR="007F5A29">
        <w:rPr>
          <w:rFonts w:ascii="Arial" w:hAnsi="Arial" w:cs="Arial"/>
          <w:sz w:val="18"/>
          <w:szCs w:val="16"/>
        </w:rPr>
        <w:t xml:space="preserve"> and </w:t>
      </w:r>
      <w:r w:rsidRPr="0041580C">
        <w:rPr>
          <w:rFonts w:ascii="Arial" w:hAnsi="Arial" w:cs="Arial"/>
          <w:sz w:val="18"/>
          <w:szCs w:val="16"/>
        </w:rPr>
        <w:t xml:space="preserve">the Australian Capital Territory are not listed </w:t>
      </w:r>
      <w:r w:rsidR="00956AC7" w:rsidRPr="0041580C">
        <w:rPr>
          <w:rFonts w:ascii="Arial" w:hAnsi="Arial" w:cs="Arial"/>
          <w:sz w:val="18"/>
          <w:szCs w:val="16"/>
        </w:rPr>
        <w:t>b</w:t>
      </w:r>
      <w:r w:rsidRPr="0041580C">
        <w:rPr>
          <w:rFonts w:ascii="Arial" w:hAnsi="Arial" w:cs="Arial"/>
          <w:sz w:val="18"/>
          <w:szCs w:val="16"/>
        </w:rPr>
        <w:t>ecause of the small number of claims in these jurisdictions. However, they are included in the total figures for the Road transport industry.</w:t>
      </w:r>
    </w:p>
    <w:p w:rsidR="005653C1" w:rsidRPr="0041580C" w:rsidRDefault="00F33558" w:rsidP="005653C1">
      <w:pPr>
        <w:pStyle w:val="ListParagraph"/>
        <w:spacing w:before="120"/>
        <w:ind w:left="0"/>
        <w:rPr>
          <w:rFonts w:ascii="Arial" w:hAnsi="Arial" w:cs="Arial"/>
          <w:sz w:val="18"/>
          <w:szCs w:val="16"/>
        </w:rPr>
      </w:pPr>
      <w:r w:rsidRPr="0041580C">
        <w:rPr>
          <w:rFonts w:ascii="Arial" w:hAnsi="Arial" w:cs="Arial"/>
          <w:sz w:val="18"/>
          <w:szCs w:val="16"/>
        </w:rPr>
        <w:t>*</w:t>
      </w:r>
      <w:r w:rsidR="00AF5C3D">
        <w:rPr>
          <w:rFonts w:ascii="Arial" w:hAnsi="Arial" w:cs="Arial"/>
          <w:sz w:val="18"/>
          <w:szCs w:val="16"/>
        </w:rPr>
        <w:t xml:space="preserve"> </w:t>
      </w:r>
      <w:proofErr w:type="gramStart"/>
      <w:r w:rsidRPr="0041580C">
        <w:rPr>
          <w:rFonts w:ascii="Arial" w:hAnsi="Arial" w:cs="Arial"/>
          <w:sz w:val="18"/>
          <w:szCs w:val="16"/>
        </w:rPr>
        <w:t>relative</w:t>
      </w:r>
      <w:proofErr w:type="gramEnd"/>
      <w:r w:rsidRPr="0041580C">
        <w:rPr>
          <w:rFonts w:ascii="Arial" w:hAnsi="Arial" w:cs="Arial"/>
          <w:sz w:val="18"/>
          <w:szCs w:val="16"/>
        </w:rPr>
        <w:t xml:space="preserve"> standard error greater than 25%</w:t>
      </w:r>
    </w:p>
    <w:p w:rsidR="004C2F51" w:rsidRPr="00EE727D" w:rsidRDefault="004C2F51" w:rsidP="00EE727D">
      <w:pPr>
        <w:rPr>
          <w:rFonts w:ascii="Arial" w:hAnsi="Arial" w:cs="Arial"/>
          <w:b/>
          <w:color w:val="C10A27"/>
          <w:sz w:val="28"/>
          <w:szCs w:val="24"/>
        </w:rPr>
      </w:pPr>
      <w:r w:rsidRPr="00EE727D">
        <w:rPr>
          <w:rFonts w:ascii="Arial" w:hAnsi="Arial" w:cs="Arial"/>
          <w:b/>
          <w:color w:val="C10A27"/>
          <w:sz w:val="28"/>
          <w:szCs w:val="24"/>
        </w:rPr>
        <w:t>Serious claims by occupation</w:t>
      </w:r>
    </w:p>
    <w:p w:rsidR="00AC3029" w:rsidRPr="004076EF" w:rsidRDefault="002D483D" w:rsidP="00AC3029">
      <w:pPr>
        <w:spacing w:line="288" w:lineRule="auto"/>
        <w:rPr>
          <w:rFonts w:ascii="Arial" w:hAnsi="Arial" w:cs="Arial"/>
          <w:sz w:val="22"/>
          <w:szCs w:val="22"/>
        </w:rPr>
      </w:pPr>
      <w:r w:rsidRPr="004076EF">
        <w:rPr>
          <w:rFonts w:ascii="Arial" w:hAnsi="Arial" w:cs="Arial"/>
          <w:sz w:val="22"/>
          <w:szCs w:val="22"/>
        </w:rPr>
        <w:t xml:space="preserve">Table </w:t>
      </w:r>
      <w:r w:rsidR="00554F3C">
        <w:rPr>
          <w:rFonts w:ascii="Arial" w:hAnsi="Arial" w:cs="Arial"/>
          <w:sz w:val="22"/>
          <w:szCs w:val="22"/>
        </w:rPr>
        <w:t>4</w:t>
      </w:r>
      <w:r w:rsidRPr="004076EF">
        <w:rPr>
          <w:rFonts w:ascii="Arial" w:hAnsi="Arial" w:cs="Arial"/>
          <w:sz w:val="22"/>
          <w:szCs w:val="22"/>
        </w:rPr>
        <w:t xml:space="preserve"> lists the occupations responsible for the highest proportion of claims in the Road transport industry. </w:t>
      </w:r>
      <w:r w:rsidR="00AC2BE3" w:rsidRPr="004076EF">
        <w:rPr>
          <w:rFonts w:ascii="Arial" w:hAnsi="Arial" w:cs="Arial"/>
          <w:sz w:val="22"/>
          <w:szCs w:val="22"/>
        </w:rPr>
        <w:t>As would be expected a</w:t>
      </w:r>
      <w:r w:rsidR="00AC3029" w:rsidRPr="004076EF">
        <w:rPr>
          <w:rFonts w:ascii="Arial" w:hAnsi="Arial" w:cs="Arial"/>
          <w:sz w:val="22"/>
          <w:szCs w:val="22"/>
        </w:rPr>
        <w:t xml:space="preserve">lmost three-quarters (72 per cent) of serious claims in the </w:t>
      </w:r>
      <w:r w:rsidR="00EE727D">
        <w:rPr>
          <w:rFonts w:ascii="Arial" w:hAnsi="Arial" w:cs="Arial"/>
          <w:sz w:val="22"/>
          <w:szCs w:val="22"/>
        </w:rPr>
        <w:t xml:space="preserve">industry </w:t>
      </w:r>
      <w:r w:rsidR="00AC3029" w:rsidRPr="004076EF">
        <w:rPr>
          <w:rFonts w:ascii="Arial" w:hAnsi="Arial" w:cs="Arial"/>
          <w:sz w:val="22"/>
          <w:szCs w:val="22"/>
        </w:rPr>
        <w:t xml:space="preserve">were made by </w:t>
      </w:r>
      <w:r w:rsidR="00454675">
        <w:rPr>
          <w:rFonts w:ascii="Arial" w:hAnsi="Arial" w:cs="Arial"/>
          <w:sz w:val="22"/>
          <w:szCs w:val="22"/>
        </w:rPr>
        <w:t>d</w:t>
      </w:r>
      <w:r w:rsidR="00AC3029" w:rsidRPr="004076EF">
        <w:rPr>
          <w:rFonts w:ascii="Arial" w:hAnsi="Arial" w:cs="Arial"/>
          <w:sz w:val="22"/>
          <w:szCs w:val="22"/>
        </w:rPr>
        <w:t>rivers</w:t>
      </w:r>
      <w:r w:rsidR="00AC2BE3" w:rsidRPr="004076EF">
        <w:rPr>
          <w:rFonts w:ascii="Arial" w:hAnsi="Arial" w:cs="Arial"/>
          <w:sz w:val="22"/>
          <w:szCs w:val="22"/>
        </w:rPr>
        <w:t xml:space="preserve"> (</w:t>
      </w:r>
      <w:r w:rsidR="00454675">
        <w:rPr>
          <w:rFonts w:ascii="Arial" w:hAnsi="Arial" w:cs="Arial"/>
          <w:sz w:val="22"/>
          <w:szCs w:val="22"/>
        </w:rPr>
        <w:t>T</w:t>
      </w:r>
      <w:r w:rsidR="00AC2BE3" w:rsidRPr="004076EF">
        <w:rPr>
          <w:rFonts w:ascii="Arial" w:hAnsi="Arial" w:cs="Arial"/>
          <w:sz w:val="22"/>
          <w:szCs w:val="22"/>
        </w:rPr>
        <w:t xml:space="preserve">ruck drivers, </w:t>
      </w:r>
      <w:r w:rsidR="00454675">
        <w:rPr>
          <w:rFonts w:ascii="Arial" w:hAnsi="Arial" w:cs="Arial"/>
          <w:sz w:val="22"/>
          <w:szCs w:val="22"/>
        </w:rPr>
        <w:t>A</w:t>
      </w:r>
      <w:r w:rsidR="00AC2BE3" w:rsidRPr="004076EF">
        <w:rPr>
          <w:rFonts w:ascii="Arial" w:hAnsi="Arial" w:cs="Arial"/>
          <w:sz w:val="22"/>
          <w:szCs w:val="22"/>
        </w:rPr>
        <w:t xml:space="preserve">utomobile and bus drivers and </w:t>
      </w:r>
      <w:r w:rsidR="00454675">
        <w:rPr>
          <w:rFonts w:ascii="Arial" w:hAnsi="Arial" w:cs="Arial"/>
          <w:sz w:val="22"/>
          <w:szCs w:val="22"/>
        </w:rPr>
        <w:t>D</w:t>
      </w:r>
      <w:r w:rsidR="00AC2BE3" w:rsidRPr="004076EF">
        <w:rPr>
          <w:rFonts w:ascii="Arial" w:hAnsi="Arial" w:cs="Arial"/>
          <w:sz w:val="22"/>
          <w:szCs w:val="22"/>
        </w:rPr>
        <w:t>elivery drivers).  Miscellaneous labourers accounted for a further 5 per cent of claims, followed by Mobile plant operators (4 per cent)</w:t>
      </w:r>
      <w:r w:rsidR="00AC3029" w:rsidRPr="004076EF">
        <w:rPr>
          <w:rFonts w:ascii="Arial" w:hAnsi="Arial" w:cs="Arial"/>
          <w:sz w:val="22"/>
          <w:szCs w:val="22"/>
        </w:rPr>
        <w:t xml:space="preserve"> </w:t>
      </w:r>
      <w:r w:rsidR="00AC2BE3" w:rsidRPr="004076EF">
        <w:rPr>
          <w:rFonts w:ascii="Arial" w:hAnsi="Arial" w:cs="Arial"/>
          <w:sz w:val="22"/>
          <w:szCs w:val="22"/>
        </w:rPr>
        <w:t>and Freight handlers and shelf fillers (4 per cent).</w:t>
      </w:r>
      <w:r w:rsidR="00AC3029" w:rsidRPr="004076EF">
        <w:rPr>
          <w:rFonts w:ascii="Arial" w:hAnsi="Arial" w:cs="Arial"/>
          <w:sz w:val="22"/>
          <w:szCs w:val="22"/>
        </w:rPr>
        <w:t xml:space="preserve"> </w:t>
      </w:r>
    </w:p>
    <w:p w:rsidR="004C2F51" w:rsidRPr="00EE727D" w:rsidRDefault="00EE727D" w:rsidP="00F157E2">
      <w:pPr>
        <w:spacing w:before="0" w:after="0"/>
        <w:rPr>
          <w:rFonts w:ascii="Arial" w:hAnsi="Arial" w:cs="Arial"/>
          <w:b/>
          <w:noProof/>
          <w:sz w:val="22"/>
          <w:szCs w:val="18"/>
        </w:rPr>
      </w:pPr>
      <w:r>
        <w:rPr>
          <w:rFonts w:ascii="Arial" w:hAnsi="Arial" w:cs="Arial"/>
          <w:b/>
          <w:noProof/>
          <w:sz w:val="22"/>
          <w:szCs w:val="18"/>
        </w:rPr>
        <w:br w:type="page"/>
      </w:r>
      <w:r w:rsidR="004C2F51" w:rsidRPr="00EE727D">
        <w:rPr>
          <w:rFonts w:ascii="Arial" w:hAnsi="Arial" w:cs="Arial"/>
          <w:b/>
          <w:noProof/>
          <w:sz w:val="22"/>
          <w:szCs w:val="18"/>
        </w:rPr>
        <w:lastRenderedPageBreak/>
        <w:t xml:space="preserve">Table </w:t>
      </w:r>
      <w:r w:rsidR="00554F3C">
        <w:rPr>
          <w:rFonts w:ascii="Arial" w:hAnsi="Arial" w:cs="Arial"/>
          <w:b/>
          <w:noProof/>
          <w:sz w:val="22"/>
          <w:szCs w:val="18"/>
        </w:rPr>
        <w:t>4</w:t>
      </w:r>
      <w:r w:rsidR="004C2F51" w:rsidRPr="00EE727D">
        <w:rPr>
          <w:rFonts w:ascii="Arial" w:hAnsi="Arial" w:cs="Arial"/>
          <w:b/>
          <w:noProof/>
          <w:sz w:val="22"/>
          <w:szCs w:val="18"/>
        </w:rPr>
        <w:t>: Serious claim</w:t>
      </w:r>
      <w:r w:rsidR="002D483D" w:rsidRPr="00EE727D">
        <w:rPr>
          <w:rFonts w:ascii="Arial" w:hAnsi="Arial" w:cs="Arial"/>
          <w:b/>
          <w:noProof/>
          <w:sz w:val="22"/>
          <w:szCs w:val="18"/>
        </w:rPr>
        <w:t>s: percentage of claims in the R</w:t>
      </w:r>
      <w:r w:rsidR="004C2F51" w:rsidRPr="00EE727D">
        <w:rPr>
          <w:rFonts w:ascii="Arial" w:hAnsi="Arial" w:cs="Arial"/>
          <w:b/>
          <w:noProof/>
          <w:sz w:val="22"/>
          <w:szCs w:val="18"/>
        </w:rPr>
        <w:t>oad transport industry by occupation, 2010-11 to 2014-15p (combined)</w:t>
      </w:r>
    </w:p>
    <w:tbl>
      <w:tblPr>
        <w:tblW w:w="8238"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Serious claims: percentage of claims in the Road transport industry by occupation, 2010-11 to 2014-15p (combined)"/>
        <w:tblDescription w:val="Table 4 shows the occupations responsible for the highest proportion of claims in the Road transport industry. Truck drivers account for the highest proportion (53 per cent), followed by Automobile, bus and rail drivers (15 per cent), and Miscellaneous labourer (5 per cent)."/>
      </w:tblPr>
      <w:tblGrid>
        <w:gridCol w:w="6111"/>
        <w:gridCol w:w="2127"/>
      </w:tblGrid>
      <w:tr w:rsidR="00B96FDB" w:rsidRPr="004076EF" w:rsidTr="00F157E2">
        <w:trPr>
          <w:trHeight w:val="300"/>
        </w:trPr>
        <w:tc>
          <w:tcPr>
            <w:tcW w:w="6111" w:type="dxa"/>
            <w:shd w:val="clear" w:color="auto" w:fill="AF1E2D"/>
            <w:noWrap/>
            <w:vAlign w:val="bottom"/>
            <w:hideMark/>
          </w:tcPr>
          <w:p w:rsidR="00B96FDB" w:rsidRPr="004076EF" w:rsidRDefault="00B96FDB" w:rsidP="00B96FDB">
            <w:pPr>
              <w:spacing w:before="0" w:after="0"/>
              <w:rPr>
                <w:rFonts w:ascii="Arial" w:hAnsi="Arial" w:cs="Arial"/>
                <w:b/>
                <w:bCs/>
                <w:color w:val="FFFFFF"/>
                <w:sz w:val="22"/>
                <w:szCs w:val="22"/>
              </w:rPr>
            </w:pPr>
            <w:r w:rsidRPr="004076EF">
              <w:rPr>
                <w:rFonts w:ascii="Arial" w:hAnsi="Arial" w:cs="Arial"/>
                <w:b/>
                <w:bCs/>
                <w:color w:val="FFFFFF"/>
                <w:sz w:val="22"/>
                <w:szCs w:val="22"/>
              </w:rPr>
              <w:t>Occupation</w:t>
            </w:r>
          </w:p>
        </w:tc>
        <w:tc>
          <w:tcPr>
            <w:tcW w:w="2127" w:type="dxa"/>
            <w:shd w:val="clear" w:color="auto" w:fill="AF1E2D"/>
            <w:noWrap/>
            <w:vAlign w:val="bottom"/>
            <w:hideMark/>
          </w:tcPr>
          <w:p w:rsidR="00B96FDB" w:rsidRPr="004076EF" w:rsidRDefault="00B96FDB" w:rsidP="00D57E3F">
            <w:pPr>
              <w:spacing w:before="0" w:after="0"/>
              <w:jc w:val="center"/>
              <w:rPr>
                <w:rFonts w:ascii="Arial" w:hAnsi="Arial" w:cs="Arial"/>
                <w:b/>
                <w:bCs/>
                <w:color w:val="FFFFFF"/>
                <w:sz w:val="22"/>
                <w:szCs w:val="22"/>
              </w:rPr>
            </w:pPr>
            <w:r w:rsidRPr="004076EF">
              <w:rPr>
                <w:rFonts w:ascii="Arial" w:hAnsi="Arial" w:cs="Arial"/>
                <w:b/>
                <w:bCs/>
                <w:color w:val="FFFFFF"/>
                <w:sz w:val="22"/>
                <w:szCs w:val="22"/>
              </w:rPr>
              <w:t>%</w:t>
            </w:r>
          </w:p>
        </w:tc>
      </w:tr>
      <w:tr w:rsidR="00B96FDB" w:rsidRPr="004076EF" w:rsidTr="00F157E2">
        <w:trPr>
          <w:trHeight w:val="300"/>
        </w:trPr>
        <w:tc>
          <w:tcPr>
            <w:tcW w:w="6111" w:type="dxa"/>
            <w:shd w:val="clear" w:color="000000" w:fill="FFFFFF"/>
            <w:noWrap/>
            <w:vAlign w:val="bottom"/>
            <w:hideMark/>
          </w:tcPr>
          <w:p w:rsidR="00B96FDB" w:rsidRPr="004076EF" w:rsidRDefault="00B96FDB" w:rsidP="00B96FDB">
            <w:pPr>
              <w:spacing w:before="0" w:after="0"/>
              <w:rPr>
                <w:rFonts w:ascii="Arial" w:hAnsi="Arial" w:cs="Arial"/>
                <w:color w:val="000000"/>
                <w:sz w:val="22"/>
                <w:szCs w:val="22"/>
              </w:rPr>
            </w:pPr>
            <w:r w:rsidRPr="004076EF">
              <w:rPr>
                <w:rFonts w:ascii="Arial" w:hAnsi="Arial" w:cs="Arial"/>
                <w:color w:val="000000"/>
                <w:sz w:val="22"/>
                <w:szCs w:val="22"/>
              </w:rPr>
              <w:t>Truck drivers</w:t>
            </w:r>
          </w:p>
        </w:tc>
        <w:tc>
          <w:tcPr>
            <w:tcW w:w="2127" w:type="dxa"/>
            <w:shd w:val="clear" w:color="000000" w:fill="FFFFFF"/>
            <w:noWrap/>
            <w:vAlign w:val="bottom"/>
            <w:hideMark/>
          </w:tcPr>
          <w:p w:rsidR="00B96FDB" w:rsidRPr="004076EF" w:rsidRDefault="00B96FDB" w:rsidP="00D57E3F">
            <w:pPr>
              <w:spacing w:before="0" w:after="0"/>
              <w:jc w:val="center"/>
              <w:rPr>
                <w:rFonts w:ascii="Arial" w:hAnsi="Arial" w:cs="Arial"/>
                <w:color w:val="000000"/>
                <w:sz w:val="22"/>
                <w:szCs w:val="22"/>
              </w:rPr>
            </w:pPr>
            <w:r w:rsidRPr="004076EF">
              <w:rPr>
                <w:rFonts w:ascii="Arial" w:hAnsi="Arial" w:cs="Arial"/>
                <w:color w:val="000000"/>
                <w:sz w:val="22"/>
                <w:szCs w:val="22"/>
              </w:rPr>
              <w:t>53%</w:t>
            </w:r>
          </w:p>
        </w:tc>
      </w:tr>
      <w:tr w:rsidR="00B96FDB" w:rsidRPr="004076EF" w:rsidTr="00F157E2">
        <w:trPr>
          <w:trHeight w:val="300"/>
        </w:trPr>
        <w:tc>
          <w:tcPr>
            <w:tcW w:w="6111" w:type="dxa"/>
            <w:shd w:val="clear" w:color="auto" w:fill="F2DBDB" w:themeFill="accent2" w:themeFillTint="33"/>
            <w:noWrap/>
            <w:vAlign w:val="bottom"/>
            <w:hideMark/>
          </w:tcPr>
          <w:p w:rsidR="00B96FDB" w:rsidRPr="004076EF" w:rsidRDefault="00AC2BE3" w:rsidP="00B96FDB">
            <w:pPr>
              <w:spacing w:before="0" w:after="0"/>
              <w:rPr>
                <w:rFonts w:ascii="Arial" w:hAnsi="Arial" w:cs="Arial"/>
                <w:color w:val="000000"/>
                <w:sz w:val="22"/>
                <w:szCs w:val="22"/>
              </w:rPr>
            </w:pPr>
            <w:r w:rsidRPr="004076EF">
              <w:rPr>
                <w:rFonts w:ascii="Arial" w:hAnsi="Arial" w:cs="Arial"/>
                <w:color w:val="000000"/>
                <w:sz w:val="22"/>
                <w:szCs w:val="22"/>
              </w:rPr>
              <w:t>Automobile, bus and rail d</w:t>
            </w:r>
            <w:r w:rsidR="00B96FDB" w:rsidRPr="004076EF">
              <w:rPr>
                <w:rFonts w:ascii="Arial" w:hAnsi="Arial" w:cs="Arial"/>
                <w:color w:val="000000"/>
                <w:sz w:val="22"/>
                <w:szCs w:val="22"/>
              </w:rPr>
              <w:t>rivers</w:t>
            </w:r>
          </w:p>
        </w:tc>
        <w:tc>
          <w:tcPr>
            <w:tcW w:w="2127" w:type="dxa"/>
            <w:shd w:val="clear" w:color="auto" w:fill="F2DBDB" w:themeFill="accent2" w:themeFillTint="33"/>
            <w:noWrap/>
            <w:vAlign w:val="bottom"/>
            <w:hideMark/>
          </w:tcPr>
          <w:p w:rsidR="00B96FDB" w:rsidRPr="004076EF" w:rsidRDefault="00B96FDB" w:rsidP="00D57E3F">
            <w:pPr>
              <w:spacing w:before="0" w:after="0"/>
              <w:jc w:val="center"/>
              <w:rPr>
                <w:rFonts w:ascii="Arial" w:hAnsi="Arial" w:cs="Arial"/>
                <w:color w:val="000000"/>
                <w:sz w:val="22"/>
                <w:szCs w:val="22"/>
              </w:rPr>
            </w:pPr>
            <w:r w:rsidRPr="004076EF">
              <w:rPr>
                <w:rFonts w:ascii="Arial" w:hAnsi="Arial" w:cs="Arial"/>
                <w:color w:val="000000"/>
                <w:sz w:val="22"/>
                <w:szCs w:val="22"/>
              </w:rPr>
              <w:t>15%</w:t>
            </w:r>
          </w:p>
        </w:tc>
      </w:tr>
      <w:tr w:rsidR="00B96FDB" w:rsidRPr="004076EF" w:rsidTr="00F157E2">
        <w:trPr>
          <w:trHeight w:val="300"/>
        </w:trPr>
        <w:tc>
          <w:tcPr>
            <w:tcW w:w="6111" w:type="dxa"/>
            <w:shd w:val="clear" w:color="000000" w:fill="FFFFFF"/>
            <w:noWrap/>
            <w:vAlign w:val="bottom"/>
            <w:hideMark/>
          </w:tcPr>
          <w:p w:rsidR="00B96FDB" w:rsidRPr="004076EF" w:rsidRDefault="00B96FDB" w:rsidP="00B96FDB">
            <w:pPr>
              <w:spacing w:before="0" w:after="0"/>
              <w:rPr>
                <w:rFonts w:ascii="Arial" w:hAnsi="Arial" w:cs="Arial"/>
                <w:color w:val="000000"/>
                <w:sz w:val="22"/>
                <w:szCs w:val="22"/>
              </w:rPr>
            </w:pPr>
            <w:r w:rsidRPr="004076EF">
              <w:rPr>
                <w:rFonts w:ascii="Arial" w:hAnsi="Arial" w:cs="Arial"/>
                <w:color w:val="000000"/>
                <w:sz w:val="22"/>
                <w:szCs w:val="22"/>
              </w:rPr>
              <w:t>Miscellaneous labourers</w:t>
            </w:r>
          </w:p>
        </w:tc>
        <w:tc>
          <w:tcPr>
            <w:tcW w:w="2127" w:type="dxa"/>
            <w:shd w:val="clear" w:color="000000" w:fill="FFFFFF"/>
            <w:noWrap/>
            <w:vAlign w:val="bottom"/>
            <w:hideMark/>
          </w:tcPr>
          <w:p w:rsidR="00B96FDB" w:rsidRPr="004076EF" w:rsidRDefault="00B96FDB" w:rsidP="00D57E3F">
            <w:pPr>
              <w:spacing w:before="0" w:after="0"/>
              <w:jc w:val="center"/>
              <w:rPr>
                <w:rFonts w:ascii="Arial" w:hAnsi="Arial" w:cs="Arial"/>
                <w:color w:val="000000"/>
                <w:sz w:val="22"/>
                <w:szCs w:val="22"/>
              </w:rPr>
            </w:pPr>
            <w:r w:rsidRPr="004076EF">
              <w:rPr>
                <w:rFonts w:ascii="Arial" w:hAnsi="Arial" w:cs="Arial"/>
                <w:color w:val="000000"/>
                <w:sz w:val="22"/>
                <w:szCs w:val="22"/>
              </w:rPr>
              <w:t>5%</w:t>
            </w:r>
          </w:p>
        </w:tc>
      </w:tr>
      <w:tr w:rsidR="00B96FDB" w:rsidRPr="004076EF" w:rsidTr="00F157E2">
        <w:trPr>
          <w:trHeight w:val="300"/>
        </w:trPr>
        <w:tc>
          <w:tcPr>
            <w:tcW w:w="6111" w:type="dxa"/>
            <w:shd w:val="clear" w:color="auto" w:fill="F2DBDB" w:themeFill="accent2" w:themeFillTint="33"/>
            <w:noWrap/>
            <w:vAlign w:val="bottom"/>
            <w:hideMark/>
          </w:tcPr>
          <w:p w:rsidR="00B96FDB" w:rsidRPr="004076EF" w:rsidRDefault="00B96FDB" w:rsidP="00B96FDB">
            <w:pPr>
              <w:spacing w:before="0" w:after="0"/>
              <w:rPr>
                <w:rFonts w:ascii="Arial" w:hAnsi="Arial" w:cs="Arial"/>
                <w:color w:val="000000"/>
                <w:sz w:val="22"/>
                <w:szCs w:val="22"/>
              </w:rPr>
            </w:pPr>
            <w:r w:rsidRPr="004076EF">
              <w:rPr>
                <w:rFonts w:ascii="Arial" w:hAnsi="Arial" w:cs="Arial"/>
                <w:color w:val="000000"/>
                <w:sz w:val="22"/>
                <w:szCs w:val="22"/>
              </w:rPr>
              <w:t>Delivery drivers</w:t>
            </w:r>
          </w:p>
        </w:tc>
        <w:tc>
          <w:tcPr>
            <w:tcW w:w="2127" w:type="dxa"/>
            <w:shd w:val="clear" w:color="auto" w:fill="F2DBDB" w:themeFill="accent2" w:themeFillTint="33"/>
            <w:noWrap/>
            <w:vAlign w:val="bottom"/>
            <w:hideMark/>
          </w:tcPr>
          <w:p w:rsidR="00B96FDB" w:rsidRPr="004076EF" w:rsidRDefault="00B96FDB" w:rsidP="00D57E3F">
            <w:pPr>
              <w:spacing w:before="0" w:after="0"/>
              <w:jc w:val="center"/>
              <w:rPr>
                <w:rFonts w:ascii="Arial" w:hAnsi="Arial" w:cs="Arial"/>
                <w:color w:val="000000"/>
                <w:sz w:val="22"/>
                <w:szCs w:val="22"/>
              </w:rPr>
            </w:pPr>
            <w:r w:rsidRPr="004076EF">
              <w:rPr>
                <w:rFonts w:ascii="Arial" w:hAnsi="Arial" w:cs="Arial"/>
                <w:color w:val="000000"/>
                <w:sz w:val="22"/>
                <w:szCs w:val="22"/>
              </w:rPr>
              <w:t>4%</w:t>
            </w:r>
          </w:p>
        </w:tc>
      </w:tr>
      <w:tr w:rsidR="00B96FDB" w:rsidRPr="004076EF" w:rsidTr="00F157E2">
        <w:trPr>
          <w:trHeight w:val="300"/>
        </w:trPr>
        <w:tc>
          <w:tcPr>
            <w:tcW w:w="6111" w:type="dxa"/>
            <w:shd w:val="clear" w:color="000000" w:fill="FFFFFF"/>
            <w:noWrap/>
            <w:vAlign w:val="bottom"/>
            <w:hideMark/>
          </w:tcPr>
          <w:p w:rsidR="00B96FDB" w:rsidRPr="004076EF" w:rsidRDefault="00B96FDB" w:rsidP="00B96FDB">
            <w:pPr>
              <w:spacing w:before="0" w:after="0"/>
              <w:rPr>
                <w:rFonts w:ascii="Arial" w:hAnsi="Arial" w:cs="Arial"/>
                <w:color w:val="000000"/>
                <w:sz w:val="22"/>
                <w:szCs w:val="22"/>
              </w:rPr>
            </w:pPr>
            <w:r w:rsidRPr="004076EF">
              <w:rPr>
                <w:rFonts w:ascii="Arial" w:hAnsi="Arial" w:cs="Arial"/>
                <w:color w:val="000000"/>
                <w:sz w:val="22"/>
                <w:szCs w:val="22"/>
              </w:rPr>
              <w:t>Mobile plant operators</w:t>
            </w:r>
          </w:p>
        </w:tc>
        <w:tc>
          <w:tcPr>
            <w:tcW w:w="2127" w:type="dxa"/>
            <w:shd w:val="clear" w:color="000000" w:fill="FFFFFF"/>
            <w:noWrap/>
            <w:vAlign w:val="bottom"/>
            <w:hideMark/>
          </w:tcPr>
          <w:p w:rsidR="00B96FDB" w:rsidRPr="004076EF" w:rsidRDefault="00B96FDB" w:rsidP="00D57E3F">
            <w:pPr>
              <w:spacing w:before="0" w:after="0"/>
              <w:jc w:val="center"/>
              <w:rPr>
                <w:rFonts w:ascii="Arial" w:hAnsi="Arial" w:cs="Arial"/>
                <w:color w:val="000000"/>
                <w:sz w:val="22"/>
                <w:szCs w:val="22"/>
              </w:rPr>
            </w:pPr>
            <w:r w:rsidRPr="004076EF">
              <w:rPr>
                <w:rFonts w:ascii="Arial" w:hAnsi="Arial" w:cs="Arial"/>
                <w:color w:val="000000"/>
                <w:sz w:val="22"/>
                <w:szCs w:val="22"/>
              </w:rPr>
              <w:t>4%</w:t>
            </w:r>
          </w:p>
        </w:tc>
      </w:tr>
      <w:tr w:rsidR="00B96FDB" w:rsidRPr="004076EF" w:rsidTr="00F157E2">
        <w:trPr>
          <w:trHeight w:val="300"/>
        </w:trPr>
        <w:tc>
          <w:tcPr>
            <w:tcW w:w="6111" w:type="dxa"/>
            <w:shd w:val="clear" w:color="auto" w:fill="F2DBDB" w:themeFill="accent2" w:themeFillTint="33"/>
            <w:noWrap/>
            <w:vAlign w:val="bottom"/>
            <w:hideMark/>
          </w:tcPr>
          <w:p w:rsidR="00B96FDB" w:rsidRPr="004076EF" w:rsidRDefault="00B96FDB" w:rsidP="00B96FDB">
            <w:pPr>
              <w:spacing w:before="0" w:after="0"/>
              <w:rPr>
                <w:rFonts w:ascii="Arial" w:hAnsi="Arial" w:cs="Arial"/>
                <w:color w:val="000000"/>
                <w:sz w:val="22"/>
                <w:szCs w:val="22"/>
              </w:rPr>
            </w:pPr>
            <w:r w:rsidRPr="004076EF">
              <w:rPr>
                <w:rFonts w:ascii="Arial" w:hAnsi="Arial" w:cs="Arial"/>
                <w:color w:val="000000"/>
                <w:sz w:val="22"/>
                <w:szCs w:val="22"/>
              </w:rPr>
              <w:t>Freight handlers and shelf fillers</w:t>
            </w:r>
          </w:p>
        </w:tc>
        <w:tc>
          <w:tcPr>
            <w:tcW w:w="2127" w:type="dxa"/>
            <w:shd w:val="clear" w:color="auto" w:fill="F2DBDB" w:themeFill="accent2" w:themeFillTint="33"/>
            <w:noWrap/>
            <w:vAlign w:val="bottom"/>
            <w:hideMark/>
          </w:tcPr>
          <w:p w:rsidR="00B96FDB" w:rsidRPr="004076EF" w:rsidRDefault="00B96FDB" w:rsidP="00D57E3F">
            <w:pPr>
              <w:spacing w:before="0" w:after="0"/>
              <w:jc w:val="center"/>
              <w:rPr>
                <w:rFonts w:ascii="Arial" w:hAnsi="Arial" w:cs="Arial"/>
                <w:color w:val="000000"/>
                <w:sz w:val="22"/>
                <w:szCs w:val="22"/>
              </w:rPr>
            </w:pPr>
            <w:r w:rsidRPr="004076EF">
              <w:rPr>
                <w:rFonts w:ascii="Arial" w:hAnsi="Arial" w:cs="Arial"/>
                <w:color w:val="000000"/>
                <w:sz w:val="22"/>
                <w:szCs w:val="22"/>
              </w:rPr>
              <w:t>4%</w:t>
            </w:r>
          </w:p>
        </w:tc>
      </w:tr>
      <w:tr w:rsidR="00B96FDB" w:rsidRPr="004076EF" w:rsidTr="00F157E2">
        <w:trPr>
          <w:trHeight w:val="300"/>
        </w:trPr>
        <w:tc>
          <w:tcPr>
            <w:tcW w:w="6111" w:type="dxa"/>
            <w:shd w:val="clear" w:color="000000" w:fill="FFFFFF"/>
            <w:noWrap/>
            <w:vAlign w:val="bottom"/>
            <w:hideMark/>
          </w:tcPr>
          <w:p w:rsidR="00B96FDB" w:rsidRPr="004076EF" w:rsidRDefault="00B96FDB" w:rsidP="00B96FDB">
            <w:pPr>
              <w:spacing w:before="0" w:after="0"/>
              <w:rPr>
                <w:rFonts w:ascii="Arial" w:hAnsi="Arial" w:cs="Arial"/>
                <w:color w:val="000000"/>
                <w:sz w:val="22"/>
                <w:szCs w:val="22"/>
              </w:rPr>
            </w:pPr>
            <w:r w:rsidRPr="004076EF">
              <w:rPr>
                <w:rFonts w:ascii="Arial" w:hAnsi="Arial" w:cs="Arial"/>
                <w:color w:val="000000"/>
                <w:sz w:val="22"/>
                <w:szCs w:val="22"/>
              </w:rPr>
              <w:t>Automotive electricians and mechanics</w:t>
            </w:r>
          </w:p>
        </w:tc>
        <w:tc>
          <w:tcPr>
            <w:tcW w:w="2127" w:type="dxa"/>
            <w:shd w:val="clear" w:color="000000" w:fill="FFFFFF"/>
            <w:noWrap/>
            <w:vAlign w:val="bottom"/>
            <w:hideMark/>
          </w:tcPr>
          <w:p w:rsidR="00B96FDB" w:rsidRPr="004076EF" w:rsidRDefault="00B96FDB" w:rsidP="00D57E3F">
            <w:pPr>
              <w:spacing w:before="0" w:after="0"/>
              <w:jc w:val="center"/>
              <w:rPr>
                <w:rFonts w:ascii="Arial" w:hAnsi="Arial" w:cs="Arial"/>
                <w:color w:val="000000"/>
                <w:sz w:val="22"/>
                <w:szCs w:val="22"/>
              </w:rPr>
            </w:pPr>
            <w:r w:rsidRPr="004076EF">
              <w:rPr>
                <w:rFonts w:ascii="Arial" w:hAnsi="Arial" w:cs="Arial"/>
                <w:color w:val="000000"/>
                <w:sz w:val="22"/>
                <w:szCs w:val="22"/>
              </w:rPr>
              <w:t>3%</w:t>
            </w:r>
          </w:p>
        </w:tc>
      </w:tr>
      <w:tr w:rsidR="00B96FDB" w:rsidRPr="004076EF" w:rsidTr="00F157E2">
        <w:trPr>
          <w:trHeight w:val="300"/>
        </w:trPr>
        <w:tc>
          <w:tcPr>
            <w:tcW w:w="6111" w:type="dxa"/>
            <w:shd w:val="clear" w:color="auto" w:fill="F2DBDB" w:themeFill="accent2" w:themeFillTint="33"/>
            <w:noWrap/>
            <w:vAlign w:val="bottom"/>
            <w:hideMark/>
          </w:tcPr>
          <w:p w:rsidR="00B96FDB" w:rsidRPr="004076EF" w:rsidRDefault="00B96FDB" w:rsidP="00B96FDB">
            <w:pPr>
              <w:spacing w:before="0" w:after="0"/>
              <w:rPr>
                <w:rFonts w:ascii="Arial" w:hAnsi="Arial" w:cs="Arial"/>
                <w:color w:val="000000"/>
                <w:sz w:val="22"/>
                <w:szCs w:val="22"/>
              </w:rPr>
            </w:pPr>
            <w:r w:rsidRPr="004076EF">
              <w:rPr>
                <w:rFonts w:ascii="Arial" w:hAnsi="Arial" w:cs="Arial"/>
                <w:color w:val="000000"/>
                <w:sz w:val="22"/>
                <w:szCs w:val="22"/>
              </w:rPr>
              <w:t>Clerical and office support workers</w:t>
            </w:r>
          </w:p>
        </w:tc>
        <w:tc>
          <w:tcPr>
            <w:tcW w:w="2127" w:type="dxa"/>
            <w:shd w:val="clear" w:color="auto" w:fill="F2DBDB" w:themeFill="accent2" w:themeFillTint="33"/>
            <w:noWrap/>
            <w:vAlign w:val="bottom"/>
            <w:hideMark/>
          </w:tcPr>
          <w:p w:rsidR="00B96FDB" w:rsidRPr="004076EF" w:rsidRDefault="00B96FDB" w:rsidP="00D57E3F">
            <w:pPr>
              <w:spacing w:before="0" w:after="0"/>
              <w:jc w:val="center"/>
              <w:rPr>
                <w:rFonts w:ascii="Arial" w:hAnsi="Arial" w:cs="Arial"/>
                <w:color w:val="000000"/>
                <w:sz w:val="22"/>
                <w:szCs w:val="22"/>
              </w:rPr>
            </w:pPr>
            <w:r w:rsidRPr="004076EF">
              <w:rPr>
                <w:rFonts w:ascii="Arial" w:hAnsi="Arial" w:cs="Arial"/>
                <w:color w:val="000000"/>
                <w:sz w:val="22"/>
                <w:szCs w:val="22"/>
              </w:rPr>
              <w:t>2%</w:t>
            </w:r>
          </w:p>
        </w:tc>
      </w:tr>
      <w:tr w:rsidR="00B96FDB" w:rsidRPr="004076EF" w:rsidTr="00F157E2">
        <w:trPr>
          <w:trHeight w:val="315"/>
        </w:trPr>
        <w:tc>
          <w:tcPr>
            <w:tcW w:w="6111" w:type="dxa"/>
            <w:shd w:val="clear" w:color="000000" w:fill="FFFFFF"/>
            <w:noWrap/>
            <w:vAlign w:val="bottom"/>
            <w:hideMark/>
          </w:tcPr>
          <w:p w:rsidR="00B96FDB" w:rsidRPr="004076EF" w:rsidRDefault="00B96FDB" w:rsidP="00B96FDB">
            <w:pPr>
              <w:spacing w:before="0" w:after="0"/>
              <w:rPr>
                <w:rFonts w:ascii="Arial" w:hAnsi="Arial" w:cs="Arial"/>
                <w:color w:val="000000"/>
                <w:sz w:val="22"/>
                <w:szCs w:val="22"/>
              </w:rPr>
            </w:pPr>
            <w:r w:rsidRPr="004076EF">
              <w:rPr>
                <w:rFonts w:ascii="Arial" w:hAnsi="Arial" w:cs="Arial"/>
                <w:color w:val="000000"/>
                <w:sz w:val="22"/>
                <w:szCs w:val="22"/>
              </w:rPr>
              <w:t>Store persons</w:t>
            </w:r>
          </w:p>
        </w:tc>
        <w:tc>
          <w:tcPr>
            <w:tcW w:w="2127" w:type="dxa"/>
            <w:shd w:val="clear" w:color="000000" w:fill="FFFFFF"/>
            <w:noWrap/>
            <w:vAlign w:val="bottom"/>
            <w:hideMark/>
          </w:tcPr>
          <w:p w:rsidR="00B96FDB" w:rsidRPr="004076EF" w:rsidRDefault="00B96FDB" w:rsidP="00D57E3F">
            <w:pPr>
              <w:spacing w:before="0" w:after="0"/>
              <w:jc w:val="center"/>
              <w:rPr>
                <w:rFonts w:ascii="Arial" w:hAnsi="Arial" w:cs="Arial"/>
                <w:color w:val="000000"/>
                <w:sz w:val="22"/>
                <w:szCs w:val="22"/>
              </w:rPr>
            </w:pPr>
            <w:r w:rsidRPr="004076EF">
              <w:rPr>
                <w:rFonts w:ascii="Arial" w:hAnsi="Arial" w:cs="Arial"/>
                <w:color w:val="000000"/>
                <w:sz w:val="22"/>
                <w:szCs w:val="22"/>
              </w:rPr>
              <w:t>1%</w:t>
            </w:r>
          </w:p>
        </w:tc>
      </w:tr>
    </w:tbl>
    <w:p w:rsidR="0041580C" w:rsidRPr="00C56FFA" w:rsidRDefault="00334EFE" w:rsidP="007772DB">
      <w:pPr>
        <w:spacing w:after="0"/>
        <w:ind w:right="1134"/>
        <w:rPr>
          <w:rFonts w:ascii="Arial" w:hAnsi="Arial" w:cs="Arial"/>
          <w:sz w:val="18"/>
          <w:szCs w:val="24"/>
        </w:rPr>
      </w:pPr>
      <w:r w:rsidRPr="00C56FFA">
        <w:rPr>
          <w:rFonts w:ascii="Arial" w:hAnsi="Arial" w:cs="Arial"/>
          <w:sz w:val="18"/>
          <w:szCs w:val="24"/>
        </w:rPr>
        <w:t xml:space="preserve">Note: </w:t>
      </w:r>
      <w:r w:rsidR="00FA03F8" w:rsidRPr="00C56FFA">
        <w:rPr>
          <w:rFonts w:ascii="Arial" w:hAnsi="Arial" w:cs="Arial"/>
          <w:sz w:val="18"/>
          <w:szCs w:val="24"/>
        </w:rPr>
        <w:t xml:space="preserve">Only the occupations which account for the highest proportion of serious claims </w:t>
      </w:r>
      <w:r w:rsidR="00454675">
        <w:rPr>
          <w:rFonts w:ascii="Arial" w:hAnsi="Arial" w:cs="Arial"/>
          <w:sz w:val="18"/>
          <w:szCs w:val="24"/>
        </w:rPr>
        <w:t>are</w:t>
      </w:r>
      <w:r w:rsidR="00FA03F8" w:rsidRPr="00C56FFA">
        <w:rPr>
          <w:rFonts w:ascii="Arial" w:hAnsi="Arial" w:cs="Arial"/>
          <w:sz w:val="18"/>
          <w:szCs w:val="24"/>
        </w:rPr>
        <w:t xml:space="preserve"> included and therefore the proportions do not add to 100%.</w:t>
      </w:r>
    </w:p>
    <w:p w:rsidR="00EE727D" w:rsidRPr="00EE727D" w:rsidRDefault="00EE727D" w:rsidP="00EE727D">
      <w:pPr>
        <w:rPr>
          <w:rFonts w:ascii="Arial" w:hAnsi="Arial" w:cs="Arial"/>
          <w:b/>
          <w:color w:val="C10A27"/>
          <w:sz w:val="28"/>
          <w:szCs w:val="24"/>
        </w:rPr>
      </w:pPr>
      <w:r w:rsidRPr="00EE727D">
        <w:rPr>
          <w:rFonts w:ascii="Arial" w:hAnsi="Arial" w:cs="Arial"/>
          <w:b/>
          <w:color w:val="C10A27"/>
          <w:sz w:val="28"/>
          <w:szCs w:val="24"/>
        </w:rPr>
        <w:t>Serious claims by mechanism of injury</w:t>
      </w:r>
    </w:p>
    <w:p w:rsidR="00EE727D" w:rsidRPr="004076EF" w:rsidRDefault="00EE727D" w:rsidP="00EE727D">
      <w:pPr>
        <w:spacing w:line="288" w:lineRule="auto"/>
        <w:rPr>
          <w:rFonts w:ascii="Arial" w:hAnsi="Arial" w:cs="Arial"/>
          <w:sz w:val="22"/>
          <w:szCs w:val="22"/>
        </w:rPr>
      </w:pPr>
      <w:r w:rsidRPr="004076EF">
        <w:rPr>
          <w:rFonts w:ascii="Arial" w:hAnsi="Arial" w:cs="Arial"/>
          <w:sz w:val="22"/>
          <w:szCs w:val="22"/>
        </w:rPr>
        <w:t xml:space="preserve">For the Road transport industry, Body stressing was the most common mechanism </w:t>
      </w:r>
      <w:r w:rsidR="00FA03F8">
        <w:rPr>
          <w:rFonts w:ascii="Arial" w:hAnsi="Arial" w:cs="Arial"/>
          <w:sz w:val="22"/>
          <w:szCs w:val="22"/>
        </w:rPr>
        <w:t xml:space="preserve">(or cause) </w:t>
      </w:r>
      <w:r w:rsidRPr="004076EF">
        <w:rPr>
          <w:rFonts w:ascii="Arial" w:hAnsi="Arial" w:cs="Arial"/>
          <w:sz w:val="22"/>
          <w:szCs w:val="22"/>
        </w:rPr>
        <w:t>of injury accounting for 43 per cent of serious claims</w:t>
      </w:r>
      <w:r>
        <w:rPr>
          <w:rFonts w:ascii="Arial" w:hAnsi="Arial" w:cs="Arial"/>
          <w:sz w:val="22"/>
          <w:szCs w:val="22"/>
        </w:rPr>
        <w:t xml:space="preserve"> between 2010-11 and 2014-15</w:t>
      </w:r>
      <w:r w:rsidRPr="004076EF">
        <w:rPr>
          <w:rFonts w:ascii="Arial" w:hAnsi="Arial" w:cs="Arial"/>
          <w:sz w:val="22"/>
          <w:szCs w:val="22"/>
        </w:rPr>
        <w:t xml:space="preserve">. </w:t>
      </w:r>
      <w:r>
        <w:rPr>
          <w:rFonts w:ascii="Arial" w:hAnsi="Arial" w:cs="Arial"/>
          <w:sz w:val="22"/>
          <w:szCs w:val="22"/>
        </w:rPr>
        <w:t>Just under half (</w:t>
      </w:r>
      <w:r w:rsidRPr="004076EF">
        <w:rPr>
          <w:rFonts w:ascii="Arial" w:hAnsi="Arial" w:cs="Arial"/>
          <w:sz w:val="22"/>
          <w:szCs w:val="22"/>
        </w:rPr>
        <w:t>46 per cent</w:t>
      </w:r>
      <w:r>
        <w:rPr>
          <w:rFonts w:ascii="Arial" w:hAnsi="Arial" w:cs="Arial"/>
          <w:sz w:val="22"/>
          <w:szCs w:val="22"/>
        </w:rPr>
        <w:t>)</w:t>
      </w:r>
      <w:r w:rsidRPr="004076EF">
        <w:rPr>
          <w:rFonts w:ascii="Arial" w:hAnsi="Arial" w:cs="Arial"/>
          <w:sz w:val="22"/>
          <w:szCs w:val="22"/>
        </w:rPr>
        <w:t xml:space="preserve"> of the</w:t>
      </w:r>
      <w:r>
        <w:rPr>
          <w:rFonts w:ascii="Arial" w:hAnsi="Arial" w:cs="Arial"/>
          <w:sz w:val="22"/>
          <w:szCs w:val="22"/>
        </w:rPr>
        <w:t>se</w:t>
      </w:r>
      <w:r w:rsidRPr="004076EF">
        <w:rPr>
          <w:rFonts w:ascii="Arial" w:hAnsi="Arial" w:cs="Arial"/>
          <w:sz w:val="22"/>
          <w:szCs w:val="22"/>
        </w:rPr>
        <w:t xml:space="preserve"> serious claims were the result of </w:t>
      </w:r>
      <w:r w:rsidR="00454675">
        <w:rPr>
          <w:rFonts w:ascii="Arial" w:hAnsi="Arial" w:cs="Arial"/>
          <w:sz w:val="22"/>
          <w:szCs w:val="22"/>
        </w:rPr>
        <w:t>M</w:t>
      </w:r>
      <w:r w:rsidRPr="004076EF">
        <w:rPr>
          <w:rFonts w:ascii="Arial" w:hAnsi="Arial" w:cs="Arial"/>
          <w:sz w:val="22"/>
          <w:szCs w:val="22"/>
        </w:rPr>
        <w:t>uscular stress while handling objects other than lifting, carrying or putting down objects</w:t>
      </w:r>
      <w:r w:rsidR="00E56946">
        <w:rPr>
          <w:rFonts w:ascii="Arial" w:hAnsi="Arial" w:cs="Arial"/>
          <w:sz w:val="22"/>
          <w:szCs w:val="22"/>
        </w:rPr>
        <w:t xml:space="preserve"> (e.g. pushing or pulling objects). </w:t>
      </w:r>
      <w:r w:rsidRPr="004076EF">
        <w:rPr>
          <w:rFonts w:ascii="Arial" w:hAnsi="Arial" w:cs="Arial"/>
          <w:sz w:val="22"/>
          <w:szCs w:val="22"/>
        </w:rPr>
        <w:t xml:space="preserve">Falls, trips and slips of a person was the second </w:t>
      </w:r>
      <w:r w:rsidRPr="00AF0125">
        <w:rPr>
          <w:rFonts w:ascii="Arial" w:hAnsi="Arial" w:cs="Arial"/>
          <w:sz w:val="22"/>
          <w:szCs w:val="22"/>
        </w:rPr>
        <w:t xml:space="preserve">most common </w:t>
      </w:r>
      <w:r w:rsidR="00FA03F8" w:rsidRPr="00C56FFA">
        <w:rPr>
          <w:rFonts w:ascii="Arial" w:hAnsi="Arial" w:cs="Arial"/>
          <w:sz w:val="22"/>
          <w:szCs w:val="22"/>
        </w:rPr>
        <w:t xml:space="preserve">cause of </w:t>
      </w:r>
      <w:r w:rsidRPr="00AF0125">
        <w:rPr>
          <w:rFonts w:ascii="Arial" w:hAnsi="Arial" w:cs="Arial"/>
          <w:sz w:val="22"/>
          <w:szCs w:val="22"/>
        </w:rPr>
        <w:t>injury</w:t>
      </w:r>
      <w:r w:rsidRPr="004076EF">
        <w:rPr>
          <w:rFonts w:ascii="Arial" w:hAnsi="Arial" w:cs="Arial"/>
          <w:sz w:val="22"/>
          <w:szCs w:val="22"/>
        </w:rPr>
        <w:t xml:space="preserve"> representing </w:t>
      </w:r>
      <w:r w:rsidR="009B231B">
        <w:rPr>
          <w:rFonts w:ascii="Arial" w:hAnsi="Arial" w:cs="Arial"/>
          <w:sz w:val="22"/>
          <w:szCs w:val="22"/>
        </w:rPr>
        <w:t xml:space="preserve">a further </w:t>
      </w:r>
      <w:r w:rsidRPr="004076EF">
        <w:rPr>
          <w:rFonts w:ascii="Arial" w:hAnsi="Arial" w:cs="Arial"/>
          <w:sz w:val="22"/>
          <w:szCs w:val="22"/>
        </w:rPr>
        <w:t xml:space="preserve">29 per cent of serious claims, with most caused by </w:t>
      </w:r>
      <w:proofErr w:type="gramStart"/>
      <w:r w:rsidR="00454675">
        <w:rPr>
          <w:rFonts w:ascii="Arial" w:hAnsi="Arial" w:cs="Arial"/>
          <w:sz w:val="22"/>
          <w:szCs w:val="22"/>
        </w:rPr>
        <w:t>F</w:t>
      </w:r>
      <w:r w:rsidRPr="004076EF">
        <w:rPr>
          <w:rFonts w:ascii="Arial" w:hAnsi="Arial" w:cs="Arial"/>
          <w:sz w:val="22"/>
          <w:szCs w:val="22"/>
        </w:rPr>
        <w:t>alls</w:t>
      </w:r>
      <w:proofErr w:type="gramEnd"/>
      <w:r w:rsidRPr="004076EF">
        <w:rPr>
          <w:rFonts w:ascii="Arial" w:hAnsi="Arial" w:cs="Arial"/>
          <w:sz w:val="22"/>
          <w:szCs w:val="22"/>
        </w:rPr>
        <w:t xml:space="preserve"> on the same level.  Only around 10</w:t>
      </w:r>
      <w:r w:rsidR="00E56946">
        <w:rPr>
          <w:rFonts w:ascii="Arial" w:hAnsi="Arial" w:cs="Arial"/>
          <w:sz w:val="22"/>
          <w:szCs w:val="22"/>
        </w:rPr>
        <w:t> </w:t>
      </w:r>
      <w:r w:rsidRPr="004076EF">
        <w:rPr>
          <w:rFonts w:ascii="Arial" w:hAnsi="Arial" w:cs="Arial"/>
          <w:sz w:val="22"/>
          <w:szCs w:val="22"/>
        </w:rPr>
        <w:t>per</w:t>
      </w:r>
      <w:r w:rsidR="00E56946">
        <w:rPr>
          <w:rFonts w:ascii="Arial" w:hAnsi="Arial" w:cs="Arial"/>
          <w:sz w:val="22"/>
          <w:szCs w:val="22"/>
        </w:rPr>
        <w:t> </w:t>
      </w:r>
      <w:r w:rsidRPr="004076EF">
        <w:rPr>
          <w:rFonts w:ascii="Arial" w:hAnsi="Arial" w:cs="Arial"/>
          <w:sz w:val="22"/>
          <w:szCs w:val="22"/>
        </w:rPr>
        <w:t xml:space="preserve">cent of </w:t>
      </w:r>
      <w:r w:rsidR="00334EFE">
        <w:rPr>
          <w:rFonts w:ascii="Arial" w:hAnsi="Arial" w:cs="Arial"/>
          <w:sz w:val="22"/>
          <w:szCs w:val="22"/>
        </w:rPr>
        <w:t xml:space="preserve">serious claims </w:t>
      </w:r>
      <w:r w:rsidR="009B231B">
        <w:rPr>
          <w:rFonts w:ascii="Arial" w:hAnsi="Arial" w:cs="Arial"/>
          <w:sz w:val="22"/>
          <w:szCs w:val="22"/>
        </w:rPr>
        <w:t>in the Road transport industry</w:t>
      </w:r>
      <w:r w:rsidRPr="004076EF">
        <w:rPr>
          <w:rFonts w:ascii="Arial" w:hAnsi="Arial" w:cs="Arial"/>
          <w:sz w:val="22"/>
          <w:szCs w:val="22"/>
        </w:rPr>
        <w:t xml:space="preserve"> were as a result of a </w:t>
      </w:r>
      <w:r w:rsidR="00454675">
        <w:rPr>
          <w:rFonts w:ascii="Arial" w:hAnsi="Arial" w:cs="Arial"/>
          <w:sz w:val="22"/>
          <w:szCs w:val="22"/>
        </w:rPr>
        <w:t>V</w:t>
      </w:r>
      <w:r w:rsidRPr="004076EF">
        <w:rPr>
          <w:rFonts w:ascii="Arial" w:hAnsi="Arial" w:cs="Arial"/>
          <w:sz w:val="22"/>
          <w:szCs w:val="22"/>
        </w:rPr>
        <w:t>ehicle accident.</w:t>
      </w:r>
    </w:p>
    <w:p w:rsidR="00EE727D" w:rsidRPr="002F1E7A" w:rsidRDefault="00EE727D" w:rsidP="00EE727D">
      <w:pPr>
        <w:rPr>
          <w:rFonts w:ascii="Arial" w:hAnsi="Arial" w:cs="Arial"/>
          <w:b/>
          <w:noProof/>
          <w:sz w:val="22"/>
          <w:szCs w:val="18"/>
        </w:rPr>
      </w:pPr>
      <w:r w:rsidRPr="002F1E7A">
        <w:rPr>
          <w:rFonts w:ascii="Arial" w:hAnsi="Arial" w:cs="Arial"/>
          <w:b/>
          <w:noProof/>
          <w:sz w:val="22"/>
          <w:szCs w:val="18"/>
        </w:rPr>
        <w:t xml:space="preserve">Table </w:t>
      </w:r>
      <w:r w:rsidR="00554F3C">
        <w:rPr>
          <w:rFonts w:ascii="Arial" w:hAnsi="Arial" w:cs="Arial"/>
          <w:b/>
          <w:noProof/>
          <w:sz w:val="22"/>
          <w:szCs w:val="18"/>
        </w:rPr>
        <w:t>5</w:t>
      </w:r>
      <w:r w:rsidRPr="002F1E7A">
        <w:rPr>
          <w:rFonts w:ascii="Arial" w:hAnsi="Arial" w:cs="Arial"/>
          <w:b/>
          <w:noProof/>
          <w:sz w:val="22"/>
          <w:szCs w:val="18"/>
        </w:rPr>
        <w:t>: Serious claims: percentage by mechanism in the Road t</w:t>
      </w:r>
      <w:r>
        <w:rPr>
          <w:rFonts w:ascii="Arial" w:hAnsi="Arial" w:cs="Arial"/>
          <w:b/>
          <w:noProof/>
          <w:sz w:val="22"/>
          <w:szCs w:val="18"/>
        </w:rPr>
        <w:t>ransport industry, 2010</w:t>
      </w:r>
      <w:r>
        <w:rPr>
          <w:rFonts w:ascii="Arial" w:hAnsi="Arial" w:cs="Arial"/>
          <w:b/>
          <w:noProof/>
          <w:sz w:val="22"/>
          <w:szCs w:val="18"/>
        </w:rPr>
        <w:noBreakHyphen/>
      </w:r>
      <w:r w:rsidR="00454675">
        <w:rPr>
          <w:rFonts w:ascii="Arial" w:hAnsi="Arial" w:cs="Arial"/>
          <w:b/>
          <w:noProof/>
          <w:sz w:val="22"/>
          <w:szCs w:val="18"/>
        </w:rPr>
        <w:t>11 to 2014-15p combined</w:t>
      </w:r>
      <w:r w:rsidRPr="002F1E7A">
        <w:rPr>
          <w:rFonts w:ascii="Arial" w:hAnsi="Arial" w:cs="Arial"/>
          <w:b/>
          <w:noProof/>
          <w:sz w:val="22"/>
          <w:szCs w:val="18"/>
        </w:rPr>
        <w:t xml:space="preserve"> </w:t>
      </w:r>
    </w:p>
    <w:tbl>
      <w:tblPr>
        <w:tblW w:w="9780"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Serious claims: percentage by mechanism in the Road transport industry, 2010 11 to 2014-15p combined. "/>
        <w:tblDescription w:val="Table 5 shows that Body stressing was the most common mechanism (or cause) of injury accounting for 43 per cent of serious claims between 2010-11 and 2014-15, followed by Falls, trips and slips of a person (29 per cent). Only around 10 per cent of serious claims were as a result of a vehicle accident."/>
      </w:tblPr>
      <w:tblGrid>
        <w:gridCol w:w="4480"/>
        <w:gridCol w:w="1360"/>
        <w:gridCol w:w="1380"/>
        <w:gridCol w:w="1320"/>
        <w:gridCol w:w="1240"/>
      </w:tblGrid>
      <w:tr w:rsidR="00EE727D" w:rsidRPr="004076EF" w:rsidTr="00B9194B">
        <w:trPr>
          <w:trHeight w:val="525"/>
        </w:trPr>
        <w:tc>
          <w:tcPr>
            <w:tcW w:w="4480" w:type="dxa"/>
            <w:shd w:val="clear" w:color="auto" w:fill="AF1E2D"/>
            <w:noWrap/>
            <w:vAlign w:val="center"/>
            <w:hideMark/>
          </w:tcPr>
          <w:p w:rsidR="00EE727D" w:rsidRPr="00662D0B" w:rsidRDefault="00EE727D" w:rsidP="00B82799">
            <w:pPr>
              <w:spacing w:before="0" w:after="0"/>
              <w:rPr>
                <w:rFonts w:ascii="Arial" w:hAnsi="Arial" w:cs="Arial"/>
                <w:b/>
                <w:bCs/>
                <w:color w:val="FFFFFF"/>
              </w:rPr>
            </w:pPr>
            <w:r w:rsidRPr="00662D0B">
              <w:rPr>
                <w:rFonts w:ascii="Arial" w:hAnsi="Arial" w:cs="Arial"/>
                <w:b/>
                <w:bCs/>
                <w:color w:val="FFFFFF"/>
              </w:rPr>
              <w:t>Mechanism of injury</w:t>
            </w:r>
          </w:p>
        </w:tc>
        <w:tc>
          <w:tcPr>
            <w:tcW w:w="1360" w:type="dxa"/>
            <w:shd w:val="clear" w:color="auto" w:fill="AF1E2D"/>
            <w:vAlign w:val="center"/>
            <w:hideMark/>
          </w:tcPr>
          <w:p w:rsidR="00EE727D" w:rsidRPr="00662D0B" w:rsidRDefault="00EE727D" w:rsidP="00B82799">
            <w:pPr>
              <w:spacing w:before="0" w:after="0"/>
              <w:jc w:val="center"/>
              <w:rPr>
                <w:rFonts w:ascii="Arial" w:hAnsi="Arial" w:cs="Arial"/>
                <w:b/>
                <w:bCs/>
                <w:color w:val="FFFFFF"/>
              </w:rPr>
            </w:pPr>
            <w:r w:rsidRPr="00662D0B">
              <w:rPr>
                <w:rFonts w:ascii="Arial" w:hAnsi="Arial" w:cs="Arial"/>
                <w:b/>
                <w:bCs/>
                <w:color w:val="FFFFFF"/>
              </w:rPr>
              <w:t>Road Freight</w:t>
            </w:r>
          </w:p>
        </w:tc>
        <w:tc>
          <w:tcPr>
            <w:tcW w:w="1380" w:type="dxa"/>
            <w:shd w:val="clear" w:color="auto" w:fill="AF1E2D"/>
            <w:vAlign w:val="center"/>
            <w:hideMark/>
          </w:tcPr>
          <w:p w:rsidR="00EE727D" w:rsidRPr="00662D0B" w:rsidRDefault="00EE727D" w:rsidP="00B82799">
            <w:pPr>
              <w:spacing w:before="0" w:after="0"/>
              <w:jc w:val="center"/>
              <w:rPr>
                <w:rFonts w:ascii="Arial" w:hAnsi="Arial" w:cs="Arial"/>
                <w:b/>
                <w:bCs/>
                <w:color w:val="FFFFFF"/>
              </w:rPr>
            </w:pPr>
            <w:r w:rsidRPr="00662D0B">
              <w:rPr>
                <w:rFonts w:ascii="Arial" w:hAnsi="Arial" w:cs="Arial"/>
                <w:b/>
                <w:bCs/>
                <w:color w:val="FFFFFF"/>
              </w:rPr>
              <w:t>Road Passenger</w:t>
            </w:r>
          </w:p>
        </w:tc>
        <w:tc>
          <w:tcPr>
            <w:tcW w:w="1320" w:type="dxa"/>
            <w:shd w:val="clear" w:color="auto" w:fill="AF1E2D"/>
            <w:vAlign w:val="center"/>
            <w:hideMark/>
          </w:tcPr>
          <w:p w:rsidR="00EE727D" w:rsidRPr="00662D0B" w:rsidRDefault="00EE727D" w:rsidP="00B82799">
            <w:pPr>
              <w:spacing w:before="0" w:after="0"/>
              <w:jc w:val="center"/>
              <w:rPr>
                <w:rFonts w:ascii="Arial" w:hAnsi="Arial" w:cs="Arial"/>
                <w:b/>
                <w:bCs/>
                <w:color w:val="FFFFFF"/>
              </w:rPr>
            </w:pPr>
            <w:r w:rsidRPr="00662D0B">
              <w:rPr>
                <w:rFonts w:ascii="Arial" w:hAnsi="Arial" w:cs="Arial"/>
                <w:b/>
                <w:bCs/>
                <w:color w:val="FFFFFF"/>
              </w:rPr>
              <w:t>Total Road Transport</w:t>
            </w:r>
          </w:p>
        </w:tc>
        <w:tc>
          <w:tcPr>
            <w:tcW w:w="1240" w:type="dxa"/>
            <w:shd w:val="clear" w:color="auto" w:fill="AF1E2D"/>
            <w:vAlign w:val="center"/>
            <w:hideMark/>
          </w:tcPr>
          <w:p w:rsidR="00EE727D" w:rsidRPr="00662D0B" w:rsidRDefault="00EE727D" w:rsidP="00B82799">
            <w:pPr>
              <w:spacing w:before="0" w:after="0"/>
              <w:jc w:val="center"/>
              <w:rPr>
                <w:rFonts w:ascii="Arial" w:hAnsi="Arial" w:cs="Arial"/>
                <w:b/>
                <w:bCs/>
                <w:color w:val="FFFFFF"/>
              </w:rPr>
            </w:pPr>
            <w:r w:rsidRPr="00662D0B">
              <w:rPr>
                <w:rFonts w:ascii="Arial" w:hAnsi="Arial" w:cs="Arial"/>
                <w:b/>
                <w:bCs/>
                <w:color w:val="FFFFFF"/>
              </w:rPr>
              <w:t>Total all industries</w:t>
            </w:r>
          </w:p>
        </w:tc>
      </w:tr>
      <w:tr w:rsidR="00EE727D" w:rsidRPr="0097571C" w:rsidTr="00B9194B">
        <w:trPr>
          <w:trHeight w:val="300"/>
        </w:trPr>
        <w:tc>
          <w:tcPr>
            <w:tcW w:w="4480" w:type="dxa"/>
            <w:shd w:val="clear" w:color="auto" w:fill="808080"/>
            <w:noWrap/>
            <w:vAlign w:val="bottom"/>
            <w:hideMark/>
          </w:tcPr>
          <w:p w:rsidR="00EE727D" w:rsidRPr="0097571C" w:rsidRDefault="00EE727D" w:rsidP="00B9194B">
            <w:pPr>
              <w:spacing w:before="0" w:after="0"/>
              <w:rPr>
                <w:rFonts w:ascii="Arial" w:hAnsi="Arial" w:cs="Arial"/>
                <w:b/>
                <w:bCs/>
                <w:color w:val="FFFFFF" w:themeColor="background1"/>
              </w:rPr>
            </w:pPr>
            <w:r w:rsidRPr="0097571C">
              <w:rPr>
                <w:rFonts w:ascii="Arial" w:hAnsi="Arial" w:cs="Arial"/>
                <w:b/>
                <w:bCs/>
                <w:color w:val="FFFFFF" w:themeColor="background1"/>
              </w:rPr>
              <w:t>Body stressing</w:t>
            </w:r>
          </w:p>
        </w:tc>
        <w:tc>
          <w:tcPr>
            <w:tcW w:w="1360" w:type="dxa"/>
            <w:shd w:val="clear" w:color="auto" w:fill="808080"/>
            <w:noWrap/>
            <w:vAlign w:val="bottom"/>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43%</w:t>
            </w:r>
          </w:p>
        </w:tc>
        <w:tc>
          <w:tcPr>
            <w:tcW w:w="1380" w:type="dxa"/>
            <w:shd w:val="clear" w:color="auto" w:fill="808080"/>
            <w:noWrap/>
            <w:vAlign w:val="bottom"/>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44%</w:t>
            </w:r>
          </w:p>
        </w:tc>
        <w:tc>
          <w:tcPr>
            <w:tcW w:w="1320" w:type="dxa"/>
            <w:shd w:val="clear" w:color="auto" w:fill="808080"/>
            <w:noWrap/>
            <w:vAlign w:val="bottom"/>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43%</w:t>
            </w:r>
          </w:p>
        </w:tc>
        <w:tc>
          <w:tcPr>
            <w:tcW w:w="1240" w:type="dxa"/>
            <w:shd w:val="clear" w:color="auto" w:fill="808080"/>
            <w:noWrap/>
            <w:vAlign w:val="bottom"/>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42%</w:t>
            </w:r>
          </w:p>
        </w:tc>
      </w:tr>
      <w:tr w:rsidR="00EE727D" w:rsidRPr="00662D0B" w:rsidTr="00F157E2">
        <w:trPr>
          <w:trHeight w:val="525"/>
        </w:trPr>
        <w:tc>
          <w:tcPr>
            <w:tcW w:w="4480" w:type="dxa"/>
            <w:shd w:val="clear" w:color="auto" w:fill="auto"/>
            <w:vAlign w:val="center"/>
            <w:hideMark/>
          </w:tcPr>
          <w:p w:rsidR="00EE727D" w:rsidRPr="00662D0B" w:rsidRDefault="00EE727D" w:rsidP="00B82799">
            <w:pPr>
              <w:spacing w:before="0" w:after="0"/>
              <w:ind w:firstLineChars="100" w:firstLine="200"/>
              <w:rPr>
                <w:rFonts w:ascii="Arial" w:hAnsi="Arial" w:cs="Arial"/>
                <w:i/>
                <w:iCs/>
                <w:color w:val="000000"/>
              </w:rPr>
            </w:pPr>
            <w:r w:rsidRPr="00662D0B">
              <w:rPr>
                <w:rFonts w:ascii="Arial" w:hAnsi="Arial" w:cs="Arial"/>
                <w:i/>
                <w:iCs/>
                <w:color w:val="000000"/>
              </w:rPr>
              <w:t>Muscular stress while handling objects other than lifting, carrying or putt</w:t>
            </w:r>
            <w:r w:rsidR="008872AF">
              <w:rPr>
                <w:rFonts w:ascii="Arial" w:hAnsi="Arial" w:cs="Arial"/>
                <w:i/>
                <w:iCs/>
                <w:color w:val="000000"/>
              </w:rPr>
              <w:t>ing down</w:t>
            </w:r>
          </w:p>
        </w:tc>
        <w:tc>
          <w:tcPr>
            <w:tcW w:w="136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45%</w:t>
            </w:r>
          </w:p>
        </w:tc>
        <w:tc>
          <w:tcPr>
            <w:tcW w:w="138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51%</w:t>
            </w:r>
          </w:p>
        </w:tc>
        <w:tc>
          <w:tcPr>
            <w:tcW w:w="132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46%</w:t>
            </w:r>
          </w:p>
        </w:tc>
        <w:tc>
          <w:tcPr>
            <w:tcW w:w="124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39%</w:t>
            </w:r>
          </w:p>
        </w:tc>
      </w:tr>
      <w:tr w:rsidR="00EE727D" w:rsidRPr="004076EF" w:rsidTr="00F157E2">
        <w:trPr>
          <w:trHeight w:val="525"/>
        </w:trPr>
        <w:tc>
          <w:tcPr>
            <w:tcW w:w="4480" w:type="dxa"/>
            <w:shd w:val="clear" w:color="auto" w:fill="F2DBDB" w:themeFill="accent2" w:themeFillTint="33"/>
            <w:vAlign w:val="center"/>
            <w:hideMark/>
          </w:tcPr>
          <w:p w:rsidR="00EE727D" w:rsidRPr="00662D0B" w:rsidRDefault="00EE727D" w:rsidP="00B82799">
            <w:pPr>
              <w:spacing w:before="0" w:after="0"/>
              <w:ind w:firstLineChars="100" w:firstLine="200"/>
              <w:rPr>
                <w:rFonts w:ascii="Arial" w:hAnsi="Arial" w:cs="Arial"/>
                <w:i/>
                <w:iCs/>
                <w:color w:val="000000"/>
              </w:rPr>
            </w:pPr>
            <w:r w:rsidRPr="00662D0B">
              <w:rPr>
                <w:rFonts w:ascii="Arial" w:hAnsi="Arial" w:cs="Arial"/>
                <w:i/>
                <w:iCs/>
                <w:color w:val="000000"/>
              </w:rPr>
              <w:t>Muscular stress while lifting, carrying, or putting down objects</w:t>
            </w:r>
          </w:p>
        </w:tc>
        <w:tc>
          <w:tcPr>
            <w:tcW w:w="136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44%</w:t>
            </w:r>
          </w:p>
        </w:tc>
        <w:tc>
          <w:tcPr>
            <w:tcW w:w="138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25%</w:t>
            </w:r>
          </w:p>
        </w:tc>
        <w:tc>
          <w:tcPr>
            <w:tcW w:w="132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41%</w:t>
            </w:r>
          </w:p>
        </w:tc>
        <w:tc>
          <w:tcPr>
            <w:tcW w:w="124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41%</w:t>
            </w:r>
          </w:p>
        </w:tc>
      </w:tr>
      <w:tr w:rsidR="00EE727D" w:rsidRPr="0097571C" w:rsidTr="00B9194B">
        <w:trPr>
          <w:trHeight w:val="300"/>
        </w:trPr>
        <w:tc>
          <w:tcPr>
            <w:tcW w:w="4480" w:type="dxa"/>
            <w:shd w:val="clear" w:color="auto" w:fill="808080"/>
            <w:noWrap/>
            <w:vAlign w:val="center"/>
            <w:hideMark/>
          </w:tcPr>
          <w:p w:rsidR="00EE727D" w:rsidRPr="0097571C" w:rsidRDefault="00EE727D" w:rsidP="00B82799">
            <w:pPr>
              <w:spacing w:before="0" w:after="0"/>
              <w:rPr>
                <w:rFonts w:ascii="Arial" w:hAnsi="Arial" w:cs="Arial"/>
                <w:b/>
                <w:bCs/>
                <w:color w:val="FFFFFF" w:themeColor="background1"/>
              </w:rPr>
            </w:pPr>
            <w:r w:rsidRPr="0097571C">
              <w:rPr>
                <w:rFonts w:ascii="Arial" w:hAnsi="Arial" w:cs="Arial"/>
                <w:b/>
                <w:bCs/>
                <w:color w:val="FFFFFF" w:themeColor="background1"/>
              </w:rPr>
              <w:t>Falls, trips and slips of a person</w:t>
            </w:r>
          </w:p>
        </w:tc>
        <w:tc>
          <w:tcPr>
            <w:tcW w:w="136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30%</w:t>
            </w:r>
          </w:p>
        </w:tc>
        <w:tc>
          <w:tcPr>
            <w:tcW w:w="138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24%</w:t>
            </w:r>
          </w:p>
        </w:tc>
        <w:tc>
          <w:tcPr>
            <w:tcW w:w="132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29%</w:t>
            </w:r>
          </w:p>
        </w:tc>
        <w:tc>
          <w:tcPr>
            <w:tcW w:w="124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22%</w:t>
            </w:r>
          </w:p>
        </w:tc>
      </w:tr>
      <w:tr w:rsidR="00EE727D" w:rsidRPr="00662D0B" w:rsidTr="00F157E2">
        <w:trPr>
          <w:trHeight w:val="300"/>
        </w:trPr>
        <w:tc>
          <w:tcPr>
            <w:tcW w:w="4480" w:type="dxa"/>
            <w:shd w:val="clear" w:color="auto" w:fill="auto"/>
            <w:noWrap/>
            <w:vAlign w:val="center"/>
            <w:hideMark/>
          </w:tcPr>
          <w:p w:rsidR="00EE727D" w:rsidRPr="00662D0B" w:rsidRDefault="00EE727D" w:rsidP="00B82799">
            <w:pPr>
              <w:spacing w:before="0" w:after="0"/>
              <w:ind w:firstLineChars="100" w:firstLine="200"/>
              <w:rPr>
                <w:rFonts w:ascii="Arial" w:hAnsi="Arial" w:cs="Arial"/>
                <w:i/>
                <w:iCs/>
                <w:color w:val="000000"/>
              </w:rPr>
            </w:pPr>
            <w:r w:rsidRPr="00662D0B">
              <w:rPr>
                <w:rFonts w:ascii="Arial" w:hAnsi="Arial" w:cs="Arial"/>
                <w:i/>
                <w:iCs/>
                <w:color w:val="000000"/>
              </w:rPr>
              <w:t>Falls on the same level</w:t>
            </w:r>
          </w:p>
        </w:tc>
        <w:tc>
          <w:tcPr>
            <w:tcW w:w="136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47%</w:t>
            </w:r>
          </w:p>
        </w:tc>
        <w:tc>
          <w:tcPr>
            <w:tcW w:w="138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66%</w:t>
            </w:r>
          </w:p>
        </w:tc>
        <w:tc>
          <w:tcPr>
            <w:tcW w:w="132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50%</w:t>
            </w:r>
          </w:p>
        </w:tc>
        <w:tc>
          <w:tcPr>
            <w:tcW w:w="124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64%</w:t>
            </w:r>
          </w:p>
        </w:tc>
      </w:tr>
      <w:tr w:rsidR="00EE727D" w:rsidRPr="004076EF" w:rsidTr="00F157E2">
        <w:trPr>
          <w:trHeight w:val="300"/>
        </w:trPr>
        <w:tc>
          <w:tcPr>
            <w:tcW w:w="4480" w:type="dxa"/>
            <w:shd w:val="clear" w:color="auto" w:fill="F2DBDB" w:themeFill="accent2" w:themeFillTint="33"/>
            <w:vAlign w:val="center"/>
            <w:hideMark/>
          </w:tcPr>
          <w:p w:rsidR="00EE727D" w:rsidRPr="00662D0B" w:rsidRDefault="00EE727D" w:rsidP="00B82799">
            <w:pPr>
              <w:spacing w:before="0" w:after="0"/>
              <w:ind w:firstLineChars="100" w:firstLine="200"/>
              <w:rPr>
                <w:rFonts w:ascii="Arial" w:hAnsi="Arial" w:cs="Arial"/>
                <w:i/>
                <w:iCs/>
                <w:color w:val="000000"/>
              </w:rPr>
            </w:pPr>
            <w:r w:rsidRPr="00662D0B">
              <w:rPr>
                <w:rFonts w:ascii="Arial" w:hAnsi="Arial" w:cs="Arial"/>
                <w:i/>
                <w:iCs/>
                <w:color w:val="000000"/>
              </w:rPr>
              <w:t>Falls from a height</w:t>
            </w:r>
          </w:p>
        </w:tc>
        <w:tc>
          <w:tcPr>
            <w:tcW w:w="136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45%</w:t>
            </w:r>
          </w:p>
        </w:tc>
        <w:tc>
          <w:tcPr>
            <w:tcW w:w="138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21%</w:t>
            </w:r>
          </w:p>
        </w:tc>
        <w:tc>
          <w:tcPr>
            <w:tcW w:w="132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42%</w:t>
            </w:r>
          </w:p>
        </w:tc>
        <w:tc>
          <w:tcPr>
            <w:tcW w:w="124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27%</w:t>
            </w:r>
          </w:p>
        </w:tc>
      </w:tr>
      <w:tr w:rsidR="00EE727D" w:rsidRPr="0097571C" w:rsidTr="00B9194B">
        <w:trPr>
          <w:trHeight w:val="300"/>
        </w:trPr>
        <w:tc>
          <w:tcPr>
            <w:tcW w:w="4480" w:type="dxa"/>
            <w:shd w:val="clear" w:color="auto" w:fill="808080"/>
            <w:noWrap/>
            <w:vAlign w:val="center"/>
            <w:hideMark/>
          </w:tcPr>
          <w:p w:rsidR="00EE727D" w:rsidRPr="0097571C" w:rsidRDefault="00EE727D" w:rsidP="00B82799">
            <w:pPr>
              <w:spacing w:before="0" w:after="0"/>
              <w:rPr>
                <w:rFonts w:ascii="Arial" w:hAnsi="Arial" w:cs="Arial"/>
                <w:b/>
                <w:bCs/>
                <w:color w:val="FFFFFF" w:themeColor="background1"/>
              </w:rPr>
            </w:pPr>
            <w:r w:rsidRPr="0097571C">
              <w:rPr>
                <w:rFonts w:ascii="Arial" w:hAnsi="Arial" w:cs="Arial"/>
                <w:b/>
                <w:bCs/>
                <w:color w:val="FFFFFF" w:themeColor="background1"/>
              </w:rPr>
              <w:t>Being hit by moving objects</w:t>
            </w:r>
          </w:p>
        </w:tc>
        <w:tc>
          <w:tcPr>
            <w:tcW w:w="136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16%</w:t>
            </w:r>
          </w:p>
        </w:tc>
        <w:tc>
          <w:tcPr>
            <w:tcW w:w="138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14%</w:t>
            </w:r>
          </w:p>
        </w:tc>
        <w:tc>
          <w:tcPr>
            <w:tcW w:w="132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16%</w:t>
            </w:r>
          </w:p>
        </w:tc>
        <w:tc>
          <w:tcPr>
            <w:tcW w:w="124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14%</w:t>
            </w:r>
          </w:p>
        </w:tc>
      </w:tr>
      <w:tr w:rsidR="00EE727D" w:rsidRPr="00662D0B" w:rsidTr="00F157E2">
        <w:trPr>
          <w:trHeight w:val="300"/>
        </w:trPr>
        <w:tc>
          <w:tcPr>
            <w:tcW w:w="4480" w:type="dxa"/>
            <w:shd w:val="clear" w:color="auto" w:fill="auto"/>
            <w:vAlign w:val="center"/>
            <w:hideMark/>
          </w:tcPr>
          <w:p w:rsidR="00EE727D" w:rsidRPr="00662D0B" w:rsidRDefault="00EE727D" w:rsidP="00B82799">
            <w:pPr>
              <w:spacing w:before="0" w:after="0"/>
              <w:ind w:firstLineChars="100" w:firstLine="200"/>
              <w:rPr>
                <w:rFonts w:ascii="Arial" w:hAnsi="Arial" w:cs="Arial"/>
                <w:i/>
                <w:iCs/>
                <w:color w:val="000000"/>
              </w:rPr>
            </w:pPr>
            <w:r w:rsidRPr="00662D0B">
              <w:rPr>
                <w:rFonts w:ascii="Arial" w:hAnsi="Arial" w:cs="Arial"/>
                <w:i/>
                <w:iCs/>
                <w:color w:val="000000"/>
              </w:rPr>
              <w:t>Being hit by moving or flying objects</w:t>
            </w:r>
          </w:p>
        </w:tc>
        <w:tc>
          <w:tcPr>
            <w:tcW w:w="136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34%</w:t>
            </w:r>
          </w:p>
        </w:tc>
        <w:tc>
          <w:tcPr>
            <w:tcW w:w="138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20%</w:t>
            </w:r>
          </w:p>
        </w:tc>
        <w:tc>
          <w:tcPr>
            <w:tcW w:w="132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32%</w:t>
            </w:r>
          </w:p>
        </w:tc>
        <w:tc>
          <w:tcPr>
            <w:tcW w:w="124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33%</w:t>
            </w:r>
          </w:p>
        </w:tc>
      </w:tr>
      <w:tr w:rsidR="00EE727D" w:rsidRPr="004076EF" w:rsidTr="00F157E2">
        <w:trPr>
          <w:trHeight w:val="300"/>
        </w:trPr>
        <w:tc>
          <w:tcPr>
            <w:tcW w:w="4480" w:type="dxa"/>
            <w:shd w:val="clear" w:color="auto" w:fill="F2DBDB" w:themeFill="accent2" w:themeFillTint="33"/>
            <w:vAlign w:val="center"/>
            <w:hideMark/>
          </w:tcPr>
          <w:p w:rsidR="00EE727D" w:rsidRPr="00662D0B" w:rsidRDefault="00EE727D" w:rsidP="00B82799">
            <w:pPr>
              <w:spacing w:before="0" w:after="0"/>
              <w:ind w:firstLineChars="100" w:firstLine="200"/>
              <w:rPr>
                <w:rFonts w:ascii="Arial" w:hAnsi="Arial" w:cs="Arial"/>
                <w:i/>
                <w:iCs/>
                <w:color w:val="000000"/>
              </w:rPr>
            </w:pPr>
            <w:r w:rsidRPr="00662D0B">
              <w:rPr>
                <w:rFonts w:ascii="Arial" w:hAnsi="Arial" w:cs="Arial"/>
                <w:i/>
                <w:iCs/>
                <w:color w:val="000000"/>
              </w:rPr>
              <w:t>Being hit by falling objects</w:t>
            </w:r>
          </w:p>
        </w:tc>
        <w:tc>
          <w:tcPr>
            <w:tcW w:w="136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30%</w:t>
            </w:r>
          </w:p>
        </w:tc>
        <w:tc>
          <w:tcPr>
            <w:tcW w:w="138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10%</w:t>
            </w:r>
          </w:p>
        </w:tc>
        <w:tc>
          <w:tcPr>
            <w:tcW w:w="132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27%</w:t>
            </w:r>
          </w:p>
        </w:tc>
        <w:tc>
          <w:tcPr>
            <w:tcW w:w="124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22%</w:t>
            </w:r>
          </w:p>
        </w:tc>
      </w:tr>
      <w:tr w:rsidR="00EE727D" w:rsidRPr="0097571C" w:rsidTr="00B9194B">
        <w:trPr>
          <w:trHeight w:val="300"/>
        </w:trPr>
        <w:tc>
          <w:tcPr>
            <w:tcW w:w="4480" w:type="dxa"/>
            <w:shd w:val="clear" w:color="auto" w:fill="808080"/>
            <w:noWrap/>
            <w:vAlign w:val="center"/>
            <w:hideMark/>
          </w:tcPr>
          <w:p w:rsidR="00EE727D" w:rsidRPr="0097571C" w:rsidRDefault="00EE727D" w:rsidP="00B82799">
            <w:pPr>
              <w:spacing w:before="0" w:after="0"/>
              <w:rPr>
                <w:rFonts w:ascii="Arial" w:hAnsi="Arial" w:cs="Arial"/>
                <w:b/>
                <w:bCs/>
                <w:color w:val="FFFFFF" w:themeColor="background1"/>
              </w:rPr>
            </w:pPr>
            <w:r w:rsidRPr="0097571C">
              <w:rPr>
                <w:rFonts w:ascii="Arial" w:hAnsi="Arial" w:cs="Arial"/>
                <w:b/>
                <w:bCs/>
                <w:color w:val="FFFFFF" w:themeColor="background1"/>
              </w:rPr>
              <w:t>Vehicle incidents and other</w:t>
            </w:r>
          </w:p>
        </w:tc>
        <w:tc>
          <w:tcPr>
            <w:tcW w:w="136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11%</w:t>
            </w:r>
          </w:p>
        </w:tc>
        <w:tc>
          <w:tcPr>
            <w:tcW w:w="138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18%</w:t>
            </w:r>
          </w:p>
        </w:tc>
        <w:tc>
          <w:tcPr>
            <w:tcW w:w="132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13%</w:t>
            </w:r>
          </w:p>
        </w:tc>
        <w:tc>
          <w:tcPr>
            <w:tcW w:w="1240" w:type="dxa"/>
            <w:shd w:val="clear" w:color="auto" w:fill="808080"/>
            <w:noWrap/>
            <w:vAlign w:val="center"/>
            <w:hideMark/>
          </w:tcPr>
          <w:p w:rsidR="00EE727D" w:rsidRPr="0097571C" w:rsidRDefault="00EE727D" w:rsidP="00B82799">
            <w:pPr>
              <w:spacing w:before="0" w:after="0"/>
              <w:jc w:val="center"/>
              <w:rPr>
                <w:rFonts w:ascii="Arial" w:hAnsi="Arial" w:cs="Arial"/>
                <w:b/>
                <w:bCs/>
                <w:color w:val="FFFFFF" w:themeColor="background1"/>
              </w:rPr>
            </w:pPr>
            <w:r w:rsidRPr="0097571C">
              <w:rPr>
                <w:rFonts w:ascii="Arial" w:hAnsi="Arial" w:cs="Arial"/>
                <w:b/>
                <w:bCs/>
                <w:color w:val="FFFFFF" w:themeColor="background1"/>
              </w:rPr>
              <w:t>6%</w:t>
            </w:r>
          </w:p>
        </w:tc>
      </w:tr>
      <w:tr w:rsidR="00EE727D" w:rsidRPr="00662D0B" w:rsidTr="00F157E2">
        <w:trPr>
          <w:trHeight w:val="300"/>
        </w:trPr>
        <w:tc>
          <w:tcPr>
            <w:tcW w:w="4480" w:type="dxa"/>
            <w:shd w:val="clear" w:color="auto" w:fill="auto"/>
            <w:vAlign w:val="center"/>
            <w:hideMark/>
          </w:tcPr>
          <w:p w:rsidR="00EE727D" w:rsidRPr="00662D0B" w:rsidRDefault="00EE727D" w:rsidP="00B82799">
            <w:pPr>
              <w:spacing w:before="0" w:after="0"/>
              <w:ind w:firstLineChars="100" w:firstLine="200"/>
              <w:rPr>
                <w:rFonts w:ascii="Arial" w:hAnsi="Arial" w:cs="Arial"/>
                <w:i/>
                <w:iCs/>
                <w:color w:val="000000"/>
              </w:rPr>
            </w:pPr>
            <w:r w:rsidRPr="00662D0B">
              <w:rPr>
                <w:rFonts w:ascii="Arial" w:hAnsi="Arial" w:cs="Arial"/>
                <w:i/>
                <w:iCs/>
                <w:color w:val="000000"/>
              </w:rPr>
              <w:t>Vehicle accident</w:t>
            </w:r>
          </w:p>
        </w:tc>
        <w:tc>
          <w:tcPr>
            <w:tcW w:w="136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69%</w:t>
            </w:r>
          </w:p>
        </w:tc>
        <w:tc>
          <w:tcPr>
            <w:tcW w:w="138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76%</w:t>
            </w:r>
          </w:p>
        </w:tc>
        <w:tc>
          <w:tcPr>
            <w:tcW w:w="132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71%</w:t>
            </w:r>
          </w:p>
        </w:tc>
        <w:tc>
          <w:tcPr>
            <w:tcW w:w="1240" w:type="dxa"/>
            <w:shd w:val="clear" w:color="auto" w:fill="auto"/>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39%</w:t>
            </w:r>
          </w:p>
        </w:tc>
      </w:tr>
      <w:tr w:rsidR="00EE727D" w:rsidRPr="004076EF" w:rsidTr="00F157E2">
        <w:trPr>
          <w:trHeight w:val="300"/>
        </w:trPr>
        <w:tc>
          <w:tcPr>
            <w:tcW w:w="4480" w:type="dxa"/>
            <w:shd w:val="clear" w:color="auto" w:fill="F2DBDB" w:themeFill="accent2" w:themeFillTint="33"/>
            <w:vAlign w:val="center"/>
            <w:hideMark/>
          </w:tcPr>
          <w:p w:rsidR="00EE727D" w:rsidRPr="00662D0B" w:rsidRDefault="00EE727D" w:rsidP="00B82799">
            <w:pPr>
              <w:spacing w:before="0" w:after="0"/>
              <w:ind w:firstLineChars="100" w:firstLine="200"/>
              <w:rPr>
                <w:rFonts w:ascii="Arial" w:hAnsi="Arial" w:cs="Arial"/>
                <w:i/>
                <w:iCs/>
                <w:color w:val="000000"/>
              </w:rPr>
            </w:pPr>
            <w:r w:rsidRPr="00662D0B">
              <w:rPr>
                <w:rFonts w:ascii="Arial" w:hAnsi="Arial" w:cs="Arial"/>
                <w:i/>
                <w:iCs/>
                <w:color w:val="000000"/>
              </w:rPr>
              <w:t>Unspecified mechanisms of incident</w:t>
            </w:r>
          </w:p>
        </w:tc>
        <w:tc>
          <w:tcPr>
            <w:tcW w:w="136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20%</w:t>
            </w:r>
          </w:p>
        </w:tc>
        <w:tc>
          <w:tcPr>
            <w:tcW w:w="138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16%</w:t>
            </w:r>
          </w:p>
        </w:tc>
        <w:tc>
          <w:tcPr>
            <w:tcW w:w="132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19%</w:t>
            </w:r>
          </w:p>
        </w:tc>
        <w:tc>
          <w:tcPr>
            <w:tcW w:w="1240" w:type="dxa"/>
            <w:shd w:val="clear" w:color="auto" w:fill="F2DBDB" w:themeFill="accent2" w:themeFillTint="33"/>
            <w:noWrap/>
            <w:vAlign w:val="center"/>
            <w:hideMark/>
          </w:tcPr>
          <w:p w:rsidR="00EE727D" w:rsidRPr="00662D0B" w:rsidRDefault="00EE727D" w:rsidP="00B82799">
            <w:pPr>
              <w:spacing w:before="0" w:after="0"/>
              <w:jc w:val="center"/>
              <w:rPr>
                <w:rFonts w:ascii="Arial" w:hAnsi="Arial" w:cs="Arial"/>
                <w:i/>
                <w:iCs/>
                <w:color w:val="000000"/>
              </w:rPr>
            </w:pPr>
            <w:r w:rsidRPr="00662D0B">
              <w:rPr>
                <w:rFonts w:ascii="Arial" w:hAnsi="Arial" w:cs="Arial"/>
                <w:i/>
                <w:iCs/>
                <w:color w:val="000000"/>
              </w:rPr>
              <w:t>42%</w:t>
            </w:r>
          </w:p>
        </w:tc>
      </w:tr>
      <w:tr w:rsidR="00EE727D" w:rsidRPr="004076EF" w:rsidTr="00B9194B">
        <w:trPr>
          <w:trHeight w:val="300"/>
        </w:trPr>
        <w:tc>
          <w:tcPr>
            <w:tcW w:w="4480" w:type="dxa"/>
            <w:shd w:val="clear" w:color="auto" w:fill="AF1E2D"/>
            <w:noWrap/>
            <w:vAlign w:val="bottom"/>
            <w:hideMark/>
          </w:tcPr>
          <w:p w:rsidR="00EE727D" w:rsidRPr="00662D0B" w:rsidRDefault="00EE727D" w:rsidP="00B82799">
            <w:pPr>
              <w:spacing w:before="0" w:after="0"/>
              <w:rPr>
                <w:rFonts w:ascii="Arial" w:hAnsi="Arial" w:cs="Arial"/>
                <w:b/>
                <w:bCs/>
                <w:color w:val="FFFFFF"/>
              </w:rPr>
            </w:pPr>
            <w:r w:rsidRPr="00662D0B">
              <w:rPr>
                <w:rFonts w:ascii="Arial" w:hAnsi="Arial" w:cs="Arial"/>
                <w:b/>
                <w:bCs/>
                <w:color w:val="FFFFFF"/>
              </w:rPr>
              <w:t>Total (all mechanisms)</w:t>
            </w:r>
          </w:p>
        </w:tc>
        <w:tc>
          <w:tcPr>
            <w:tcW w:w="1360" w:type="dxa"/>
            <w:shd w:val="clear" w:color="auto" w:fill="AF1E2D"/>
            <w:noWrap/>
            <w:vAlign w:val="bottom"/>
            <w:hideMark/>
          </w:tcPr>
          <w:p w:rsidR="00EE727D" w:rsidRPr="00662D0B" w:rsidRDefault="00EE727D" w:rsidP="00B82799">
            <w:pPr>
              <w:spacing w:before="0" w:after="0"/>
              <w:jc w:val="center"/>
              <w:rPr>
                <w:rFonts w:ascii="Arial" w:hAnsi="Arial" w:cs="Arial"/>
                <w:b/>
                <w:bCs/>
                <w:color w:val="FFFFFF"/>
              </w:rPr>
            </w:pPr>
            <w:r w:rsidRPr="00662D0B">
              <w:rPr>
                <w:rFonts w:ascii="Arial" w:hAnsi="Arial" w:cs="Arial"/>
                <w:b/>
                <w:bCs/>
                <w:color w:val="FFFFFF"/>
              </w:rPr>
              <w:t>100%</w:t>
            </w:r>
          </w:p>
        </w:tc>
        <w:tc>
          <w:tcPr>
            <w:tcW w:w="1380" w:type="dxa"/>
            <w:shd w:val="clear" w:color="auto" w:fill="AF1E2D"/>
            <w:noWrap/>
            <w:vAlign w:val="bottom"/>
            <w:hideMark/>
          </w:tcPr>
          <w:p w:rsidR="00EE727D" w:rsidRPr="00662D0B" w:rsidRDefault="00EE727D" w:rsidP="00B82799">
            <w:pPr>
              <w:spacing w:before="0" w:after="0"/>
              <w:jc w:val="center"/>
              <w:rPr>
                <w:rFonts w:ascii="Arial" w:hAnsi="Arial" w:cs="Arial"/>
                <w:b/>
                <w:bCs/>
                <w:color w:val="FFFFFF"/>
              </w:rPr>
            </w:pPr>
            <w:r w:rsidRPr="00662D0B">
              <w:rPr>
                <w:rFonts w:ascii="Arial" w:hAnsi="Arial" w:cs="Arial"/>
                <w:b/>
                <w:bCs/>
                <w:color w:val="FFFFFF"/>
              </w:rPr>
              <w:t>100%</w:t>
            </w:r>
          </w:p>
        </w:tc>
        <w:tc>
          <w:tcPr>
            <w:tcW w:w="1320" w:type="dxa"/>
            <w:shd w:val="clear" w:color="auto" w:fill="AF1E2D"/>
            <w:vAlign w:val="bottom"/>
            <w:hideMark/>
          </w:tcPr>
          <w:p w:rsidR="00EE727D" w:rsidRPr="00662D0B" w:rsidRDefault="00EE727D" w:rsidP="00B82799">
            <w:pPr>
              <w:spacing w:before="0" w:after="0"/>
              <w:jc w:val="center"/>
              <w:rPr>
                <w:rFonts w:ascii="Arial" w:hAnsi="Arial" w:cs="Arial"/>
                <w:b/>
                <w:bCs/>
                <w:color w:val="FFFFFF"/>
              </w:rPr>
            </w:pPr>
            <w:r w:rsidRPr="00662D0B">
              <w:rPr>
                <w:rFonts w:ascii="Arial" w:hAnsi="Arial" w:cs="Arial"/>
                <w:b/>
                <w:bCs/>
                <w:color w:val="FFFFFF"/>
              </w:rPr>
              <w:t>100%</w:t>
            </w:r>
          </w:p>
        </w:tc>
        <w:tc>
          <w:tcPr>
            <w:tcW w:w="1240" w:type="dxa"/>
            <w:shd w:val="clear" w:color="auto" w:fill="AF1E2D"/>
            <w:vAlign w:val="bottom"/>
            <w:hideMark/>
          </w:tcPr>
          <w:p w:rsidR="00EE727D" w:rsidRPr="00662D0B" w:rsidRDefault="00EE727D" w:rsidP="00B82799">
            <w:pPr>
              <w:spacing w:before="0" w:after="0"/>
              <w:jc w:val="center"/>
              <w:rPr>
                <w:rFonts w:ascii="Arial" w:hAnsi="Arial" w:cs="Arial"/>
                <w:b/>
                <w:bCs/>
                <w:color w:val="FFFFFF"/>
              </w:rPr>
            </w:pPr>
            <w:r w:rsidRPr="00662D0B">
              <w:rPr>
                <w:rFonts w:ascii="Arial" w:hAnsi="Arial" w:cs="Arial"/>
                <w:b/>
                <w:bCs/>
                <w:color w:val="FFFFFF"/>
              </w:rPr>
              <w:t>100%</w:t>
            </w:r>
          </w:p>
        </w:tc>
      </w:tr>
    </w:tbl>
    <w:p w:rsidR="00A1063E" w:rsidRDefault="00FA03F8" w:rsidP="007772DB">
      <w:pPr>
        <w:spacing w:after="0"/>
        <w:rPr>
          <w:rFonts w:ascii="Arial" w:hAnsi="Arial" w:cs="Arial"/>
          <w:b/>
          <w:color w:val="C10A27"/>
          <w:sz w:val="28"/>
          <w:szCs w:val="24"/>
        </w:rPr>
      </w:pPr>
      <w:r w:rsidRPr="00AF0125">
        <w:rPr>
          <w:rFonts w:ascii="Arial" w:hAnsi="Arial" w:cs="Arial"/>
          <w:sz w:val="18"/>
          <w:szCs w:val="24"/>
        </w:rPr>
        <w:t xml:space="preserve">Note: Only </w:t>
      </w:r>
      <w:r w:rsidRPr="003803CD">
        <w:rPr>
          <w:rFonts w:ascii="Arial" w:hAnsi="Arial" w:cs="Arial"/>
          <w:sz w:val="18"/>
          <w:szCs w:val="24"/>
        </w:rPr>
        <w:t>selected mechanism</w:t>
      </w:r>
      <w:r w:rsidR="00AC3894" w:rsidRPr="00A27A86">
        <w:rPr>
          <w:rFonts w:ascii="Arial" w:hAnsi="Arial" w:cs="Arial"/>
          <w:sz w:val="18"/>
          <w:szCs w:val="24"/>
        </w:rPr>
        <w:t xml:space="preserve">s and </w:t>
      </w:r>
      <w:r w:rsidRPr="00A27A86">
        <w:rPr>
          <w:rFonts w:ascii="Arial" w:hAnsi="Arial" w:cs="Arial"/>
          <w:sz w:val="18"/>
          <w:szCs w:val="24"/>
        </w:rPr>
        <w:t>sub</w:t>
      </w:r>
      <w:r w:rsidR="00AC3894" w:rsidRPr="00A27A86">
        <w:rPr>
          <w:rFonts w:ascii="Arial" w:hAnsi="Arial" w:cs="Arial"/>
          <w:sz w:val="18"/>
          <w:szCs w:val="24"/>
        </w:rPr>
        <w:noBreakHyphen/>
      </w:r>
      <w:r w:rsidRPr="00A27A86">
        <w:rPr>
          <w:rFonts w:ascii="Arial" w:hAnsi="Arial" w:cs="Arial"/>
          <w:sz w:val="18"/>
          <w:szCs w:val="24"/>
        </w:rPr>
        <w:t xml:space="preserve">groups </w:t>
      </w:r>
      <w:r w:rsidR="00AC3894" w:rsidRPr="00A27A86">
        <w:rPr>
          <w:rFonts w:ascii="Arial" w:hAnsi="Arial" w:cs="Arial"/>
          <w:sz w:val="18"/>
          <w:szCs w:val="24"/>
        </w:rPr>
        <w:t xml:space="preserve">are </w:t>
      </w:r>
      <w:r w:rsidR="00AC3894" w:rsidRPr="00C56FFA">
        <w:rPr>
          <w:rFonts w:ascii="Arial" w:hAnsi="Arial" w:cs="Arial"/>
          <w:sz w:val="18"/>
          <w:szCs w:val="24"/>
        </w:rPr>
        <w:t>included and therefore the percentages may not add to 100 per cent.</w:t>
      </w:r>
      <w:r w:rsidR="002C1299" w:rsidRPr="00C56FFA">
        <w:rPr>
          <w:rFonts w:ascii="Arial" w:hAnsi="Arial" w:cs="Arial"/>
          <w:sz w:val="18"/>
          <w:szCs w:val="24"/>
        </w:rPr>
        <w:t xml:space="preserve"> The percentages shown have been rounded to the nearest whole number.</w:t>
      </w:r>
      <w:r w:rsidR="00A1063E">
        <w:rPr>
          <w:rFonts w:ascii="Arial" w:hAnsi="Arial" w:cs="Arial"/>
          <w:b/>
          <w:color w:val="C10A27"/>
          <w:sz w:val="28"/>
          <w:szCs w:val="24"/>
        </w:rPr>
        <w:br w:type="page"/>
      </w:r>
    </w:p>
    <w:p w:rsidR="00B722EB" w:rsidRPr="004076EF" w:rsidRDefault="00951A3C" w:rsidP="0041580C">
      <w:pPr>
        <w:spacing w:before="0" w:after="0"/>
        <w:rPr>
          <w:rFonts w:ascii="Arial" w:hAnsi="Arial" w:cs="Arial"/>
          <w:b/>
          <w:color w:val="C10A27"/>
          <w:sz w:val="24"/>
          <w:szCs w:val="24"/>
        </w:rPr>
      </w:pPr>
      <w:r w:rsidRPr="00EE727D">
        <w:rPr>
          <w:rFonts w:ascii="Arial" w:hAnsi="Arial" w:cs="Arial"/>
          <w:b/>
          <w:color w:val="C10A27"/>
          <w:sz w:val="28"/>
          <w:szCs w:val="24"/>
        </w:rPr>
        <w:lastRenderedPageBreak/>
        <w:t xml:space="preserve">Serious claims by </w:t>
      </w:r>
      <w:r w:rsidR="007D6070" w:rsidRPr="00EE727D">
        <w:rPr>
          <w:rFonts w:ascii="Arial" w:hAnsi="Arial" w:cs="Arial"/>
          <w:b/>
          <w:color w:val="C10A27"/>
          <w:sz w:val="28"/>
          <w:szCs w:val="24"/>
        </w:rPr>
        <w:t>nature of injury</w:t>
      </w:r>
    </w:p>
    <w:p w:rsidR="009B231B" w:rsidRDefault="00C72464" w:rsidP="004F0B05">
      <w:pPr>
        <w:spacing w:line="288" w:lineRule="auto"/>
        <w:rPr>
          <w:rFonts w:ascii="Arial" w:hAnsi="Arial" w:cs="Arial"/>
          <w:sz w:val="22"/>
          <w:szCs w:val="22"/>
        </w:rPr>
      </w:pPr>
      <w:r w:rsidRPr="004076EF">
        <w:rPr>
          <w:rFonts w:ascii="Arial" w:hAnsi="Arial" w:cs="Arial"/>
          <w:sz w:val="22"/>
          <w:szCs w:val="22"/>
        </w:rPr>
        <w:t xml:space="preserve">Table </w:t>
      </w:r>
      <w:r w:rsidR="00554F3C">
        <w:rPr>
          <w:rFonts w:ascii="Arial" w:hAnsi="Arial" w:cs="Arial"/>
          <w:sz w:val="22"/>
          <w:szCs w:val="22"/>
        </w:rPr>
        <w:t>6</w:t>
      </w:r>
      <w:r w:rsidR="009B231B">
        <w:rPr>
          <w:rFonts w:ascii="Arial" w:hAnsi="Arial" w:cs="Arial"/>
          <w:sz w:val="22"/>
          <w:szCs w:val="22"/>
        </w:rPr>
        <w:t xml:space="preserve"> shows that just under half (46 per cent) of all serious claims in the Road transport industry were </w:t>
      </w:r>
      <w:r w:rsidR="00454675">
        <w:rPr>
          <w:rFonts w:ascii="Arial" w:hAnsi="Arial" w:cs="Arial"/>
          <w:sz w:val="22"/>
          <w:szCs w:val="22"/>
        </w:rPr>
        <w:t>T</w:t>
      </w:r>
      <w:r w:rsidR="009B231B">
        <w:rPr>
          <w:rFonts w:ascii="Arial" w:hAnsi="Arial" w:cs="Arial"/>
          <w:sz w:val="22"/>
          <w:szCs w:val="22"/>
        </w:rPr>
        <w:t xml:space="preserve">raumatic joint/ligament and muscle/tendon injuries. Musculoskeletal and connective tissue diseases accounted for a further 16 per cent of serious claims, followed by </w:t>
      </w:r>
      <w:r w:rsidR="00454675">
        <w:rPr>
          <w:rFonts w:ascii="Arial" w:hAnsi="Arial" w:cs="Arial"/>
          <w:sz w:val="22"/>
          <w:szCs w:val="22"/>
        </w:rPr>
        <w:t>W</w:t>
      </w:r>
      <w:r w:rsidR="009B231B">
        <w:rPr>
          <w:rFonts w:ascii="Arial" w:hAnsi="Arial" w:cs="Arial"/>
          <w:sz w:val="22"/>
          <w:szCs w:val="22"/>
        </w:rPr>
        <w:t xml:space="preserve">ounds, lacerations, amputations, and internal organ damage (13 per cent) and </w:t>
      </w:r>
      <w:r w:rsidR="00454675">
        <w:rPr>
          <w:rFonts w:ascii="Arial" w:hAnsi="Arial" w:cs="Arial"/>
          <w:sz w:val="22"/>
          <w:szCs w:val="22"/>
        </w:rPr>
        <w:t>F</w:t>
      </w:r>
      <w:r w:rsidR="009B231B">
        <w:rPr>
          <w:rFonts w:ascii="Arial" w:hAnsi="Arial" w:cs="Arial"/>
          <w:sz w:val="22"/>
          <w:szCs w:val="22"/>
        </w:rPr>
        <w:t>ractures (13 per cent).</w:t>
      </w:r>
    </w:p>
    <w:p w:rsidR="009B231B" w:rsidRPr="004076EF" w:rsidRDefault="009B231B" w:rsidP="009B231B">
      <w:pPr>
        <w:spacing w:line="288" w:lineRule="auto"/>
        <w:rPr>
          <w:rFonts w:ascii="Arial" w:hAnsi="Arial" w:cs="Arial"/>
          <w:sz w:val="22"/>
          <w:szCs w:val="22"/>
        </w:rPr>
      </w:pPr>
      <w:r>
        <w:rPr>
          <w:rFonts w:ascii="Arial" w:hAnsi="Arial" w:cs="Arial"/>
          <w:sz w:val="22"/>
          <w:szCs w:val="22"/>
        </w:rPr>
        <w:t xml:space="preserve">Broadly the nature of injuries and illnesses in the Road transport industry were similar across the two industry sub-divisions, however, </w:t>
      </w:r>
      <w:r w:rsidR="00454675">
        <w:rPr>
          <w:rFonts w:ascii="Arial" w:hAnsi="Arial" w:cs="Arial"/>
          <w:sz w:val="22"/>
          <w:szCs w:val="22"/>
        </w:rPr>
        <w:t>M</w:t>
      </w:r>
      <w:r>
        <w:rPr>
          <w:rFonts w:ascii="Arial" w:hAnsi="Arial" w:cs="Arial"/>
          <w:sz w:val="22"/>
          <w:szCs w:val="22"/>
        </w:rPr>
        <w:t>ental disorders were more prevalent in Road passenger transport (10 per cent of serious claims) compared with Road freight transport (2 per cent of serious claims).</w:t>
      </w:r>
    </w:p>
    <w:p w:rsidR="000E2777" w:rsidRPr="009B231B" w:rsidRDefault="000E2777" w:rsidP="000E2777">
      <w:pPr>
        <w:rPr>
          <w:rFonts w:ascii="Arial" w:hAnsi="Arial" w:cs="Arial"/>
          <w:b/>
          <w:noProof/>
          <w:sz w:val="22"/>
          <w:szCs w:val="18"/>
        </w:rPr>
      </w:pPr>
      <w:r w:rsidRPr="009B231B">
        <w:rPr>
          <w:rFonts w:ascii="Arial" w:hAnsi="Arial" w:cs="Arial"/>
          <w:b/>
          <w:noProof/>
          <w:sz w:val="22"/>
          <w:szCs w:val="18"/>
        </w:rPr>
        <w:t xml:space="preserve">Table </w:t>
      </w:r>
      <w:r w:rsidR="00554F3C">
        <w:rPr>
          <w:rFonts w:ascii="Arial" w:hAnsi="Arial" w:cs="Arial"/>
          <w:b/>
          <w:noProof/>
          <w:sz w:val="22"/>
          <w:szCs w:val="18"/>
        </w:rPr>
        <w:t>6</w:t>
      </w:r>
      <w:r w:rsidRPr="009B231B">
        <w:rPr>
          <w:rFonts w:ascii="Arial" w:hAnsi="Arial" w:cs="Arial"/>
          <w:b/>
          <w:noProof/>
          <w:sz w:val="22"/>
          <w:szCs w:val="18"/>
        </w:rPr>
        <w:t xml:space="preserve">: Serious claims: percentage by </w:t>
      </w:r>
      <w:r w:rsidR="00F31514" w:rsidRPr="009B231B">
        <w:rPr>
          <w:rFonts w:ascii="Arial" w:hAnsi="Arial" w:cs="Arial"/>
          <w:b/>
          <w:noProof/>
          <w:sz w:val="22"/>
          <w:szCs w:val="18"/>
        </w:rPr>
        <w:t>nature of injury</w:t>
      </w:r>
      <w:r w:rsidR="009B231B">
        <w:rPr>
          <w:rFonts w:ascii="Arial" w:hAnsi="Arial" w:cs="Arial"/>
          <w:b/>
          <w:noProof/>
          <w:sz w:val="22"/>
          <w:szCs w:val="18"/>
        </w:rPr>
        <w:t>/illness</w:t>
      </w:r>
      <w:r w:rsidR="00F31514" w:rsidRPr="009B231B">
        <w:rPr>
          <w:rFonts w:ascii="Arial" w:hAnsi="Arial" w:cs="Arial"/>
          <w:b/>
          <w:noProof/>
          <w:sz w:val="22"/>
          <w:szCs w:val="18"/>
        </w:rPr>
        <w:t xml:space="preserve"> in the Road t</w:t>
      </w:r>
      <w:r w:rsidRPr="009B231B">
        <w:rPr>
          <w:rFonts w:ascii="Arial" w:hAnsi="Arial" w:cs="Arial"/>
          <w:b/>
          <w:noProof/>
          <w:sz w:val="22"/>
          <w:szCs w:val="18"/>
        </w:rPr>
        <w:t>ransport industr</w:t>
      </w:r>
      <w:r w:rsidR="009B231B">
        <w:rPr>
          <w:rFonts w:ascii="Arial" w:hAnsi="Arial" w:cs="Arial"/>
          <w:b/>
          <w:noProof/>
          <w:sz w:val="22"/>
          <w:szCs w:val="18"/>
        </w:rPr>
        <w:t>y, 2010-11 to 2014-15p combined</w:t>
      </w:r>
      <w:r w:rsidRPr="009B231B">
        <w:rPr>
          <w:rFonts w:ascii="Arial" w:hAnsi="Arial" w:cs="Arial"/>
          <w:b/>
          <w:noProof/>
          <w:sz w:val="22"/>
          <w:szCs w:val="18"/>
        </w:rPr>
        <w:t xml:space="preserve"> </w:t>
      </w:r>
    </w:p>
    <w:tbl>
      <w:tblPr>
        <w:tblW w:w="9661"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Serious claims: percentage by nature of injury/illness in the Road transport industry, 2010-11 to 2014-15p combined "/>
        <w:tblDescription w:val="Table 6 shows that just under half (46 per cent) of all serious claims in the Road transport industry were traumatic joint/ligament and muscle/tendon injuries. Musculoskeletal and connective tissue diseases accounted for a further 16 per cent of serious claims, followed by wounds, lacerations, amputations, and internal organ damage (13 per cent) and fractures (13 per cent)."/>
      </w:tblPr>
      <w:tblGrid>
        <w:gridCol w:w="4551"/>
        <w:gridCol w:w="1150"/>
        <w:gridCol w:w="1460"/>
        <w:gridCol w:w="1260"/>
        <w:gridCol w:w="1240"/>
      </w:tblGrid>
      <w:tr w:rsidR="0097571C" w:rsidRPr="0097571C" w:rsidTr="00B9194B">
        <w:trPr>
          <w:trHeight w:val="774"/>
        </w:trPr>
        <w:tc>
          <w:tcPr>
            <w:tcW w:w="4551" w:type="dxa"/>
            <w:shd w:val="clear" w:color="auto" w:fill="AF1E2D"/>
            <w:noWrap/>
            <w:vAlign w:val="center"/>
            <w:hideMark/>
          </w:tcPr>
          <w:p w:rsidR="0041580C" w:rsidRPr="0097571C" w:rsidRDefault="0041580C" w:rsidP="0097571C">
            <w:pPr>
              <w:spacing w:before="0" w:after="0"/>
              <w:rPr>
                <w:rFonts w:ascii="Arial" w:hAnsi="Arial" w:cs="Arial"/>
                <w:b/>
                <w:bCs/>
                <w:color w:val="FFFFFF" w:themeColor="background1"/>
              </w:rPr>
            </w:pPr>
            <w:r w:rsidRPr="0097571C">
              <w:rPr>
                <w:rFonts w:ascii="Arial" w:hAnsi="Arial" w:cs="Arial"/>
                <w:b/>
                <w:bCs/>
                <w:color w:val="FFFFFF" w:themeColor="background1"/>
              </w:rPr>
              <w:t>Nature of injury/disease</w:t>
            </w:r>
          </w:p>
        </w:tc>
        <w:tc>
          <w:tcPr>
            <w:tcW w:w="1150" w:type="dxa"/>
            <w:shd w:val="clear" w:color="auto" w:fill="AF1E2D"/>
            <w:vAlign w:val="center"/>
            <w:hideMark/>
          </w:tcPr>
          <w:p w:rsidR="0041580C" w:rsidRPr="0097571C" w:rsidRDefault="0041580C" w:rsidP="0097571C">
            <w:pPr>
              <w:spacing w:before="0" w:after="0"/>
              <w:jc w:val="center"/>
              <w:rPr>
                <w:rFonts w:ascii="Arial" w:hAnsi="Arial" w:cs="Arial"/>
                <w:b/>
                <w:bCs/>
                <w:color w:val="FFFFFF" w:themeColor="background1"/>
              </w:rPr>
            </w:pPr>
            <w:r w:rsidRPr="0097571C">
              <w:rPr>
                <w:rFonts w:ascii="Arial" w:hAnsi="Arial" w:cs="Arial"/>
                <w:b/>
                <w:bCs/>
                <w:color w:val="FFFFFF" w:themeColor="background1"/>
              </w:rPr>
              <w:t>Road Freight Transport</w:t>
            </w:r>
          </w:p>
        </w:tc>
        <w:tc>
          <w:tcPr>
            <w:tcW w:w="1460" w:type="dxa"/>
            <w:shd w:val="clear" w:color="auto" w:fill="AF1E2D"/>
            <w:vAlign w:val="center"/>
            <w:hideMark/>
          </w:tcPr>
          <w:p w:rsidR="0041580C" w:rsidRPr="0097571C" w:rsidRDefault="0041580C" w:rsidP="0097571C">
            <w:pPr>
              <w:spacing w:before="0" w:after="0"/>
              <w:jc w:val="center"/>
              <w:rPr>
                <w:rFonts w:ascii="Arial" w:hAnsi="Arial" w:cs="Arial"/>
                <w:b/>
                <w:bCs/>
                <w:color w:val="FFFFFF" w:themeColor="background1"/>
              </w:rPr>
            </w:pPr>
            <w:r w:rsidRPr="0097571C">
              <w:rPr>
                <w:rFonts w:ascii="Arial" w:hAnsi="Arial" w:cs="Arial"/>
                <w:b/>
                <w:bCs/>
                <w:color w:val="FFFFFF" w:themeColor="background1"/>
              </w:rPr>
              <w:t>Road Passenger Transport</w:t>
            </w:r>
          </w:p>
        </w:tc>
        <w:tc>
          <w:tcPr>
            <w:tcW w:w="1260" w:type="dxa"/>
            <w:shd w:val="clear" w:color="auto" w:fill="AF1E2D"/>
            <w:vAlign w:val="center"/>
            <w:hideMark/>
          </w:tcPr>
          <w:p w:rsidR="0041580C" w:rsidRPr="0097571C" w:rsidRDefault="0041580C" w:rsidP="0097571C">
            <w:pPr>
              <w:spacing w:before="0" w:after="0"/>
              <w:jc w:val="center"/>
              <w:rPr>
                <w:rFonts w:ascii="Arial" w:hAnsi="Arial" w:cs="Arial"/>
                <w:b/>
                <w:bCs/>
                <w:color w:val="FFFFFF" w:themeColor="background1"/>
              </w:rPr>
            </w:pPr>
            <w:r w:rsidRPr="0097571C">
              <w:rPr>
                <w:rFonts w:ascii="Arial" w:hAnsi="Arial" w:cs="Arial"/>
                <w:b/>
                <w:bCs/>
                <w:color w:val="FFFFFF" w:themeColor="background1"/>
              </w:rPr>
              <w:t>Road Transport</w:t>
            </w:r>
          </w:p>
        </w:tc>
        <w:tc>
          <w:tcPr>
            <w:tcW w:w="1240" w:type="dxa"/>
            <w:shd w:val="clear" w:color="auto" w:fill="AF1E2D"/>
            <w:vAlign w:val="center"/>
            <w:hideMark/>
          </w:tcPr>
          <w:p w:rsidR="0041580C" w:rsidRPr="0097571C" w:rsidRDefault="0041580C" w:rsidP="0097571C">
            <w:pPr>
              <w:spacing w:before="0" w:after="0"/>
              <w:jc w:val="center"/>
              <w:rPr>
                <w:rFonts w:ascii="Arial" w:hAnsi="Arial" w:cs="Arial"/>
                <w:b/>
                <w:bCs/>
                <w:color w:val="FFFFFF" w:themeColor="background1"/>
              </w:rPr>
            </w:pPr>
            <w:r w:rsidRPr="0097571C">
              <w:rPr>
                <w:rFonts w:ascii="Arial" w:hAnsi="Arial" w:cs="Arial"/>
                <w:b/>
                <w:bCs/>
                <w:color w:val="FFFFFF" w:themeColor="background1"/>
              </w:rPr>
              <w:t>All industries</w:t>
            </w:r>
          </w:p>
        </w:tc>
      </w:tr>
      <w:tr w:rsidR="0097571C" w:rsidRPr="0097571C" w:rsidTr="00B9194B">
        <w:trPr>
          <w:trHeight w:val="300"/>
        </w:trPr>
        <w:tc>
          <w:tcPr>
            <w:tcW w:w="4551" w:type="dxa"/>
            <w:shd w:val="clear" w:color="auto" w:fill="808080"/>
            <w:vAlign w:val="center"/>
            <w:hideMark/>
          </w:tcPr>
          <w:p w:rsidR="0041580C" w:rsidRPr="0097571C" w:rsidRDefault="0041580C" w:rsidP="00C743A1">
            <w:pPr>
              <w:spacing w:before="0" w:after="0"/>
              <w:rPr>
                <w:rFonts w:ascii="Arial" w:hAnsi="Arial" w:cs="Arial"/>
                <w:b/>
                <w:bCs/>
                <w:color w:val="FFFFFF" w:themeColor="background1"/>
              </w:rPr>
            </w:pPr>
            <w:r w:rsidRPr="0097571C">
              <w:rPr>
                <w:rFonts w:ascii="Arial" w:hAnsi="Arial" w:cs="Arial"/>
                <w:b/>
                <w:bCs/>
                <w:color w:val="FFFFFF" w:themeColor="background1"/>
              </w:rPr>
              <w:t xml:space="preserve">Traumatic </w:t>
            </w:r>
            <w:r w:rsidR="002C45B9">
              <w:rPr>
                <w:rFonts w:ascii="Arial" w:hAnsi="Arial" w:cs="Arial"/>
                <w:b/>
                <w:bCs/>
                <w:color w:val="FFFFFF" w:themeColor="background1"/>
              </w:rPr>
              <w:t>j</w:t>
            </w:r>
            <w:r w:rsidRPr="0097571C">
              <w:rPr>
                <w:rFonts w:ascii="Arial" w:hAnsi="Arial" w:cs="Arial"/>
                <w:b/>
                <w:bCs/>
                <w:color w:val="FFFFFF" w:themeColor="background1"/>
              </w:rPr>
              <w:t>oint/</w:t>
            </w:r>
            <w:r w:rsidR="002C45B9">
              <w:rPr>
                <w:rFonts w:ascii="Arial" w:hAnsi="Arial" w:cs="Arial"/>
                <w:b/>
                <w:bCs/>
                <w:color w:val="FFFFFF" w:themeColor="background1"/>
              </w:rPr>
              <w:t>l</w:t>
            </w:r>
            <w:r w:rsidRPr="0097571C">
              <w:rPr>
                <w:rFonts w:ascii="Arial" w:hAnsi="Arial" w:cs="Arial"/>
                <w:b/>
                <w:bCs/>
                <w:color w:val="FFFFFF" w:themeColor="background1"/>
              </w:rPr>
              <w:t xml:space="preserve">igament </w:t>
            </w:r>
            <w:r w:rsidR="00C743A1">
              <w:rPr>
                <w:rFonts w:ascii="Arial" w:hAnsi="Arial" w:cs="Arial"/>
                <w:b/>
                <w:bCs/>
                <w:color w:val="FFFFFF" w:themeColor="background1"/>
              </w:rPr>
              <w:t>a</w:t>
            </w:r>
            <w:r w:rsidRPr="0097571C">
              <w:rPr>
                <w:rFonts w:ascii="Arial" w:hAnsi="Arial" w:cs="Arial"/>
                <w:b/>
                <w:bCs/>
                <w:color w:val="FFFFFF" w:themeColor="background1"/>
              </w:rPr>
              <w:t xml:space="preserve">nd </w:t>
            </w:r>
            <w:r w:rsidR="002C45B9">
              <w:rPr>
                <w:rFonts w:ascii="Arial" w:hAnsi="Arial" w:cs="Arial"/>
                <w:b/>
                <w:bCs/>
                <w:color w:val="FFFFFF" w:themeColor="background1"/>
              </w:rPr>
              <w:t>m</w:t>
            </w:r>
            <w:r w:rsidRPr="0097571C">
              <w:rPr>
                <w:rFonts w:ascii="Arial" w:hAnsi="Arial" w:cs="Arial"/>
                <w:b/>
                <w:bCs/>
                <w:color w:val="FFFFFF" w:themeColor="background1"/>
              </w:rPr>
              <w:t>uscle/</w:t>
            </w:r>
            <w:r w:rsidR="002C45B9">
              <w:rPr>
                <w:rFonts w:ascii="Arial" w:hAnsi="Arial" w:cs="Arial"/>
                <w:b/>
                <w:bCs/>
                <w:color w:val="FFFFFF" w:themeColor="background1"/>
              </w:rPr>
              <w:t>t</w:t>
            </w:r>
            <w:r w:rsidRPr="0097571C">
              <w:rPr>
                <w:rFonts w:ascii="Arial" w:hAnsi="Arial" w:cs="Arial"/>
                <w:b/>
                <w:bCs/>
                <w:color w:val="FFFFFF" w:themeColor="background1"/>
              </w:rPr>
              <w:t xml:space="preserve">endon </w:t>
            </w:r>
            <w:r w:rsidR="002C45B9">
              <w:rPr>
                <w:rFonts w:ascii="Arial" w:hAnsi="Arial" w:cs="Arial"/>
                <w:b/>
                <w:bCs/>
                <w:color w:val="FFFFFF" w:themeColor="background1"/>
              </w:rPr>
              <w:t>i</w:t>
            </w:r>
            <w:r w:rsidRPr="0097571C">
              <w:rPr>
                <w:rFonts w:ascii="Arial" w:hAnsi="Arial" w:cs="Arial"/>
                <w:b/>
                <w:bCs/>
                <w:color w:val="FFFFFF" w:themeColor="background1"/>
              </w:rPr>
              <w:t>njury</w:t>
            </w:r>
          </w:p>
        </w:tc>
        <w:tc>
          <w:tcPr>
            <w:tcW w:w="115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47%</w:t>
            </w:r>
          </w:p>
        </w:tc>
        <w:tc>
          <w:tcPr>
            <w:tcW w:w="14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46%</w:t>
            </w:r>
          </w:p>
        </w:tc>
        <w:tc>
          <w:tcPr>
            <w:tcW w:w="12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46%</w:t>
            </w:r>
          </w:p>
        </w:tc>
        <w:tc>
          <w:tcPr>
            <w:tcW w:w="1240" w:type="dxa"/>
            <w:shd w:val="clear" w:color="auto" w:fill="808080"/>
            <w:noWrap/>
            <w:vAlign w:val="center"/>
            <w:hideMark/>
          </w:tcPr>
          <w:p w:rsidR="0041580C" w:rsidRPr="0097571C" w:rsidRDefault="0056541C" w:rsidP="0097571C">
            <w:pPr>
              <w:spacing w:before="0" w:after="0"/>
              <w:jc w:val="center"/>
              <w:rPr>
                <w:rFonts w:ascii="Arial" w:hAnsi="Arial" w:cs="Arial"/>
                <w:b/>
                <w:color w:val="FFFFFF" w:themeColor="background1"/>
              </w:rPr>
            </w:pPr>
            <w:r>
              <w:rPr>
                <w:rFonts w:ascii="Arial" w:hAnsi="Arial" w:cs="Arial"/>
                <w:b/>
                <w:color w:val="FFFFFF" w:themeColor="background1"/>
              </w:rPr>
              <w:t>45%</w:t>
            </w:r>
          </w:p>
        </w:tc>
      </w:tr>
      <w:tr w:rsidR="0041580C" w:rsidRPr="0041580C" w:rsidTr="00F157E2">
        <w:trPr>
          <w:trHeight w:val="300"/>
        </w:trPr>
        <w:tc>
          <w:tcPr>
            <w:tcW w:w="4551" w:type="dxa"/>
            <w:shd w:val="clear" w:color="auto" w:fill="auto"/>
            <w:vAlign w:val="center"/>
            <w:hideMark/>
          </w:tcPr>
          <w:p w:rsidR="0041580C" w:rsidRPr="0041580C" w:rsidRDefault="0041580C" w:rsidP="0097571C">
            <w:pPr>
              <w:spacing w:before="0" w:after="0"/>
              <w:rPr>
                <w:rFonts w:ascii="Arial" w:hAnsi="Arial" w:cs="Arial"/>
                <w:color w:val="000000"/>
              </w:rPr>
            </w:pPr>
            <w:r w:rsidRPr="0041580C">
              <w:rPr>
                <w:rFonts w:ascii="Arial" w:hAnsi="Arial" w:cs="Arial"/>
                <w:color w:val="000000"/>
              </w:rPr>
              <w:t>Trauma to muscles and tendons</w:t>
            </w:r>
          </w:p>
        </w:tc>
        <w:tc>
          <w:tcPr>
            <w:tcW w:w="115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20%</w:t>
            </w:r>
          </w:p>
        </w:tc>
        <w:tc>
          <w:tcPr>
            <w:tcW w:w="146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18%</w:t>
            </w:r>
          </w:p>
        </w:tc>
        <w:tc>
          <w:tcPr>
            <w:tcW w:w="126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20%</w:t>
            </w:r>
          </w:p>
        </w:tc>
        <w:tc>
          <w:tcPr>
            <w:tcW w:w="1240" w:type="dxa"/>
            <w:shd w:val="clear" w:color="auto" w:fill="auto"/>
            <w:noWrap/>
            <w:vAlign w:val="center"/>
            <w:hideMark/>
          </w:tcPr>
          <w:p w:rsidR="0041580C" w:rsidRPr="0041580C" w:rsidRDefault="0056541C" w:rsidP="0097571C">
            <w:pPr>
              <w:spacing w:before="0" w:after="0"/>
              <w:jc w:val="center"/>
              <w:rPr>
                <w:rFonts w:ascii="Arial" w:hAnsi="Arial" w:cs="Arial"/>
                <w:color w:val="000000"/>
              </w:rPr>
            </w:pPr>
            <w:r>
              <w:rPr>
                <w:rFonts w:ascii="Arial" w:hAnsi="Arial" w:cs="Arial"/>
                <w:color w:val="000000"/>
              </w:rPr>
              <w:t>18%</w:t>
            </w:r>
          </w:p>
        </w:tc>
      </w:tr>
      <w:tr w:rsidR="0041580C" w:rsidRPr="0041580C" w:rsidTr="00F157E2">
        <w:trPr>
          <w:trHeight w:val="300"/>
        </w:trPr>
        <w:tc>
          <w:tcPr>
            <w:tcW w:w="4551" w:type="dxa"/>
            <w:shd w:val="clear" w:color="auto" w:fill="F2DBDB" w:themeFill="accent2" w:themeFillTint="33"/>
            <w:vAlign w:val="center"/>
            <w:hideMark/>
          </w:tcPr>
          <w:p w:rsidR="0041580C" w:rsidRPr="0041580C" w:rsidRDefault="0041580C" w:rsidP="0097571C">
            <w:pPr>
              <w:spacing w:before="0" w:after="0"/>
              <w:rPr>
                <w:rFonts w:ascii="Arial" w:hAnsi="Arial" w:cs="Arial"/>
                <w:color w:val="000000"/>
              </w:rPr>
            </w:pPr>
            <w:r w:rsidRPr="0041580C">
              <w:rPr>
                <w:rFonts w:ascii="Arial" w:hAnsi="Arial" w:cs="Arial"/>
                <w:color w:val="000000"/>
              </w:rPr>
              <w:t>Residual soft tissue disorders due to trauma</w:t>
            </w:r>
          </w:p>
        </w:tc>
        <w:tc>
          <w:tcPr>
            <w:tcW w:w="1150" w:type="dxa"/>
            <w:shd w:val="clear" w:color="auto" w:fill="F2DBDB" w:themeFill="accent2" w:themeFillTint="33"/>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17%</w:t>
            </w:r>
          </w:p>
        </w:tc>
        <w:tc>
          <w:tcPr>
            <w:tcW w:w="1460" w:type="dxa"/>
            <w:shd w:val="clear" w:color="auto" w:fill="F2DBDB" w:themeFill="accent2" w:themeFillTint="33"/>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18%</w:t>
            </w:r>
          </w:p>
        </w:tc>
        <w:tc>
          <w:tcPr>
            <w:tcW w:w="1260" w:type="dxa"/>
            <w:shd w:val="clear" w:color="auto" w:fill="F2DBDB" w:themeFill="accent2" w:themeFillTint="33"/>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17%</w:t>
            </w:r>
          </w:p>
        </w:tc>
        <w:tc>
          <w:tcPr>
            <w:tcW w:w="1240" w:type="dxa"/>
            <w:shd w:val="clear" w:color="auto" w:fill="F2DBDB" w:themeFill="accent2" w:themeFillTint="33"/>
            <w:noWrap/>
            <w:vAlign w:val="center"/>
            <w:hideMark/>
          </w:tcPr>
          <w:p w:rsidR="0041580C" w:rsidRPr="0041580C" w:rsidRDefault="0056541C" w:rsidP="0097571C">
            <w:pPr>
              <w:spacing w:before="0" w:after="0"/>
              <w:jc w:val="center"/>
              <w:rPr>
                <w:rFonts w:ascii="Arial" w:hAnsi="Arial" w:cs="Arial"/>
                <w:color w:val="000000"/>
              </w:rPr>
            </w:pPr>
            <w:r>
              <w:rPr>
                <w:rFonts w:ascii="Arial" w:hAnsi="Arial" w:cs="Arial"/>
                <w:color w:val="000000"/>
              </w:rPr>
              <w:t>18%</w:t>
            </w:r>
          </w:p>
        </w:tc>
      </w:tr>
      <w:tr w:rsidR="0041580C" w:rsidRPr="0041580C" w:rsidTr="00F157E2">
        <w:trPr>
          <w:trHeight w:val="300"/>
        </w:trPr>
        <w:tc>
          <w:tcPr>
            <w:tcW w:w="4551" w:type="dxa"/>
            <w:shd w:val="clear" w:color="auto" w:fill="auto"/>
            <w:vAlign w:val="center"/>
            <w:hideMark/>
          </w:tcPr>
          <w:p w:rsidR="0041580C" w:rsidRPr="0041580C" w:rsidRDefault="0041580C" w:rsidP="0097571C">
            <w:pPr>
              <w:spacing w:before="0" w:after="0"/>
              <w:rPr>
                <w:rFonts w:ascii="Arial" w:hAnsi="Arial" w:cs="Arial"/>
                <w:color w:val="000000"/>
              </w:rPr>
            </w:pPr>
            <w:r w:rsidRPr="0041580C">
              <w:rPr>
                <w:rFonts w:ascii="Arial" w:hAnsi="Arial" w:cs="Arial"/>
                <w:color w:val="000000"/>
              </w:rPr>
              <w:t>Trauma to joints and ligaments</w:t>
            </w:r>
          </w:p>
        </w:tc>
        <w:tc>
          <w:tcPr>
            <w:tcW w:w="115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10%</w:t>
            </w:r>
          </w:p>
        </w:tc>
        <w:tc>
          <w:tcPr>
            <w:tcW w:w="146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10%</w:t>
            </w:r>
          </w:p>
        </w:tc>
        <w:tc>
          <w:tcPr>
            <w:tcW w:w="126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10%</w:t>
            </w:r>
          </w:p>
        </w:tc>
        <w:tc>
          <w:tcPr>
            <w:tcW w:w="1240" w:type="dxa"/>
            <w:shd w:val="clear" w:color="auto" w:fill="auto"/>
            <w:noWrap/>
            <w:vAlign w:val="center"/>
            <w:hideMark/>
          </w:tcPr>
          <w:p w:rsidR="0041580C" w:rsidRPr="0041580C" w:rsidRDefault="0056541C" w:rsidP="0097571C">
            <w:pPr>
              <w:spacing w:before="0" w:after="0"/>
              <w:jc w:val="center"/>
              <w:rPr>
                <w:rFonts w:ascii="Arial" w:hAnsi="Arial" w:cs="Arial"/>
                <w:color w:val="000000"/>
              </w:rPr>
            </w:pPr>
            <w:r>
              <w:rPr>
                <w:rFonts w:ascii="Arial" w:hAnsi="Arial" w:cs="Arial"/>
                <w:color w:val="000000"/>
              </w:rPr>
              <w:t>9%</w:t>
            </w:r>
          </w:p>
        </w:tc>
      </w:tr>
      <w:tr w:rsidR="0097571C" w:rsidRPr="0097571C" w:rsidTr="00B9194B">
        <w:trPr>
          <w:trHeight w:val="300"/>
        </w:trPr>
        <w:tc>
          <w:tcPr>
            <w:tcW w:w="4551" w:type="dxa"/>
            <w:shd w:val="clear" w:color="auto" w:fill="808080"/>
            <w:vAlign w:val="center"/>
            <w:hideMark/>
          </w:tcPr>
          <w:p w:rsidR="0041580C" w:rsidRPr="0097571C" w:rsidRDefault="0041580C" w:rsidP="002C45B9">
            <w:pPr>
              <w:spacing w:before="0" w:after="0"/>
              <w:rPr>
                <w:rFonts w:ascii="Arial" w:hAnsi="Arial" w:cs="Arial"/>
                <w:b/>
                <w:bCs/>
                <w:color w:val="FFFFFF" w:themeColor="background1"/>
              </w:rPr>
            </w:pPr>
            <w:r w:rsidRPr="0097571C">
              <w:rPr>
                <w:rFonts w:ascii="Arial" w:hAnsi="Arial" w:cs="Arial"/>
                <w:b/>
                <w:bCs/>
                <w:color w:val="FFFFFF" w:themeColor="background1"/>
              </w:rPr>
              <w:t xml:space="preserve">Musculoskeletal and </w:t>
            </w:r>
            <w:r w:rsidR="002C45B9">
              <w:rPr>
                <w:rFonts w:ascii="Arial" w:hAnsi="Arial" w:cs="Arial"/>
                <w:b/>
                <w:bCs/>
                <w:color w:val="FFFFFF" w:themeColor="background1"/>
              </w:rPr>
              <w:t>c</w:t>
            </w:r>
            <w:r w:rsidRPr="0097571C">
              <w:rPr>
                <w:rFonts w:ascii="Arial" w:hAnsi="Arial" w:cs="Arial"/>
                <w:b/>
                <w:bCs/>
                <w:color w:val="FFFFFF" w:themeColor="background1"/>
              </w:rPr>
              <w:t xml:space="preserve">onnective </w:t>
            </w:r>
            <w:r w:rsidR="002C45B9">
              <w:rPr>
                <w:rFonts w:ascii="Arial" w:hAnsi="Arial" w:cs="Arial"/>
                <w:b/>
                <w:bCs/>
                <w:color w:val="FFFFFF" w:themeColor="background1"/>
              </w:rPr>
              <w:t>t</w:t>
            </w:r>
            <w:r w:rsidRPr="0097571C">
              <w:rPr>
                <w:rFonts w:ascii="Arial" w:hAnsi="Arial" w:cs="Arial"/>
                <w:b/>
                <w:bCs/>
                <w:color w:val="FFFFFF" w:themeColor="background1"/>
              </w:rPr>
              <w:t xml:space="preserve">issue </w:t>
            </w:r>
            <w:r w:rsidR="002C45B9">
              <w:rPr>
                <w:rFonts w:ascii="Arial" w:hAnsi="Arial" w:cs="Arial"/>
                <w:b/>
                <w:bCs/>
                <w:color w:val="FFFFFF" w:themeColor="background1"/>
              </w:rPr>
              <w:t>d</w:t>
            </w:r>
            <w:r w:rsidRPr="0097571C">
              <w:rPr>
                <w:rFonts w:ascii="Arial" w:hAnsi="Arial" w:cs="Arial"/>
                <w:b/>
                <w:bCs/>
                <w:color w:val="FFFFFF" w:themeColor="background1"/>
              </w:rPr>
              <w:t>iseases</w:t>
            </w:r>
          </w:p>
        </w:tc>
        <w:tc>
          <w:tcPr>
            <w:tcW w:w="115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16%</w:t>
            </w:r>
          </w:p>
        </w:tc>
        <w:tc>
          <w:tcPr>
            <w:tcW w:w="14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18%</w:t>
            </w:r>
          </w:p>
        </w:tc>
        <w:tc>
          <w:tcPr>
            <w:tcW w:w="12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16%</w:t>
            </w:r>
          </w:p>
        </w:tc>
        <w:tc>
          <w:tcPr>
            <w:tcW w:w="1240" w:type="dxa"/>
            <w:shd w:val="clear" w:color="auto" w:fill="808080"/>
            <w:noWrap/>
            <w:vAlign w:val="center"/>
            <w:hideMark/>
          </w:tcPr>
          <w:p w:rsidR="0041580C" w:rsidRPr="0097571C" w:rsidRDefault="0056541C" w:rsidP="0097571C">
            <w:pPr>
              <w:spacing w:before="0" w:after="0"/>
              <w:jc w:val="center"/>
              <w:rPr>
                <w:rFonts w:ascii="Arial" w:hAnsi="Arial" w:cs="Arial"/>
                <w:color w:val="FFFFFF" w:themeColor="background1"/>
              </w:rPr>
            </w:pPr>
            <w:r>
              <w:rPr>
                <w:rFonts w:ascii="Arial" w:hAnsi="Arial" w:cs="Arial"/>
                <w:color w:val="FFFFFF" w:themeColor="background1"/>
              </w:rPr>
              <w:t>15%</w:t>
            </w:r>
          </w:p>
        </w:tc>
      </w:tr>
      <w:tr w:rsidR="0041580C" w:rsidRPr="0041580C" w:rsidTr="00F157E2">
        <w:trPr>
          <w:trHeight w:val="600"/>
        </w:trPr>
        <w:tc>
          <w:tcPr>
            <w:tcW w:w="4551" w:type="dxa"/>
            <w:shd w:val="clear" w:color="auto" w:fill="auto"/>
            <w:vAlign w:val="center"/>
            <w:hideMark/>
          </w:tcPr>
          <w:p w:rsidR="0041580C" w:rsidRPr="0041580C" w:rsidRDefault="0041580C" w:rsidP="002C45B9">
            <w:pPr>
              <w:spacing w:before="0" w:after="0"/>
              <w:rPr>
                <w:rFonts w:ascii="Arial" w:hAnsi="Arial" w:cs="Arial"/>
                <w:color w:val="000000"/>
              </w:rPr>
            </w:pPr>
            <w:r w:rsidRPr="0041580C">
              <w:rPr>
                <w:rFonts w:ascii="Arial" w:hAnsi="Arial" w:cs="Arial"/>
                <w:color w:val="000000"/>
              </w:rPr>
              <w:t xml:space="preserve">Spinal </w:t>
            </w:r>
            <w:r w:rsidR="002C45B9">
              <w:rPr>
                <w:rFonts w:ascii="Arial" w:hAnsi="Arial" w:cs="Arial"/>
                <w:color w:val="000000"/>
              </w:rPr>
              <w:t>v</w:t>
            </w:r>
            <w:r w:rsidRPr="0041580C">
              <w:rPr>
                <w:rFonts w:ascii="Arial" w:hAnsi="Arial" w:cs="Arial"/>
                <w:color w:val="000000"/>
              </w:rPr>
              <w:t xml:space="preserve">ertebrae </w:t>
            </w:r>
            <w:r w:rsidR="002C45B9">
              <w:rPr>
                <w:rFonts w:ascii="Arial" w:hAnsi="Arial" w:cs="Arial"/>
                <w:color w:val="000000"/>
              </w:rPr>
              <w:t>a</w:t>
            </w:r>
            <w:r w:rsidRPr="0041580C">
              <w:rPr>
                <w:rFonts w:ascii="Arial" w:hAnsi="Arial" w:cs="Arial"/>
                <w:color w:val="000000"/>
              </w:rPr>
              <w:t xml:space="preserve">nd </w:t>
            </w:r>
            <w:r w:rsidR="002C45B9">
              <w:rPr>
                <w:rFonts w:ascii="Arial" w:hAnsi="Arial" w:cs="Arial"/>
                <w:color w:val="000000"/>
              </w:rPr>
              <w:t>i</w:t>
            </w:r>
            <w:r w:rsidRPr="0041580C">
              <w:rPr>
                <w:rFonts w:ascii="Arial" w:hAnsi="Arial" w:cs="Arial"/>
                <w:color w:val="000000"/>
              </w:rPr>
              <w:t xml:space="preserve">ntervertebral </w:t>
            </w:r>
            <w:r w:rsidR="002C45B9">
              <w:rPr>
                <w:rFonts w:ascii="Arial" w:hAnsi="Arial" w:cs="Arial"/>
                <w:color w:val="000000"/>
              </w:rPr>
              <w:t>d</w:t>
            </w:r>
            <w:r w:rsidRPr="0041580C">
              <w:rPr>
                <w:rFonts w:ascii="Arial" w:hAnsi="Arial" w:cs="Arial"/>
                <w:color w:val="000000"/>
              </w:rPr>
              <w:t xml:space="preserve">isc </w:t>
            </w:r>
            <w:r w:rsidR="002C45B9">
              <w:rPr>
                <w:rFonts w:ascii="Arial" w:hAnsi="Arial" w:cs="Arial"/>
                <w:color w:val="000000"/>
              </w:rPr>
              <w:t>d</w:t>
            </w:r>
            <w:r w:rsidRPr="0041580C">
              <w:rPr>
                <w:rFonts w:ascii="Arial" w:hAnsi="Arial" w:cs="Arial"/>
                <w:color w:val="000000"/>
              </w:rPr>
              <w:t xml:space="preserve">iseases </w:t>
            </w:r>
            <w:r w:rsidR="00C876B5">
              <w:rPr>
                <w:rFonts w:ascii="Arial" w:hAnsi="Arial" w:cs="Arial"/>
                <w:color w:val="000000"/>
              </w:rPr>
              <w:t>–</w:t>
            </w:r>
            <w:r w:rsidRPr="0041580C">
              <w:rPr>
                <w:rFonts w:ascii="Arial" w:hAnsi="Arial" w:cs="Arial"/>
                <w:color w:val="000000"/>
              </w:rPr>
              <w:t xml:space="preserve"> </w:t>
            </w:r>
            <w:proofErr w:type="spellStart"/>
            <w:r w:rsidR="002C45B9">
              <w:rPr>
                <w:rFonts w:ascii="Arial" w:hAnsi="Arial" w:cs="Arial"/>
                <w:color w:val="000000"/>
              </w:rPr>
              <w:t>d</w:t>
            </w:r>
            <w:r w:rsidRPr="0041580C">
              <w:rPr>
                <w:rFonts w:ascii="Arial" w:hAnsi="Arial" w:cs="Arial"/>
                <w:color w:val="000000"/>
              </w:rPr>
              <w:t>orsopathies</w:t>
            </w:r>
            <w:proofErr w:type="spellEnd"/>
          </w:p>
        </w:tc>
        <w:tc>
          <w:tcPr>
            <w:tcW w:w="115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7%</w:t>
            </w:r>
          </w:p>
        </w:tc>
        <w:tc>
          <w:tcPr>
            <w:tcW w:w="146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9%</w:t>
            </w:r>
          </w:p>
        </w:tc>
        <w:tc>
          <w:tcPr>
            <w:tcW w:w="126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7%</w:t>
            </w:r>
          </w:p>
        </w:tc>
        <w:tc>
          <w:tcPr>
            <w:tcW w:w="1240" w:type="dxa"/>
            <w:shd w:val="clear" w:color="auto" w:fill="auto"/>
            <w:noWrap/>
            <w:vAlign w:val="center"/>
            <w:hideMark/>
          </w:tcPr>
          <w:p w:rsidR="0041580C" w:rsidRPr="0041580C" w:rsidRDefault="0056541C" w:rsidP="0097571C">
            <w:pPr>
              <w:spacing w:before="0" w:after="0"/>
              <w:jc w:val="center"/>
              <w:rPr>
                <w:rFonts w:ascii="Arial" w:hAnsi="Arial" w:cs="Arial"/>
                <w:color w:val="000000"/>
              </w:rPr>
            </w:pPr>
            <w:r>
              <w:rPr>
                <w:rFonts w:ascii="Arial" w:hAnsi="Arial" w:cs="Arial"/>
                <w:color w:val="000000"/>
              </w:rPr>
              <w:t>6%</w:t>
            </w:r>
          </w:p>
        </w:tc>
      </w:tr>
      <w:tr w:rsidR="0041580C" w:rsidRPr="0041580C" w:rsidTr="00F157E2">
        <w:trPr>
          <w:trHeight w:val="300"/>
        </w:trPr>
        <w:tc>
          <w:tcPr>
            <w:tcW w:w="4551" w:type="dxa"/>
            <w:shd w:val="clear" w:color="auto" w:fill="F2DBDB" w:themeFill="accent2" w:themeFillTint="33"/>
            <w:vAlign w:val="center"/>
            <w:hideMark/>
          </w:tcPr>
          <w:p w:rsidR="0041580C" w:rsidRPr="0041580C" w:rsidRDefault="0041580C" w:rsidP="002C45B9">
            <w:pPr>
              <w:spacing w:before="0" w:after="0"/>
              <w:rPr>
                <w:rFonts w:ascii="Arial" w:hAnsi="Arial" w:cs="Arial"/>
                <w:color w:val="000000"/>
              </w:rPr>
            </w:pPr>
            <w:r w:rsidRPr="0041580C">
              <w:rPr>
                <w:rFonts w:ascii="Arial" w:hAnsi="Arial" w:cs="Arial"/>
                <w:color w:val="000000"/>
              </w:rPr>
              <w:t xml:space="preserve">Diseases </w:t>
            </w:r>
            <w:r w:rsidR="002C45B9">
              <w:rPr>
                <w:rFonts w:ascii="Arial" w:hAnsi="Arial" w:cs="Arial"/>
                <w:color w:val="000000"/>
              </w:rPr>
              <w:t>o</w:t>
            </w:r>
            <w:r w:rsidRPr="0041580C">
              <w:rPr>
                <w:rFonts w:ascii="Arial" w:hAnsi="Arial" w:cs="Arial"/>
                <w:color w:val="000000"/>
              </w:rPr>
              <w:t xml:space="preserve">f </w:t>
            </w:r>
            <w:r w:rsidR="002C45B9">
              <w:rPr>
                <w:rFonts w:ascii="Arial" w:hAnsi="Arial" w:cs="Arial"/>
                <w:color w:val="000000"/>
              </w:rPr>
              <w:t>t</w:t>
            </w:r>
            <w:r w:rsidRPr="0041580C">
              <w:rPr>
                <w:rFonts w:ascii="Arial" w:hAnsi="Arial" w:cs="Arial"/>
                <w:color w:val="000000"/>
              </w:rPr>
              <w:t xml:space="preserve">he </w:t>
            </w:r>
            <w:r w:rsidR="002C45B9">
              <w:rPr>
                <w:rFonts w:ascii="Arial" w:hAnsi="Arial" w:cs="Arial"/>
                <w:color w:val="000000"/>
              </w:rPr>
              <w:t>m</w:t>
            </w:r>
            <w:r w:rsidRPr="0041580C">
              <w:rPr>
                <w:rFonts w:ascii="Arial" w:hAnsi="Arial" w:cs="Arial"/>
                <w:color w:val="000000"/>
              </w:rPr>
              <w:t xml:space="preserve">uscle, </w:t>
            </w:r>
            <w:r w:rsidR="002C45B9">
              <w:rPr>
                <w:rFonts w:ascii="Arial" w:hAnsi="Arial" w:cs="Arial"/>
                <w:color w:val="000000"/>
              </w:rPr>
              <w:t>t</w:t>
            </w:r>
            <w:r w:rsidRPr="0041580C">
              <w:rPr>
                <w:rFonts w:ascii="Arial" w:hAnsi="Arial" w:cs="Arial"/>
                <w:color w:val="000000"/>
              </w:rPr>
              <w:t xml:space="preserve">endon </w:t>
            </w:r>
            <w:r w:rsidR="002C45B9">
              <w:rPr>
                <w:rFonts w:ascii="Arial" w:hAnsi="Arial" w:cs="Arial"/>
                <w:color w:val="000000"/>
              </w:rPr>
              <w:t>a</w:t>
            </w:r>
            <w:r w:rsidRPr="0041580C">
              <w:rPr>
                <w:rFonts w:ascii="Arial" w:hAnsi="Arial" w:cs="Arial"/>
                <w:color w:val="000000"/>
              </w:rPr>
              <w:t xml:space="preserve">nd </w:t>
            </w:r>
            <w:r w:rsidR="002C45B9">
              <w:rPr>
                <w:rFonts w:ascii="Arial" w:hAnsi="Arial" w:cs="Arial"/>
                <w:color w:val="000000"/>
              </w:rPr>
              <w:t>r</w:t>
            </w:r>
            <w:r w:rsidRPr="0041580C">
              <w:rPr>
                <w:rFonts w:ascii="Arial" w:hAnsi="Arial" w:cs="Arial"/>
                <w:color w:val="000000"/>
              </w:rPr>
              <w:t xml:space="preserve">elated </w:t>
            </w:r>
            <w:r w:rsidR="002C45B9">
              <w:rPr>
                <w:rFonts w:ascii="Arial" w:hAnsi="Arial" w:cs="Arial"/>
                <w:color w:val="000000"/>
              </w:rPr>
              <w:t>t</w:t>
            </w:r>
            <w:r w:rsidRPr="0041580C">
              <w:rPr>
                <w:rFonts w:ascii="Arial" w:hAnsi="Arial" w:cs="Arial"/>
                <w:color w:val="000000"/>
              </w:rPr>
              <w:t>issue</w:t>
            </w:r>
          </w:p>
        </w:tc>
        <w:tc>
          <w:tcPr>
            <w:tcW w:w="1150" w:type="dxa"/>
            <w:shd w:val="clear" w:color="auto" w:fill="F2DBDB" w:themeFill="accent2" w:themeFillTint="33"/>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5%</w:t>
            </w:r>
          </w:p>
        </w:tc>
        <w:tc>
          <w:tcPr>
            <w:tcW w:w="1460" w:type="dxa"/>
            <w:shd w:val="clear" w:color="auto" w:fill="F2DBDB" w:themeFill="accent2" w:themeFillTint="33"/>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5%</w:t>
            </w:r>
          </w:p>
        </w:tc>
        <w:tc>
          <w:tcPr>
            <w:tcW w:w="1260" w:type="dxa"/>
            <w:shd w:val="clear" w:color="auto" w:fill="F2DBDB" w:themeFill="accent2" w:themeFillTint="33"/>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5%</w:t>
            </w:r>
          </w:p>
        </w:tc>
        <w:tc>
          <w:tcPr>
            <w:tcW w:w="1240" w:type="dxa"/>
            <w:shd w:val="clear" w:color="auto" w:fill="F2DBDB" w:themeFill="accent2" w:themeFillTint="33"/>
            <w:noWrap/>
            <w:vAlign w:val="center"/>
            <w:hideMark/>
          </w:tcPr>
          <w:p w:rsidR="0056541C" w:rsidRPr="0041580C" w:rsidRDefault="0056541C" w:rsidP="00FA03F8">
            <w:pPr>
              <w:spacing w:before="0" w:after="0"/>
              <w:jc w:val="center"/>
              <w:rPr>
                <w:rFonts w:ascii="Arial" w:hAnsi="Arial" w:cs="Arial"/>
                <w:color w:val="000000"/>
              </w:rPr>
            </w:pPr>
            <w:r>
              <w:rPr>
                <w:rFonts w:ascii="Arial" w:hAnsi="Arial" w:cs="Arial"/>
                <w:color w:val="000000"/>
              </w:rPr>
              <w:t>5%</w:t>
            </w:r>
          </w:p>
        </w:tc>
      </w:tr>
      <w:tr w:rsidR="0041580C" w:rsidRPr="0041580C" w:rsidTr="00F157E2">
        <w:trPr>
          <w:trHeight w:val="300"/>
        </w:trPr>
        <w:tc>
          <w:tcPr>
            <w:tcW w:w="4551" w:type="dxa"/>
            <w:shd w:val="clear" w:color="auto" w:fill="auto"/>
            <w:vAlign w:val="center"/>
            <w:hideMark/>
          </w:tcPr>
          <w:p w:rsidR="0041580C" w:rsidRPr="0041580C" w:rsidRDefault="0041580C" w:rsidP="002C45B9">
            <w:pPr>
              <w:spacing w:before="0" w:after="0"/>
              <w:rPr>
                <w:rFonts w:ascii="Arial" w:hAnsi="Arial" w:cs="Arial"/>
                <w:color w:val="000000"/>
              </w:rPr>
            </w:pPr>
            <w:r w:rsidRPr="0041580C">
              <w:rPr>
                <w:rFonts w:ascii="Arial" w:hAnsi="Arial" w:cs="Arial"/>
                <w:color w:val="000000"/>
              </w:rPr>
              <w:t xml:space="preserve">Other </w:t>
            </w:r>
            <w:r w:rsidR="002C45B9">
              <w:rPr>
                <w:rFonts w:ascii="Arial" w:hAnsi="Arial" w:cs="Arial"/>
                <w:color w:val="000000"/>
              </w:rPr>
              <w:t>s</w:t>
            </w:r>
            <w:r w:rsidRPr="0041580C">
              <w:rPr>
                <w:rFonts w:ascii="Arial" w:hAnsi="Arial" w:cs="Arial"/>
                <w:color w:val="000000"/>
              </w:rPr>
              <w:t xml:space="preserve">oft </w:t>
            </w:r>
            <w:r w:rsidR="002C45B9">
              <w:rPr>
                <w:rFonts w:ascii="Arial" w:hAnsi="Arial" w:cs="Arial"/>
                <w:color w:val="000000"/>
              </w:rPr>
              <w:t>t</w:t>
            </w:r>
            <w:r w:rsidRPr="0041580C">
              <w:rPr>
                <w:rFonts w:ascii="Arial" w:hAnsi="Arial" w:cs="Arial"/>
                <w:color w:val="000000"/>
              </w:rPr>
              <w:t xml:space="preserve">issue </w:t>
            </w:r>
            <w:r w:rsidR="002C45B9">
              <w:rPr>
                <w:rFonts w:ascii="Arial" w:hAnsi="Arial" w:cs="Arial"/>
                <w:color w:val="000000"/>
              </w:rPr>
              <w:t>d</w:t>
            </w:r>
            <w:r w:rsidRPr="0041580C">
              <w:rPr>
                <w:rFonts w:ascii="Arial" w:hAnsi="Arial" w:cs="Arial"/>
                <w:color w:val="000000"/>
              </w:rPr>
              <w:t>iseases</w:t>
            </w:r>
          </w:p>
        </w:tc>
        <w:tc>
          <w:tcPr>
            <w:tcW w:w="115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2%</w:t>
            </w:r>
          </w:p>
        </w:tc>
        <w:tc>
          <w:tcPr>
            <w:tcW w:w="146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2%</w:t>
            </w:r>
          </w:p>
        </w:tc>
        <w:tc>
          <w:tcPr>
            <w:tcW w:w="1260" w:type="dxa"/>
            <w:shd w:val="clear" w:color="auto" w:fill="auto"/>
            <w:noWrap/>
            <w:vAlign w:val="center"/>
            <w:hideMark/>
          </w:tcPr>
          <w:p w:rsidR="0041580C" w:rsidRPr="0041580C" w:rsidRDefault="0041580C" w:rsidP="0097571C">
            <w:pPr>
              <w:spacing w:before="0" w:after="0"/>
              <w:jc w:val="center"/>
              <w:rPr>
                <w:rFonts w:ascii="Arial" w:hAnsi="Arial" w:cs="Arial"/>
                <w:color w:val="000000"/>
              </w:rPr>
            </w:pPr>
            <w:r w:rsidRPr="0041580C">
              <w:rPr>
                <w:rFonts w:ascii="Arial" w:hAnsi="Arial" w:cs="Arial"/>
                <w:color w:val="000000"/>
              </w:rPr>
              <w:t>2%</w:t>
            </w:r>
          </w:p>
        </w:tc>
        <w:tc>
          <w:tcPr>
            <w:tcW w:w="1240" w:type="dxa"/>
            <w:shd w:val="clear" w:color="auto" w:fill="auto"/>
            <w:noWrap/>
            <w:vAlign w:val="center"/>
            <w:hideMark/>
          </w:tcPr>
          <w:p w:rsidR="0041580C" w:rsidRPr="0041580C" w:rsidRDefault="0056541C" w:rsidP="0097571C">
            <w:pPr>
              <w:spacing w:before="0" w:after="0"/>
              <w:jc w:val="center"/>
              <w:rPr>
                <w:rFonts w:ascii="Arial" w:hAnsi="Arial" w:cs="Arial"/>
                <w:color w:val="000000"/>
              </w:rPr>
            </w:pPr>
            <w:r>
              <w:rPr>
                <w:rFonts w:ascii="Arial" w:hAnsi="Arial" w:cs="Arial"/>
                <w:color w:val="000000"/>
              </w:rPr>
              <w:t>2%</w:t>
            </w:r>
          </w:p>
        </w:tc>
      </w:tr>
      <w:tr w:rsidR="0097571C" w:rsidRPr="0097571C" w:rsidTr="00B9194B">
        <w:trPr>
          <w:trHeight w:val="600"/>
        </w:trPr>
        <w:tc>
          <w:tcPr>
            <w:tcW w:w="4551" w:type="dxa"/>
            <w:shd w:val="clear" w:color="auto" w:fill="808080"/>
            <w:vAlign w:val="center"/>
            <w:hideMark/>
          </w:tcPr>
          <w:p w:rsidR="0041580C" w:rsidRPr="0097571C" w:rsidRDefault="0041580C" w:rsidP="002C45B9">
            <w:pPr>
              <w:spacing w:before="0" w:after="0"/>
              <w:rPr>
                <w:rFonts w:ascii="Arial" w:hAnsi="Arial" w:cs="Arial"/>
                <w:b/>
                <w:bCs/>
                <w:color w:val="FFFFFF" w:themeColor="background1"/>
              </w:rPr>
            </w:pPr>
            <w:r w:rsidRPr="0097571C">
              <w:rPr>
                <w:rFonts w:ascii="Arial" w:hAnsi="Arial" w:cs="Arial"/>
                <w:b/>
                <w:bCs/>
                <w:color w:val="FFFFFF" w:themeColor="background1"/>
              </w:rPr>
              <w:t xml:space="preserve">Wounds, </w:t>
            </w:r>
            <w:r w:rsidR="002C45B9">
              <w:rPr>
                <w:rFonts w:ascii="Arial" w:hAnsi="Arial" w:cs="Arial"/>
                <w:b/>
                <w:bCs/>
                <w:color w:val="FFFFFF" w:themeColor="background1"/>
              </w:rPr>
              <w:t>l</w:t>
            </w:r>
            <w:r w:rsidRPr="0097571C">
              <w:rPr>
                <w:rFonts w:ascii="Arial" w:hAnsi="Arial" w:cs="Arial"/>
                <w:b/>
                <w:bCs/>
                <w:color w:val="FFFFFF" w:themeColor="background1"/>
              </w:rPr>
              <w:t xml:space="preserve">acerations, </w:t>
            </w:r>
            <w:r w:rsidR="002C45B9">
              <w:rPr>
                <w:rFonts w:ascii="Arial" w:hAnsi="Arial" w:cs="Arial"/>
                <w:b/>
                <w:bCs/>
                <w:color w:val="FFFFFF" w:themeColor="background1"/>
              </w:rPr>
              <w:t>a</w:t>
            </w:r>
            <w:r w:rsidRPr="0097571C">
              <w:rPr>
                <w:rFonts w:ascii="Arial" w:hAnsi="Arial" w:cs="Arial"/>
                <w:b/>
                <w:bCs/>
                <w:color w:val="FFFFFF" w:themeColor="background1"/>
              </w:rPr>
              <w:t xml:space="preserve">mputations </w:t>
            </w:r>
            <w:r w:rsidR="002C45B9">
              <w:rPr>
                <w:rFonts w:ascii="Arial" w:hAnsi="Arial" w:cs="Arial"/>
                <w:b/>
                <w:bCs/>
                <w:color w:val="FFFFFF" w:themeColor="background1"/>
              </w:rPr>
              <w:t>a</w:t>
            </w:r>
            <w:r w:rsidRPr="0097571C">
              <w:rPr>
                <w:rFonts w:ascii="Arial" w:hAnsi="Arial" w:cs="Arial"/>
                <w:b/>
                <w:bCs/>
                <w:color w:val="FFFFFF" w:themeColor="background1"/>
              </w:rPr>
              <w:t xml:space="preserve">nd </w:t>
            </w:r>
            <w:r w:rsidR="002C45B9">
              <w:rPr>
                <w:rFonts w:ascii="Arial" w:hAnsi="Arial" w:cs="Arial"/>
                <w:b/>
                <w:bCs/>
                <w:color w:val="FFFFFF" w:themeColor="background1"/>
              </w:rPr>
              <w:t>i</w:t>
            </w:r>
            <w:r w:rsidRPr="0097571C">
              <w:rPr>
                <w:rFonts w:ascii="Arial" w:hAnsi="Arial" w:cs="Arial"/>
                <w:b/>
                <w:bCs/>
                <w:color w:val="FFFFFF" w:themeColor="background1"/>
              </w:rPr>
              <w:t xml:space="preserve">nternal </w:t>
            </w:r>
            <w:r w:rsidR="002C45B9">
              <w:rPr>
                <w:rFonts w:ascii="Arial" w:hAnsi="Arial" w:cs="Arial"/>
                <w:b/>
                <w:bCs/>
                <w:color w:val="FFFFFF" w:themeColor="background1"/>
              </w:rPr>
              <w:t>o</w:t>
            </w:r>
            <w:r w:rsidRPr="0097571C">
              <w:rPr>
                <w:rFonts w:ascii="Arial" w:hAnsi="Arial" w:cs="Arial"/>
                <w:b/>
                <w:bCs/>
                <w:color w:val="FFFFFF" w:themeColor="background1"/>
              </w:rPr>
              <w:t xml:space="preserve">rgan </w:t>
            </w:r>
            <w:r w:rsidR="002C45B9">
              <w:rPr>
                <w:rFonts w:ascii="Arial" w:hAnsi="Arial" w:cs="Arial"/>
                <w:b/>
                <w:bCs/>
                <w:color w:val="FFFFFF" w:themeColor="background1"/>
              </w:rPr>
              <w:t>d</w:t>
            </w:r>
            <w:r w:rsidRPr="0097571C">
              <w:rPr>
                <w:rFonts w:ascii="Arial" w:hAnsi="Arial" w:cs="Arial"/>
                <w:b/>
                <w:bCs/>
                <w:color w:val="FFFFFF" w:themeColor="background1"/>
              </w:rPr>
              <w:t>amage</w:t>
            </w:r>
          </w:p>
        </w:tc>
        <w:tc>
          <w:tcPr>
            <w:tcW w:w="115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13%</w:t>
            </w:r>
          </w:p>
        </w:tc>
        <w:tc>
          <w:tcPr>
            <w:tcW w:w="14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10%</w:t>
            </w:r>
          </w:p>
        </w:tc>
        <w:tc>
          <w:tcPr>
            <w:tcW w:w="12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13%</w:t>
            </w:r>
          </w:p>
        </w:tc>
        <w:tc>
          <w:tcPr>
            <w:tcW w:w="1240" w:type="dxa"/>
            <w:shd w:val="clear" w:color="auto" w:fill="808080"/>
            <w:noWrap/>
            <w:vAlign w:val="center"/>
            <w:hideMark/>
          </w:tcPr>
          <w:p w:rsidR="0041580C" w:rsidRPr="00C56FFA" w:rsidRDefault="0056541C" w:rsidP="0097571C">
            <w:pPr>
              <w:spacing w:before="0" w:after="0"/>
              <w:jc w:val="center"/>
              <w:rPr>
                <w:rFonts w:ascii="Arial" w:hAnsi="Arial" w:cs="Arial"/>
                <w:b/>
                <w:color w:val="FFFFFF" w:themeColor="background1"/>
              </w:rPr>
            </w:pPr>
            <w:r w:rsidRPr="00C56FFA">
              <w:rPr>
                <w:rFonts w:ascii="Arial" w:hAnsi="Arial" w:cs="Arial"/>
                <w:b/>
                <w:color w:val="FFFFFF" w:themeColor="background1"/>
              </w:rPr>
              <w:t>15%</w:t>
            </w:r>
          </w:p>
        </w:tc>
      </w:tr>
      <w:tr w:rsidR="0097571C" w:rsidRPr="0097571C" w:rsidTr="00B9194B">
        <w:trPr>
          <w:trHeight w:val="300"/>
        </w:trPr>
        <w:tc>
          <w:tcPr>
            <w:tcW w:w="4551" w:type="dxa"/>
            <w:shd w:val="clear" w:color="auto" w:fill="808080"/>
            <w:vAlign w:val="center"/>
            <w:hideMark/>
          </w:tcPr>
          <w:p w:rsidR="0041580C" w:rsidRPr="0097571C" w:rsidRDefault="0041580C" w:rsidP="0097571C">
            <w:pPr>
              <w:spacing w:before="0" w:after="0"/>
              <w:rPr>
                <w:rFonts w:ascii="Arial" w:hAnsi="Arial" w:cs="Arial"/>
                <w:b/>
                <w:bCs/>
                <w:color w:val="FFFFFF" w:themeColor="background1"/>
              </w:rPr>
            </w:pPr>
            <w:r w:rsidRPr="0097571C">
              <w:rPr>
                <w:rFonts w:ascii="Arial" w:hAnsi="Arial" w:cs="Arial"/>
                <w:b/>
                <w:bCs/>
                <w:color w:val="FFFFFF" w:themeColor="background1"/>
              </w:rPr>
              <w:t>Fractures</w:t>
            </w:r>
          </w:p>
        </w:tc>
        <w:tc>
          <w:tcPr>
            <w:tcW w:w="115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14%</w:t>
            </w:r>
          </w:p>
        </w:tc>
        <w:tc>
          <w:tcPr>
            <w:tcW w:w="14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8%</w:t>
            </w:r>
          </w:p>
        </w:tc>
        <w:tc>
          <w:tcPr>
            <w:tcW w:w="12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13%</w:t>
            </w:r>
          </w:p>
        </w:tc>
        <w:tc>
          <w:tcPr>
            <w:tcW w:w="1240" w:type="dxa"/>
            <w:shd w:val="clear" w:color="auto" w:fill="808080"/>
            <w:noWrap/>
            <w:vAlign w:val="center"/>
            <w:hideMark/>
          </w:tcPr>
          <w:p w:rsidR="0041580C" w:rsidRPr="00C56FFA" w:rsidRDefault="0056541C" w:rsidP="0097571C">
            <w:pPr>
              <w:spacing w:before="0" w:after="0"/>
              <w:jc w:val="center"/>
              <w:rPr>
                <w:rFonts w:ascii="Arial" w:hAnsi="Arial" w:cs="Arial"/>
                <w:b/>
                <w:color w:val="FFFFFF" w:themeColor="background1"/>
              </w:rPr>
            </w:pPr>
            <w:r w:rsidRPr="00C56FFA">
              <w:rPr>
                <w:rFonts w:ascii="Arial" w:hAnsi="Arial" w:cs="Arial"/>
                <w:b/>
                <w:color w:val="FFFFFF" w:themeColor="background1"/>
              </w:rPr>
              <w:t>9%</w:t>
            </w:r>
          </w:p>
        </w:tc>
      </w:tr>
      <w:tr w:rsidR="0097571C" w:rsidRPr="0097571C" w:rsidTr="00B9194B">
        <w:trPr>
          <w:trHeight w:val="300"/>
        </w:trPr>
        <w:tc>
          <w:tcPr>
            <w:tcW w:w="4551" w:type="dxa"/>
            <w:shd w:val="clear" w:color="auto" w:fill="808080"/>
            <w:vAlign w:val="center"/>
            <w:hideMark/>
          </w:tcPr>
          <w:p w:rsidR="0041580C" w:rsidRPr="0097571C" w:rsidRDefault="0041580C" w:rsidP="002C45B9">
            <w:pPr>
              <w:spacing w:before="0" w:after="0"/>
              <w:rPr>
                <w:rFonts w:ascii="Arial" w:hAnsi="Arial" w:cs="Arial"/>
                <w:b/>
                <w:bCs/>
                <w:color w:val="FFFFFF" w:themeColor="background1"/>
              </w:rPr>
            </w:pPr>
            <w:r w:rsidRPr="0097571C">
              <w:rPr>
                <w:rFonts w:ascii="Arial" w:hAnsi="Arial" w:cs="Arial"/>
                <w:b/>
                <w:bCs/>
                <w:color w:val="FFFFFF" w:themeColor="background1"/>
              </w:rPr>
              <w:t xml:space="preserve">Mental </w:t>
            </w:r>
            <w:r w:rsidR="002C45B9">
              <w:rPr>
                <w:rFonts w:ascii="Arial" w:hAnsi="Arial" w:cs="Arial"/>
                <w:b/>
                <w:bCs/>
                <w:color w:val="FFFFFF" w:themeColor="background1"/>
              </w:rPr>
              <w:t>d</w:t>
            </w:r>
            <w:r w:rsidRPr="0097571C">
              <w:rPr>
                <w:rFonts w:ascii="Arial" w:hAnsi="Arial" w:cs="Arial"/>
                <w:b/>
                <w:bCs/>
                <w:color w:val="FFFFFF" w:themeColor="background1"/>
              </w:rPr>
              <w:t>isorders</w:t>
            </w:r>
          </w:p>
        </w:tc>
        <w:tc>
          <w:tcPr>
            <w:tcW w:w="115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2%</w:t>
            </w:r>
          </w:p>
        </w:tc>
        <w:tc>
          <w:tcPr>
            <w:tcW w:w="14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10%</w:t>
            </w:r>
          </w:p>
        </w:tc>
        <w:tc>
          <w:tcPr>
            <w:tcW w:w="12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3%</w:t>
            </w:r>
          </w:p>
        </w:tc>
        <w:tc>
          <w:tcPr>
            <w:tcW w:w="1240" w:type="dxa"/>
            <w:shd w:val="clear" w:color="auto" w:fill="808080"/>
            <w:noWrap/>
            <w:vAlign w:val="center"/>
            <w:hideMark/>
          </w:tcPr>
          <w:p w:rsidR="0041580C" w:rsidRPr="00C56FFA" w:rsidRDefault="0056541C" w:rsidP="0097571C">
            <w:pPr>
              <w:spacing w:before="0" w:after="0"/>
              <w:jc w:val="center"/>
              <w:rPr>
                <w:rFonts w:ascii="Arial" w:hAnsi="Arial" w:cs="Arial"/>
                <w:b/>
                <w:color w:val="FFFFFF" w:themeColor="background1"/>
              </w:rPr>
            </w:pPr>
            <w:r w:rsidRPr="00C56FFA">
              <w:rPr>
                <w:rFonts w:ascii="Arial" w:hAnsi="Arial" w:cs="Arial"/>
                <w:b/>
                <w:color w:val="FFFFFF" w:themeColor="background1"/>
              </w:rPr>
              <w:t>6%</w:t>
            </w:r>
          </w:p>
        </w:tc>
      </w:tr>
      <w:tr w:rsidR="0097571C" w:rsidRPr="0097571C" w:rsidTr="00B9194B">
        <w:trPr>
          <w:trHeight w:val="300"/>
        </w:trPr>
        <w:tc>
          <w:tcPr>
            <w:tcW w:w="4551" w:type="dxa"/>
            <w:shd w:val="clear" w:color="auto" w:fill="808080"/>
            <w:vAlign w:val="center"/>
            <w:hideMark/>
          </w:tcPr>
          <w:p w:rsidR="0041580C" w:rsidRPr="0097571C" w:rsidRDefault="0041580C" w:rsidP="002C45B9">
            <w:pPr>
              <w:spacing w:before="0" w:after="0"/>
              <w:rPr>
                <w:rFonts w:ascii="Arial" w:hAnsi="Arial" w:cs="Arial"/>
                <w:b/>
                <w:bCs/>
                <w:color w:val="FFFFFF" w:themeColor="background1"/>
              </w:rPr>
            </w:pPr>
            <w:r w:rsidRPr="0097571C">
              <w:rPr>
                <w:rFonts w:ascii="Arial" w:hAnsi="Arial" w:cs="Arial"/>
                <w:b/>
                <w:bCs/>
                <w:color w:val="FFFFFF" w:themeColor="background1"/>
              </w:rPr>
              <w:t xml:space="preserve">Digestive </w:t>
            </w:r>
            <w:r w:rsidR="002C45B9">
              <w:rPr>
                <w:rFonts w:ascii="Arial" w:hAnsi="Arial" w:cs="Arial"/>
                <w:b/>
                <w:bCs/>
                <w:color w:val="FFFFFF" w:themeColor="background1"/>
              </w:rPr>
              <w:t>s</w:t>
            </w:r>
            <w:r w:rsidRPr="0097571C">
              <w:rPr>
                <w:rFonts w:ascii="Arial" w:hAnsi="Arial" w:cs="Arial"/>
                <w:b/>
                <w:bCs/>
                <w:color w:val="FFFFFF" w:themeColor="background1"/>
              </w:rPr>
              <w:t xml:space="preserve">ystem </w:t>
            </w:r>
            <w:r w:rsidR="002C45B9">
              <w:rPr>
                <w:rFonts w:ascii="Arial" w:hAnsi="Arial" w:cs="Arial"/>
                <w:b/>
                <w:bCs/>
                <w:color w:val="FFFFFF" w:themeColor="background1"/>
              </w:rPr>
              <w:t>d</w:t>
            </w:r>
            <w:r w:rsidRPr="0097571C">
              <w:rPr>
                <w:rFonts w:ascii="Arial" w:hAnsi="Arial" w:cs="Arial"/>
                <w:b/>
                <w:bCs/>
                <w:color w:val="FFFFFF" w:themeColor="background1"/>
              </w:rPr>
              <w:t>iseases</w:t>
            </w:r>
          </w:p>
        </w:tc>
        <w:tc>
          <w:tcPr>
            <w:tcW w:w="115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3%</w:t>
            </w:r>
          </w:p>
        </w:tc>
        <w:tc>
          <w:tcPr>
            <w:tcW w:w="14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1%</w:t>
            </w:r>
          </w:p>
        </w:tc>
        <w:tc>
          <w:tcPr>
            <w:tcW w:w="1260" w:type="dxa"/>
            <w:shd w:val="clear" w:color="auto" w:fill="808080"/>
            <w:noWrap/>
            <w:vAlign w:val="center"/>
            <w:hideMark/>
          </w:tcPr>
          <w:p w:rsidR="0041580C" w:rsidRPr="0097571C" w:rsidRDefault="0041580C" w:rsidP="0097571C">
            <w:pPr>
              <w:spacing w:before="0" w:after="0"/>
              <w:jc w:val="center"/>
              <w:rPr>
                <w:rFonts w:ascii="Arial" w:hAnsi="Arial" w:cs="Arial"/>
                <w:b/>
                <w:color w:val="FFFFFF" w:themeColor="background1"/>
              </w:rPr>
            </w:pPr>
            <w:r w:rsidRPr="0097571C">
              <w:rPr>
                <w:rFonts w:ascii="Arial" w:hAnsi="Arial" w:cs="Arial"/>
                <w:b/>
                <w:color w:val="FFFFFF" w:themeColor="background1"/>
              </w:rPr>
              <w:t>3%</w:t>
            </w:r>
          </w:p>
        </w:tc>
        <w:tc>
          <w:tcPr>
            <w:tcW w:w="1240" w:type="dxa"/>
            <w:shd w:val="clear" w:color="auto" w:fill="808080"/>
            <w:noWrap/>
            <w:vAlign w:val="center"/>
            <w:hideMark/>
          </w:tcPr>
          <w:p w:rsidR="0041580C" w:rsidRPr="00C56FFA" w:rsidRDefault="0056541C" w:rsidP="0097571C">
            <w:pPr>
              <w:spacing w:before="0" w:after="0"/>
              <w:jc w:val="center"/>
              <w:rPr>
                <w:rFonts w:ascii="Arial" w:hAnsi="Arial" w:cs="Arial"/>
                <w:b/>
                <w:color w:val="FFFFFF" w:themeColor="background1"/>
              </w:rPr>
            </w:pPr>
            <w:r w:rsidRPr="00C56FFA">
              <w:rPr>
                <w:rFonts w:ascii="Arial" w:hAnsi="Arial" w:cs="Arial"/>
                <w:b/>
                <w:color w:val="FFFFFF" w:themeColor="background1"/>
              </w:rPr>
              <w:t>2%</w:t>
            </w:r>
          </w:p>
        </w:tc>
      </w:tr>
      <w:tr w:rsidR="0097571C" w:rsidRPr="0097571C" w:rsidTr="00B9194B">
        <w:trPr>
          <w:trHeight w:val="300"/>
        </w:trPr>
        <w:tc>
          <w:tcPr>
            <w:tcW w:w="4551" w:type="dxa"/>
            <w:shd w:val="clear" w:color="auto" w:fill="808080"/>
            <w:vAlign w:val="center"/>
            <w:hideMark/>
          </w:tcPr>
          <w:p w:rsidR="0041580C" w:rsidRPr="0097571C" w:rsidRDefault="0056541C" w:rsidP="00FA03F8">
            <w:pPr>
              <w:spacing w:before="0" w:after="0"/>
              <w:rPr>
                <w:rFonts w:ascii="Arial" w:hAnsi="Arial" w:cs="Arial"/>
                <w:b/>
                <w:bCs/>
                <w:color w:val="FFFFFF" w:themeColor="background1"/>
              </w:rPr>
            </w:pPr>
            <w:r>
              <w:rPr>
                <w:rFonts w:ascii="Arial" w:hAnsi="Arial" w:cs="Arial"/>
                <w:b/>
                <w:bCs/>
                <w:color w:val="FFFFFF" w:themeColor="background1"/>
              </w:rPr>
              <w:t>Other injuries/diseases</w:t>
            </w:r>
          </w:p>
        </w:tc>
        <w:tc>
          <w:tcPr>
            <w:tcW w:w="1150" w:type="dxa"/>
            <w:shd w:val="clear" w:color="auto" w:fill="808080"/>
            <w:noWrap/>
            <w:vAlign w:val="center"/>
            <w:hideMark/>
          </w:tcPr>
          <w:p w:rsidR="0041580C" w:rsidRPr="0097571C" w:rsidRDefault="00CE1422" w:rsidP="0097571C">
            <w:pPr>
              <w:spacing w:before="0" w:after="0"/>
              <w:jc w:val="center"/>
              <w:rPr>
                <w:rFonts w:ascii="Arial" w:hAnsi="Arial" w:cs="Arial"/>
                <w:b/>
                <w:color w:val="FFFFFF" w:themeColor="background1"/>
              </w:rPr>
            </w:pPr>
            <w:r>
              <w:rPr>
                <w:rFonts w:ascii="Arial" w:hAnsi="Arial" w:cs="Arial"/>
                <w:b/>
                <w:color w:val="FFFFFF" w:themeColor="background1"/>
              </w:rPr>
              <w:t>6</w:t>
            </w:r>
            <w:r w:rsidR="0041580C" w:rsidRPr="0097571C">
              <w:rPr>
                <w:rFonts w:ascii="Arial" w:hAnsi="Arial" w:cs="Arial"/>
                <w:b/>
                <w:color w:val="FFFFFF" w:themeColor="background1"/>
              </w:rPr>
              <w:t>%</w:t>
            </w:r>
          </w:p>
        </w:tc>
        <w:tc>
          <w:tcPr>
            <w:tcW w:w="1460" w:type="dxa"/>
            <w:shd w:val="clear" w:color="auto" w:fill="808080"/>
            <w:noWrap/>
            <w:vAlign w:val="center"/>
            <w:hideMark/>
          </w:tcPr>
          <w:p w:rsidR="0041580C" w:rsidRPr="0097571C" w:rsidRDefault="00CE1422" w:rsidP="0097571C">
            <w:pPr>
              <w:spacing w:before="0" w:after="0"/>
              <w:jc w:val="center"/>
              <w:rPr>
                <w:rFonts w:ascii="Arial" w:hAnsi="Arial" w:cs="Arial"/>
                <w:b/>
                <w:color w:val="FFFFFF" w:themeColor="background1"/>
              </w:rPr>
            </w:pPr>
            <w:r>
              <w:rPr>
                <w:rFonts w:ascii="Arial" w:hAnsi="Arial" w:cs="Arial"/>
                <w:b/>
                <w:color w:val="FFFFFF" w:themeColor="background1"/>
              </w:rPr>
              <w:t>7</w:t>
            </w:r>
            <w:r w:rsidR="0041580C" w:rsidRPr="0097571C">
              <w:rPr>
                <w:rFonts w:ascii="Arial" w:hAnsi="Arial" w:cs="Arial"/>
                <w:b/>
                <w:color w:val="FFFFFF" w:themeColor="background1"/>
              </w:rPr>
              <w:t>%</w:t>
            </w:r>
          </w:p>
        </w:tc>
        <w:tc>
          <w:tcPr>
            <w:tcW w:w="1260" w:type="dxa"/>
            <w:shd w:val="clear" w:color="auto" w:fill="808080"/>
            <w:noWrap/>
            <w:vAlign w:val="center"/>
            <w:hideMark/>
          </w:tcPr>
          <w:p w:rsidR="0041580C" w:rsidRPr="0097571C" w:rsidRDefault="00CE1422" w:rsidP="0097571C">
            <w:pPr>
              <w:spacing w:before="0" w:after="0"/>
              <w:jc w:val="center"/>
              <w:rPr>
                <w:rFonts w:ascii="Arial" w:hAnsi="Arial" w:cs="Arial"/>
                <w:b/>
                <w:color w:val="FFFFFF" w:themeColor="background1"/>
              </w:rPr>
            </w:pPr>
            <w:r>
              <w:rPr>
                <w:rFonts w:ascii="Arial" w:hAnsi="Arial" w:cs="Arial"/>
                <w:b/>
                <w:color w:val="FFFFFF" w:themeColor="background1"/>
              </w:rPr>
              <w:t>6</w:t>
            </w:r>
            <w:r w:rsidR="0041580C" w:rsidRPr="0097571C">
              <w:rPr>
                <w:rFonts w:ascii="Arial" w:hAnsi="Arial" w:cs="Arial"/>
                <w:b/>
                <w:color w:val="FFFFFF" w:themeColor="background1"/>
              </w:rPr>
              <w:t>%</w:t>
            </w:r>
          </w:p>
        </w:tc>
        <w:tc>
          <w:tcPr>
            <w:tcW w:w="1240" w:type="dxa"/>
            <w:shd w:val="clear" w:color="auto" w:fill="808080"/>
            <w:noWrap/>
            <w:vAlign w:val="center"/>
            <w:hideMark/>
          </w:tcPr>
          <w:p w:rsidR="0041580C" w:rsidRPr="00C56FFA" w:rsidRDefault="00CE1422" w:rsidP="00FA03F8">
            <w:pPr>
              <w:spacing w:before="0" w:after="0"/>
              <w:jc w:val="center"/>
              <w:rPr>
                <w:rFonts w:ascii="Arial" w:hAnsi="Arial" w:cs="Arial"/>
                <w:b/>
                <w:color w:val="FFFFFF" w:themeColor="background1"/>
              </w:rPr>
            </w:pPr>
            <w:r>
              <w:rPr>
                <w:rFonts w:ascii="Arial" w:hAnsi="Arial" w:cs="Arial"/>
                <w:b/>
                <w:color w:val="FFFFFF" w:themeColor="background1"/>
              </w:rPr>
              <w:t>8</w:t>
            </w:r>
            <w:r w:rsidR="0056541C">
              <w:rPr>
                <w:rFonts w:ascii="Arial" w:hAnsi="Arial" w:cs="Arial"/>
                <w:b/>
                <w:color w:val="FFFFFF" w:themeColor="background1"/>
              </w:rPr>
              <w:t>%</w:t>
            </w:r>
          </w:p>
        </w:tc>
      </w:tr>
      <w:tr w:rsidR="0097571C" w:rsidRPr="0097571C" w:rsidTr="00B9194B">
        <w:trPr>
          <w:trHeight w:val="300"/>
        </w:trPr>
        <w:tc>
          <w:tcPr>
            <w:tcW w:w="4551" w:type="dxa"/>
            <w:shd w:val="clear" w:color="auto" w:fill="AF1E2D"/>
            <w:vAlign w:val="center"/>
            <w:hideMark/>
          </w:tcPr>
          <w:p w:rsidR="0041580C" w:rsidRPr="0097571C" w:rsidRDefault="0041580C" w:rsidP="0097571C">
            <w:pPr>
              <w:spacing w:before="0" w:after="0"/>
              <w:rPr>
                <w:rFonts w:ascii="Arial" w:hAnsi="Arial" w:cs="Arial"/>
                <w:b/>
                <w:bCs/>
                <w:color w:val="FFFFFF" w:themeColor="background1"/>
              </w:rPr>
            </w:pPr>
            <w:r w:rsidRPr="0097571C">
              <w:rPr>
                <w:rFonts w:ascii="Arial" w:hAnsi="Arial" w:cs="Arial"/>
                <w:b/>
                <w:bCs/>
                <w:color w:val="FFFFFF" w:themeColor="background1"/>
              </w:rPr>
              <w:t>Total</w:t>
            </w:r>
          </w:p>
        </w:tc>
        <w:tc>
          <w:tcPr>
            <w:tcW w:w="1150" w:type="dxa"/>
            <w:shd w:val="clear" w:color="auto" w:fill="AF1E2D"/>
            <w:noWrap/>
            <w:vAlign w:val="center"/>
            <w:hideMark/>
          </w:tcPr>
          <w:p w:rsidR="0041580C" w:rsidRPr="00C56FFA" w:rsidRDefault="0041580C" w:rsidP="0097571C">
            <w:pPr>
              <w:spacing w:before="0" w:after="0"/>
              <w:jc w:val="center"/>
              <w:rPr>
                <w:rFonts w:ascii="Arial" w:hAnsi="Arial" w:cs="Arial"/>
                <w:b/>
                <w:color w:val="FFFFFF" w:themeColor="background1"/>
              </w:rPr>
            </w:pPr>
            <w:r w:rsidRPr="00C56FFA">
              <w:rPr>
                <w:rFonts w:ascii="Arial" w:hAnsi="Arial" w:cs="Arial"/>
                <w:b/>
                <w:color w:val="FFFFFF" w:themeColor="background1"/>
              </w:rPr>
              <w:t>100%</w:t>
            </w:r>
          </w:p>
        </w:tc>
        <w:tc>
          <w:tcPr>
            <w:tcW w:w="1460" w:type="dxa"/>
            <w:shd w:val="clear" w:color="auto" w:fill="AF1E2D"/>
            <w:noWrap/>
            <w:vAlign w:val="center"/>
            <w:hideMark/>
          </w:tcPr>
          <w:p w:rsidR="0041580C" w:rsidRPr="00C56FFA" w:rsidRDefault="0041580C" w:rsidP="0097571C">
            <w:pPr>
              <w:spacing w:before="0" w:after="0"/>
              <w:jc w:val="center"/>
              <w:rPr>
                <w:rFonts w:ascii="Arial" w:hAnsi="Arial" w:cs="Arial"/>
                <w:b/>
                <w:color w:val="FFFFFF" w:themeColor="background1"/>
              </w:rPr>
            </w:pPr>
            <w:r w:rsidRPr="00C56FFA">
              <w:rPr>
                <w:rFonts w:ascii="Arial" w:hAnsi="Arial" w:cs="Arial"/>
                <w:b/>
                <w:color w:val="FFFFFF" w:themeColor="background1"/>
              </w:rPr>
              <w:t>100%</w:t>
            </w:r>
          </w:p>
        </w:tc>
        <w:tc>
          <w:tcPr>
            <w:tcW w:w="1260" w:type="dxa"/>
            <w:shd w:val="clear" w:color="auto" w:fill="AF1E2D"/>
            <w:noWrap/>
            <w:vAlign w:val="center"/>
            <w:hideMark/>
          </w:tcPr>
          <w:p w:rsidR="0041580C" w:rsidRPr="00C56FFA" w:rsidRDefault="0041580C" w:rsidP="0097571C">
            <w:pPr>
              <w:spacing w:before="0" w:after="0"/>
              <w:jc w:val="center"/>
              <w:rPr>
                <w:rFonts w:ascii="Arial" w:hAnsi="Arial" w:cs="Arial"/>
                <w:b/>
                <w:color w:val="FFFFFF" w:themeColor="background1"/>
              </w:rPr>
            </w:pPr>
            <w:r w:rsidRPr="00C56FFA">
              <w:rPr>
                <w:rFonts w:ascii="Arial" w:hAnsi="Arial" w:cs="Arial"/>
                <w:b/>
                <w:color w:val="FFFFFF" w:themeColor="background1"/>
              </w:rPr>
              <w:t>100%</w:t>
            </w:r>
          </w:p>
        </w:tc>
        <w:tc>
          <w:tcPr>
            <w:tcW w:w="1240" w:type="dxa"/>
            <w:shd w:val="clear" w:color="auto" w:fill="AF1E2D"/>
            <w:noWrap/>
            <w:vAlign w:val="center"/>
            <w:hideMark/>
          </w:tcPr>
          <w:p w:rsidR="0041580C" w:rsidRPr="00C56FFA" w:rsidRDefault="0056541C" w:rsidP="0097571C">
            <w:pPr>
              <w:spacing w:before="0" w:after="0"/>
              <w:jc w:val="center"/>
              <w:rPr>
                <w:rFonts w:ascii="Arial" w:hAnsi="Arial" w:cs="Arial"/>
                <w:b/>
                <w:color w:val="FFFFFF" w:themeColor="background1"/>
              </w:rPr>
            </w:pPr>
            <w:r w:rsidRPr="00C56FFA">
              <w:rPr>
                <w:rFonts w:ascii="Arial" w:hAnsi="Arial" w:cs="Arial"/>
                <w:b/>
                <w:color w:val="FFFFFF" w:themeColor="background1"/>
              </w:rPr>
              <w:t>100%</w:t>
            </w:r>
          </w:p>
        </w:tc>
      </w:tr>
    </w:tbl>
    <w:p w:rsidR="000E2777" w:rsidRPr="00C56FFA" w:rsidRDefault="00574FA9" w:rsidP="00C56FFA">
      <w:pPr>
        <w:spacing w:before="0" w:after="0"/>
        <w:rPr>
          <w:rFonts w:ascii="Arial" w:hAnsi="Arial" w:cs="Arial"/>
          <w:sz w:val="18"/>
          <w:szCs w:val="24"/>
        </w:rPr>
      </w:pPr>
      <w:r>
        <w:rPr>
          <w:rFonts w:ascii="Arial" w:hAnsi="Arial" w:cs="Arial"/>
          <w:sz w:val="18"/>
          <w:szCs w:val="24"/>
        </w:rPr>
        <w:br/>
      </w:r>
      <w:r w:rsidR="00AC3894">
        <w:rPr>
          <w:rFonts w:ascii="Arial" w:hAnsi="Arial" w:cs="Arial"/>
          <w:sz w:val="18"/>
          <w:szCs w:val="24"/>
        </w:rPr>
        <w:t>Note: Only selected nature sub</w:t>
      </w:r>
      <w:r w:rsidR="00AC3894">
        <w:rPr>
          <w:rFonts w:ascii="Arial" w:hAnsi="Arial" w:cs="Arial"/>
          <w:sz w:val="18"/>
          <w:szCs w:val="24"/>
        </w:rPr>
        <w:noBreakHyphen/>
        <w:t>groups are included and therefore the sum of the percentage figures may not add to the category total.  The percentages shown have been rounded to the nearest whole number and therefore the sum of the figures for each column may not equal the total.</w:t>
      </w:r>
    </w:p>
    <w:p w:rsidR="007467AC" w:rsidRDefault="007467AC" w:rsidP="007D6070">
      <w:pPr>
        <w:spacing w:line="360" w:lineRule="auto"/>
        <w:rPr>
          <w:rFonts w:ascii="Arial" w:hAnsi="Arial" w:cs="Arial"/>
          <w:b/>
          <w:color w:val="C10A27"/>
          <w:sz w:val="24"/>
          <w:szCs w:val="24"/>
        </w:rPr>
      </w:pPr>
    </w:p>
    <w:p w:rsidR="0056541C" w:rsidRDefault="0056541C">
      <w:pPr>
        <w:spacing w:before="0" w:after="0"/>
        <w:rPr>
          <w:rFonts w:ascii="Arial" w:hAnsi="Arial" w:cs="Arial"/>
          <w:b/>
          <w:color w:val="C10A27"/>
          <w:sz w:val="28"/>
          <w:szCs w:val="24"/>
        </w:rPr>
      </w:pPr>
      <w:r>
        <w:rPr>
          <w:rFonts w:ascii="Arial" w:hAnsi="Arial" w:cs="Arial"/>
          <w:b/>
          <w:color w:val="C10A27"/>
          <w:sz w:val="28"/>
          <w:szCs w:val="24"/>
        </w:rPr>
        <w:br w:type="page"/>
      </w:r>
    </w:p>
    <w:p w:rsidR="007467AC" w:rsidRPr="009B231B" w:rsidRDefault="007467AC" w:rsidP="007772DB">
      <w:pPr>
        <w:spacing w:before="0"/>
        <w:rPr>
          <w:rFonts w:ascii="Arial" w:hAnsi="Arial" w:cs="Arial"/>
          <w:b/>
          <w:color w:val="C10A27"/>
          <w:sz w:val="28"/>
          <w:szCs w:val="24"/>
        </w:rPr>
      </w:pPr>
      <w:r w:rsidRPr="009B231B">
        <w:rPr>
          <w:rFonts w:ascii="Arial" w:hAnsi="Arial" w:cs="Arial"/>
          <w:b/>
          <w:noProof/>
          <w:color w:val="C10A27"/>
          <w:szCs w:val="18"/>
        </w:rPr>
        <w:lastRenderedPageBreak/>
        <w:drawing>
          <wp:anchor distT="0" distB="0" distL="114300" distR="114300" simplePos="0" relativeHeight="251663360" behindDoc="0" locked="0" layoutInCell="1" allowOverlap="1" wp14:anchorId="5E55F0CB" wp14:editId="22037BCE">
            <wp:simplePos x="0" y="0"/>
            <wp:positionH relativeFrom="column">
              <wp:posOffset>2609215</wp:posOffset>
            </wp:positionH>
            <wp:positionV relativeFrom="paragraph">
              <wp:posOffset>29845</wp:posOffset>
            </wp:positionV>
            <wp:extent cx="3328035" cy="2539365"/>
            <wp:effectExtent l="0" t="0" r="5715" b="0"/>
            <wp:wrapSquare wrapText="bothSides"/>
            <wp:docPr id="7" name="Picture 7" descr="This infographic shows that injuries occurred to the following areas &#10;- 21% Back&#10;- 15% Shoulder and upper arm&#10;- 10% Knee and upper leg&#10;- 9%   Ankle and lower leg&#10;- 8%   Hand, fingers and thumb&#10; -7%   Wrist, elbow and forearm&#10;" title="Where injuries occurred in the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re injuries occurr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28035" cy="2539365"/>
                    </a:xfrm>
                    <a:prstGeom prst="rect">
                      <a:avLst/>
                    </a:prstGeom>
                  </pic:spPr>
                </pic:pic>
              </a:graphicData>
            </a:graphic>
            <wp14:sizeRelH relativeFrom="page">
              <wp14:pctWidth>0</wp14:pctWidth>
            </wp14:sizeRelH>
            <wp14:sizeRelV relativeFrom="page">
              <wp14:pctHeight>0</wp14:pctHeight>
            </wp14:sizeRelV>
          </wp:anchor>
        </w:drawing>
      </w:r>
      <w:r w:rsidRPr="009B231B">
        <w:rPr>
          <w:rFonts w:ascii="Arial" w:hAnsi="Arial" w:cs="Arial"/>
          <w:b/>
          <w:color w:val="C10A27"/>
          <w:sz w:val="28"/>
          <w:szCs w:val="24"/>
        </w:rPr>
        <w:t>Serious claims by location of injury</w:t>
      </w:r>
    </w:p>
    <w:p w:rsidR="007467AC" w:rsidRDefault="007467AC" w:rsidP="007467AC">
      <w:pPr>
        <w:spacing w:line="288" w:lineRule="auto"/>
        <w:rPr>
          <w:rFonts w:ascii="Arial" w:hAnsi="Arial" w:cs="Arial"/>
          <w:sz w:val="22"/>
          <w:szCs w:val="22"/>
        </w:rPr>
      </w:pPr>
      <w:r w:rsidRPr="00D37B12">
        <w:rPr>
          <w:rFonts w:ascii="Arial" w:hAnsi="Arial" w:cs="Arial"/>
          <w:sz w:val="22"/>
          <w:szCs w:val="22"/>
        </w:rPr>
        <w:t xml:space="preserve">Over the </w:t>
      </w:r>
      <w:r w:rsidR="00334EFE">
        <w:rPr>
          <w:rFonts w:ascii="Arial" w:hAnsi="Arial" w:cs="Arial"/>
          <w:sz w:val="22"/>
          <w:szCs w:val="22"/>
        </w:rPr>
        <w:t xml:space="preserve">period from </w:t>
      </w:r>
      <w:r w:rsidRPr="00D37B12">
        <w:rPr>
          <w:rFonts w:ascii="Arial" w:hAnsi="Arial" w:cs="Arial"/>
          <w:sz w:val="22"/>
          <w:szCs w:val="22"/>
        </w:rPr>
        <w:t>2010-11 to 2014</w:t>
      </w:r>
      <w:r w:rsidRPr="00D37B12">
        <w:rPr>
          <w:rFonts w:ascii="Arial" w:hAnsi="Arial" w:cs="Arial"/>
          <w:sz w:val="22"/>
          <w:szCs w:val="22"/>
        </w:rPr>
        <w:noBreakHyphen/>
        <w:t>15p</w:t>
      </w:r>
      <w:r w:rsidR="009B231B" w:rsidRPr="00D37B12">
        <w:rPr>
          <w:rFonts w:ascii="Arial" w:hAnsi="Arial" w:cs="Arial"/>
          <w:sz w:val="22"/>
          <w:szCs w:val="22"/>
        </w:rPr>
        <w:t xml:space="preserve">, </w:t>
      </w:r>
      <w:r w:rsidR="00D37B12" w:rsidRPr="00D37B12">
        <w:rPr>
          <w:rFonts w:ascii="Arial" w:hAnsi="Arial" w:cs="Arial"/>
          <w:sz w:val="22"/>
          <w:szCs w:val="22"/>
        </w:rPr>
        <w:t>i</w:t>
      </w:r>
      <w:r w:rsidRPr="00D37B12">
        <w:rPr>
          <w:rFonts w:ascii="Arial" w:hAnsi="Arial" w:cs="Arial"/>
          <w:sz w:val="22"/>
          <w:szCs w:val="22"/>
        </w:rPr>
        <w:t xml:space="preserve">njuries to the back </w:t>
      </w:r>
      <w:r w:rsidR="00D37B12" w:rsidRPr="00D37B12">
        <w:rPr>
          <w:rFonts w:ascii="Arial" w:hAnsi="Arial" w:cs="Arial"/>
          <w:sz w:val="22"/>
          <w:szCs w:val="22"/>
        </w:rPr>
        <w:t xml:space="preserve">(21 per cent of serious claims) </w:t>
      </w:r>
      <w:r w:rsidRPr="00D37B12">
        <w:rPr>
          <w:rFonts w:ascii="Arial" w:hAnsi="Arial" w:cs="Arial"/>
          <w:sz w:val="22"/>
          <w:szCs w:val="22"/>
        </w:rPr>
        <w:t xml:space="preserve">and to the shoulder and upper arms </w:t>
      </w:r>
      <w:r w:rsidR="00D37B12" w:rsidRPr="00D37B12">
        <w:rPr>
          <w:rFonts w:ascii="Arial" w:hAnsi="Arial" w:cs="Arial"/>
          <w:sz w:val="22"/>
          <w:szCs w:val="22"/>
        </w:rPr>
        <w:t xml:space="preserve">(15 per cent of serious claims) </w:t>
      </w:r>
      <w:r w:rsidRPr="00D37B12">
        <w:rPr>
          <w:rFonts w:ascii="Arial" w:hAnsi="Arial" w:cs="Arial"/>
          <w:sz w:val="22"/>
          <w:szCs w:val="22"/>
        </w:rPr>
        <w:t xml:space="preserve">represented just over one-third of </w:t>
      </w:r>
      <w:r w:rsidR="00D37B12" w:rsidRPr="00D37B12">
        <w:rPr>
          <w:rFonts w:ascii="Arial" w:hAnsi="Arial" w:cs="Arial"/>
          <w:sz w:val="22"/>
          <w:szCs w:val="22"/>
        </w:rPr>
        <w:t xml:space="preserve">serious </w:t>
      </w:r>
      <w:r w:rsidRPr="00D37B12">
        <w:rPr>
          <w:rFonts w:ascii="Arial" w:hAnsi="Arial" w:cs="Arial"/>
          <w:sz w:val="22"/>
          <w:szCs w:val="22"/>
        </w:rPr>
        <w:t>claims</w:t>
      </w:r>
      <w:r w:rsidR="00D37B12" w:rsidRPr="00D37B12">
        <w:rPr>
          <w:rFonts w:ascii="Arial" w:hAnsi="Arial" w:cs="Arial"/>
          <w:sz w:val="22"/>
          <w:szCs w:val="22"/>
        </w:rPr>
        <w:t xml:space="preserve"> in the Road transport industry</w:t>
      </w:r>
      <w:r w:rsidRPr="00D37B12">
        <w:rPr>
          <w:rFonts w:ascii="Arial" w:hAnsi="Arial" w:cs="Arial"/>
          <w:sz w:val="22"/>
          <w:szCs w:val="22"/>
        </w:rPr>
        <w:t>.</w:t>
      </w:r>
      <w:r w:rsidR="00D37B12" w:rsidRPr="00D37B12">
        <w:rPr>
          <w:rFonts w:ascii="Arial" w:hAnsi="Arial" w:cs="Arial"/>
          <w:sz w:val="22"/>
          <w:szCs w:val="22"/>
        </w:rPr>
        <w:t xml:space="preserve">  This</w:t>
      </w:r>
      <w:r w:rsidR="00D37B12">
        <w:rPr>
          <w:rFonts w:ascii="Arial" w:hAnsi="Arial" w:cs="Arial"/>
          <w:sz w:val="22"/>
          <w:szCs w:val="22"/>
        </w:rPr>
        <w:t xml:space="preserve"> was followed by injuries to the knee and upper leg (10 per cent of serious claims) and the ankle and lower leg (9 per cent of serious claims)</w:t>
      </w:r>
      <w:r w:rsidR="00890045">
        <w:rPr>
          <w:rFonts w:ascii="Arial" w:hAnsi="Arial" w:cs="Arial"/>
          <w:sz w:val="22"/>
          <w:szCs w:val="22"/>
        </w:rPr>
        <w:t>.</w:t>
      </w:r>
    </w:p>
    <w:p w:rsidR="007D6070" w:rsidRPr="00D37B12" w:rsidRDefault="007D6070" w:rsidP="00D37B12">
      <w:pPr>
        <w:rPr>
          <w:rFonts w:ascii="Arial" w:hAnsi="Arial" w:cs="Arial"/>
          <w:b/>
          <w:color w:val="C10A27"/>
          <w:sz w:val="28"/>
          <w:szCs w:val="24"/>
        </w:rPr>
      </w:pPr>
      <w:r w:rsidRPr="00D37B12">
        <w:rPr>
          <w:rFonts w:ascii="Arial" w:hAnsi="Arial" w:cs="Arial"/>
          <w:b/>
          <w:color w:val="C10A27"/>
          <w:sz w:val="28"/>
          <w:szCs w:val="24"/>
        </w:rPr>
        <w:t>Serious claims by agency of injury</w:t>
      </w:r>
    </w:p>
    <w:p w:rsidR="00751F02" w:rsidRPr="004076EF" w:rsidRDefault="00751F02" w:rsidP="00751F02">
      <w:pPr>
        <w:spacing w:line="288" w:lineRule="auto"/>
        <w:rPr>
          <w:rFonts w:ascii="Arial" w:hAnsi="Arial" w:cs="Arial"/>
          <w:sz w:val="22"/>
          <w:szCs w:val="22"/>
        </w:rPr>
      </w:pPr>
      <w:r w:rsidRPr="004076EF">
        <w:rPr>
          <w:rFonts w:ascii="Arial" w:hAnsi="Arial" w:cs="Arial"/>
          <w:sz w:val="22"/>
          <w:szCs w:val="22"/>
        </w:rPr>
        <w:t>The most common agencies</w:t>
      </w:r>
      <w:r w:rsidR="00AF0125">
        <w:rPr>
          <w:rFonts w:ascii="Arial" w:hAnsi="Arial" w:cs="Arial"/>
          <w:sz w:val="22"/>
          <w:szCs w:val="22"/>
        </w:rPr>
        <w:t xml:space="preserve"> (</w:t>
      </w:r>
      <w:r w:rsidR="00454675">
        <w:rPr>
          <w:rFonts w:ascii="Arial" w:hAnsi="Arial" w:cs="Arial"/>
          <w:sz w:val="22"/>
          <w:szCs w:val="22"/>
        </w:rPr>
        <w:t>i</w:t>
      </w:r>
      <w:r w:rsidR="00AF0125">
        <w:rPr>
          <w:rFonts w:ascii="Arial" w:hAnsi="Arial" w:cs="Arial"/>
          <w:sz w:val="22"/>
          <w:szCs w:val="22"/>
        </w:rPr>
        <w:t>.</w:t>
      </w:r>
      <w:r w:rsidR="00454675">
        <w:rPr>
          <w:rFonts w:ascii="Arial" w:hAnsi="Arial" w:cs="Arial"/>
          <w:sz w:val="22"/>
          <w:szCs w:val="22"/>
        </w:rPr>
        <w:t>e</w:t>
      </w:r>
      <w:r w:rsidR="00AF0125">
        <w:rPr>
          <w:rFonts w:ascii="Arial" w:hAnsi="Arial" w:cs="Arial"/>
          <w:sz w:val="22"/>
          <w:szCs w:val="22"/>
        </w:rPr>
        <w:t>. the object, substance or circumstance that w</w:t>
      </w:r>
      <w:r w:rsidR="0093298C">
        <w:rPr>
          <w:rFonts w:ascii="Arial" w:hAnsi="Arial" w:cs="Arial"/>
          <w:sz w:val="22"/>
          <w:szCs w:val="22"/>
        </w:rPr>
        <w:t xml:space="preserve">as principally involved in inflicting the injury or disease) </w:t>
      </w:r>
      <w:r w:rsidRPr="004076EF">
        <w:rPr>
          <w:rFonts w:ascii="Arial" w:hAnsi="Arial" w:cs="Arial"/>
          <w:sz w:val="22"/>
          <w:szCs w:val="22"/>
        </w:rPr>
        <w:t xml:space="preserve">causing injuries in the two Road transport </w:t>
      </w:r>
      <w:r w:rsidR="00612FDF">
        <w:rPr>
          <w:rFonts w:ascii="Arial" w:hAnsi="Arial" w:cs="Arial"/>
          <w:sz w:val="22"/>
          <w:szCs w:val="22"/>
        </w:rPr>
        <w:t>industry sub-divisions</w:t>
      </w:r>
      <w:r w:rsidRPr="004076EF">
        <w:rPr>
          <w:rFonts w:ascii="Arial" w:hAnsi="Arial" w:cs="Arial"/>
          <w:sz w:val="22"/>
          <w:szCs w:val="22"/>
        </w:rPr>
        <w:t xml:space="preserve"> were consistent with the type of work carried out in each. For example, </w:t>
      </w:r>
      <w:r w:rsidR="00454675">
        <w:rPr>
          <w:rFonts w:ascii="Arial" w:hAnsi="Arial" w:cs="Arial"/>
          <w:sz w:val="22"/>
          <w:szCs w:val="22"/>
        </w:rPr>
        <w:t>T</w:t>
      </w:r>
      <w:r w:rsidRPr="004076EF">
        <w:rPr>
          <w:rFonts w:ascii="Arial" w:hAnsi="Arial" w:cs="Arial"/>
          <w:sz w:val="22"/>
          <w:szCs w:val="22"/>
        </w:rPr>
        <w:t xml:space="preserve">rucks, semi-trailers and </w:t>
      </w:r>
      <w:proofErr w:type="gramStart"/>
      <w:r w:rsidRPr="004076EF">
        <w:rPr>
          <w:rFonts w:ascii="Arial" w:hAnsi="Arial" w:cs="Arial"/>
          <w:sz w:val="22"/>
          <w:szCs w:val="22"/>
        </w:rPr>
        <w:t>lorries</w:t>
      </w:r>
      <w:proofErr w:type="gramEnd"/>
      <w:r w:rsidRPr="004076EF">
        <w:rPr>
          <w:rFonts w:ascii="Arial" w:hAnsi="Arial" w:cs="Arial"/>
          <w:sz w:val="22"/>
          <w:szCs w:val="22"/>
        </w:rPr>
        <w:t xml:space="preserve"> were the direct cause of 21 per cent of serious claims for injuries in Road freight transport whereas </w:t>
      </w:r>
      <w:r w:rsidR="00454675">
        <w:rPr>
          <w:rFonts w:ascii="Arial" w:hAnsi="Arial" w:cs="Arial"/>
          <w:sz w:val="22"/>
          <w:szCs w:val="22"/>
        </w:rPr>
        <w:t>B</w:t>
      </w:r>
      <w:r w:rsidRPr="004076EF">
        <w:rPr>
          <w:rFonts w:ascii="Arial" w:hAnsi="Arial" w:cs="Arial"/>
          <w:sz w:val="22"/>
          <w:szCs w:val="22"/>
        </w:rPr>
        <w:t xml:space="preserve">uses, trolleybuses and minibuses were the </w:t>
      </w:r>
      <w:r w:rsidR="00612FDF">
        <w:rPr>
          <w:rFonts w:ascii="Arial" w:hAnsi="Arial" w:cs="Arial"/>
          <w:sz w:val="22"/>
          <w:szCs w:val="22"/>
        </w:rPr>
        <w:t xml:space="preserve">cause </w:t>
      </w:r>
      <w:r w:rsidRPr="004076EF">
        <w:rPr>
          <w:rFonts w:ascii="Arial" w:hAnsi="Arial" w:cs="Arial"/>
          <w:sz w:val="22"/>
          <w:szCs w:val="22"/>
        </w:rPr>
        <w:t>of injury in one-quarter of serious claims in Road passenger transport.</w:t>
      </w:r>
    </w:p>
    <w:p w:rsidR="00751F02" w:rsidRPr="004076EF" w:rsidRDefault="00751F02" w:rsidP="00751F02">
      <w:pPr>
        <w:spacing w:line="288" w:lineRule="auto"/>
        <w:rPr>
          <w:rFonts w:ascii="Arial" w:hAnsi="Arial" w:cs="Arial"/>
          <w:sz w:val="22"/>
          <w:szCs w:val="22"/>
        </w:rPr>
      </w:pPr>
      <w:r w:rsidRPr="004076EF">
        <w:rPr>
          <w:rFonts w:ascii="Arial" w:hAnsi="Arial" w:cs="Arial"/>
          <w:sz w:val="22"/>
          <w:szCs w:val="22"/>
        </w:rPr>
        <w:t xml:space="preserve">In Road freight transport the second most common </w:t>
      </w:r>
      <w:r w:rsidR="00633EE8">
        <w:rPr>
          <w:rFonts w:ascii="Arial" w:hAnsi="Arial" w:cs="Arial"/>
          <w:sz w:val="22"/>
          <w:szCs w:val="22"/>
        </w:rPr>
        <w:t xml:space="preserve">cause </w:t>
      </w:r>
      <w:r w:rsidRPr="004076EF">
        <w:rPr>
          <w:rFonts w:ascii="Arial" w:hAnsi="Arial" w:cs="Arial"/>
          <w:sz w:val="22"/>
          <w:szCs w:val="22"/>
        </w:rPr>
        <w:t xml:space="preserve">was </w:t>
      </w:r>
      <w:r w:rsidR="00454675">
        <w:rPr>
          <w:rFonts w:ascii="Arial" w:hAnsi="Arial" w:cs="Arial"/>
          <w:sz w:val="22"/>
          <w:szCs w:val="22"/>
        </w:rPr>
        <w:t>T</w:t>
      </w:r>
      <w:r w:rsidRPr="004076EF">
        <w:rPr>
          <w:rFonts w:ascii="Arial" w:hAnsi="Arial" w:cs="Arial"/>
          <w:sz w:val="22"/>
          <w:szCs w:val="22"/>
        </w:rPr>
        <w:t>raffic and ground surfaces</w:t>
      </w:r>
      <w:r w:rsidR="00612FDF">
        <w:rPr>
          <w:rFonts w:ascii="Arial" w:hAnsi="Arial" w:cs="Arial"/>
          <w:sz w:val="22"/>
          <w:szCs w:val="22"/>
        </w:rPr>
        <w:t>,</w:t>
      </w:r>
      <w:r w:rsidRPr="004076EF">
        <w:rPr>
          <w:rFonts w:ascii="Arial" w:hAnsi="Arial" w:cs="Arial"/>
          <w:sz w:val="22"/>
          <w:szCs w:val="22"/>
        </w:rPr>
        <w:t xml:space="preserve"> accounting for 8 per cent of injuries, while </w:t>
      </w:r>
      <w:r w:rsidR="007772DB">
        <w:rPr>
          <w:rFonts w:ascii="Arial" w:hAnsi="Arial" w:cs="Arial"/>
          <w:sz w:val="22"/>
          <w:szCs w:val="22"/>
        </w:rPr>
        <w:t>o</w:t>
      </w:r>
      <w:r w:rsidRPr="004076EF">
        <w:rPr>
          <w:rFonts w:ascii="Arial" w:hAnsi="Arial" w:cs="Arial"/>
          <w:sz w:val="22"/>
          <w:szCs w:val="22"/>
        </w:rPr>
        <w:t>ther persons were responsible for 12</w:t>
      </w:r>
      <w:r w:rsidR="00454675">
        <w:rPr>
          <w:rFonts w:ascii="Arial" w:hAnsi="Arial" w:cs="Arial"/>
          <w:sz w:val="22"/>
          <w:szCs w:val="22"/>
        </w:rPr>
        <w:t> </w:t>
      </w:r>
      <w:r w:rsidRPr="004076EF">
        <w:rPr>
          <w:rFonts w:ascii="Arial" w:hAnsi="Arial" w:cs="Arial"/>
          <w:sz w:val="22"/>
          <w:szCs w:val="22"/>
        </w:rPr>
        <w:t>per</w:t>
      </w:r>
      <w:r w:rsidR="00454675">
        <w:rPr>
          <w:rFonts w:ascii="Arial" w:hAnsi="Arial" w:cs="Arial"/>
          <w:sz w:val="22"/>
          <w:szCs w:val="22"/>
        </w:rPr>
        <w:t> </w:t>
      </w:r>
      <w:r w:rsidRPr="004076EF">
        <w:rPr>
          <w:rFonts w:ascii="Arial" w:hAnsi="Arial" w:cs="Arial"/>
          <w:sz w:val="22"/>
          <w:szCs w:val="22"/>
        </w:rPr>
        <w:t>cent of serious claims in Road passenger transport.</w:t>
      </w:r>
    </w:p>
    <w:p w:rsidR="008834BE" w:rsidRPr="002F1E7A" w:rsidRDefault="008834BE" w:rsidP="008834BE">
      <w:pPr>
        <w:rPr>
          <w:rFonts w:ascii="Arial" w:hAnsi="Arial" w:cs="Arial"/>
          <w:b/>
          <w:noProof/>
          <w:sz w:val="22"/>
          <w:szCs w:val="18"/>
        </w:rPr>
      </w:pPr>
      <w:r w:rsidRPr="002F1E7A">
        <w:rPr>
          <w:rFonts w:ascii="Arial" w:hAnsi="Arial" w:cs="Arial"/>
          <w:b/>
          <w:noProof/>
          <w:sz w:val="22"/>
          <w:szCs w:val="18"/>
        </w:rPr>
        <w:t xml:space="preserve">Table </w:t>
      </w:r>
      <w:r w:rsidR="00554F3C">
        <w:rPr>
          <w:rFonts w:ascii="Arial" w:hAnsi="Arial" w:cs="Arial"/>
          <w:b/>
          <w:noProof/>
          <w:sz w:val="22"/>
          <w:szCs w:val="18"/>
        </w:rPr>
        <w:t>7</w:t>
      </w:r>
      <w:r w:rsidRPr="002F1E7A">
        <w:rPr>
          <w:rFonts w:ascii="Arial" w:hAnsi="Arial" w:cs="Arial"/>
          <w:b/>
          <w:noProof/>
          <w:sz w:val="22"/>
          <w:szCs w:val="18"/>
        </w:rPr>
        <w:t>: Serious claims: percentage by agency causing the injury in the Road transport industry</w:t>
      </w:r>
      <w:r w:rsidR="002F1E7A">
        <w:rPr>
          <w:rFonts w:ascii="Arial" w:hAnsi="Arial" w:cs="Arial"/>
          <w:b/>
          <w:noProof/>
          <w:sz w:val="22"/>
          <w:szCs w:val="18"/>
        </w:rPr>
        <w:t xml:space="preserve">, 2010-11 to 2014-15p </w:t>
      </w:r>
      <w:r w:rsidR="001B1F8E">
        <w:rPr>
          <w:rFonts w:ascii="Arial" w:hAnsi="Arial" w:cs="Arial"/>
          <w:b/>
          <w:noProof/>
          <w:sz w:val="22"/>
          <w:szCs w:val="18"/>
        </w:rPr>
        <w:t>(</w:t>
      </w:r>
      <w:r w:rsidR="002F1E7A">
        <w:rPr>
          <w:rFonts w:ascii="Arial" w:hAnsi="Arial" w:cs="Arial"/>
          <w:b/>
          <w:noProof/>
          <w:sz w:val="22"/>
          <w:szCs w:val="18"/>
        </w:rPr>
        <w:t>combined</w:t>
      </w:r>
      <w:r w:rsidR="001B1F8E">
        <w:rPr>
          <w:rFonts w:ascii="Arial" w:hAnsi="Arial" w:cs="Arial"/>
          <w:b/>
          <w:noProof/>
          <w:sz w:val="22"/>
          <w:szCs w:val="18"/>
        </w:rPr>
        <w:t>)</w:t>
      </w:r>
    </w:p>
    <w:tbl>
      <w:tblPr>
        <w:tblW w:w="9477" w:type="dxa"/>
        <w:tblInd w:w="93" w:type="dxa"/>
        <w:tblLook w:val="04A0" w:firstRow="1" w:lastRow="0" w:firstColumn="1" w:lastColumn="0" w:noHBand="0" w:noVBand="1"/>
        <w:tblCaption w:val="Serious claims: percentage by agency causing the injury in the Road transport industry, 2010-11 to 2014-15p (combined)"/>
        <w:tblDescription w:val="Table 7 shows that the most common agency causing injuries in the Road freight transport industry was trucks, semi-trailers and lorries which were the direct cause of 21 per cent of serious claims for injuries. Buses, trolleybuses and minibuses were the cause of injury in one-quarter of serious claims in Road passenger transport."/>
      </w:tblPr>
      <w:tblGrid>
        <w:gridCol w:w="4551"/>
        <w:gridCol w:w="1280"/>
        <w:gridCol w:w="1228"/>
        <w:gridCol w:w="1246"/>
        <w:gridCol w:w="1172"/>
      </w:tblGrid>
      <w:tr w:rsidR="00CF5751" w:rsidRPr="004076EF" w:rsidTr="00F157E2">
        <w:trPr>
          <w:trHeight w:val="776"/>
        </w:trPr>
        <w:tc>
          <w:tcPr>
            <w:tcW w:w="4551" w:type="dxa"/>
            <w:tcBorders>
              <w:top w:val="single" w:sz="4" w:space="0" w:color="FFFFFF"/>
              <w:left w:val="single" w:sz="4" w:space="0" w:color="FFFFFF"/>
              <w:bottom w:val="single" w:sz="4" w:space="0" w:color="FFFFFF"/>
              <w:right w:val="single" w:sz="4" w:space="0" w:color="FFFFFF"/>
            </w:tcBorders>
            <w:shd w:val="clear" w:color="auto" w:fill="AF1E2D"/>
            <w:noWrap/>
            <w:vAlign w:val="center"/>
            <w:hideMark/>
          </w:tcPr>
          <w:p w:rsidR="00CF5751" w:rsidRPr="004076EF" w:rsidRDefault="00CF5751" w:rsidP="00CF5751">
            <w:pPr>
              <w:spacing w:before="0" w:after="0"/>
              <w:rPr>
                <w:rFonts w:ascii="Arial" w:hAnsi="Arial" w:cs="Arial"/>
                <w:b/>
                <w:bCs/>
                <w:color w:val="FFFFFF"/>
              </w:rPr>
            </w:pPr>
            <w:r w:rsidRPr="004076EF">
              <w:rPr>
                <w:rFonts w:ascii="Arial" w:hAnsi="Arial" w:cs="Arial"/>
                <w:b/>
                <w:bCs/>
                <w:color w:val="FFFFFF"/>
              </w:rPr>
              <w:t>Agency of injury</w:t>
            </w:r>
          </w:p>
        </w:tc>
        <w:tc>
          <w:tcPr>
            <w:tcW w:w="1280" w:type="dxa"/>
            <w:tcBorders>
              <w:top w:val="single" w:sz="4" w:space="0" w:color="FFFFFF"/>
              <w:left w:val="single" w:sz="4" w:space="0" w:color="FFFFFF"/>
              <w:bottom w:val="single" w:sz="4" w:space="0" w:color="FFFFFF"/>
              <w:right w:val="single" w:sz="4" w:space="0" w:color="FFFFFF"/>
            </w:tcBorders>
            <w:shd w:val="clear" w:color="auto" w:fill="AF1E2D"/>
            <w:vAlign w:val="center"/>
            <w:hideMark/>
          </w:tcPr>
          <w:p w:rsidR="00CF5751" w:rsidRPr="004076EF" w:rsidRDefault="00CF5751" w:rsidP="00CF5751">
            <w:pPr>
              <w:spacing w:before="0" w:after="0"/>
              <w:jc w:val="center"/>
              <w:rPr>
                <w:rFonts w:ascii="Arial" w:hAnsi="Arial" w:cs="Arial"/>
                <w:b/>
                <w:bCs/>
                <w:color w:val="FFFFFF"/>
              </w:rPr>
            </w:pPr>
            <w:r w:rsidRPr="004076EF">
              <w:rPr>
                <w:rFonts w:ascii="Arial" w:hAnsi="Arial" w:cs="Arial"/>
                <w:b/>
                <w:bCs/>
                <w:color w:val="FFFFFF"/>
              </w:rPr>
              <w:t>Road Freight</w:t>
            </w:r>
          </w:p>
        </w:tc>
        <w:tc>
          <w:tcPr>
            <w:tcW w:w="1228" w:type="dxa"/>
            <w:tcBorders>
              <w:top w:val="single" w:sz="4" w:space="0" w:color="FFFFFF"/>
              <w:left w:val="single" w:sz="4" w:space="0" w:color="FFFFFF"/>
              <w:bottom w:val="single" w:sz="4" w:space="0" w:color="FFFFFF"/>
              <w:right w:val="single" w:sz="4" w:space="0" w:color="FFFFFF"/>
            </w:tcBorders>
            <w:shd w:val="clear" w:color="auto" w:fill="AF1E2D"/>
            <w:vAlign w:val="center"/>
            <w:hideMark/>
          </w:tcPr>
          <w:p w:rsidR="00CF5751" w:rsidRPr="004076EF" w:rsidRDefault="00CF5751" w:rsidP="00CF5751">
            <w:pPr>
              <w:spacing w:before="0" w:after="0"/>
              <w:jc w:val="center"/>
              <w:rPr>
                <w:rFonts w:ascii="Arial" w:hAnsi="Arial" w:cs="Arial"/>
                <w:b/>
                <w:bCs/>
                <w:color w:val="FFFFFF"/>
              </w:rPr>
            </w:pPr>
            <w:r w:rsidRPr="004076EF">
              <w:rPr>
                <w:rFonts w:ascii="Arial" w:hAnsi="Arial" w:cs="Arial"/>
                <w:b/>
                <w:bCs/>
                <w:color w:val="FFFFFF"/>
              </w:rPr>
              <w:t>Road Passenger</w:t>
            </w:r>
          </w:p>
        </w:tc>
        <w:tc>
          <w:tcPr>
            <w:tcW w:w="1246" w:type="dxa"/>
            <w:tcBorders>
              <w:top w:val="single" w:sz="4" w:space="0" w:color="FFFFFF"/>
              <w:left w:val="single" w:sz="4" w:space="0" w:color="FFFFFF"/>
              <w:bottom w:val="single" w:sz="4" w:space="0" w:color="FFFFFF"/>
              <w:right w:val="single" w:sz="4" w:space="0" w:color="FFFFFF"/>
            </w:tcBorders>
            <w:shd w:val="clear" w:color="auto" w:fill="AF1E2D"/>
            <w:vAlign w:val="center"/>
            <w:hideMark/>
          </w:tcPr>
          <w:p w:rsidR="00CF5751" w:rsidRPr="004076EF" w:rsidRDefault="00CF5751" w:rsidP="00CF5751">
            <w:pPr>
              <w:spacing w:before="0" w:after="0"/>
              <w:jc w:val="center"/>
              <w:rPr>
                <w:rFonts w:ascii="Arial" w:hAnsi="Arial" w:cs="Arial"/>
                <w:b/>
                <w:bCs/>
                <w:color w:val="FFFFFF"/>
              </w:rPr>
            </w:pPr>
            <w:r w:rsidRPr="004076EF">
              <w:rPr>
                <w:rFonts w:ascii="Arial" w:hAnsi="Arial" w:cs="Arial"/>
                <w:b/>
                <w:bCs/>
                <w:color w:val="FFFFFF"/>
              </w:rPr>
              <w:t>Total Road Transport</w:t>
            </w:r>
          </w:p>
        </w:tc>
        <w:tc>
          <w:tcPr>
            <w:tcW w:w="1172" w:type="dxa"/>
            <w:tcBorders>
              <w:top w:val="single" w:sz="4" w:space="0" w:color="FFFFFF"/>
              <w:left w:val="single" w:sz="4" w:space="0" w:color="FFFFFF"/>
              <w:bottom w:val="single" w:sz="4" w:space="0" w:color="FFFFFF"/>
              <w:right w:val="single" w:sz="4" w:space="0" w:color="FFFFFF"/>
            </w:tcBorders>
            <w:shd w:val="clear" w:color="auto" w:fill="AF1E2D"/>
            <w:vAlign w:val="center"/>
            <w:hideMark/>
          </w:tcPr>
          <w:p w:rsidR="00CF5751" w:rsidRPr="004076EF" w:rsidRDefault="00CF5751" w:rsidP="00CF5751">
            <w:pPr>
              <w:spacing w:before="0" w:after="0"/>
              <w:jc w:val="center"/>
              <w:rPr>
                <w:rFonts w:ascii="Arial" w:hAnsi="Arial" w:cs="Arial"/>
                <w:b/>
                <w:bCs/>
                <w:color w:val="FFFFFF"/>
              </w:rPr>
            </w:pPr>
            <w:r w:rsidRPr="004076EF">
              <w:rPr>
                <w:rFonts w:ascii="Arial" w:hAnsi="Arial" w:cs="Arial"/>
                <w:b/>
                <w:bCs/>
                <w:color w:val="FFFFFF"/>
              </w:rPr>
              <w:t>Total all industries</w:t>
            </w:r>
          </w:p>
        </w:tc>
      </w:tr>
      <w:tr w:rsidR="00CF5751" w:rsidRPr="004076EF" w:rsidTr="00F157E2">
        <w:trPr>
          <w:trHeight w:val="300"/>
        </w:trPr>
        <w:tc>
          <w:tcPr>
            <w:tcW w:w="4551"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rPr>
                <w:rFonts w:ascii="Arial" w:hAnsi="Arial" w:cs="Arial"/>
                <w:color w:val="000000"/>
              </w:rPr>
            </w:pPr>
            <w:r w:rsidRPr="004076EF">
              <w:rPr>
                <w:rFonts w:ascii="Arial" w:hAnsi="Arial" w:cs="Arial"/>
                <w:color w:val="000000"/>
              </w:rPr>
              <w:t>Trucks, semi-trailers, lorries</w:t>
            </w:r>
          </w:p>
        </w:tc>
        <w:tc>
          <w:tcPr>
            <w:tcW w:w="1280"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21%</w:t>
            </w:r>
          </w:p>
        </w:tc>
        <w:tc>
          <w:tcPr>
            <w:tcW w:w="1228"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1%</w:t>
            </w:r>
          </w:p>
        </w:tc>
        <w:tc>
          <w:tcPr>
            <w:tcW w:w="124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17%</w:t>
            </w:r>
          </w:p>
        </w:tc>
        <w:tc>
          <w:tcPr>
            <w:tcW w:w="117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2%</w:t>
            </w:r>
          </w:p>
        </w:tc>
      </w:tr>
      <w:tr w:rsidR="00CF5751" w:rsidRPr="004076EF" w:rsidTr="00F157E2">
        <w:trPr>
          <w:trHeight w:val="300"/>
        </w:trPr>
        <w:tc>
          <w:tcPr>
            <w:tcW w:w="4551"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rPr>
                <w:rFonts w:ascii="Arial" w:hAnsi="Arial" w:cs="Arial"/>
                <w:color w:val="000000"/>
              </w:rPr>
            </w:pPr>
            <w:r w:rsidRPr="004076EF">
              <w:rPr>
                <w:rFonts w:ascii="Arial" w:hAnsi="Arial" w:cs="Arial"/>
                <w:color w:val="000000"/>
              </w:rPr>
              <w:t>Traffic and ground surfaces other*</w:t>
            </w:r>
          </w:p>
        </w:tc>
        <w:tc>
          <w:tcPr>
            <w:tcW w:w="1280"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8%</w:t>
            </w:r>
          </w:p>
        </w:tc>
        <w:tc>
          <w:tcPr>
            <w:tcW w:w="1228"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6%</w:t>
            </w:r>
          </w:p>
        </w:tc>
        <w:tc>
          <w:tcPr>
            <w:tcW w:w="1246"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8%</w:t>
            </w:r>
          </w:p>
        </w:tc>
        <w:tc>
          <w:tcPr>
            <w:tcW w:w="1172"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6%</w:t>
            </w:r>
          </w:p>
        </w:tc>
      </w:tr>
      <w:tr w:rsidR="00CF5751" w:rsidRPr="004076EF" w:rsidTr="00F157E2">
        <w:trPr>
          <w:trHeight w:val="300"/>
        </w:trPr>
        <w:tc>
          <w:tcPr>
            <w:tcW w:w="4551"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rPr>
                <w:rFonts w:ascii="Arial" w:hAnsi="Arial" w:cs="Arial"/>
                <w:color w:val="000000"/>
              </w:rPr>
            </w:pPr>
            <w:r w:rsidRPr="004076EF">
              <w:rPr>
                <w:rFonts w:ascii="Arial" w:hAnsi="Arial" w:cs="Arial"/>
                <w:color w:val="000000"/>
              </w:rPr>
              <w:t>Other materials and objects</w:t>
            </w:r>
          </w:p>
        </w:tc>
        <w:tc>
          <w:tcPr>
            <w:tcW w:w="1280"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6%</w:t>
            </w:r>
          </w:p>
        </w:tc>
        <w:tc>
          <w:tcPr>
            <w:tcW w:w="1228"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5%</w:t>
            </w:r>
          </w:p>
        </w:tc>
        <w:tc>
          <w:tcPr>
            <w:tcW w:w="124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6%</w:t>
            </w:r>
          </w:p>
        </w:tc>
        <w:tc>
          <w:tcPr>
            <w:tcW w:w="117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5%</w:t>
            </w:r>
          </w:p>
        </w:tc>
      </w:tr>
      <w:tr w:rsidR="00CF5751" w:rsidRPr="004076EF" w:rsidTr="00F157E2">
        <w:trPr>
          <w:trHeight w:val="300"/>
        </w:trPr>
        <w:tc>
          <w:tcPr>
            <w:tcW w:w="4551"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rPr>
                <w:rFonts w:ascii="Arial" w:hAnsi="Arial" w:cs="Arial"/>
                <w:color w:val="000000"/>
              </w:rPr>
            </w:pPr>
            <w:r w:rsidRPr="004076EF">
              <w:rPr>
                <w:rFonts w:ascii="Arial" w:hAnsi="Arial" w:cs="Arial"/>
                <w:color w:val="000000"/>
              </w:rPr>
              <w:t>Agency not apparent</w:t>
            </w:r>
          </w:p>
        </w:tc>
        <w:tc>
          <w:tcPr>
            <w:tcW w:w="1280"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5%</w:t>
            </w:r>
          </w:p>
        </w:tc>
        <w:tc>
          <w:tcPr>
            <w:tcW w:w="1228"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5%</w:t>
            </w:r>
          </w:p>
        </w:tc>
        <w:tc>
          <w:tcPr>
            <w:tcW w:w="1246"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5%</w:t>
            </w:r>
          </w:p>
        </w:tc>
        <w:tc>
          <w:tcPr>
            <w:tcW w:w="1172"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7%</w:t>
            </w:r>
          </w:p>
        </w:tc>
      </w:tr>
      <w:tr w:rsidR="00CF5751" w:rsidRPr="004076EF" w:rsidTr="00F157E2">
        <w:trPr>
          <w:trHeight w:val="300"/>
        </w:trPr>
        <w:tc>
          <w:tcPr>
            <w:tcW w:w="4551"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rPr>
                <w:rFonts w:ascii="Arial" w:hAnsi="Arial" w:cs="Arial"/>
                <w:color w:val="000000"/>
              </w:rPr>
            </w:pPr>
            <w:r w:rsidRPr="004076EF">
              <w:rPr>
                <w:rFonts w:ascii="Arial" w:hAnsi="Arial" w:cs="Arial"/>
                <w:color w:val="000000"/>
              </w:rPr>
              <w:t>Crates, cartons, boxes, cases, drums, kegs, barrels</w:t>
            </w:r>
          </w:p>
        </w:tc>
        <w:tc>
          <w:tcPr>
            <w:tcW w:w="1280"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6%</w:t>
            </w:r>
          </w:p>
        </w:tc>
        <w:tc>
          <w:tcPr>
            <w:tcW w:w="1228"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1%</w:t>
            </w:r>
          </w:p>
        </w:tc>
        <w:tc>
          <w:tcPr>
            <w:tcW w:w="124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5%</w:t>
            </w:r>
          </w:p>
        </w:tc>
        <w:tc>
          <w:tcPr>
            <w:tcW w:w="117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5%</w:t>
            </w:r>
          </w:p>
        </w:tc>
      </w:tr>
      <w:tr w:rsidR="00CF5751" w:rsidRPr="004076EF" w:rsidTr="00F157E2">
        <w:trPr>
          <w:trHeight w:val="300"/>
        </w:trPr>
        <w:tc>
          <w:tcPr>
            <w:tcW w:w="4551"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rPr>
                <w:rFonts w:ascii="Arial" w:hAnsi="Arial" w:cs="Arial"/>
                <w:color w:val="000000"/>
              </w:rPr>
            </w:pPr>
            <w:r w:rsidRPr="004076EF">
              <w:rPr>
                <w:rFonts w:ascii="Arial" w:hAnsi="Arial" w:cs="Arial"/>
                <w:color w:val="000000"/>
              </w:rPr>
              <w:t>Buses, trolleybuses, minibuses</w:t>
            </w:r>
          </w:p>
        </w:tc>
        <w:tc>
          <w:tcPr>
            <w:tcW w:w="1280"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0%</w:t>
            </w:r>
          </w:p>
        </w:tc>
        <w:tc>
          <w:tcPr>
            <w:tcW w:w="1228"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25%</w:t>
            </w:r>
          </w:p>
        </w:tc>
        <w:tc>
          <w:tcPr>
            <w:tcW w:w="1246"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5%</w:t>
            </w:r>
          </w:p>
        </w:tc>
        <w:tc>
          <w:tcPr>
            <w:tcW w:w="1172"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0%</w:t>
            </w:r>
          </w:p>
        </w:tc>
      </w:tr>
      <w:tr w:rsidR="00CF5751" w:rsidRPr="004076EF" w:rsidTr="00F157E2">
        <w:trPr>
          <w:trHeight w:val="300"/>
        </w:trPr>
        <w:tc>
          <w:tcPr>
            <w:tcW w:w="4551"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rPr>
                <w:rFonts w:ascii="Arial" w:hAnsi="Arial" w:cs="Arial"/>
                <w:color w:val="000000"/>
              </w:rPr>
            </w:pPr>
            <w:r w:rsidRPr="004076EF">
              <w:rPr>
                <w:rFonts w:ascii="Arial" w:hAnsi="Arial" w:cs="Arial"/>
                <w:color w:val="000000"/>
              </w:rPr>
              <w:t>Cars, station wagons, vans, utilities</w:t>
            </w:r>
          </w:p>
        </w:tc>
        <w:tc>
          <w:tcPr>
            <w:tcW w:w="1280"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2%</w:t>
            </w:r>
          </w:p>
        </w:tc>
        <w:tc>
          <w:tcPr>
            <w:tcW w:w="1228"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7%</w:t>
            </w:r>
          </w:p>
        </w:tc>
        <w:tc>
          <w:tcPr>
            <w:tcW w:w="124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3%</w:t>
            </w:r>
          </w:p>
        </w:tc>
        <w:tc>
          <w:tcPr>
            <w:tcW w:w="117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2%</w:t>
            </w:r>
          </w:p>
        </w:tc>
      </w:tr>
      <w:tr w:rsidR="00CF5751" w:rsidRPr="004076EF" w:rsidTr="00F157E2">
        <w:trPr>
          <w:trHeight w:val="300"/>
        </w:trPr>
        <w:tc>
          <w:tcPr>
            <w:tcW w:w="4551"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rPr>
                <w:rFonts w:ascii="Arial" w:hAnsi="Arial" w:cs="Arial"/>
                <w:color w:val="000000"/>
              </w:rPr>
            </w:pPr>
            <w:r w:rsidRPr="004076EF">
              <w:rPr>
                <w:rFonts w:ascii="Arial" w:hAnsi="Arial" w:cs="Arial"/>
                <w:color w:val="000000"/>
              </w:rPr>
              <w:t>Other person</w:t>
            </w:r>
          </w:p>
        </w:tc>
        <w:tc>
          <w:tcPr>
            <w:tcW w:w="1280"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1%</w:t>
            </w:r>
          </w:p>
        </w:tc>
        <w:tc>
          <w:tcPr>
            <w:tcW w:w="1228"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12%</w:t>
            </w:r>
          </w:p>
        </w:tc>
        <w:tc>
          <w:tcPr>
            <w:tcW w:w="1246"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3%</w:t>
            </w:r>
          </w:p>
        </w:tc>
        <w:tc>
          <w:tcPr>
            <w:tcW w:w="1172"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10%</w:t>
            </w:r>
          </w:p>
        </w:tc>
      </w:tr>
      <w:tr w:rsidR="00CF5751" w:rsidRPr="004076EF" w:rsidTr="00F157E2">
        <w:trPr>
          <w:trHeight w:val="300"/>
        </w:trPr>
        <w:tc>
          <w:tcPr>
            <w:tcW w:w="4551"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rPr>
                <w:rFonts w:ascii="Arial" w:hAnsi="Arial" w:cs="Arial"/>
                <w:color w:val="000000"/>
              </w:rPr>
            </w:pPr>
            <w:r w:rsidRPr="004076EF">
              <w:rPr>
                <w:rFonts w:ascii="Arial" w:hAnsi="Arial" w:cs="Arial"/>
                <w:color w:val="000000"/>
              </w:rPr>
              <w:t>Ferrous and non-ferrous metal</w:t>
            </w:r>
          </w:p>
        </w:tc>
        <w:tc>
          <w:tcPr>
            <w:tcW w:w="1280"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3%</w:t>
            </w:r>
          </w:p>
        </w:tc>
        <w:tc>
          <w:tcPr>
            <w:tcW w:w="1228"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1%</w:t>
            </w:r>
          </w:p>
        </w:tc>
        <w:tc>
          <w:tcPr>
            <w:tcW w:w="124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3%</w:t>
            </w:r>
          </w:p>
        </w:tc>
        <w:tc>
          <w:tcPr>
            <w:tcW w:w="117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3%</w:t>
            </w:r>
          </w:p>
        </w:tc>
      </w:tr>
      <w:tr w:rsidR="00CF5751" w:rsidRPr="004076EF" w:rsidTr="00F157E2">
        <w:trPr>
          <w:trHeight w:val="300"/>
        </w:trPr>
        <w:tc>
          <w:tcPr>
            <w:tcW w:w="4551"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rPr>
                <w:rFonts w:ascii="Arial" w:hAnsi="Arial" w:cs="Arial"/>
                <w:color w:val="000000"/>
              </w:rPr>
            </w:pPr>
            <w:r w:rsidRPr="004076EF">
              <w:rPr>
                <w:rFonts w:ascii="Arial" w:hAnsi="Arial" w:cs="Arial"/>
                <w:color w:val="000000"/>
              </w:rPr>
              <w:t>Pallets</w:t>
            </w:r>
          </w:p>
        </w:tc>
        <w:tc>
          <w:tcPr>
            <w:tcW w:w="1280"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3%</w:t>
            </w:r>
          </w:p>
        </w:tc>
        <w:tc>
          <w:tcPr>
            <w:tcW w:w="1228"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0%</w:t>
            </w:r>
          </w:p>
        </w:tc>
        <w:tc>
          <w:tcPr>
            <w:tcW w:w="1246"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3%</w:t>
            </w:r>
          </w:p>
        </w:tc>
        <w:tc>
          <w:tcPr>
            <w:tcW w:w="1172" w:type="dxa"/>
            <w:tcBorders>
              <w:top w:val="single" w:sz="4" w:space="0" w:color="FFFFFF"/>
              <w:left w:val="single" w:sz="4" w:space="0" w:color="FFFFFF"/>
              <w:bottom w:val="single" w:sz="4" w:space="0" w:color="FFFFFF"/>
              <w:right w:val="single" w:sz="4" w:space="0" w:color="FFFFFF"/>
            </w:tcBorders>
            <w:shd w:val="clear" w:color="auto" w:fill="F2DBDB" w:themeFill="accent2" w:themeFillTint="33"/>
            <w:noWrap/>
            <w:vAlign w:val="center"/>
            <w:hideMark/>
          </w:tcPr>
          <w:p w:rsidR="00CF5751" w:rsidRPr="004076EF" w:rsidRDefault="00CF5751" w:rsidP="00CF5751">
            <w:pPr>
              <w:spacing w:before="0" w:after="0"/>
              <w:jc w:val="center"/>
              <w:rPr>
                <w:rFonts w:ascii="Arial" w:hAnsi="Arial" w:cs="Arial"/>
                <w:color w:val="000000"/>
              </w:rPr>
            </w:pPr>
            <w:r w:rsidRPr="004076EF">
              <w:rPr>
                <w:rFonts w:ascii="Arial" w:hAnsi="Arial" w:cs="Arial"/>
                <w:color w:val="000000"/>
              </w:rPr>
              <w:t>1%</w:t>
            </w:r>
          </w:p>
        </w:tc>
      </w:tr>
      <w:tr w:rsidR="007A45E4" w:rsidRPr="004076EF" w:rsidTr="00B9194B">
        <w:trPr>
          <w:trHeight w:val="315"/>
        </w:trPr>
        <w:tc>
          <w:tcPr>
            <w:tcW w:w="4551" w:type="dxa"/>
            <w:tcBorders>
              <w:top w:val="single" w:sz="4" w:space="0" w:color="FFFFFF"/>
              <w:left w:val="single" w:sz="4" w:space="0" w:color="FFFFFF"/>
              <w:bottom w:val="single" w:sz="4" w:space="0" w:color="FFFFFF"/>
              <w:right w:val="single" w:sz="4" w:space="0" w:color="FFFFFF"/>
            </w:tcBorders>
            <w:shd w:val="clear" w:color="auto" w:fill="AF1E2D"/>
            <w:noWrap/>
            <w:vAlign w:val="center"/>
            <w:hideMark/>
          </w:tcPr>
          <w:p w:rsidR="00CF5751" w:rsidRPr="004076EF" w:rsidRDefault="00CF5751" w:rsidP="00CF5751">
            <w:pPr>
              <w:spacing w:before="0" w:after="0"/>
              <w:rPr>
                <w:rFonts w:ascii="Arial" w:hAnsi="Arial" w:cs="Arial"/>
                <w:b/>
                <w:color w:val="FFFFFF" w:themeColor="background1"/>
              </w:rPr>
            </w:pPr>
            <w:r w:rsidRPr="004076EF">
              <w:rPr>
                <w:rFonts w:ascii="Arial" w:hAnsi="Arial" w:cs="Arial"/>
                <w:b/>
                <w:color w:val="FFFFFF" w:themeColor="background1"/>
              </w:rPr>
              <w:t>Total</w:t>
            </w:r>
          </w:p>
        </w:tc>
        <w:tc>
          <w:tcPr>
            <w:tcW w:w="1280" w:type="dxa"/>
            <w:tcBorders>
              <w:top w:val="single" w:sz="4" w:space="0" w:color="FFFFFF"/>
              <w:left w:val="single" w:sz="4" w:space="0" w:color="FFFFFF"/>
              <w:bottom w:val="single" w:sz="4" w:space="0" w:color="FFFFFF"/>
              <w:right w:val="single" w:sz="4" w:space="0" w:color="FFFFFF"/>
            </w:tcBorders>
            <w:shd w:val="clear" w:color="auto" w:fill="AF1E2D"/>
            <w:noWrap/>
            <w:vAlign w:val="center"/>
            <w:hideMark/>
          </w:tcPr>
          <w:p w:rsidR="00CF5751" w:rsidRPr="004076EF" w:rsidRDefault="00CF5751" w:rsidP="00CF5751">
            <w:pPr>
              <w:spacing w:before="0" w:after="0"/>
              <w:jc w:val="center"/>
              <w:rPr>
                <w:rFonts w:ascii="Arial" w:hAnsi="Arial" w:cs="Arial"/>
                <w:b/>
                <w:color w:val="FFFFFF" w:themeColor="background1"/>
              </w:rPr>
            </w:pPr>
            <w:r w:rsidRPr="004076EF">
              <w:rPr>
                <w:rFonts w:ascii="Arial" w:hAnsi="Arial" w:cs="Arial"/>
                <w:b/>
                <w:color w:val="FFFFFF" w:themeColor="background1"/>
              </w:rPr>
              <w:t>100%</w:t>
            </w:r>
          </w:p>
        </w:tc>
        <w:tc>
          <w:tcPr>
            <w:tcW w:w="1228" w:type="dxa"/>
            <w:tcBorders>
              <w:top w:val="single" w:sz="4" w:space="0" w:color="FFFFFF"/>
              <w:left w:val="single" w:sz="4" w:space="0" w:color="FFFFFF"/>
              <w:bottom w:val="single" w:sz="4" w:space="0" w:color="FFFFFF"/>
              <w:right w:val="single" w:sz="4" w:space="0" w:color="FFFFFF"/>
            </w:tcBorders>
            <w:shd w:val="clear" w:color="auto" w:fill="AF1E2D"/>
            <w:noWrap/>
            <w:vAlign w:val="center"/>
            <w:hideMark/>
          </w:tcPr>
          <w:p w:rsidR="00CF5751" w:rsidRPr="004076EF" w:rsidRDefault="00CF5751" w:rsidP="00CF5751">
            <w:pPr>
              <w:spacing w:before="0" w:after="0"/>
              <w:jc w:val="center"/>
              <w:rPr>
                <w:rFonts w:ascii="Arial" w:hAnsi="Arial" w:cs="Arial"/>
                <w:b/>
                <w:color w:val="FFFFFF" w:themeColor="background1"/>
              </w:rPr>
            </w:pPr>
            <w:r w:rsidRPr="004076EF">
              <w:rPr>
                <w:rFonts w:ascii="Arial" w:hAnsi="Arial" w:cs="Arial"/>
                <w:b/>
                <w:color w:val="FFFFFF" w:themeColor="background1"/>
              </w:rPr>
              <w:t>100%</w:t>
            </w:r>
          </w:p>
        </w:tc>
        <w:tc>
          <w:tcPr>
            <w:tcW w:w="1246" w:type="dxa"/>
            <w:tcBorders>
              <w:top w:val="single" w:sz="4" w:space="0" w:color="FFFFFF"/>
              <w:left w:val="single" w:sz="4" w:space="0" w:color="FFFFFF"/>
              <w:bottom w:val="single" w:sz="4" w:space="0" w:color="FFFFFF"/>
              <w:right w:val="single" w:sz="4" w:space="0" w:color="FFFFFF"/>
            </w:tcBorders>
            <w:shd w:val="clear" w:color="auto" w:fill="AF1E2D"/>
            <w:noWrap/>
            <w:vAlign w:val="center"/>
            <w:hideMark/>
          </w:tcPr>
          <w:p w:rsidR="00CF5751" w:rsidRPr="004076EF" w:rsidRDefault="00CF5751" w:rsidP="00CF5751">
            <w:pPr>
              <w:spacing w:before="0" w:after="0"/>
              <w:jc w:val="center"/>
              <w:rPr>
                <w:rFonts w:ascii="Arial" w:hAnsi="Arial" w:cs="Arial"/>
                <w:b/>
                <w:color w:val="FFFFFF" w:themeColor="background1"/>
              </w:rPr>
            </w:pPr>
            <w:r w:rsidRPr="004076EF">
              <w:rPr>
                <w:rFonts w:ascii="Arial" w:hAnsi="Arial" w:cs="Arial"/>
                <w:b/>
                <w:color w:val="FFFFFF" w:themeColor="background1"/>
              </w:rPr>
              <w:t>100%</w:t>
            </w:r>
          </w:p>
        </w:tc>
        <w:tc>
          <w:tcPr>
            <w:tcW w:w="1172" w:type="dxa"/>
            <w:tcBorders>
              <w:top w:val="single" w:sz="4" w:space="0" w:color="FFFFFF"/>
              <w:left w:val="single" w:sz="4" w:space="0" w:color="FFFFFF"/>
              <w:bottom w:val="single" w:sz="4" w:space="0" w:color="FFFFFF"/>
              <w:right w:val="single" w:sz="4" w:space="0" w:color="FFFFFF"/>
            </w:tcBorders>
            <w:shd w:val="clear" w:color="auto" w:fill="AF1E2D"/>
            <w:noWrap/>
            <w:vAlign w:val="center"/>
            <w:hideMark/>
          </w:tcPr>
          <w:p w:rsidR="00CF5751" w:rsidRPr="004076EF" w:rsidRDefault="00CF5751" w:rsidP="00CF5751">
            <w:pPr>
              <w:spacing w:before="0" w:after="0"/>
              <w:jc w:val="center"/>
              <w:rPr>
                <w:rFonts w:ascii="Arial" w:hAnsi="Arial" w:cs="Arial"/>
                <w:b/>
                <w:color w:val="FFFFFF" w:themeColor="background1"/>
              </w:rPr>
            </w:pPr>
            <w:r w:rsidRPr="004076EF">
              <w:rPr>
                <w:rFonts w:ascii="Arial" w:hAnsi="Arial" w:cs="Arial"/>
                <w:b/>
                <w:color w:val="FFFFFF" w:themeColor="background1"/>
              </w:rPr>
              <w:t>100%</w:t>
            </w:r>
          </w:p>
        </w:tc>
      </w:tr>
    </w:tbl>
    <w:p w:rsidR="007772DB" w:rsidRDefault="002C1299" w:rsidP="007772DB">
      <w:pPr>
        <w:spacing w:after="0"/>
        <w:rPr>
          <w:rFonts w:ascii="Arial" w:hAnsi="Arial" w:cs="Arial"/>
          <w:sz w:val="18"/>
          <w:szCs w:val="16"/>
        </w:rPr>
      </w:pPr>
      <w:r w:rsidRPr="00C56FFA">
        <w:rPr>
          <w:rFonts w:ascii="Arial" w:hAnsi="Arial" w:cs="Arial"/>
          <w:sz w:val="18"/>
          <w:szCs w:val="16"/>
        </w:rPr>
        <w:t xml:space="preserve">Note: </w:t>
      </w:r>
      <w:r w:rsidR="00BD7A61" w:rsidRPr="00C56FFA">
        <w:rPr>
          <w:rFonts w:ascii="Arial" w:hAnsi="Arial" w:cs="Arial"/>
          <w:sz w:val="18"/>
          <w:szCs w:val="16"/>
        </w:rPr>
        <w:t>Only the agencies with the highest proportions are included and therefore the sum of percentage figures for each column will not equal the total. The percentages shown have been rounded to the nearest whole number.</w:t>
      </w:r>
    </w:p>
    <w:p w:rsidR="00495DF4" w:rsidRPr="00C56FFA" w:rsidRDefault="00495DF4" w:rsidP="00C56FFA">
      <w:pPr>
        <w:spacing w:before="0"/>
        <w:rPr>
          <w:rFonts w:ascii="Arial" w:hAnsi="Arial" w:cs="Arial"/>
          <w:sz w:val="18"/>
          <w:szCs w:val="16"/>
        </w:rPr>
      </w:pPr>
      <w:r w:rsidRPr="00C56FFA">
        <w:rPr>
          <w:rFonts w:ascii="Arial" w:hAnsi="Arial" w:cs="Arial"/>
          <w:sz w:val="18"/>
          <w:szCs w:val="16"/>
        </w:rPr>
        <w:t>*Traffic and ground surfaces other includes roads, paved and unpaved paths, grass covered ground surfaces, uneven ground surfaces, embankments, sloping ground surfaces and other no specified traffic and ground surfaces.</w:t>
      </w:r>
    </w:p>
    <w:p w:rsidR="00855757" w:rsidRPr="001C719B" w:rsidRDefault="00D57E3F" w:rsidP="00C56FFA">
      <w:pPr>
        <w:spacing w:before="0" w:after="0"/>
        <w:rPr>
          <w:rFonts w:ascii="Arial" w:hAnsi="Arial" w:cs="Arial"/>
          <w:b/>
          <w:color w:val="C10A27"/>
          <w:sz w:val="32"/>
          <w:szCs w:val="24"/>
        </w:rPr>
      </w:pPr>
      <w:r w:rsidRPr="001C719B">
        <w:rPr>
          <w:rFonts w:ascii="Arial" w:hAnsi="Arial" w:cs="Arial"/>
          <w:b/>
          <w:color w:val="C10A27"/>
          <w:sz w:val="32"/>
          <w:szCs w:val="24"/>
        </w:rPr>
        <w:lastRenderedPageBreak/>
        <w:t xml:space="preserve">WORK-RELATED </w:t>
      </w:r>
      <w:r w:rsidR="00855757" w:rsidRPr="001C719B">
        <w:rPr>
          <w:rFonts w:ascii="Arial" w:hAnsi="Arial" w:cs="Arial"/>
          <w:b/>
          <w:color w:val="C10A27"/>
          <w:sz w:val="32"/>
          <w:szCs w:val="24"/>
        </w:rPr>
        <w:t>FATALITIES</w:t>
      </w:r>
    </w:p>
    <w:p w:rsidR="00B722EB" w:rsidRPr="004076EF" w:rsidRDefault="00FC7699" w:rsidP="0024348C">
      <w:pPr>
        <w:spacing w:line="288" w:lineRule="auto"/>
        <w:rPr>
          <w:rFonts w:ascii="Arial" w:hAnsi="Arial" w:cs="Arial"/>
          <w:sz w:val="22"/>
          <w:szCs w:val="22"/>
        </w:rPr>
      </w:pPr>
      <w:r>
        <w:rPr>
          <w:rFonts w:ascii="Arial" w:hAnsi="Arial" w:cs="Arial"/>
          <w:noProof/>
          <w:sz w:val="22"/>
          <w:szCs w:val="22"/>
        </w:rPr>
        <w:drawing>
          <wp:anchor distT="0" distB="0" distL="114300" distR="114300" simplePos="0" relativeHeight="251664384" behindDoc="0" locked="0" layoutInCell="1" allowOverlap="1" wp14:anchorId="3C738C1F" wp14:editId="37D344B3">
            <wp:simplePos x="0" y="0"/>
            <wp:positionH relativeFrom="column">
              <wp:posOffset>1905</wp:posOffset>
            </wp:positionH>
            <wp:positionV relativeFrom="paragraph">
              <wp:posOffset>59055</wp:posOffset>
            </wp:positionV>
            <wp:extent cx="3133090" cy="2468245"/>
            <wp:effectExtent l="0" t="0" r="0" b="8255"/>
            <wp:wrapSquare wrapText="bothSides"/>
            <wp:docPr id="17" name="Picture 17" descr="This infographic shows that:&#10;- 34 road transport workers died in 2015 &#10;- 1 in 5 workers died while outside a vehicle &#10;- 15% involved rigid trucks, and &#10;- 55% involved articulated trucks." title="Fatalities in the road transport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alities in transpor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33090" cy="2468245"/>
                    </a:xfrm>
                    <a:prstGeom prst="rect">
                      <a:avLst/>
                    </a:prstGeom>
                  </pic:spPr>
                </pic:pic>
              </a:graphicData>
            </a:graphic>
            <wp14:sizeRelH relativeFrom="page">
              <wp14:pctWidth>0</wp14:pctWidth>
            </wp14:sizeRelH>
            <wp14:sizeRelV relativeFrom="page">
              <wp14:pctHeight>0</wp14:pctHeight>
            </wp14:sizeRelV>
          </wp:anchor>
        </w:drawing>
      </w:r>
      <w:r w:rsidR="001B7916" w:rsidRPr="004076EF">
        <w:rPr>
          <w:rFonts w:ascii="Arial" w:hAnsi="Arial" w:cs="Arial"/>
          <w:sz w:val="22"/>
          <w:szCs w:val="22"/>
        </w:rPr>
        <w:t>Only persons who die from injuries sustained while they are working are included in this report—it does not include deaths attributable to disease and other natural causes.</w:t>
      </w:r>
      <w:r w:rsidR="00C7047B" w:rsidRPr="004076EF">
        <w:rPr>
          <w:rFonts w:ascii="Arial" w:hAnsi="Arial" w:cs="Arial"/>
          <w:sz w:val="22"/>
          <w:szCs w:val="22"/>
        </w:rPr>
        <w:t xml:space="preserve"> The data also exclude</w:t>
      </w:r>
      <w:r w:rsidR="00633EE8">
        <w:rPr>
          <w:rFonts w:ascii="Arial" w:hAnsi="Arial" w:cs="Arial"/>
          <w:sz w:val="22"/>
          <w:szCs w:val="22"/>
        </w:rPr>
        <w:t>s</w:t>
      </w:r>
      <w:r w:rsidR="00C7047B" w:rsidRPr="004076EF">
        <w:rPr>
          <w:rFonts w:ascii="Arial" w:hAnsi="Arial" w:cs="Arial"/>
          <w:sz w:val="22"/>
          <w:szCs w:val="22"/>
        </w:rPr>
        <w:t xml:space="preserve"> suicides</w:t>
      </w:r>
      <w:r w:rsidR="001B1F8E">
        <w:rPr>
          <w:rFonts w:ascii="Arial" w:hAnsi="Arial" w:cs="Arial"/>
          <w:sz w:val="22"/>
          <w:szCs w:val="22"/>
        </w:rPr>
        <w:t>,</w:t>
      </w:r>
      <w:r w:rsidR="00C7047B" w:rsidRPr="004076EF">
        <w:rPr>
          <w:rFonts w:ascii="Arial" w:hAnsi="Arial" w:cs="Arial"/>
          <w:sz w:val="22"/>
          <w:szCs w:val="22"/>
        </w:rPr>
        <w:t xml:space="preserve"> as </w:t>
      </w:r>
      <w:r w:rsidR="00751F02" w:rsidRPr="004076EF">
        <w:rPr>
          <w:rFonts w:ascii="Arial" w:hAnsi="Arial" w:cs="Arial"/>
          <w:sz w:val="22"/>
          <w:szCs w:val="22"/>
        </w:rPr>
        <w:t>a direct link to work is</w:t>
      </w:r>
      <w:r w:rsidR="00C7047B" w:rsidRPr="004076EF">
        <w:rPr>
          <w:rFonts w:ascii="Arial" w:hAnsi="Arial" w:cs="Arial"/>
          <w:sz w:val="22"/>
          <w:szCs w:val="22"/>
        </w:rPr>
        <w:t xml:space="preserve"> often difficult to ascertain</w:t>
      </w:r>
      <w:r w:rsidR="0093298C">
        <w:rPr>
          <w:rFonts w:ascii="Arial" w:hAnsi="Arial" w:cs="Arial"/>
          <w:sz w:val="22"/>
          <w:szCs w:val="22"/>
        </w:rPr>
        <w:t>, as well as bystanders</w:t>
      </w:r>
      <w:r w:rsidR="00C7047B" w:rsidRPr="004076EF">
        <w:rPr>
          <w:rFonts w:ascii="Arial" w:hAnsi="Arial" w:cs="Arial"/>
          <w:sz w:val="22"/>
          <w:szCs w:val="22"/>
        </w:rPr>
        <w:t>.</w:t>
      </w:r>
    </w:p>
    <w:p w:rsidR="001B1F8E" w:rsidRDefault="00751F02" w:rsidP="00751F02">
      <w:pPr>
        <w:spacing w:line="288" w:lineRule="auto"/>
        <w:rPr>
          <w:rFonts w:ascii="Arial" w:hAnsi="Arial" w:cs="Arial"/>
          <w:sz w:val="22"/>
          <w:szCs w:val="22"/>
        </w:rPr>
      </w:pPr>
      <w:r w:rsidRPr="004076EF">
        <w:rPr>
          <w:rFonts w:ascii="Arial" w:hAnsi="Arial" w:cs="Arial"/>
          <w:sz w:val="22"/>
          <w:szCs w:val="22"/>
        </w:rPr>
        <w:t xml:space="preserve">Over the 13 years from 2003 to 2015, 583 Road transport workers died from injuries sustained at work. This was 18 per cent of all work fatalities in Australia over this period. </w:t>
      </w:r>
    </w:p>
    <w:p w:rsidR="00A26D75" w:rsidRPr="004076EF" w:rsidRDefault="00A26D75" w:rsidP="00564DD2">
      <w:pPr>
        <w:spacing w:line="288" w:lineRule="auto"/>
        <w:rPr>
          <w:rFonts w:ascii="Arial" w:hAnsi="Arial" w:cs="Arial"/>
          <w:sz w:val="22"/>
          <w:szCs w:val="22"/>
        </w:rPr>
      </w:pPr>
      <w:r w:rsidRPr="004076EF">
        <w:rPr>
          <w:rFonts w:ascii="Arial" w:hAnsi="Arial" w:cs="Arial"/>
          <w:sz w:val="22"/>
          <w:szCs w:val="22"/>
        </w:rPr>
        <w:t>The fatality rate</w:t>
      </w:r>
      <w:r w:rsidR="00AC1C7E">
        <w:rPr>
          <w:rFonts w:ascii="Arial" w:hAnsi="Arial" w:cs="Arial"/>
          <w:sz w:val="22"/>
          <w:szCs w:val="22"/>
        </w:rPr>
        <w:t xml:space="preserve"> for the R</w:t>
      </w:r>
      <w:r w:rsidRPr="004076EF">
        <w:rPr>
          <w:rFonts w:ascii="Arial" w:hAnsi="Arial" w:cs="Arial"/>
          <w:sz w:val="22"/>
          <w:szCs w:val="22"/>
        </w:rPr>
        <w:t>oad transport</w:t>
      </w:r>
      <w:r w:rsidR="00C7047B" w:rsidRPr="004076EF">
        <w:rPr>
          <w:rFonts w:ascii="Arial" w:hAnsi="Arial" w:cs="Arial"/>
          <w:sz w:val="22"/>
          <w:szCs w:val="22"/>
        </w:rPr>
        <w:t xml:space="preserve"> industry</w:t>
      </w:r>
      <w:r w:rsidRPr="004076EF">
        <w:rPr>
          <w:rFonts w:ascii="Arial" w:hAnsi="Arial" w:cs="Arial"/>
          <w:sz w:val="22"/>
          <w:szCs w:val="22"/>
        </w:rPr>
        <w:t xml:space="preserve"> </w:t>
      </w:r>
      <w:r w:rsidR="001B1F8E">
        <w:rPr>
          <w:rFonts w:ascii="Arial" w:hAnsi="Arial" w:cs="Arial"/>
          <w:sz w:val="22"/>
          <w:szCs w:val="22"/>
        </w:rPr>
        <w:t xml:space="preserve">in 2015 was 13.3 fatalities per 100 000 workers, which was the </w:t>
      </w:r>
      <w:r w:rsidR="00C7047B" w:rsidRPr="004076EF">
        <w:rPr>
          <w:rFonts w:ascii="Arial" w:hAnsi="Arial" w:cs="Arial"/>
          <w:sz w:val="22"/>
          <w:szCs w:val="22"/>
        </w:rPr>
        <w:t>sixth</w:t>
      </w:r>
      <w:r w:rsidRPr="004076EF">
        <w:rPr>
          <w:rFonts w:ascii="Arial" w:hAnsi="Arial" w:cs="Arial"/>
          <w:sz w:val="22"/>
          <w:szCs w:val="22"/>
        </w:rPr>
        <w:t xml:space="preserve"> highest fatality rate of all industry sub</w:t>
      </w:r>
      <w:r w:rsidR="001B1F8E">
        <w:rPr>
          <w:rFonts w:ascii="Arial" w:hAnsi="Arial" w:cs="Arial"/>
          <w:sz w:val="22"/>
          <w:szCs w:val="22"/>
        </w:rPr>
        <w:t>-</w:t>
      </w:r>
      <w:r w:rsidRPr="004076EF">
        <w:rPr>
          <w:rFonts w:ascii="Arial" w:hAnsi="Arial" w:cs="Arial"/>
          <w:sz w:val="22"/>
          <w:szCs w:val="22"/>
        </w:rPr>
        <w:t>divisions</w:t>
      </w:r>
      <w:r w:rsidR="006D4FA9">
        <w:rPr>
          <w:rFonts w:ascii="Arial" w:hAnsi="Arial" w:cs="Arial"/>
          <w:sz w:val="22"/>
          <w:szCs w:val="22"/>
        </w:rPr>
        <w:t>,</w:t>
      </w:r>
      <w:r w:rsidR="001B1F8E">
        <w:rPr>
          <w:rFonts w:ascii="Arial" w:hAnsi="Arial" w:cs="Arial"/>
          <w:sz w:val="22"/>
          <w:szCs w:val="22"/>
        </w:rPr>
        <w:t xml:space="preserve"> and over eight time</w:t>
      </w:r>
      <w:r w:rsidR="00DC69C0">
        <w:rPr>
          <w:rFonts w:ascii="Arial" w:hAnsi="Arial" w:cs="Arial"/>
          <w:sz w:val="22"/>
          <w:szCs w:val="22"/>
        </w:rPr>
        <w:t>s</w:t>
      </w:r>
      <w:r w:rsidR="001B1F8E">
        <w:rPr>
          <w:rFonts w:ascii="Arial" w:hAnsi="Arial" w:cs="Arial"/>
          <w:sz w:val="22"/>
          <w:szCs w:val="22"/>
        </w:rPr>
        <w:t xml:space="preserve"> the national rate of 1.6</w:t>
      </w:r>
      <w:r w:rsidR="00DC69C0">
        <w:rPr>
          <w:rFonts w:ascii="Arial" w:hAnsi="Arial" w:cs="Arial"/>
          <w:sz w:val="22"/>
          <w:szCs w:val="22"/>
        </w:rPr>
        <w:t xml:space="preserve"> fatalities per 100,000 workers</w:t>
      </w:r>
      <w:r w:rsidRPr="004076EF">
        <w:rPr>
          <w:rFonts w:ascii="Arial" w:hAnsi="Arial" w:cs="Arial"/>
          <w:sz w:val="22"/>
          <w:szCs w:val="22"/>
        </w:rPr>
        <w:t>. Road freight transport accounted for 92</w:t>
      </w:r>
      <w:r w:rsidR="0093298C">
        <w:rPr>
          <w:rFonts w:ascii="Arial" w:hAnsi="Arial" w:cs="Arial"/>
          <w:sz w:val="22"/>
          <w:szCs w:val="22"/>
        </w:rPr>
        <w:t> </w:t>
      </w:r>
      <w:r w:rsidRPr="004076EF">
        <w:rPr>
          <w:rFonts w:ascii="Arial" w:hAnsi="Arial" w:cs="Arial"/>
          <w:sz w:val="22"/>
          <w:szCs w:val="22"/>
        </w:rPr>
        <w:t>per</w:t>
      </w:r>
      <w:r w:rsidR="0093298C">
        <w:rPr>
          <w:rFonts w:ascii="Arial" w:hAnsi="Arial" w:cs="Arial"/>
          <w:sz w:val="22"/>
          <w:szCs w:val="22"/>
        </w:rPr>
        <w:t> </w:t>
      </w:r>
      <w:r w:rsidRPr="004076EF">
        <w:rPr>
          <w:rFonts w:ascii="Arial" w:hAnsi="Arial" w:cs="Arial"/>
          <w:sz w:val="22"/>
          <w:szCs w:val="22"/>
        </w:rPr>
        <w:t>cent (535 ou</w:t>
      </w:r>
      <w:r w:rsidR="008D53D4" w:rsidRPr="004076EF">
        <w:rPr>
          <w:rFonts w:ascii="Arial" w:hAnsi="Arial" w:cs="Arial"/>
          <w:sz w:val="22"/>
          <w:szCs w:val="22"/>
        </w:rPr>
        <w:t>t of 583) of fatalities in the r</w:t>
      </w:r>
      <w:r w:rsidRPr="004076EF">
        <w:rPr>
          <w:rFonts w:ascii="Arial" w:hAnsi="Arial" w:cs="Arial"/>
          <w:sz w:val="22"/>
          <w:szCs w:val="22"/>
        </w:rPr>
        <w:t>oad transport industry over the 13 years to 2015.</w:t>
      </w:r>
    </w:p>
    <w:p w:rsidR="00404D2C" w:rsidRPr="004076EF" w:rsidRDefault="00404D2C" w:rsidP="00404D2C">
      <w:pPr>
        <w:spacing w:line="360" w:lineRule="auto"/>
        <w:rPr>
          <w:rFonts w:ascii="Arial" w:hAnsi="Arial" w:cs="Arial"/>
          <w:b/>
          <w:color w:val="C10A27"/>
          <w:sz w:val="24"/>
          <w:szCs w:val="24"/>
        </w:rPr>
      </w:pPr>
      <w:r w:rsidRPr="004076EF">
        <w:rPr>
          <w:rFonts w:ascii="Arial" w:hAnsi="Arial" w:cs="Arial"/>
          <w:b/>
          <w:color w:val="C10A27"/>
          <w:sz w:val="24"/>
          <w:szCs w:val="24"/>
        </w:rPr>
        <w:t>Trends in fatalities</w:t>
      </w:r>
    </w:p>
    <w:p w:rsidR="00404D2C" w:rsidRPr="004076EF" w:rsidRDefault="001B1F8E" w:rsidP="00564DD2">
      <w:pPr>
        <w:spacing w:line="288" w:lineRule="auto"/>
        <w:rPr>
          <w:rFonts w:ascii="Arial" w:hAnsi="Arial" w:cs="Arial"/>
          <w:sz w:val="22"/>
          <w:szCs w:val="22"/>
        </w:rPr>
      </w:pPr>
      <w:r>
        <w:rPr>
          <w:rFonts w:ascii="Arial" w:hAnsi="Arial" w:cs="Arial"/>
          <w:sz w:val="22"/>
          <w:szCs w:val="22"/>
        </w:rPr>
        <w:t>While there has been some volatility</w:t>
      </w:r>
      <w:r w:rsidR="00D017DA">
        <w:rPr>
          <w:rFonts w:ascii="Arial" w:hAnsi="Arial" w:cs="Arial"/>
          <w:sz w:val="22"/>
          <w:szCs w:val="22"/>
        </w:rPr>
        <w:t xml:space="preserve"> year-on-year, o</w:t>
      </w:r>
      <w:r w:rsidR="00404D2C" w:rsidRPr="004076EF">
        <w:rPr>
          <w:rFonts w:ascii="Arial" w:hAnsi="Arial" w:cs="Arial"/>
          <w:sz w:val="22"/>
          <w:szCs w:val="22"/>
        </w:rPr>
        <w:t xml:space="preserve">ver the 13 years from 2003 to 2015 there </w:t>
      </w:r>
      <w:r w:rsidR="00D017DA">
        <w:rPr>
          <w:rFonts w:ascii="Arial" w:hAnsi="Arial" w:cs="Arial"/>
          <w:sz w:val="22"/>
          <w:szCs w:val="22"/>
        </w:rPr>
        <w:t xml:space="preserve">has been </w:t>
      </w:r>
      <w:r w:rsidR="00404D2C" w:rsidRPr="004076EF">
        <w:rPr>
          <w:rFonts w:ascii="Arial" w:hAnsi="Arial" w:cs="Arial"/>
          <w:sz w:val="22"/>
          <w:szCs w:val="22"/>
        </w:rPr>
        <w:t xml:space="preserve">a 34 per cent decrease in the rate of fatalities in the </w:t>
      </w:r>
      <w:r w:rsidR="00AC1C7E">
        <w:rPr>
          <w:rFonts w:ascii="Arial" w:hAnsi="Arial" w:cs="Arial"/>
          <w:sz w:val="22"/>
          <w:szCs w:val="22"/>
        </w:rPr>
        <w:t>R</w:t>
      </w:r>
      <w:r w:rsidR="008D53D4" w:rsidRPr="004076EF">
        <w:rPr>
          <w:rFonts w:ascii="Arial" w:hAnsi="Arial" w:cs="Arial"/>
          <w:sz w:val="22"/>
          <w:szCs w:val="22"/>
        </w:rPr>
        <w:t>oad transport</w:t>
      </w:r>
      <w:r w:rsidR="00404D2C" w:rsidRPr="004076EF">
        <w:rPr>
          <w:rFonts w:ascii="Arial" w:hAnsi="Arial" w:cs="Arial"/>
          <w:sz w:val="22"/>
          <w:szCs w:val="22"/>
        </w:rPr>
        <w:t xml:space="preserve"> industry compared with a 41 per cent decrease </w:t>
      </w:r>
      <w:r w:rsidR="0093298C">
        <w:rPr>
          <w:rFonts w:ascii="Arial" w:hAnsi="Arial" w:cs="Arial"/>
          <w:sz w:val="22"/>
          <w:szCs w:val="22"/>
        </w:rPr>
        <w:t>across all industries</w:t>
      </w:r>
      <w:r w:rsidR="00404D2C" w:rsidRPr="004076EF">
        <w:rPr>
          <w:rFonts w:ascii="Arial" w:hAnsi="Arial" w:cs="Arial"/>
          <w:sz w:val="22"/>
          <w:szCs w:val="22"/>
        </w:rPr>
        <w:t xml:space="preserve">. </w:t>
      </w:r>
    </w:p>
    <w:p w:rsidR="00404D2C" w:rsidRPr="008507EB" w:rsidRDefault="00AE0C6F" w:rsidP="005B46A5">
      <w:pPr>
        <w:pStyle w:val="Figureheading"/>
        <w:spacing w:line="240" w:lineRule="auto"/>
        <w:rPr>
          <w:sz w:val="22"/>
        </w:rPr>
      </w:pPr>
      <w:r w:rsidRPr="008507EB">
        <w:rPr>
          <w:sz w:val="22"/>
        </w:rPr>
        <w:t xml:space="preserve">Figure </w:t>
      </w:r>
      <w:r w:rsidR="00D017DA">
        <w:rPr>
          <w:sz w:val="22"/>
        </w:rPr>
        <w:t>3</w:t>
      </w:r>
      <w:r w:rsidR="00404D2C" w:rsidRPr="008507EB">
        <w:rPr>
          <w:sz w:val="22"/>
        </w:rPr>
        <w:t xml:space="preserve">: Worker fatalities: </w:t>
      </w:r>
      <w:r w:rsidR="001B1F8E">
        <w:rPr>
          <w:sz w:val="22"/>
        </w:rPr>
        <w:t xml:space="preserve">fatality </w:t>
      </w:r>
      <w:r w:rsidR="00404D2C" w:rsidRPr="008507EB">
        <w:rPr>
          <w:sz w:val="22"/>
        </w:rPr>
        <w:t>rate</w:t>
      </w:r>
      <w:r w:rsidR="001B1F8E">
        <w:rPr>
          <w:sz w:val="22"/>
        </w:rPr>
        <w:t xml:space="preserve"> (fatalities per 100 000 workers)</w:t>
      </w:r>
      <w:r w:rsidR="00404D2C" w:rsidRPr="008507EB">
        <w:rPr>
          <w:sz w:val="22"/>
        </w:rPr>
        <w:t xml:space="preserve"> in the </w:t>
      </w:r>
      <w:r w:rsidR="002D483D" w:rsidRPr="008507EB">
        <w:rPr>
          <w:sz w:val="22"/>
        </w:rPr>
        <w:t>R</w:t>
      </w:r>
      <w:r w:rsidR="00404D2C" w:rsidRPr="008507EB">
        <w:rPr>
          <w:sz w:val="22"/>
        </w:rPr>
        <w:t>oad transport industry and all industries, 2003 to 2015</w:t>
      </w:r>
    </w:p>
    <w:p w:rsidR="00404D2C" w:rsidRPr="004076EF" w:rsidRDefault="008507EB" w:rsidP="00404D2C">
      <w:pPr>
        <w:rPr>
          <w:rFonts w:ascii="Arial" w:eastAsiaTheme="majorEastAsia" w:hAnsi="Arial" w:cs="Arial"/>
          <w:b/>
          <w:bCs/>
          <w:sz w:val="28"/>
          <w:szCs w:val="26"/>
        </w:rPr>
      </w:pPr>
      <w:r>
        <w:rPr>
          <w:noProof/>
        </w:rPr>
        <w:drawing>
          <wp:inline distT="0" distB="0" distL="0" distR="0" wp14:anchorId="3EFF4CC9" wp14:editId="633198FA">
            <wp:extent cx="6256962" cy="2352782"/>
            <wp:effectExtent l="0" t="0" r="10795" b="9525"/>
            <wp:docPr id="16" name="Chart 16" descr="While there has been some volatility year-on-year, over the 13 years from 2003 to 2015 there has been a 34 per cent decrease in the rate of fatalities in the road transport industry compared with a 41 per cent decrease across all industries. " title="Worker fatalities: fatality rate (fatalities per 100 000 workers) in the Road transport industry and all industries, 2003 to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83000" w:rsidRPr="004076EF" w:rsidRDefault="00283000" w:rsidP="007D6070">
      <w:pPr>
        <w:pStyle w:val="Tableheading"/>
        <w:jc w:val="both"/>
      </w:pPr>
    </w:p>
    <w:p w:rsidR="00A1063E" w:rsidRDefault="00D017DA" w:rsidP="005062C6">
      <w:pPr>
        <w:spacing w:line="288" w:lineRule="auto"/>
        <w:rPr>
          <w:rFonts w:ascii="Arial" w:hAnsi="Arial" w:cs="Arial"/>
          <w:b/>
          <w:sz w:val="22"/>
        </w:rPr>
      </w:pPr>
      <w:r w:rsidRPr="00711CA3">
        <w:rPr>
          <w:rFonts w:ascii="Arial" w:hAnsi="Arial" w:cs="Arial"/>
          <w:sz w:val="22"/>
          <w:szCs w:val="22"/>
        </w:rPr>
        <w:t xml:space="preserve">Table </w:t>
      </w:r>
      <w:proofErr w:type="spellStart"/>
      <w:r w:rsidR="00554F3C">
        <w:rPr>
          <w:rFonts w:ascii="Arial" w:hAnsi="Arial" w:cs="Arial"/>
          <w:sz w:val="22"/>
          <w:szCs w:val="22"/>
        </w:rPr>
        <w:t>8</w:t>
      </w:r>
      <w:r w:rsidR="002A2C66">
        <w:rPr>
          <w:rFonts w:ascii="Arial" w:hAnsi="Arial" w:cs="Arial"/>
          <w:sz w:val="22"/>
          <w:szCs w:val="22"/>
        </w:rPr>
        <w:t>a</w:t>
      </w:r>
      <w:proofErr w:type="spellEnd"/>
      <w:r w:rsidRPr="00711CA3">
        <w:rPr>
          <w:rFonts w:ascii="Arial" w:hAnsi="Arial" w:cs="Arial"/>
          <w:sz w:val="22"/>
          <w:szCs w:val="22"/>
        </w:rPr>
        <w:t xml:space="preserve"> shows that the Road freight transport industry sub-division </w:t>
      </w:r>
      <w:proofErr w:type="gramStart"/>
      <w:r w:rsidRPr="00711CA3">
        <w:rPr>
          <w:rFonts w:ascii="Arial" w:hAnsi="Arial" w:cs="Arial"/>
          <w:sz w:val="22"/>
          <w:szCs w:val="22"/>
        </w:rPr>
        <w:t>have</w:t>
      </w:r>
      <w:proofErr w:type="gramEnd"/>
      <w:r w:rsidRPr="00711CA3">
        <w:rPr>
          <w:rFonts w:ascii="Arial" w:hAnsi="Arial" w:cs="Arial"/>
          <w:sz w:val="22"/>
          <w:szCs w:val="22"/>
        </w:rPr>
        <w:t xml:space="preserve"> consistently accounted for the vast majority of worker fatalities in the Road transport industry and has recorded significantly higher fatality rates compared to Road passenger transport.  In 2015, there were 34 worker fatalities in the Road transport industry, with all of these occurring in the Road freight transport sub-division. </w:t>
      </w:r>
      <w:r w:rsidR="00A1063E">
        <w:rPr>
          <w:sz w:val="22"/>
        </w:rPr>
        <w:br w:type="page"/>
      </w:r>
    </w:p>
    <w:p w:rsidR="007D6070" w:rsidRPr="007467AC" w:rsidRDefault="00283000" w:rsidP="007D6070">
      <w:pPr>
        <w:pStyle w:val="Tableheading"/>
        <w:jc w:val="both"/>
        <w:rPr>
          <w:sz w:val="22"/>
        </w:rPr>
      </w:pPr>
      <w:r w:rsidRPr="007467AC">
        <w:rPr>
          <w:sz w:val="22"/>
        </w:rPr>
        <w:lastRenderedPageBreak/>
        <w:t xml:space="preserve">Table </w:t>
      </w:r>
      <w:r w:rsidR="00554F3C">
        <w:rPr>
          <w:sz w:val="22"/>
        </w:rPr>
        <w:t>8</w:t>
      </w:r>
      <w:r w:rsidR="00A1063E">
        <w:rPr>
          <w:sz w:val="22"/>
        </w:rPr>
        <w:t>a</w:t>
      </w:r>
      <w:r w:rsidR="007D6070" w:rsidRPr="007467AC">
        <w:rPr>
          <w:sz w:val="22"/>
        </w:rPr>
        <w:t xml:space="preserve">: Worker fatalities: number </w:t>
      </w:r>
      <w:r w:rsidR="00D017DA">
        <w:rPr>
          <w:sz w:val="22"/>
        </w:rPr>
        <w:t xml:space="preserve">in the </w:t>
      </w:r>
      <w:r w:rsidR="00992FDC" w:rsidRPr="007467AC">
        <w:rPr>
          <w:sz w:val="22"/>
        </w:rPr>
        <w:t xml:space="preserve">Road transport </w:t>
      </w:r>
      <w:r w:rsidR="00D017DA">
        <w:rPr>
          <w:sz w:val="22"/>
        </w:rPr>
        <w:t>industry</w:t>
      </w:r>
      <w:r w:rsidR="006820DA" w:rsidRPr="007467AC">
        <w:rPr>
          <w:sz w:val="22"/>
        </w:rPr>
        <w:t>, 201</w:t>
      </w:r>
      <w:r w:rsidR="00961E98" w:rsidRPr="007467AC">
        <w:rPr>
          <w:sz w:val="22"/>
        </w:rPr>
        <w:t>1 to 20</w:t>
      </w:r>
      <w:r w:rsidR="006820DA" w:rsidRPr="007467AC">
        <w:rPr>
          <w:sz w:val="22"/>
        </w:rPr>
        <w:t>15</w:t>
      </w:r>
    </w:p>
    <w:tbl>
      <w:tblPr>
        <w:tblW w:w="8946" w:type="dxa"/>
        <w:tblInd w:w="93" w:type="dxa"/>
        <w:tblLook w:val="04A0" w:firstRow="1" w:lastRow="0" w:firstColumn="1" w:lastColumn="0" w:noHBand="0" w:noVBand="1"/>
        <w:tblCaption w:val="Worker fatalities: number in the Road transport industry, 2011 to 2015"/>
        <w:tblDescription w:val="Table 8a shows that the Road freight transport industry has consistently accounted for the vast majority of worker fatalities in the Road transport industry.  In 2015, there were 34 worker fatalities in the Road transport industry, with all of these occurring in the Road freight transport sub-division. "/>
      </w:tblPr>
      <w:tblGrid>
        <w:gridCol w:w="3276"/>
        <w:gridCol w:w="1134"/>
        <w:gridCol w:w="1134"/>
        <w:gridCol w:w="1134"/>
        <w:gridCol w:w="1134"/>
        <w:gridCol w:w="1134"/>
      </w:tblGrid>
      <w:tr w:rsidR="00E01B32" w:rsidRPr="007467AC" w:rsidTr="00B9194B">
        <w:trPr>
          <w:trHeight w:val="436"/>
        </w:trPr>
        <w:tc>
          <w:tcPr>
            <w:tcW w:w="3276" w:type="dxa"/>
            <w:tcBorders>
              <w:top w:val="nil"/>
              <w:left w:val="nil"/>
              <w:bottom w:val="single" w:sz="4" w:space="0" w:color="FFFFFF" w:themeColor="background1"/>
            </w:tcBorders>
            <w:shd w:val="clear" w:color="auto" w:fill="AF1E2D"/>
            <w:noWrap/>
            <w:vAlign w:val="center"/>
            <w:hideMark/>
          </w:tcPr>
          <w:p w:rsidR="00F5788D" w:rsidRPr="007467AC" w:rsidRDefault="00F5788D" w:rsidP="00E01B32">
            <w:pPr>
              <w:spacing w:before="0" w:after="0"/>
              <w:jc w:val="center"/>
              <w:rPr>
                <w:rFonts w:ascii="Arial" w:hAnsi="Arial" w:cs="Arial"/>
                <w:color w:val="FFFFFF" w:themeColor="background1"/>
              </w:rPr>
            </w:pPr>
          </w:p>
        </w:tc>
        <w:tc>
          <w:tcPr>
            <w:tcW w:w="1134" w:type="dxa"/>
            <w:tcBorders>
              <w:top w:val="nil"/>
              <w:left w:val="nil"/>
              <w:bottom w:val="single" w:sz="4" w:space="0" w:color="FFFFFF" w:themeColor="background1"/>
              <w:right w:val="single" w:sz="8" w:space="0" w:color="FFFFFF" w:themeColor="background1"/>
            </w:tcBorders>
            <w:shd w:val="clear" w:color="auto" w:fill="AF1E2D"/>
            <w:noWrap/>
            <w:vAlign w:val="center"/>
            <w:hideMark/>
          </w:tcPr>
          <w:p w:rsidR="00F5788D" w:rsidRPr="007467AC" w:rsidRDefault="00F5788D" w:rsidP="00E01B32">
            <w:pPr>
              <w:spacing w:before="0" w:after="0"/>
              <w:jc w:val="center"/>
              <w:rPr>
                <w:rFonts w:ascii="Arial" w:hAnsi="Arial" w:cs="Arial"/>
                <w:b/>
                <w:color w:val="FFFFFF" w:themeColor="background1"/>
              </w:rPr>
            </w:pPr>
            <w:r w:rsidRPr="007467AC">
              <w:rPr>
                <w:rFonts w:ascii="Arial" w:hAnsi="Arial" w:cs="Arial"/>
                <w:b/>
                <w:color w:val="FFFFFF" w:themeColor="background1"/>
              </w:rPr>
              <w:t>2011</w:t>
            </w:r>
          </w:p>
        </w:tc>
        <w:tc>
          <w:tcPr>
            <w:tcW w:w="1134" w:type="dxa"/>
            <w:tcBorders>
              <w:top w:val="nil"/>
              <w:left w:val="single" w:sz="8" w:space="0" w:color="FFFFFF" w:themeColor="background1"/>
              <w:bottom w:val="single" w:sz="4" w:space="0" w:color="FFFFFF" w:themeColor="background1"/>
              <w:right w:val="single" w:sz="8" w:space="0" w:color="FFFFFF" w:themeColor="background1"/>
            </w:tcBorders>
            <w:shd w:val="clear" w:color="auto" w:fill="AF1E2D"/>
            <w:noWrap/>
            <w:vAlign w:val="center"/>
            <w:hideMark/>
          </w:tcPr>
          <w:p w:rsidR="00F5788D" w:rsidRPr="007467AC" w:rsidRDefault="00F5788D" w:rsidP="00E01B32">
            <w:pPr>
              <w:spacing w:before="0" w:after="0"/>
              <w:jc w:val="center"/>
              <w:rPr>
                <w:rFonts w:ascii="Arial" w:hAnsi="Arial" w:cs="Arial"/>
                <w:b/>
                <w:color w:val="FFFFFF" w:themeColor="background1"/>
              </w:rPr>
            </w:pPr>
            <w:r w:rsidRPr="007467AC">
              <w:rPr>
                <w:rFonts w:ascii="Arial" w:hAnsi="Arial" w:cs="Arial"/>
                <w:b/>
                <w:color w:val="FFFFFF" w:themeColor="background1"/>
              </w:rPr>
              <w:t>2012</w:t>
            </w:r>
          </w:p>
        </w:tc>
        <w:tc>
          <w:tcPr>
            <w:tcW w:w="1134" w:type="dxa"/>
            <w:tcBorders>
              <w:top w:val="nil"/>
              <w:left w:val="single" w:sz="8" w:space="0" w:color="FFFFFF" w:themeColor="background1"/>
              <w:bottom w:val="single" w:sz="4" w:space="0" w:color="FFFFFF" w:themeColor="background1"/>
              <w:right w:val="single" w:sz="8" w:space="0" w:color="FFFFFF" w:themeColor="background1"/>
            </w:tcBorders>
            <w:shd w:val="clear" w:color="auto" w:fill="AF1E2D"/>
            <w:noWrap/>
            <w:vAlign w:val="center"/>
            <w:hideMark/>
          </w:tcPr>
          <w:p w:rsidR="00F5788D" w:rsidRPr="007467AC" w:rsidRDefault="00F5788D" w:rsidP="00E01B32">
            <w:pPr>
              <w:spacing w:before="0" w:after="0"/>
              <w:jc w:val="center"/>
              <w:rPr>
                <w:rFonts w:ascii="Arial" w:hAnsi="Arial" w:cs="Arial"/>
                <w:b/>
                <w:color w:val="FFFFFF" w:themeColor="background1"/>
              </w:rPr>
            </w:pPr>
            <w:r w:rsidRPr="007467AC">
              <w:rPr>
                <w:rFonts w:ascii="Arial" w:hAnsi="Arial" w:cs="Arial"/>
                <w:b/>
                <w:color w:val="FFFFFF" w:themeColor="background1"/>
              </w:rPr>
              <w:t>2013</w:t>
            </w:r>
          </w:p>
        </w:tc>
        <w:tc>
          <w:tcPr>
            <w:tcW w:w="1134" w:type="dxa"/>
            <w:tcBorders>
              <w:top w:val="nil"/>
              <w:left w:val="single" w:sz="8" w:space="0" w:color="FFFFFF" w:themeColor="background1"/>
              <w:bottom w:val="single" w:sz="4" w:space="0" w:color="FFFFFF" w:themeColor="background1"/>
              <w:right w:val="single" w:sz="8" w:space="0" w:color="FFFFFF" w:themeColor="background1"/>
            </w:tcBorders>
            <w:shd w:val="clear" w:color="auto" w:fill="AF1E2D"/>
            <w:noWrap/>
            <w:vAlign w:val="center"/>
            <w:hideMark/>
          </w:tcPr>
          <w:p w:rsidR="00F5788D" w:rsidRPr="007467AC" w:rsidRDefault="00F5788D" w:rsidP="00E01B32">
            <w:pPr>
              <w:spacing w:before="0" w:after="0"/>
              <w:jc w:val="center"/>
              <w:rPr>
                <w:rFonts w:ascii="Arial" w:hAnsi="Arial" w:cs="Arial"/>
                <w:b/>
                <w:color w:val="FFFFFF" w:themeColor="background1"/>
              </w:rPr>
            </w:pPr>
            <w:r w:rsidRPr="007467AC">
              <w:rPr>
                <w:rFonts w:ascii="Arial" w:hAnsi="Arial" w:cs="Arial"/>
                <w:b/>
                <w:color w:val="FFFFFF" w:themeColor="background1"/>
              </w:rPr>
              <w:t>2014</w:t>
            </w:r>
          </w:p>
        </w:tc>
        <w:tc>
          <w:tcPr>
            <w:tcW w:w="1134" w:type="dxa"/>
            <w:tcBorders>
              <w:top w:val="nil"/>
              <w:left w:val="single" w:sz="8" w:space="0" w:color="FFFFFF" w:themeColor="background1"/>
              <w:bottom w:val="single" w:sz="4" w:space="0" w:color="FFFFFF" w:themeColor="background1"/>
              <w:right w:val="nil"/>
            </w:tcBorders>
            <w:shd w:val="clear" w:color="auto" w:fill="AF1E2D"/>
            <w:noWrap/>
            <w:vAlign w:val="center"/>
            <w:hideMark/>
          </w:tcPr>
          <w:p w:rsidR="00F5788D" w:rsidRPr="007467AC" w:rsidRDefault="00F5788D" w:rsidP="00E01B32">
            <w:pPr>
              <w:spacing w:before="0" w:after="0"/>
              <w:jc w:val="center"/>
              <w:rPr>
                <w:rFonts w:ascii="Arial" w:hAnsi="Arial" w:cs="Arial"/>
                <w:b/>
                <w:color w:val="FFFFFF" w:themeColor="background1"/>
              </w:rPr>
            </w:pPr>
            <w:r w:rsidRPr="007467AC">
              <w:rPr>
                <w:rFonts w:ascii="Arial" w:hAnsi="Arial" w:cs="Arial"/>
                <w:b/>
                <w:color w:val="FFFFFF" w:themeColor="background1"/>
              </w:rPr>
              <w:t>2015</w:t>
            </w:r>
          </w:p>
        </w:tc>
      </w:tr>
      <w:tr w:rsidR="00F5788D" w:rsidRPr="007467AC" w:rsidTr="00E9113E">
        <w:trPr>
          <w:trHeight w:val="315"/>
        </w:trPr>
        <w:tc>
          <w:tcPr>
            <w:tcW w:w="3276" w:type="dxa"/>
            <w:tcBorders>
              <w:top w:val="single" w:sz="4" w:space="0" w:color="FFFFFF" w:themeColor="background1"/>
              <w:left w:val="nil"/>
              <w:bottom w:val="nil"/>
              <w:right w:val="nil"/>
            </w:tcBorders>
            <w:shd w:val="clear" w:color="auto" w:fill="E5B8B7" w:themeFill="accent2" w:themeFillTint="66"/>
            <w:noWrap/>
            <w:vAlign w:val="center"/>
            <w:hideMark/>
          </w:tcPr>
          <w:p w:rsidR="00F5788D" w:rsidRPr="007467AC" w:rsidRDefault="00F5788D" w:rsidP="00F5788D">
            <w:pPr>
              <w:spacing w:before="0" w:after="0"/>
              <w:rPr>
                <w:rFonts w:ascii="Arial" w:hAnsi="Arial" w:cs="Arial"/>
                <w:b/>
                <w:color w:val="000000"/>
              </w:rPr>
            </w:pPr>
            <w:r w:rsidRPr="007467AC">
              <w:rPr>
                <w:rFonts w:ascii="Arial" w:hAnsi="Arial" w:cs="Arial"/>
                <w:b/>
                <w:color w:val="000000"/>
              </w:rPr>
              <w:t>Road transport</w:t>
            </w:r>
          </w:p>
        </w:tc>
        <w:tc>
          <w:tcPr>
            <w:tcW w:w="1134" w:type="dxa"/>
            <w:tcBorders>
              <w:top w:val="single" w:sz="4" w:space="0" w:color="FFFFFF" w:themeColor="background1"/>
              <w:left w:val="nil"/>
              <w:bottom w:val="nil"/>
              <w:right w:val="nil"/>
            </w:tcBorders>
            <w:shd w:val="clear" w:color="auto" w:fill="E5B8B7" w:themeFill="accent2" w:themeFillTint="66"/>
            <w:noWrap/>
            <w:vAlign w:val="center"/>
            <w:hideMark/>
          </w:tcPr>
          <w:p w:rsidR="00F5788D" w:rsidRPr="007467AC" w:rsidRDefault="00F5788D" w:rsidP="00F5788D">
            <w:pPr>
              <w:spacing w:before="0" w:after="0"/>
              <w:jc w:val="center"/>
              <w:rPr>
                <w:rFonts w:ascii="Arial" w:hAnsi="Arial" w:cs="Arial"/>
                <w:b/>
                <w:color w:val="000000"/>
              </w:rPr>
            </w:pPr>
            <w:r w:rsidRPr="007467AC">
              <w:rPr>
                <w:rFonts w:ascii="Arial" w:hAnsi="Arial" w:cs="Arial"/>
                <w:b/>
                <w:color w:val="000000"/>
              </w:rPr>
              <w:t>29</w:t>
            </w:r>
          </w:p>
        </w:tc>
        <w:tc>
          <w:tcPr>
            <w:tcW w:w="1134" w:type="dxa"/>
            <w:tcBorders>
              <w:top w:val="single" w:sz="4" w:space="0" w:color="FFFFFF" w:themeColor="background1"/>
              <w:left w:val="nil"/>
              <w:bottom w:val="nil"/>
              <w:right w:val="nil"/>
            </w:tcBorders>
            <w:shd w:val="clear" w:color="auto" w:fill="E5B8B7" w:themeFill="accent2" w:themeFillTint="66"/>
            <w:noWrap/>
            <w:vAlign w:val="center"/>
            <w:hideMark/>
          </w:tcPr>
          <w:p w:rsidR="00F5788D" w:rsidRPr="007467AC" w:rsidRDefault="00F5788D" w:rsidP="00F5788D">
            <w:pPr>
              <w:spacing w:before="0" w:after="0"/>
              <w:jc w:val="center"/>
              <w:rPr>
                <w:rFonts w:ascii="Arial" w:hAnsi="Arial" w:cs="Arial"/>
                <w:b/>
                <w:color w:val="000000"/>
              </w:rPr>
            </w:pPr>
            <w:r w:rsidRPr="007467AC">
              <w:rPr>
                <w:rFonts w:ascii="Arial" w:hAnsi="Arial" w:cs="Arial"/>
                <w:b/>
                <w:color w:val="000000"/>
              </w:rPr>
              <w:t>52</w:t>
            </w:r>
          </w:p>
        </w:tc>
        <w:tc>
          <w:tcPr>
            <w:tcW w:w="1134" w:type="dxa"/>
            <w:tcBorders>
              <w:top w:val="single" w:sz="4" w:space="0" w:color="FFFFFF" w:themeColor="background1"/>
              <w:left w:val="nil"/>
              <w:bottom w:val="nil"/>
              <w:right w:val="nil"/>
            </w:tcBorders>
            <w:shd w:val="clear" w:color="auto" w:fill="E5B8B7" w:themeFill="accent2" w:themeFillTint="66"/>
            <w:noWrap/>
            <w:vAlign w:val="center"/>
            <w:hideMark/>
          </w:tcPr>
          <w:p w:rsidR="00F5788D" w:rsidRPr="007467AC" w:rsidRDefault="00F5788D" w:rsidP="00F5788D">
            <w:pPr>
              <w:spacing w:before="0" w:after="0"/>
              <w:jc w:val="center"/>
              <w:rPr>
                <w:rFonts w:ascii="Arial" w:hAnsi="Arial" w:cs="Arial"/>
                <w:b/>
                <w:color w:val="000000"/>
              </w:rPr>
            </w:pPr>
            <w:r w:rsidRPr="007467AC">
              <w:rPr>
                <w:rFonts w:ascii="Arial" w:hAnsi="Arial" w:cs="Arial"/>
                <w:b/>
                <w:color w:val="000000"/>
              </w:rPr>
              <w:t>39</w:t>
            </w:r>
          </w:p>
        </w:tc>
        <w:tc>
          <w:tcPr>
            <w:tcW w:w="1134" w:type="dxa"/>
            <w:tcBorders>
              <w:top w:val="single" w:sz="4" w:space="0" w:color="FFFFFF" w:themeColor="background1"/>
              <w:left w:val="nil"/>
              <w:bottom w:val="nil"/>
              <w:right w:val="nil"/>
            </w:tcBorders>
            <w:shd w:val="clear" w:color="auto" w:fill="E5B8B7" w:themeFill="accent2" w:themeFillTint="66"/>
            <w:noWrap/>
            <w:vAlign w:val="center"/>
            <w:hideMark/>
          </w:tcPr>
          <w:p w:rsidR="00F5788D" w:rsidRPr="007467AC" w:rsidRDefault="00F5788D" w:rsidP="00F5788D">
            <w:pPr>
              <w:spacing w:before="0" w:after="0"/>
              <w:jc w:val="center"/>
              <w:rPr>
                <w:rFonts w:ascii="Arial" w:hAnsi="Arial" w:cs="Arial"/>
                <w:b/>
                <w:color w:val="000000"/>
              </w:rPr>
            </w:pPr>
            <w:r w:rsidRPr="007467AC">
              <w:rPr>
                <w:rFonts w:ascii="Arial" w:hAnsi="Arial" w:cs="Arial"/>
                <w:b/>
                <w:color w:val="000000"/>
              </w:rPr>
              <w:t>39</w:t>
            </w:r>
          </w:p>
        </w:tc>
        <w:tc>
          <w:tcPr>
            <w:tcW w:w="1134" w:type="dxa"/>
            <w:tcBorders>
              <w:top w:val="single" w:sz="4" w:space="0" w:color="FFFFFF" w:themeColor="background1"/>
              <w:left w:val="nil"/>
              <w:bottom w:val="nil"/>
              <w:right w:val="nil"/>
            </w:tcBorders>
            <w:shd w:val="clear" w:color="auto" w:fill="E5B8B7" w:themeFill="accent2" w:themeFillTint="66"/>
            <w:noWrap/>
            <w:vAlign w:val="center"/>
            <w:hideMark/>
          </w:tcPr>
          <w:p w:rsidR="00F5788D" w:rsidRPr="007467AC" w:rsidRDefault="00F5788D" w:rsidP="00F5788D">
            <w:pPr>
              <w:spacing w:before="0" w:after="0"/>
              <w:jc w:val="center"/>
              <w:rPr>
                <w:rFonts w:ascii="Arial" w:hAnsi="Arial" w:cs="Arial"/>
                <w:b/>
                <w:color w:val="000000"/>
              </w:rPr>
            </w:pPr>
            <w:r w:rsidRPr="007467AC">
              <w:rPr>
                <w:rFonts w:ascii="Arial" w:hAnsi="Arial" w:cs="Arial"/>
                <w:b/>
                <w:color w:val="000000"/>
              </w:rPr>
              <w:t>34</w:t>
            </w:r>
          </w:p>
        </w:tc>
      </w:tr>
      <w:tr w:rsidR="00F5788D" w:rsidRPr="007467AC" w:rsidTr="00F5788D">
        <w:trPr>
          <w:trHeight w:val="315"/>
        </w:trPr>
        <w:tc>
          <w:tcPr>
            <w:tcW w:w="3276" w:type="dxa"/>
            <w:tcBorders>
              <w:top w:val="nil"/>
              <w:left w:val="nil"/>
              <w:bottom w:val="nil"/>
              <w:right w:val="nil"/>
            </w:tcBorders>
            <w:shd w:val="clear" w:color="auto" w:fill="auto"/>
            <w:noWrap/>
            <w:vAlign w:val="center"/>
            <w:hideMark/>
          </w:tcPr>
          <w:p w:rsidR="00F5788D" w:rsidRPr="007467AC" w:rsidRDefault="00F5788D" w:rsidP="00F5788D">
            <w:pPr>
              <w:spacing w:before="0" w:after="0"/>
              <w:rPr>
                <w:rFonts w:ascii="Arial" w:hAnsi="Arial" w:cs="Arial"/>
                <w:i/>
                <w:iCs/>
                <w:color w:val="000000"/>
              </w:rPr>
            </w:pPr>
            <w:r w:rsidRPr="007467AC">
              <w:rPr>
                <w:rFonts w:ascii="Arial" w:hAnsi="Arial" w:cs="Arial"/>
                <w:i/>
                <w:iCs/>
                <w:color w:val="000000"/>
              </w:rPr>
              <w:t>   Road freight transport</w:t>
            </w:r>
          </w:p>
        </w:tc>
        <w:tc>
          <w:tcPr>
            <w:tcW w:w="1134" w:type="dxa"/>
            <w:tcBorders>
              <w:top w:val="nil"/>
              <w:left w:val="nil"/>
              <w:bottom w:val="nil"/>
              <w:right w:val="nil"/>
            </w:tcBorders>
            <w:shd w:val="clear" w:color="auto" w:fill="auto"/>
            <w:noWrap/>
            <w:vAlign w:val="center"/>
            <w:hideMark/>
          </w:tcPr>
          <w:p w:rsidR="00F5788D" w:rsidRPr="007467AC" w:rsidRDefault="00F5788D" w:rsidP="00F5788D">
            <w:pPr>
              <w:spacing w:before="0" w:after="0"/>
              <w:jc w:val="center"/>
              <w:rPr>
                <w:rFonts w:ascii="Arial" w:hAnsi="Arial" w:cs="Arial"/>
                <w:i/>
                <w:color w:val="000000"/>
              </w:rPr>
            </w:pPr>
            <w:r w:rsidRPr="007467AC">
              <w:rPr>
                <w:rFonts w:ascii="Arial" w:hAnsi="Arial" w:cs="Arial"/>
                <w:i/>
                <w:color w:val="000000"/>
              </w:rPr>
              <w:t>25</w:t>
            </w:r>
          </w:p>
        </w:tc>
        <w:tc>
          <w:tcPr>
            <w:tcW w:w="1134" w:type="dxa"/>
            <w:tcBorders>
              <w:top w:val="nil"/>
              <w:left w:val="nil"/>
              <w:bottom w:val="nil"/>
              <w:right w:val="nil"/>
            </w:tcBorders>
            <w:shd w:val="clear" w:color="auto" w:fill="auto"/>
            <w:noWrap/>
            <w:vAlign w:val="center"/>
            <w:hideMark/>
          </w:tcPr>
          <w:p w:rsidR="00F5788D" w:rsidRPr="007467AC" w:rsidRDefault="00F5788D" w:rsidP="00F5788D">
            <w:pPr>
              <w:spacing w:before="0" w:after="0"/>
              <w:jc w:val="center"/>
              <w:rPr>
                <w:rFonts w:ascii="Arial" w:hAnsi="Arial" w:cs="Arial"/>
                <w:i/>
                <w:color w:val="000000"/>
              </w:rPr>
            </w:pPr>
            <w:r w:rsidRPr="007467AC">
              <w:rPr>
                <w:rFonts w:ascii="Arial" w:hAnsi="Arial" w:cs="Arial"/>
                <w:i/>
                <w:color w:val="000000"/>
              </w:rPr>
              <w:t>45</w:t>
            </w:r>
          </w:p>
        </w:tc>
        <w:tc>
          <w:tcPr>
            <w:tcW w:w="1134" w:type="dxa"/>
            <w:tcBorders>
              <w:top w:val="nil"/>
              <w:left w:val="nil"/>
              <w:bottom w:val="nil"/>
              <w:right w:val="nil"/>
            </w:tcBorders>
            <w:shd w:val="clear" w:color="auto" w:fill="auto"/>
            <w:noWrap/>
            <w:vAlign w:val="center"/>
            <w:hideMark/>
          </w:tcPr>
          <w:p w:rsidR="00F5788D" w:rsidRPr="007467AC" w:rsidRDefault="00F5788D" w:rsidP="00F5788D">
            <w:pPr>
              <w:spacing w:before="0" w:after="0"/>
              <w:jc w:val="center"/>
              <w:rPr>
                <w:rFonts w:ascii="Arial" w:hAnsi="Arial" w:cs="Arial"/>
                <w:i/>
                <w:color w:val="000000"/>
              </w:rPr>
            </w:pPr>
            <w:r w:rsidRPr="007467AC">
              <w:rPr>
                <w:rFonts w:ascii="Arial" w:hAnsi="Arial" w:cs="Arial"/>
                <w:i/>
                <w:color w:val="000000"/>
              </w:rPr>
              <w:t>34</w:t>
            </w:r>
          </w:p>
        </w:tc>
        <w:tc>
          <w:tcPr>
            <w:tcW w:w="1134" w:type="dxa"/>
            <w:tcBorders>
              <w:top w:val="nil"/>
              <w:left w:val="nil"/>
              <w:bottom w:val="nil"/>
              <w:right w:val="nil"/>
            </w:tcBorders>
            <w:shd w:val="clear" w:color="auto" w:fill="auto"/>
            <w:noWrap/>
            <w:vAlign w:val="center"/>
            <w:hideMark/>
          </w:tcPr>
          <w:p w:rsidR="00F5788D" w:rsidRPr="007467AC" w:rsidRDefault="00F5788D" w:rsidP="00F5788D">
            <w:pPr>
              <w:spacing w:before="0" w:after="0"/>
              <w:jc w:val="center"/>
              <w:rPr>
                <w:rFonts w:ascii="Arial" w:hAnsi="Arial" w:cs="Arial"/>
                <w:i/>
                <w:color w:val="000000"/>
              </w:rPr>
            </w:pPr>
            <w:r w:rsidRPr="007467AC">
              <w:rPr>
                <w:rFonts w:ascii="Arial" w:hAnsi="Arial" w:cs="Arial"/>
                <w:i/>
                <w:color w:val="000000"/>
              </w:rPr>
              <w:t>36</w:t>
            </w:r>
          </w:p>
        </w:tc>
        <w:tc>
          <w:tcPr>
            <w:tcW w:w="1134" w:type="dxa"/>
            <w:tcBorders>
              <w:top w:val="nil"/>
              <w:left w:val="nil"/>
              <w:bottom w:val="nil"/>
              <w:right w:val="nil"/>
            </w:tcBorders>
            <w:shd w:val="clear" w:color="auto" w:fill="auto"/>
            <w:noWrap/>
            <w:vAlign w:val="center"/>
            <w:hideMark/>
          </w:tcPr>
          <w:p w:rsidR="00F5788D" w:rsidRPr="007467AC" w:rsidRDefault="00F5788D" w:rsidP="00F5788D">
            <w:pPr>
              <w:spacing w:before="0" w:after="0"/>
              <w:jc w:val="center"/>
              <w:rPr>
                <w:rFonts w:ascii="Arial" w:hAnsi="Arial" w:cs="Arial"/>
                <w:i/>
                <w:color w:val="000000"/>
              </w:rPr>
            </w:pPr>
            <w:r w:rsidRPr="007467AC">
              <w:rPr>
                <w:rFonts w:ascii="Arial" w:hAnsi="Arial" w:cs="Arial"/>
                <w:i/>
                <w:color w:val="000000"/>
              </w:rPr>
              <w:t>34</w:t>
            </w:r>
          </w:p>
        </w:tc>
      </w:tr>
      <w:tr w:rsidR="00F5788D" w:rsidRPr="007467AC" w:rsidTr="00E01B32">
        <w:trPr>
          <w:trHeight w:val="315"/>
        </w:trPr>
        <w:tc>
          <w:tcPr>
            <w:tcW w:w="3276" w:type="dxa"/>
            <w:tcBorders>
              <w:top w:val="nil"/>
              <w:left w:val="nil"/>
              <w:bottom w:val="nil"/>
              <w:right w:val="nil"/>
            </w:tcBorders>
            <w:shd w:val="clear" w:color="auto" w:fill="F2DBDB" w:themeFill="accent2" w:themeFillTint="33"/>
            <w:noWrap/>
            <w:vAlign w:val="center"/>
            <w:hideMark/>
          </w:tcPr>
          <w:p w:rsidR="00F5788D" w:rsidRPr="007467AC" w:rsidRDefault="00F5788D" w:rsidP="00F5788D">
            <w:pPr>
              <w:spacing w:before="0" w:after="0"/>
              <w:rPr>
                <w:rFonts w:ascii="Arial" w:hAnsi="Arial" w:cs="Arial"/>
                <w:i/>
                <w:iCs/>
                <w:color w:val="000000"/>
              </w:rPr>
            </w:pPr>
            <w:r w:rsidRPr="007467AC">
              <w:rPr>
                <w:rFonts w:ascii="Arial" w:hAnsi="Arial" w:cs="Arial"/>
                <w:i/>
                <w:iCs/>
                <w:color w:val="000000"/>
              </w:rPr>
              <w:t>   Road passenger transport</w:t>
            </w:r>
          </w:p>
        </w:tc>
        <w:tc>
          <w:tcPr>
            <w:tcW w:w="1134" w:type="dxa"/>
            <w:tcBorders>
              <w:top w:val="nil"/>
              <w:left w:val="nil"/>
              <w:bottom w:val="nil"/>
              <w:right w:val="nil"/>
            </w:tcBorders>
            <w:shd w:val="clear" w:color="auto" w:fill="F2DBDB" w:themeFill="accent2" w:themeFillTint="33"/>
            <w:noWrap/>
            <w:vAlign w:val="center"/>
            <w:hideMark/>
          </w:tcPr>
          <w:p w:rsidR="00F5788D" w:rsidRPr="007467AC" w:rsidRDefault="00F5788D" w:rsidP="00F5788D">
            <w:pPr>
              <w:spacing w:before="0" w:after="0"/>
              <w:jc w:val="center"/>
              <w:rPr>
                <w:rFonts w:ascii="Arial" w:hAnsi="Arial" w:cs="Arial"/>
                <w:i/>
                <w:color w:val="000000"/>
              </w:rPr>
            </w:pPr>
            <w:r w:rsidRPr="007467AC">
              <w:rPr>
                <w:rFonts w:ascii="Arial" w:hAnsi="Arial" w:cs="Arial"/>
                <w:i/>
                <w:color w:val="000000"/>
              </w:rPr>
              <w:t>4</w:t>
            </w:r>
          </w:p>
        </w:tc>
        <w:tc>
          <w:tcPr>
            <w:tcW w:w="1134" w:type="dxa"/>
            <w:tcBorders>
              <w:top w:val="nil"/>
              <w:left w:val="nil"/>
              <w:bottom w:val="nil"/>
              <w:right w:val="nil"/>
            </w:tcBorders>
            <w:shd w:val="clear" w:color="auto" w:fill="F2DBDB" w:themeFill="accent2" w:themeFillTint="33"/>
            <w:noWrap/>
            <w:vAlign w:val="center"/>
            <w:hideMark/>
          </w:tcPr>
          <w:p w:rsidR="00F5788D" w:rsidRPr="007467AC" w:rsidRDefault="00F5788D" w:rsidP="00F5788D">
            <w:pPr>
              <w:spacing w:before="0" w:after="0"/>
              <w:jc w:val="center"/>
              <w:rPr>
                <w:rFonts w:ascii="Arial" w:hAnsi="Arial" w:cs="Arial"/>
                <w:i/>
                <w:color w:val="000000"/>
              </w:rPr>
            </w:pPr>
            <w:r w:rsidRPr="007467AC">
              <w:rPr>
                <w:rFonts w:ascii="Arial" w:hAnsi="Arial" w:cs="Arial"/>
                <w:i/>
                <w:color w:val="000000"/>
              </w:rPr>
              <w:t>7</w:t>
            </w:r>
          </w:p>
        </w:tc>
        <w:tc>
          <w:tcPr>
            <w:tcW w:w="1134" w:type="dxa"/>
            <w:tcBorders>
              <w:top w:val="nil"/>
              <w:left w:val="nil"/>
              <w:bottom w:val="nil"/>
              <w:right w:val="nil"/>
            </w:tcBorders>
            <w:shd w:val="clear" w:color="auto" w:fill="F2DBDB" w:themeFill="accent2" w:themeFillTint="33"/>
            <w:noWrap/>
            <w:vAlign w:val="center"/>
            <w:hideMark/>
          </w:tcPr>
          <w:p w:rsidR="00F5788D" w:rsidRPr="007467AC" w:rsidRDefault="00F5788D" w:rsidP="00F5788D">
            <w:pPr>
              <w:spacing w:before="0" w:after="0"/>
              <w:jc w:val="center"/>
              <w:rPr>
                <w:rFonts w:ascii="Arial" w:hAnsi="Arial" w:cs="Arial"/>
                <w:i/>
                <w:color w:val="000000"/>
              </w:rPr>
            </w:pPr>
            <w:r w:rsidRPr="007467AC">
              <w:rPr>
                <w:rFonts w:ascii="Arial" w:hAnsi="Arial" w:cs="Arial"/>
                <w:i/>
                <w:color w:val="000000"/>
              </w:rPr>
              <w:t>5</w:t>
            </w:r>
          </w:p>
        </w:tc>
        <w:tc>
          <w:tcPr>
            <w:tcW w:w="1134" w:type="dxa"/>
            <w:tcBorders>
              <w:top w:val="nil"/>
              <w:left w:val="nil"/>
              <w:bottom w:val="nil"/>
              <w:right w:val="nil"/>
            </w:tcBorders>
            <w:shd w:val="clear" w:color="auto" w:fill="F2DBDB" w:themeFill="accent2" w:themeFillTint="33"/>
            <w:noWrap/>
            <w:vAlign w:val="center"/>
            <w:hideMark/>
          </w:tcPr>
          <w:p w:rsidR="00F5788D" w:rsidRPr="007467AC" w:rsidRDefault="00F5788D" w:rsidP="00F5788D">
            <w:pPr>
              <w:spacing w:before="0" w:after="0"/>
              <w:jc w:val="center"/>
              <w:rPr>
                <w:rFonts w:ascii="Arial" w:hAnsi="Arial" w:cs="Arial"/>
                <w:i/>
                <w:color w:val="000000"/>
              </w:rPr>
            </w:pPr>
            <w:r w:rsidRPr="007467AC">
              <w:rPr>
                <w:rFonts w:ascii="Arial" w:hAnsi="Arial" w:cs="Arial"/>
                <w:i/>
                <w:color w:val="000000"/>
              </w:rPr>
              <w:t>3</w:t>
            </w:r>
          </w:p>
        </w:tc>
        <w:tc>
          <w:tcPr>
            <w:tcW w:w="1134" w:type="dxa"/>
            <w:tcBorders>
              <w:top w:val="nil"/>
              <w:left w:val="nil"/>
              <w:bottom w:val="nil"/>
              <w:right w:val="nil"/>
            </w:tcBorders>
            <w:shd w:val="clear" w:color="auto" w:fill="F2DBDB" w:themeFill="accent2" w:themeFillTint="33"/>
            <w:noWrap/>
            <w:vAlign w:val="center"/>
            <w:hideMark/>
          </w:tcPr>
          <w:p w:rsidR="00F5788D" w:rsidRPr="007467AC" w:rsidRDefault="00F5788D" w:rsidP="00F5788D">
            <w:pPr>
              <w:spacing w:before="0" w:after="0"/>
              <w:jc w:val="center"/>
              <w:rPr>
                <w:rFonts w:ascii="Arial" w:hAnsi="Arial" w:cs="Arial"/>
                <w:i/>
                <w:color w:val="000000"/>
              </w:rPr>
            </w:pPr>
            <w:r w:rsidRPr="007467AC">
              <w:rPr>
                <w:rFonts w:ascii="Arial" w:hAnsi="Arial" w:cs="Arial"/>
                <w:i/>
                <w:color w:val="000000"/>
              </w:rPr>
              <w:t>0</w:t>
            </w:r>
          </w:p>
        </w:tc>
      </w:tr>
      <w:tr w:rsidR="0097571C" w:rsidRPr="0097571C" w:rsidTr="00B9194B">
        <w:trPr>
          <w:trHeight w:val="315"/>
        </w:trPr>
        <w:tc>
          <w:tcPr>
            <w:tcW w:w="3276" w:type="dxa"/>
            <w:tcBorders>
              <w:top w:val="nil"/>
              <w:left w:val="nil"/>
              <w:bottom w:val="nil"/>
              <w:right w:val="nil"/>
            </w:tcBorders>
            <w:shd w:val="clear" w:color="auto" w:fill="808080"/>
            <w:noWrap/>
            <w:vAlign w:val="center"/>
            <w:hideMark/>
          </w:tcPr>
          <w:p w:rsidR="00F5788D" w:rsidRPr="0097571C" w:rsidRDefault="00F5788D" w:rsidP="00F5788D">
            <w:pPr>
              <w:spacing w:before="0" w:after="0"/>
              <w:rPr>
                <w:rFonts w:ascii="Arial" w:hAnsi="Arial" w:cs="Arial"/>
                <w:b/>
                <w:color w:val="FFFFFF" w:themeColor="background1"/>
              </w:rPr>
            </w:pPr>
            <w:r w:rsidRPr="0097571C">
              <w:rPr>
                <w:rFonts w:ascii="Arial" w:hAnsi="Arial" w:cs="Arial"/>
                <w:b/>
                <w:color w:val="FFFFFF" w:themeColor="background1"/>
              </w:rPr>
              <w:t>All industries</w:t>
            </w:r>
          </w:p>
        </w:tc>
        <w:tc>
          <w:tcPr>
            <w:tcW w:w="1134" w:type="dxa"/>
            <w:tcBorders>
              <w:top w:val="nil"/>
              <w:left w:val="nil"/>
              <w:bottom w:val="nil"/>
              <w:right w:val="nil"/>
            </w:tcBorders>
            <w:shd w:val="clear" w:color="auto" w:fill="808080"/>
            <w:noWrap/>
            <w:vAlign w:val="center"/>
            <w:hideMark/>
          </w:tcPr>
          <w:p w:rsidR="00F5788D" w:rsidRPr="0097571C" w:rsidRDefault="00F5788D" w:rsidP="00F5788D">
            <w:pPr>
              <w:spacing w:before="0" w:after="0"/>
              <w:jc w:val="center"/>
              <w:rPr>
                <w:rFonts w:ascii="Arial" w:hAnsi="Arial" w:cs="Arial"/>
                <w:b/>
                <w:color w:val="FFFFFF" w:themeColor="background1"/>
              </w:rPr>
            </w:pPr>
            <w:r w:rsidRPr="0097571C">
              <w:rPr>
                <w:rFonts w:ascii="Arial" w:hAnsi="Arial" w:cs="Arial"/>
                <w:b/>
                <w:color w:val="FFFFFF" w:themeColor="background1"/>
              </w:rPr>
              <w:t>224</w:t>
            </w:r>
          </w:p>
        </w:tc>
        <w:tc>
          <w:tcPr>
            <w:tcW w:w="1134" w:type="dxa"/>
            <w:tcBorders>
              <w:top w:val="nil"/>
              <w:left w:val="nil"/>
              <w:bottom w:val="nil"/>
              <w:right w:val="nil"/>
            </w:tcBorders>
            <w:shd w:val="clear" w:color="auto" w:fill="808080"/>
            <w:noWrap/>
            <w:vAlign w:val="center"/>
            <w:hideMark/>
          </w:tcPr>
          <w:p w:rsidR="00F5788D" w:rsidRPr="0097571C" w:rsidRDefault="00F5788D" w:rsidP="00F5788D">
            <w:pPr>
              <w:spacing w:before="0" w:after="0"/>
              <w:jc w:val="center"/>
              <w:rPr>
                <w:rFonts w:ascii="Arial" w:hAnsi="Arial" w:cs="Arial"/>
                <w:b/>
                <w:color w:val="FFFFFF" w:themeColor="background1"/>
              </w:rPr>
            </w:pPr>
            <w:r w:rsidRPr="0097571C">
              <w:rPr>
                <w:rFonts w:ascii="Arial" w:hAnsi="Arial" w:cs="Arial"/>
                <w:b/>
                <w:color w:val="FFFFFF" w:themeColor="background1"/>
              </w:rPr>
              <w:t>229</w:t>
            </w:r>
          </w:p>
        </w:tc>
        <w:tc>
          <w:tcPr>
            <w:tcW w:w="1134" w:type="dxa"/>
            <w:tcBorders>
              <w:top w:val="nil"/>
              <w:left w:val="nil"/>
              <w:bottom w:val="nil"/>
              <w:right w:val="nil"/>
            </w:tcBorders>
            <w:shd w:val="clear" w:color="auto" w:fill="808080"/>
            <w:noWrap/>
            <w:vAlign w:val="center"/>
            <w:hideMark/>
          </w:tcPr>
          <w:p w:rsidR="00F5788D" w:rsidRPr="0097571C" w:rsidRDefault="00F5788D" w:rsidP="00F5788D">
            <w:pPr>
              <w:spacing w:before="0" w:after="0"/>
              <w:jc w:val="center"/>
              <w:rPr>
                <w:rFonts w:ascii="Arial" w:hAnsi="Arial" w:cs="Arial"/>
                <w:b/>
                <w:color w:val="FFFFFF" w:themeColor="background1"/>
              </w:rPr>
            </w:pPr>
            <w:r w:rsidRPr="0097571C">
              <w:rPr>
                <w:rFonts w:ascii="Arial" w:hAnsi="Arial" w:cs="Arial"/>
                <w:b/>
                <w:color w:val="FFFFFF" w:themeColor="background1"/>
              </w:rPr>
              <w:t>201</w:t>
            </w:r>
          </w:p>
        </w:tc>
        <w:tc>
          <w:tcPr>
            <w:tcW w:w="1134" w:type="dxa"/>
            <w:tcBorders>
              <w:top w:val="nil"/>
              <w:left w:val="nil"/>
              <w:bottom w:val="nil"/>
              <w:right w:val="nil"/>
            </w:tcBorders>
            <w:shd w:val="clear" w:color="auto" w:fill="808080"/>
            <w:noWrap/>
            <w:vAlign w:val="center"/>
            <w:hideMark/>
          </w:tcPr>
          <w:p w:rsidR="00F5788D" w:rsidRPr="0097571C" w:rsidRDefault="00F5788D" w:rsidP="00F5788D">
            <w:pPr>
              <w:spacing w:before="0" w:after="0"/>
              <w:jc w:val="center"/>
              <w:rPr>
                <w:rFonts w:ascii="Arial" w:hAnsi="Arial" w:cs="Arial"/>
                <w:b/>
                <w:color w:val="FFFFFF" w:themeColor="background1"/>
              </w:rPr>
            </w:pPr>
            <w:r w:rsidRPr="0097571C">
              <w:rPr>
                <w:rFonts w:ascii="Arial" w:hAnsi="Arial" w:cs="Arial"/>
                <w:b/>
                <w:color w:val="FFFFFF" w:themeColor="background1"/>
              </w:rPr>
              <w:t>194</w:t>
            </w:r>
          </w:p>
        </w:tc>
        <w:tc>
          <w:tcPr>
            <w:tcW w:w="1134" w:type="dxa"/>
            <w:tcBorders>
              <w:top w:val="nil"/>
              <w:left w:val="nil"/>
              <w:bottom w:val="nil"/>
              <w:right w:val="nil"/>
            </w:tcBorders>
            <w:shd w:val="clear" w:color="auto" w:fill="808080"/>
            <w:noWrap/>
            <w:vAlign w:val="center"/>
            <w:hideMark/>
          </w:tcPr>
          <w:p w:rsidR="00F5788D" w:rsidRPr="0097571C" w:rsidRDefault="00F5788D" w:rsidP="00F5788D">
            <w:pPr>
              <w:spacing w:before="0" w:after="0"/>
              <w:jc w:val="center"/>
              <w:rPr>
                <w:rFonts w:ascii="Arial" w:hAnsi="Arial" w:cs="Arial"/>
                <w:b/>
                <w:color w:val="FFFFFF" w:themeColor="background1"/>
              </w:rPr>
            </w:pPr>
            <w:r w:rsidRPr="0097571C">
              <w:rPr>
                <w:rFonts w:ascii="Arial" w:hAnsi="Arial" w:cs="Arial"/>
                <w:b/>
                <w:color w:val="FFFFFF" w:themeColor="background1"/>
              </w:rPr>
              <w:t>195</w:t>
            </w:r>
          </w:p>
        </w:tc>
      </w:tr>
    </w:tbl>
    <w:p w:rsidR="00A1063E" w:rsidRPr="007467AC" w:rsidRDefault="00A1063E" w:rsidP="00A1063E">
      <w:pPr>
        <w:pStyle w:val="Tableheading"/>
        <w:jc w:val="both"/>
        <w:rPr>
          <w:sz w:val="22"/>
        </w:rPr>
      </w:pPr>
      <w:r w:rsidRPr="007467AC">
        <w:rPr>
          <w:sz w:val="22"/>
        </w:rPr>
        <w:t xml:space="preserve">Table </w:t>
      </w:r>
      <w:r>
        <w:rPr>
          <w:sz w:val="22"/>
        </w:rPr>
        <w:t>8b</w:t>
      </w:r>
      <w:r w:rsidRPr="007467AC">
        <w:rPr>
          <w:sz w:val="22"/>
        </w:rPr>
        <w:t>: Worker fatalities: fatality rate</w:t>
      </w:r>
      <w:r>
        <w:rPr>
          <w:sz w:val="22"/>
        </w:rPr>
        <w:t xml:space="preserve"> (fatalities per 100 000 workers) in the </w:t>
      </w:r>
      <w:r w:rsidRPr="007467AC">
        <w:rPr>
          <w:sz w:val="22"/>
        </w:rPr>
        <w:t xml:space="preserve">Road transport </w:t>
      </w:r>
      <w:r>
        <w:rPr>
          <w:sz w:val="22"/>
        </w:rPr>
        <w:t>industry</w:t>
      </w:r>
      <w:r w:rsidRPr="007467AC">
        <w:rPr>
          <w:sz w:val="22"/>
        </w:rPr>
        <w:t>, 2011 to 2015</w:t>
      </w:r>
    </w:p>
    <w:tbl>
      <w:tblPr>
        <w:tblW w:w="8946" w:type="dxa"/>
        <w:tblInd w:w="93" w:type="dxa"/>
        <w:tblLook w:val="04A0" w:firstRow="1" w:lastRow="0" w:firstColumn="1" w:lastColumn="0" w:noHBand="0" w:noVBand="1"/>
        <w:tblCaption w:val="Worker fatalities: fatality rate (fatalities per 100 000 workers) in the Road transport industry, 2011 to 2015"/>
        <w:tblDescription w:val="Table 8b shows that the Road freight industry has recorded significantly higher fatality rates compared to Road passenger transport between 2001 and 2015."/>
      </w:tblPr>
      <w:tblGrid>
        <w:gridCol w:w="3276"/>
        <w:gridCol w:w="1134"/>
        <w:gridCol w:w="1134"/>
        <w:gridCol w:w="1134"/>
        <w:gridCol w:w="1134"/>
        <w:gridCol w:w="1134"/>
      </w:tblGrid>
      <w:tr w:rsidR="00E9113E" w:rsidRPr="007467AC" w:rsidTr="00B9194B">
        <w:trPr>
          <w:trHeight w:val="421"/>
        </w:trPr>
        <w:tc>
          <w:tcPr>
            <w:tcW w:w="3276" w:type="dxa"/>
            <w:tcBorders>
              <w:top w:val="nil"/>
              <w:left w:val="nil"/>
              <w:bottom w:val="nil"/>
            </w:tcBorders>
            <w:shd w:val="clear" w:color="auto" w:fill="AF1E2D"/>
            <w:noWrap/>
            <w:vAlign w:val="center"/>
          </w:tcPr>
          <w:p w:rsidR="00E9113E" w:rsidRPr="007467AC" w:rsidRDefault="00E9113E" w:rsidP="00E9113E">
            <w:pPr>
              <w:spacing w:before="0" w:after="0"/>
              <w:jc w:val="center"/>
              <w:rPr>
                <w:rFonts w:ascii="Arial" w:hAnsi="Arial" w:cs="Arial"/>
                <w:b/>
                <w:bCs/>
                <w:color w:val="FFFFFF" w:themeColor="background1"/>
              </w:rPr>
            </w:pPr>
          </w:p>
        </w:tc>
        <w:tc>
          <w:tcPr>
            <w:tcW w:w="1134" w:type="dxa"/>
            <w:tcBorders>
              <w:top w:val="nil"/>
              <w:left w:val="nil"/>
              <w:bottom w:val="nil"/>
              <w:right w:val="single" w:sz="4" w:space="0" w:color="FFFFFF" w:themeColor="background1"/>
            </w:tcBorders>
            <w:shd w:val="clear" w:color="auto" w:fill="AF1E2D"/>
            <w:vAlign w:val="center"/>
          </w:tcPr>
          <w:p w:rsidR="00E9113E" w:rsidRPr="007467AC" w:rsidRDefault="00E9113E" w:rsidP="00E9113E">
            <w:pPr>
              <w:spacing w:before="0" w:after="0"/>
              <w:jc w:val="center"/>
              <w:rPr>
                <w:rFonts w:ascii="Arial" w:hAnsi="Arial" w:cs="Arial"/>
                <w:b/>
                <w:color w:val="FFFFFF" w:themeColor="background1"/>
              </w:rPr>
            </w:pPr>
            <w:r w:rsidRPr="007467AC">
              <w:rPr>
                <w:rFonts w:ascii="Arial" w:hAnsi="Arial" w:cs="Arial"/>
                <w:b/>
                <w:color w:val="FFFFFF" w:themeColor="background1"/>
              </w:rPr>
              <w:t>2011</w:t>
            </w:r>
          </w:p>
        </w:tc>
        <w:tc>
          <w:tcPr>
            <w:tcW w:w="1134" w:type="dxa"/>
            <w:tcBorders>
              <w:top w:val="nil"/>
              <w:left w:val="nil"/>
              <w:bottom w:val="nil"/>
              <w:right w:val="single" w:sz="4" w:space="0" w:color="FFFFFF" w:themeColor="background1"/>
            </w:tcBorders>
            <w:shd w:val="clear" w:color="auto" w:fill="AF1E2D"/>
            <w:vAlign w:val="center"/>
          </w:tcPr>
          <w:p w:rsidR="00E9113E" w:rsidRPr="007467AC" w:rsidRDefault="00E9113E" w:rsidP="00E9113E">
            <w:pPr>
              <w:spacing w:before="0" w:after="0"/>
              <w:jc w:val="center"/>
              <w:rPr>
                <w:rFonts w:ascii="Arial" w:hAnsi="Arial" w:cs="Arial"/>
                <w:b/>
                <w:color w:val="FFFFFF" w:themeColor="background1"/>
              </w:rPr>
            </w:pPr>
            <w:r w:rsidRPr="007467AC">
              <w:rPr>
                <w:rFonts w:ascii="Arial" w:hAnsi="Arial" w:cs="Arial"/>
                <w:b/>
                <w:color w:val="FFFFFF" w:themeColor="background1"/>
              </w:rPr>
              <w:t>2012</w:t>
            </w:r>
          </w:p>
        </w:tc>
        <w:tc>
          <w:tcPr>
            <w:tcW w:w="1134" w:type="dxa"/>
            <w:tcBorders>
              <w:top w:val="nil"/>
              <w:left w:val="nil"/>
              <w:bottom w:val="nil"/>
              <w:right w:val="single" w:sz="4" w:space="0" w:color="FFFFFF" w:themeColor="background1"/>
            </w:tcBorders>
            <w:shd w:val="clear" w:color="auto" w:fill="AF1E2D"/>
            <w:vAlign w:val="center"/>
          </w:tcPr>
          <w:p w:rsidR="00E9113E" w:rsidRPr="007467AC" w:rsidRDefault="00E9113E" w:rsidP="00E9113E">
            <w:pPr>
              <w:spacing w:before="0" w:after="0"/>
              <w:jc w:val="center"/>
              <w:rPr>
                <w:rFonts w:ascii="Arial" w:hAnsi="Arial" w:cs="Arial"/>
                <w:b/>
                <w:color w:val="FFFFFF" w:themeColor="background1"/>
              </w:rPr>
            </w:pPr>
            <w:r w:rsidRPr="007467AC">
              <w:rPr>
                <w:rFonts w:ascii="Arial" w:hAnsi="Arial" w:cs="Arial"/>
                <w:b/>
                <w:color w:val="FFFFFF" w:themeColor="background1"/>
              </w:rPr>
              <w:t>2013</w:t>
            </w:r>
          </w:p>
        </w:tc>
        <w:tc>
          <w:tcPr>
            <w:tcW w:w="1134" w:type="dxa"/>
            <w:tcBorders>
              <w:top w:val="nil"/>
              <w:left w:val="nil"/>
              <w:bottom w:val="nil"/>
              <w:right w:val="single" w:sz="4" w:space="0" w:color="FFFFFF" w:themeColor="background1"/>
            </w:tcBorders>
            <w:shd w:val="clear" w:color="auto" w:fill="AF1E2D"/>
            <w:vAlign w:val="center"/>
          </w:tcPr>
          <w:p w:rsidR="00E9113E" w:rsidRPr="007467AC" w:rsidRDefault="00E9113E" w:rsidP="00E9113E">
            <w:pPr>
              <w:spacing w:before="0" w:after="0"/>
              <w:jc w:val="center"/>
              <w:rPr>
                <w:rFonts w:ascii="Arial" w:hAnsi="Arial" w:cs="Arial"/>
                <w:b/>
                <w:color w:val="FFFFFF" w:themeColor="background1"/>
              </w:rPr>
            </w:pPr>
            <w:r w:rsidRPr="007467AC">
              <w:rPr>
                <w:rFonts w:ascii="Arial" w:hAnsi="Arial" w:cs="Arial"/>
                <w:b/>
                <w:color w:val="FFFFFF" w:themeColor="background1"/>
              </w:rPr>
              <w:t>2014</w:t>
            </w:r>
          </w:p>
        </w:tc>
        <w:tc>
          <w:tcPr>
            <w:tcW w:w="1134" w:type="dxa"/>
            <w:tcBorders>
              <w:top w:val="nil"/>
              <w:left w:val="nil"/>
              <w:bottom w:val="nil"/>
              <w:right w:val="single" w:sz="4" w:space="0" w:color="FFFFFF" w:themeColor="background1"/>
            </w:tcBorders>
            <w:shd w:val="clear" w:color="auto" w:fill="AF1E2D"/>
            <w:vAlign w:val="center"/>
          </w:tcPr>
          <w:p w:rsidR="00E9113E" w:rsidRPr="007467AC" w:rsidRDefault="00E9113E" w:rsidP="00E9113E">
            <w:pPr>
              <w:spacing w:before="0" w:after="0"/>
              <w:jc w:val="center"/>
              <w:rPr>
                <w:rFonts w:ascii="Arial" w:hAnsi="Arial" w:cs="Arial"/>
                <w:b/>
                <w:color w:val="FFFFFF" w:themeColor="background1"/>
              </w:rPr>
            </w:pPr>
            <w:r w:rsidRPr="007467AC">
              <w:rPr>
                <w:rFonts w:ascii="Arial" w:hAnsi="Arial" w:cs="Arial"/>
                <w:b/>
                <w:color w:val="FFFFFF" w:themeColor="background1"/>
              </w:rPr>
              <w:t>2015</w:t>
            </w:r>
          </w:p>
        </w:tc>
      </w:tr>
      <w:tr w:rsidR="00A1063E" w:rsidRPr="007467AC" w:rsidTr="00390CA6">
        <w:trPr>
          <w:trHeight w:val="315"/>
        </w:trPr>
        <w:tc>
          <w:tcPr>
            <w:tcW w:w="3276" w:type="dxa"/>
            <w:tcBorders>
              <w:top w:val="nil"/>
              <w:left w:val="nil"/>
              <w:bottom w:val="nil"/>
              <w:right w:val="nil"/>
            </w:tcBorders>
            <w:shd w:val="clear" w:color="auto" w:fill="E5B8B7" w:themeFill="accent2" w:themeFillTint="66"/>
            <w:noWrap/>
            <w:vAlign w:val="center"/>
            <w:hideMark/>
          </w:tcPr>
          <w:p w:rsidR="00A1063E" w:rsidRPr="007467AC" w:rsidRDefault="00A1063E" w:rsidP="00390CA6">
            <w:pPr>
              <w:spacing w:before="0" w:after="0"/>
              <w:rPr>
                <w:rFonts w:ascii="Arial" w:hAnsi="Arial" w:cs="Arial"/>
                <w:b/>
                <w:color w:val="000000"/>
              </w:rPr>
            </w:pPr>
            <w:r w:rsidRPr="007467AC">
              <w:rPr>
                <w:rFonts w:ascii="Arial" w:hAnsi="Arial" w:cs="Arial"/>
                <w:b/>
                <w:color w:val="000000"/>
              </w:rPr>
              <w:t>Road transport</w:t>
            </w:r>
          </w:p>
        </w:tc>
        <w:tc>
          <w:tcPr>
            <w:tcW w:w="1134" w:type="dxa"/>
            <w:tcBorders>
              <w:top w:val="nil"/>
              <w:left w:val="nil"/>
              <w:bottom w:val="nil"/>
              <w:right w:val="nil"/>
            </w:tcBorders>
            <w:shd w:val="clear" w:color="auto" w:fill="E5B8B7" w:themeFill="accent2" w:themeFillTint="66"/>
            <w:noWrap/>
            <w:vAlign w:val="center"/>
            <w:hideMark/>
          </w:tcPr>
          <w:p w:rsidR="00A1063E" w:rsidRPr="007467AC" w:rsidRDefault="00A1063E" w:rsidP="00390CA6">
            <w:pPr>
              <w:spacing w:before="0" w:after="0"/>
              <w:jc w:val="center"/>
              <w:rPr>
                <w:rFonts w:ascii="Arial" w:hAnsi="Arial" w:cs="Arial"/>
                <w:b/>
                <w:color w:val="000000"/>
              </w:rPr>
            </w:pPr>
            <w:r w:rsidRPr="007467AC">
              <w:rPr>
                <w:rFonts w:ascii="Arial" w:hAnsi="Arial" w:cs="Arial"/>
                <w:b/>
                <w:color w:val="000000"/>
              </w:rPr>
              <w:t>12.7</w:t>
            </w:r>
          </w:p>
        </w:tc>
        <w:tc>
          <w:tcPr>
            <w:tcW w:w="1134" w:type="dxa"/>
            <w:tcBorders>
              <w:top w:val="nil"/>
              <w:left w:val="nil"/>
              <w:bottom w:val="nil"/>
              <w:right w:val="nil"/>
            </w:tcBorders>
            <w:shd w:val="clear" w:color="auto" w:fill="E5B8B7" w:themeFill="accent2" w:themeFillTint="66"/>
            <w:noWrap/>
            <w:vAlign w:val="center"/>
            <w:hideMark/>
          </w:tcPr>
          <w:p w:rsidR="00A1063E" w:rsidRPr="007467AC" w:rsidRDefault="00A1063E" w:rsidP="00390CA6">
            <w:pPr>
              <w:spacing w:before="0" w:after="0"/>
              <w:jc w:val="center"/>
              <w:rPr>
                <w:rFonts w:ascii="Arial" w:hAnsi="Arial" w:cs="Arial"/>
                <w:b/>
                <w:color w:val="000000"/>
              </w:rPr>
            </w:pPr>
            <w:r w:rsidRPr="007467AC">
              <w:rPr>
                <w:rFonts w:ascii="Arial" w:hAnsi="Arial" w:cs="Arial"/>
                <w:b/>
                <w:color w:val="000000"/>
              </w:rPr>
              <w:t>23.1</w:t>
            </w:r>
          </w:p>
        </w:tc>
        <w:tc>
          <w:tcPr>
            <w:tcW w:w="1134" w:type="dxa"/>
            <w:tcBorders>
              <w:top w:val="nil"/>
              <w:left w:val="nil"/>
              <w:bottom w:val="nil"/>
              <w:right w:val="nil"/>
            </w:tcBorders>
            <w:shd w:val="clear" w:color="auto" w:fill="E5B8B7" w:themeFill="accent2" w:themeFillTint="66"/>
            <w:noWrap/>
            <w:vAlign w:val="center"/>
            <w:hideMark/>
          </w:tcPr>
          <w:p w:rsidR="00A1063E" w:rsidRPr="007467AC" w:rsidRDefault="00A1063E" w:rsidP="00390CA6">
            <w:pPr>
              <w:spacing w:before="0" w:after="0"/>
              <w:jc w:val="center"/>
              <w:rPr>
                <w:rFonts w:ascii="Arial" w:hAnsi="Arial" w:cs="Arial"/>
                <w:b/>
                <w:color w:val="000000"/>
              </w:rPr>
            </w:pPr>
            <w:r w:rsidRPr="007467AC">
              <w:rPr>
                <w:rFonts w:ascii="Arial" w:hAnsi="Arial" w:cs="Arial"/>
                <w:b/>
                <w:color w:val="000000"/>
              </w:rPr>
              <w:t>16.6</w:t>
            </w:r>
          </w:p>
        </w:tc>
        <w:tc>
          <w:tcPr>
            <w:tcW w:w="1134" w:type="dxa"/>
            <w:tcBorders>
              <w:top w:val="nil"/>
              <w:left w:val="nil"/>
              <w:bottom w:val="nil"/>
              <w:right w:val="nil"/>
            </w:tcBorders>
            <w:shd w:val="clear" w:color="auto" w:fill="E5B8B7" w:themeFill="accent2" w:themeFillTint="66"/>
            <w:noWrap/>
            <w:vAlign w:val="center"/>
            <w:hideMark/>
          </w:tcPr>
          <w:p w:rsidR="00A1063E" w:rsidRPr="007467AC" w:rsidRDefault="00A1063E" w:rsidP="00390CA6">
            <w:pPr>
              <w:spacing w:before="0" w:after="0"/>
              <w:jc w:val="center"/>
              <w:rPr>
                <w:rFonts w:ascii="Arial" w:hAnsi="Arial" w:cs="Arial"/>
                <w:b/>
                <w:color w:val="000000"/>
              </w:rPr>
            </w:pPr>
            <w:r w:rsidRPr="007467AC">
              <w:rPr>
                <w:rFonts w:ascii="Arial" w:hAnsi="Arial" w:cs="Arial"/>
                <w:b/>
                <w:color w:val="000000"/>
              </w:rPr>
              <w:t>16.2</w:t>
            </w:r>
          </w:p>
        </w:tc>
        <w:tc>
          <w:tcPr>
            <w:tcW w:w="1134" w:type="dxa"/>
            <w:tcBorders>
              <w:top w:val="nil"/>
              <w:left w:val="nil"/>
              <w:bottom w:val="nil"/>
              <w:right w:val="nil"/>
            </w:tcBorders>
            <w:shd w:val="clear" w:color="auto" w:fill="E5B8B7" w:themeFill="accent2" w:themeFillTint="66"/>
            <w:noWrap/>
            <w:vAlign w:val="center"/>
            <w:hideMark/>
          </w:tcPr>
          <w:p w:rsidR="00A1063E" w:rsidRPr="007467AC" w:rsidRDefault="00A1063E" w:rsidP="00390CA6">
            <w:pPr>
              <w:spacing w:before="0" w:after="0"/>
              <w:jc w:val="center"/>
              <w:rPr>
                <w:rFonts w:ascii="Arial" w:hAnsi="Arial" w:cs="Arial"/>
                <w:b/>
                <w:color w:val="000000"/>
              </w:rPr>
            </w:pPr>
            <w:r w:rsidRPr="007467AC">
              <w:rPr>
                <w:rFonts w:ascii="Arial" w:hAnsi="Arial" w:cs="Arial"/>
                <w:b/>
                <w:color w:val="000000"/>
              </w:rPr>
              <w:t>13.3</w:t>
            </w:r>
          </w:p>
        </w:tc>
      </w:tr>
      <w:tr w:rsidR="00A1063E" w:rsidRPr="007467AC" w:rsidTr="00390CA6">
        <w:trPr>
          <w:trHeight w:val="315"/>
        </w:trPr>
        <w:tc>
          <w:tcPr>
            <w:tcW w:w="3276" w:type="dxa"/>
            <w:tcBorders>
              <w:top w:val="nil"/>
              <w:left w:val="nil"/>
              <w:bottom w:val="nil"/>
              <w:right w:val="nil"/>
            </w:tcBorders>
            <w:shd w:val="clear" w:color="auto" w:fill="auto"/>
            <w:noWrap/>
            <w:vAlign w:val="center"/>
            <w:hideMark/>
          </w:tcPr>
          <w:p w:rsidR="00A1063E" w:rsidRPr="007467AC" w:rsidRDefault="00A1063E" w:rsidP="00390CA6">
            <w:pPr>
              <w:spacing w:before="0" w:after="0"/>
              <w:rPr>
                <w:rFonts w:ascii="Arial" w:hAnsi="Arial" w:cs="Arial"/>
                <w:i/>
                <w:iCs/>
                <w:color w:val="000000"/>
              </w:rPr>
            </w:pPr>
            <w:r w:rsidRPr="007467AC">
              <w:rPr>
                <w:rFonts w:ascii="Arial" w:hAnsi="Arial" w:cs="Arial"/>
                <w:i/>
                <w:iCs/>
                <w:color w:val="000000"/>
              </w:rPr>
              <w:t>   Road freight transport</w:t>
            </w:r>
          </w:p>
        </w:tc>
        <w:tc>
          <w:tcPr>
            <w:tcW w:w="1134" w:type="dxa"/>
            <w:tcBorders>
              <w:top w:val="nil"/>
              <w:left w:val="nil"/>
              <w:bottom w:val="nil"/>
              <w:right w:val="nil"/>
            </w:tcBorders>
            <w:shd w:val="clear" w:color="auto" w:fill="auto"/>
            <w:noWrap/>
            <w:vAlign w:val="center"/>
            <w:hideMark/>
          </w:tcPr>
          <w:p w:rsidR="00A1063E" w:rsidRPr="007467AC" w:rsidRDefault="00A1063E" w:rsidP="00390CA6">
            <w:pPr>
              <w:spacing w:before="0" w:after="0"/>
              <w:jc w:val="center"/>
              <w:rPr>
                <w:rFonts w:ascii="Arial" w:hAnsi="Arial" w:cs="Arial"/>
                <w:i/>
                <w:color w:val="000000"/>
              </w:rPr>
            </w:pPr>
            <w:r w:rsidRPr="007467AC">
              <w:rPr>
                <w:rFonts w:ascii="Arial" w:hAnsi="Arial" w:cs="Arial"/>
                <w:i/>
                <w:color w:val="000000"/>
              </w:rPr>
              <w:t>15.6</w:t>
            </w:r>
          </w:p>
        </w:tc>
        <w:tc>
          <w:tcPr>
            <w:tcW w:w="1134" w:type="dxa"/>
            <w:tcBorders>
              <w:top w:val="nil"/>
              <w:left w:val="nil"/>
              <w:bottom w:val="nil"/>
              <w:right w:val="nil"/>
            </w:tcBorders>
            <w:shd w:val="clear" w:color="auto" w:fill="auto"/>
            <w:noWrap/>
            <w:vAlign w:val="center"/>
            <w:hideMark/>
          </w:tcPr>
          <w:p w:rsidR="00A1063E" w:rsidRPr="007467AC" w:rsidRDefault="00A1063E" w:rsidP="00390CA6">
            <w:pPr>
              <w:spacing w:before="0" w:after="0"/>
              <w:jc w:val="center"/>
              <w:rPr>
                <w:rFonts w:ascii="Arial" w:hAnsi="Arial" w:cs="Arial"/>
                <w:i/>
                <w:color w:val="000000"/>
              </w:rPr>
            </w:pPr>
            <w:r w:rsidRPr="007467AC">
              <w:rPr>
                <w:rFonts w:ascii="Arial" w:hAnsi="Arial" w:cs="Arial"/>
                <w:i/>
                <w:color w:val="000000"/>
              </w:rPr>
              <w:t>29.0</w:t>
            </w:r>
          </w:p>
        </w:tc>
        <w:tc>
          <w:tcPr>
            <w:tcW w:w="1134" w:type="dxa"/>
            <w:tcBorders>
              <w:top w:val="nil"/>
              <w:left w:val="nil"/>
              <w:bottom w:val="nil"/>
              <w:right w:val="nil"/>
            </w:tcBorders>
            <w:shd w:val="clear" w:color="auto" w:fill="auto"/>
            <w:noWrap/>
            <w:vAlign w:val="center"/>
            <w:hideMark/>
          </w:tcPr>
          <w:p w:rsidR="00A1063E" w:rsidRPr="007467AC" w:rsidRDefault="00A1063E" w:rsidP="00390CA6">
            <w:pPr>
              <w:spacing w:before="0" w:after="0"/>
              <w:jc w:val="center"/>
              <w:rPr>
                <w:rFonts w:ascii="Arial" w:hAnsi="Arial" w:cs="Arial"/>
                <w:i/>
                <w:color w:val="000000"/>
              </w:rPr>
            </w:pPr>
            <w:r w:rsidRPr="007467AC">
              <w:rPr>
                <w:rFonts w:ascii="Arial" w:hAnsi="Arial" w:cs="Arial"/>
                <w:i/>
                <w:color w:val="000000"/>
              </w:rPr>
              <w:t>20.7</w:t>
            </w:r>
          </w:p>
        </w:tc>
        <w:tc>
          <w:tcPr>
            <w:tcW w:w="1134" w:type="dxa"/>
            <w:tcBorders>
              <w:top w:val="nil"/>
              <w:left w:val="nil"/>
              <w:bottom w:val="nil"/>
              <w:right w:val="nil"/>
            </w:tcBorders>
            <w:shd w:val="clear" w:color="auto" w:fill="auto"/>
            <w:noWrap/>
            <w:vAlign w:val="center"/>
            <w:hideMark/>
          </w:tcPr>
          <w:p w:rsidR="00A1063E" w:rsidRPr="007467AC" w:rsidRDefault="00A1063E" w:rsidP="00390CA6">
            <w:pPr>
              <w:spacing w:before="0" w:after="0"/>
              <w:jc w:val="center"/>
              <w:rPr>
                <w:rFonts w:ascii="Arial" w:hAnsi="Arial" w:cs="Arial"/>
                <w:i/>
                <w:color w:val="000000"/>
              </w:rPr>
            </w:pPr>
            <w:r w:rsidRPr="007467AC">
              <w:rPr>
                <w:rFonts w:ascii="Arial" w:hAnsi="Arial" w:cs="Arial"/>
                <w:i/>
                <w:color w:val="000000"/>
              </w:rPr>
              <w:t>21.0</w:t>
            </w:r>
          </w:p>
        </w:tc>
        <w:tc>
          <w:tcPr>
            <w:tcW w:w="1134" w:type="dxa"/>
            <w:tcBorders>
              <w:top w:val="nil"/>
              <w:left w:val="nil"/>
              <w:bottom w:val="nil"/>
              <w:right w:val="nil"/>
            </w:tcBorders>
            <w:shd w:val="clear" w:color="auto" w:fill="auto"/>
            <w:noWrap/>
            <w:vAlign w:val="center"/>
            <w:hideMark/>
          </w:tcPr>
          <w:p w:rsidR="00A1063E" w:rsidRPr="007467AC" w:rsidRDefault="00A1063E" w:rsidP="00390CA6">
            <w:pPr>
              <w:spacing w:before="0" w:after="0"/>
              <w:jc w:val="center"/>
              <w:rPr>
                <w:rFonts w:ascii="Arial" w:hAnsi="Arial" w:cs="Arial"/>
                <w:i/>
                <w:color w:val="000000"/>
              </w:rPr>
            </w:pPr>
            <w:r w:rsidRPr="007467AC">
              <w:rPr>
                <w:rFonts w:ascii="Arial" w:hAnsi="Arial" w:cs="Arial"/>
                <w:i/>
                <w:color w:val="000000"/>
              </w:rPr>
              <w:t>18.4</w:t>
            </w:r>
          </w:p>
        </w:tc>
      </w:tr>
      <w:tr w:rsidR="00A1063E" w:rsidRPr="007467AC" w:rsidTr="00E9113E">
        <w:trPr>
          <w:trHeight w:val="315"/>
        </w:trPr>
        <w:tc>
          <w:tcPr>
            <w:tcW w:w="3276" w:type="dxa"/>
            <w:tcBorders>
              <w:top w:val="nil"/>
              <w:left w:val="nil"/>
              <w:right w:val="nil"/>
            </w:tcBorders>
            <w:shd w:val="clear" w:color="auto" w:fill="F2DBDB" w:themeFill="accent2" w:themeFillTint="33"/>
            <w:noWrap/>
            <w:vAlign w:val="center"/>
            <w:hideMark/>
          </w:tcPr>
          <w:p w:rsidR="00A1063E" w:rsidRPr="007467AC" w:rsidRDefault="00A1063E" w:rsidP="00390CA6">
            <w:pPr>
              <w:spacing w:before="0" w:after="0"/>
              <w:rPr>
                <w:rFonts w:ascii="Arial" w:hAnsi="Arial" w:cs="Arial"/>
                <w:i/>
                <w:iCs/>
                <w:color w:val="000000"/>
              </w:rPr>
            </w:pPr>
            <w:r w:rsidRPr="007467AC">
              <w:rPr>
                <w:rFonts w:ascii="Arial" w:hAnsi="Arial" w:cs="Arial"/>
                <w:i/>
                <w:iCs/>
                <w:color w:val="000000"/>
              </w:rPr>
              <w:t>   Road passenger transport</w:t>
            </w:r>
          </w:p>
        </w:tc>
        <w:tc>
          <w:tcPr>
            <w:tcW w:w="1134" w:type="dxa"/>
            <w:tcBorders>
              <w:top w:val="nil"/>
              <w:left w:val="nil"/>
              <w:right w:val="nil"/>
            </w:tcBorders>
            <w:shd w:val="clear" w:color="auto" w:fill="F2DBDB" w:themeFill="accent2" w:themeFillTint="33"/>
            <w:noWrap/>
            <w:vAlign w:val="center"/>
            <w:hideMark/>
          </w:tcPr>
          <w:p w:rsidR="00A1063E" w:rsidRPr="007467AC" w:rsidRDefault="00A1063E" w:rsidP="00390CA6">
            <w:pPr>
              <w:spacing w:before="0" w:after="0"/>
              <w:jc w:val="center"/>
              <w:rPr>
                <w:rFonts w:ascii="Arial" w:hAnsi="Arial" w:cs="Arial"/>
                <w:i/>
                <w:color w:val="000000"/>
              </w:rPr>
            </w:pPr>
            <w:r>
              <w:rPr>
                <w:rFonts w:ascii="Arial" w:hAnsi="Arial" w:cs="Arial"/>
                <w:i/>
                <w:color w:val="000000"/>
              </w:rPr>
              <w:t>5.8</w:t>
            </w:r>
          </w:p>
        </w:tc>
        <w:tc>
          <w:tcPr>
            <w:tcW w:w="1134" w:type="dxa"/>
            <w:tcBorders>
              <w:top w:val="nil"/>
              <w:left w:val="nil"/>
              <w:right w:val="nil"/>
            </w:tcBorders>
            <w:shd w:val="clear" w:color="auto" w:fill="F2DBDB" w:themeFill="accent2" w:themeFillTint="33"/>
            <w:noWrap/>
            <w:vAlign w:val="center"/>
            <w:hideMark/>
          </w:tcPr>
          <w:p w:rsidR="00A1063E" w:rsidRPr="007467AC" w:rsidRDefault="00A1063E" w:rsidP="00390CA6">
            <w:pPr>
              <w:spacing w:before="0" w:after="0"/>
              <w:jc w:val="center"/>
              <w:rPr>
                <w:rFonts w:ascii="Arial" w:hAnsi="Arial" w:cs="Arial"/>
                <w:i/>
                <w:color w:val="000000"/>
              </w:rPr>
            </w:pPr>
            <w:r>
              <w:rPr>
                <w:rFonts w:ascii="Arial" w:hAnsi="Arial" w:cs="Arial"/>
                <w:i/>
                <w:color w:val="000000"/>
              </w:rPr>
              <w:t>9.9</w:t>
            </w:r>
          </w:p>
        </w:tc>
        <w:tc>
          <w:tcPr>
            <w:tcW w:w="1134" w:type="dxa"/>
            <w:tcBorders>
              <w:top w:val="nil"/>
              <w:left w:val="nil"/>
              <w:right w:val="nil"/>
            </w:tcBorders>
            <w:shd w:val="clear" w:color="auto" w:fill="F2DBDB" w:themeFill="accent2" w:themeFillTint="33"/>
            <w:noWrap/>
            <w:vAlign w:val="center"/>
            <w:hideMark/>
          </w:tcPr>
          <w:p w:rsidR="00A1063E" w:rsidRPr="007467AC" w:rsidRDefault="00A1063E" w:rsidP="00390CA6">
            <w:pPr>
              <w:spacing w:before="0" w:after="0"/>
              <w:jc w:val="center"/>
              <w:rPr>
                <w:rFonts w:ascii="Arial" w:hAnsi="Arial" w:cs="Arial"/>
                <w:i/>
                <w:color w:val="000000"/>
              </w:rPr>
            </w:pPr>
            <w:r>
              <w:rPr>
                <w:rFonts w:ascii="Arial" w:hAnsi="Arial" w:cs="Arial"/>
                <w:i/>
                <w:color w:val="000000"/>
              </w:rPr>
              <w:t>7.1</w:t>
            </w:r>
          </w:p>
        </w:tc>
        <w:tc>
          <w:tcPr>
            <w:tcW w:w="1134" w:type="dxa"/>
            <w:tcBorders>
              <w:top w:val="nil"/>
              <w:left w:val="nil"/>
              <w:right w:val="nil"/>
            </w:tcBorders>
            <w:shd w:val="clear" w:color="auto" w:fill="F2DBDB" w:themeFill="accent2" w:themeFillTint="33"/>
            <w:noWrap/>
            <w:vAlign w:val="center"/>
            <w:hideMark/>
          </w:tcPr>
          <w:p w:rsidR="00A1063E" w:rsidRPr="007467AC" w:rsidRDefault="00A1063E" w:rsidP="00390CA6">
            <w:pPr>
              <w:spacing w:before="0" w:after="0"/>
              <w:jc w:val="center"/>
              <w:rPr>
                <w:rFonts w:ascii="Arial" w:hAnsi="Arial" w:cs="Arial"/>
                <w:i/>
                <w:color w:val="000000"/>
              </w:rPr>
            </w:pPr>
            <w:r>
              <w:rPr>
                <w:rFonts w:ascii="Arial" w:hAnsi="Arial" w:cs="Arial"/>
                <w:i/>
                <w:color w:val="000000"/>
              </w:rPr>
              <w:t>4.0</w:t>
            </w:r>
          </w:p>
        </w:tc>
        <w:tc>
          <w:tcPr>
            <w:tcW w:w="1134" w:type="dxa"/>
            <w:tcBorders>
              <w:top w:val="nil"/>
              <w:left w:val="nil"/>
              <w:right w:val="nil"/>
            </w:tcBorders>
            <w:shd w:val="clear" w:color="auto" w:fill="F2DBDB" w:themeFill="accent2" w:themeFillTint="33"/>
            <w:noWrap/>
            <w:vAlign w:val="center"/>
            <w:hideMark/>
          </w:tcPr>
          <w:p w:rsidR="00A1063E" w:rsidRPr="007467AC" w:rsidRDefault="00A1063E" w:rsidP="00390CA6">
            <w:pPr>
              <w:spacing w:before="0" w:after="0"/>
              <w:jc w:val="center"/>
              <w:rPr>
                <w:rFonts w:ascii="Arial" w:hAnsi="Arial" w:cs="Arial"/>
                <w:i/>
                <w:color w:val="000000"/>
              </w:rPr>
            </w:pPr>
            <w:r>
              <w:rPr>
                <w:rFonts w:ascii="Arial" w:hAnsi="Arial" w:cs="Arial"/>
                <w:i/>
                <w:color w:val="000000"/>
              </w:rPr>
              <w:t>--</w:t>
            </w:r>
          </w:p>
        </w:tc>
      </w:tr>
      <w:tr w:rsidR="00A1063E" w:rsidRPr="0097571C" w:rsidTr="00B9194B">
        <w:trPr>
          <w:trHeight w:val="315"/>
        </w:trPr>
        <w:tc>
          <w:tcPr>
            <w:tcW w:w="3276" w:type="dxa"/>
            <w:tcBorders>
              <w:top w:val="nil"/>
              <w:left w:val="nil"/>
              <w:bottom w:val="single" w:sz="4" w:space="0" w:color="FFFFFF" w:themeColor="background1"/>
              <w:right w:val="nil"/>
            </w:tcBorders>
            <w:shd w:val="clear" w:color="auto" w:fill="808080"/>
            <w:noWrap/>
            <w:vAlign w:val="center"/>
            <w:hideMark/>
          </w:tcPr>
          <w:p w:rsidR="00A1063E" w:rsidRPr="0097571C" w:rsidRDefault="00A1063E" w:rsidP="00390CA6">
            <w:pPr>
              <w:spacing w:before="0" w:after="0"/>
              <w:rPr>
                <w:rFonts w:ascii="Arial" w:hAnsi="Arial" w:cs="Arial"/>
                <w:b/>
                <w:color w:val="FFFFFF" w:themeColor="background1"/>
              </w:rPr>
            </w:pPr>
            <w:r w:rsidRPr="0097571C">
              <w:rPr>
                <w:rFonts w:ascii="Arial" w:hAnsi="Arial" w:cs="Arial"/>
                <w:b/>
                <w:color w:val="FFFFFF" w:themeColor="background1"/>
              </w:rPr>
              <w:t>All industries</w:t>
            </w:r>
          </w:p>
        </w:tc>
        <w:tc>
          <w:tcPr>
            <w:tcW w:w="1134" w:type="dxa"/>
            <w:tcBorders>
              <w:top w:val="nil"/>
              <w:left w:val="nil"/>
              <w:bottom w:val="single" w:sz="4" w:space="0" w:color="FFFFFF" w:themeColor="background1"/>
              <w:right w:val="nil"/>
            </w:tcBorders>
            <w:shd w:val="clear" w:color="auto" w:fill="808080"/>
            <w:noWrap/>
            <w:vAlign w:val="center"/>
            <w:hideMark/>
          </w:tcPr>
          <w:p w:rsidR="00A1063E" w:rsidRPr="0097571C" w:rsidRDefault="00A1063E" w:rsidP="00390CA6">
            <w:pPr>
              <w:spacing w:before="0" w:after="0"/>
              <w:jc w:val="center"/>
              <w:rPr>
                <w:rFonts w:ascii="Arial" w:hAnsi="Arial" w:cs="Arial"/>
                <w:b/>
                <w:color w:val="FFFFFF" w:themeColor="background1"/>
              </w:rPr>
            </w:pPr>
            <w:r w:rsidRPr="0097571C">
              <w:rPr>
                <w:rFonts w:ascii="Arial" w:hAnsi="Arial" w:cs="Arial"/>
                <w:b/>
                <w:color w:val="FFFFFF" w:themeColor="background1"/>
              </w:rPr>
              <w:t>2.0</w:t>
            </w:r>
          </w:p>
        </w:tc>
        <w:tc>
          <w:tcPr>
            <w:tcW w:w="1134" w:type="dxa"/>
            <w:tcBorders>
              <w:top w:val="nil"/>
              <w:left w:val="nil"/>
              <w:bottom w:val="single" w:sz="4" w:space="0" w:color="FFFFFF" w:themeColor="background1"/>
              <w:right w:val="nil"/>
            </w:tcBorders>
            <w:shd w:val="clear" w:color="auto" w:fill="808080"/>
            <w:noWrap/>
            <w:vAlign w:val="center"/>
            <w:hideMark/>
          </w:tcPr>
          <w:p w:rsidR="00A1063E" w:rsidRPr="0097571C" w:rsidRDefault="00A1063E" w:rsidP="00390CA6">
            <w:pPr>
              <w:spacing w:before="0" w:after="0"/>
              <w:jc w:val="center"/>
              <w:rPr>
                <w:rFonts w:ascii="Arial" w:hAnsi="Arial" w:cs="Arial"/>
                <w:b/>
                <w:color w:val="FFFFFF" w:themeColor="background1"/>
              </w:rPr>
            </w:pPr>
            <w:r w:rsidRPr="0097571C">
              <w:rPr>
                <w:rFonts w:ascii="Arial" w:hAnsi="Arial" w:cs="Arial"/>
                <w:b/>
                <w:color w:val="FFFFFF" w:themeColor="background1"/>
              </w:rPr>
              <w:t>2.0</w:t>
            </w:r>
          </w:p>
        </w:tc>
        <w:tc>
          <w:tcPr>
            <w:tcW w:w="1134" w:type="dxa"/>
            <w:tcBorders>
              <w:top w:val="nil"/>
              <w:left w:val="nil"/>
              <w:bottom w:val="single" w:sz="4" w:space="0" w:color="FFFFFF" w:themeColor="background1"/>
              <w:right w:val="nil"/>
            </w:tcBorders>
            <w:shd w:val="clear" w:color="auto" w:fill="808080"/>
            <w:noWrap/>
            <w:vAlign w:val="center"/>
            <w:hideMark/>
          </w:tcPr>
          <w:p w:rsidR="00A1063E" w:rsidRPr="0097571C" w:rsidRDefault="00A1063E" w:rsidP="00390CA6">
            <w:pPr>
              <w:spacing w:before="0" w:after="0"/>
              <w:jc w:val="center"/>
              <w:rPr>
                <w:rFonts w:ascii="Arial" w:hAnsi="Arial" w:cs="Arial"/>
                <w:b/>
                <w:color w:val="FFFFFF" w:themeColor="background1"/>
              </w:rPr>
            </w:pPr>
            <w:r w:rsidRPr="0097571C">
              <w:rPr>
                <w:rFonts w:ascii="Arial" w:hAnsi="Arial" w:cs="Arial"/>
                <w:b/>
                <w:color w:val="FFFFFF" w:themeColor="background1"/>
              </w:rPr>
              <w:t>1.7</w:t>
            </w:r>
          </w:p>
        </w:tc>
        <w:tc>
          <w:tcPr>
            <w:tcW w:w="1134" w:type="dxa"/>
            <w:tcBorders>
              <w:top w:val="nil"/>
              <w:left w:val="nil"/>
              <w:bottom w:val="single" w:sz="4" w:space="0" w:color="FFFFFF" w:themeColor="background1"/>
              <w:right w:val="nil"/>
            </w:tcBorders>
            <w:shd w:val="clear" w:color="auto" w:fill="808080"/>
            <w:noWrap/>
            <w:vAlign w:val="center"/>
            <w:hideMark/>
          </w:tcPr>
          <w:p w:rsidR="00A1063E" w:rsidRPr="0097571C" w:rsidRDefault="00A1063E" w:rsidP="00390CA6">
            <w:pPr>
              <w:spacing w:before="0" w:after="0"/>
              <w:jc w:val="center"/>
              <w:rPr>
                <w:rFonts w:ascii="Arial" w:hAnsi="Arial" w:cs="Arial"/>
                <w:b/>
                <w:color w:val="FFFFFF" w:themeColor="background1"/>
              </w:rPr>
            </w:pPr>
            <w:r w:rsidRPr="0097571C">
              <w:rPr>
                <w:rFonts w:ascii="Arial" w:hAnsi="Arial" w:cs="Arial"/>
                <w:b/>
                <w:color w:val="FFFFFF" w:themeColor="background1"/>
              </w:rPr>
              <w:t>1.7</w:t>
            </w:r>
          </w:p>
        </w:tc>
        <w:tc>
          <w:tcPr>
            <w:tcW w:w="1134" w:type="dxa"/>
            <w:tcBorders>
              <w:top w:val="nil"/>
              <w:left w:val="nil"/>
              <w:bottom w:val="single" w:sz="4" w:space="0" w:color="FFFFFF" w:themeColor="background1"/>
              <w:right w:val="nil"/>
            </w:tcBorders>
            <w:shd w:val="clear" w:color="auto" w:fill="808080"/>
            <w:noWrap/>
            <w:vAlign w:val="center"/>
            <w:hideMark/>
          </w:tcPr>
          <w:p w:rsidR="00A1063E" w:rsidRPr="0097571C" w:rsidRDefault="00A1063E" w:rsidP="00390CA6">
            <w:pPr>
              <w:spacing w:before="0" w:after="0"/>
              <w:jc w:val="center"/>
              <w:rPr>
                <w:rFonts w:ascii="Arial" w:hAnsi="Arial" w:cs="Arial"/>
                <w:b/>
                <w:color w:val="FFFFFF" w:themeColor="background1"/>
              </w:rPr>
            </w:pPr>
            <w:r w:rsidRPr="0097571C">
              <w:rPr>
                <w:rFonts w:ascii="Arial" w:hAnsi="Arial" w:cs="Arial"/>
                <w:b/>
                <w:color w:val="FFFFFF" w:themeColor="background1"/>
              </w:rPr>
              <w:t>1.6</w:t>
            </w:r>
          </w:p>
        </w:tc>
      </w:tr>
    </w:tbl>
    <w:p w:rsidR="00404D2C" w:rsidRPr="00711CA3" w:rsidRDefault="00404D2C" w:rsidP="00C56FFA">
      <w:pPr>
        <w:spacing w:before="240"/>
        <w:rPr>
          <w:rFonts w:ascii="Arial" w:hAnsi="Arial" w:cs="Arial"/>
          <w:b/>
          <w:color w:val="C10A27"/>
          <w:sz w:val="28"/>
          <w:szCs w:val="24"/>
        </w:rPr>
      </w:pPr>
      <w:r w:rsidRPr="00711CA3">
        <w:rPr>
          <w:rFonts w:ascii="Arial" w:hAnsi="Arial" w:cs="Arial"/>
          <w:b/>
          <w:color w:val="C10A27"/>
          <w:sz w:val="28"/>
          <w:szCs w:val="24"/>
        </w:rPr>
        <w:t>Fatalities</w:t>
      </w:r>
      <w:r w:rsidR="00AC3029" w:rsidRPr="00711CA3">
        <w:rPr>
          <w:rFonts w:ascii="Arial" w:hAnsi="Arial" w:cs="Arial"/>
          <w:b/>
          <w:color w:val="C10A27"/>
          <w:sz w:val="28"/>
          <w:szCs w:val="24"/>
        </w:rPr>
        <w:t xml:space="preserve"> by age </w:t>
      </w:r>
    </w:p>
    <w:p w:rsidR="00711CA3" w:rsidRPr="00711CA3" w:rsidRDefault="00D017DA" w:rsidP="00EC2412">
      <w:pPr>
        <w:spacing w:line="288" w:lineRule="auto"/>
        <w:rPr>
          <w:rFonts w:ascii="Arial" w:hAnsi="Arial" w:cs="Arial"/>
          <w:sz w:val="22"/>
          <w:szCs w:val="22"/>
        </w:rPr>
      </w:pPr>
      <w:r w:rsidRPr="00711CA3">
        <w:rPr>
          <w:rFonts w:ascii="Arial" w:hAnsi="Arial" w:cs="Arial"/>
          <w:sz w:val="22"/>
          <w:szCs w:val="22"/>
        </w:rPr>
        <w:t>Between 2003 and 2015, workers aged 45-54 years accounted for the highest proportion</w:t>
      </w:r>
      <w:r w:rsidR="00711CA3" w:rsidRPr="00711CA3">
        <w:rPr>
          <w:rFonts w:ascii="Arial" w:hAnsi="Arial" w:cs="Arial"/>
          <w:sz w:val="22"/>
          <w:szCs w:val="22"/>
        </w:rPr>
        <w:t xml:space="preserve"> (27 </w:t>
      </w:r>
      <w:r w:rsidRPr="00711CA3">
        <w:rPr>
          <w:rFonts w:ascii="Arial" w:hAnsi="Arial" w:cs="Arial"/>
          <w:sz w:val="22"/>
          <w:szCs w:val="22"/>
        </w:rPr>
        <w:t>per cent) of fatalities in the Road transport industry</w:t>
      </w:r>
      <w:r w:rsidR="00711CA3" w:rsidRPr="00711CA3">
        <w:rPr>
          <w:rFonts w:ascii="Arial" w:hAnsi="Arial" w:cs="Arial"/>
          <w:sz w:val="22"/>
          <w:szCs w:val="22"/>
        </w:rPr>
        <w:t>, followed by workers aged 35-44 years (26 per cent).</w:t>
      </w:r>
      <w:r w:rsidRPr="00711CA3">
        <w:rPr>
          <w:rFonts w:ascii="Arial" w:hAnsi="Arial" w:cs="Arial"/>
          <w:sz w:val="22"/>
          <w:szCs w:val="22"/>
        </w:rPr>
        <w:t xml:space="preserve">  </w:t>
      </w:r>
      <w:r w:rsidR="00711CA3" w:rsidRPr="00711CA3">
        <w:rPr>
          <w:rFonts w:ascii="Arial" w:hAnsi="Arial" w:cs="Arial"/>
          <w:sz w:val="22"/>
          <w:szCs w:val="22"/>
        </w:rPr>
        <w:t>Over the same period, workers aged 15-24 years accounted for only 4 per cent of fatalities, despite accounting for 17 per cent of employees.  By contrast, while workers aged 55-65 years only account for 13 per cent of employees, over the period they accounted for just under a quarter (24 per cent) of fatalities.</w:t>
      </w:r>
    </w:p>
    <w:p w:rsidR="00AE0C6F" w:rsidRPr="0097571C" w:rsidRDefault="00AE0C6F" w:rsidP="00C56FFA">
      <w:pPr>
        <w:pStyle w:val="Figureheading"/>
        <w:spacing w:after="0" w:line="240" w:lineRule="auto"/>
        <w:rPr>
          <w:sz w:val="22"/>
          <w:szCs w:val="22"/>
        </w:rPr>
      </w:pPr>
      <w:r w:rsidRPr="0097571C">
        <w:rPr>
          <w:sz w:val="22"/>
          <w:szCs w:val="22"/>
        </w:rPr>
        <w:t xml:space="preserve">Figure </w:t>
      </w:r>
      <w:r w:rsidR="00711CA3">
        <w:rPr>
          <w:sz w:val="22"/>
          <w:szCs w:val="22"/>
        </w:rPr>
        <w:t>4</w:t>
      </w:r>
      <w:r w:rsidRPr="0097571C">
        <w:rPr>
          <w:sz w:val="22"/>
          <w:szCs w:val="22"/>
        </w:rPr>
        <w:t xml:space="preserve">: Worker fatalities: </w:t>
      </w:r>
      <w:r w:rsidR="001F2388" w:rsidRPr="0097571C">
        <w:rPr>
          <w:sz w:val="22"/>
          <w:szCs w:val="22"/>
        </w:rPr>
        <w:t>percentage</w:t>
      </w:r>
      <w:r w:rsidR="0093298C">
        <w:rPr>
          <w:sz w:val="22"/>
          <w:szCs w:val="22"/>
        </w:rPr>
        <w:t xml:space="preserve"> of employees and fatalities</w:t>
      </w:r>
      <w:r w:rsidR="006A0372">
        <w:rPr>
          <w:sz w:val="22"/>
          <w:szCs w:val="22"/>
        </w:rPr>
        <w:t xml:space="preserve"> in the Road transport industr</w:t>
      </w:r>
      <w:r w:rsidR="00147210">
        <w:rPr>
          <w:sz w:val="22"/>
          <w:szCs w:val="22"/>
        </w:rPr>
        <w:t>y</w:t>
      </w:r>
      <w:r w:rsidR="001F2388" w:rsidRPr="0097571C">
        <w:rPr>
          <w:sz w:val="22"/>
          <w:szCs w:val="22"/>
        </w:rPr>
        <w:t xml:space="preserve"> by age, </w:t>
      </w:r>
      <w:r w:rsidR="006820DA" w:rsidRPr="0097571C">
        <w:rPr>
          <w:sz w:val="22"/>
          <w:szCs w:val="22"/>
        </w:rPr>
        <w:t xml:space="preserve">2003 </w:t>
      </w:r>
      <w:r w:rsidRPr="0097571C">
        <w:rPr>
          <w:sz w:val="22"/>
          <w:szCs w:val="22"/>
        </w:rPr>
        <w:t>to 2015</w:t>
      </w:r>
      <w:r w:rsidR="006820DA" w:rsidRPr="0097571C">
        <w:rPr>
          <w:sz w:val="22"/>
          <w:szCs w:val="22"/>
        </w:rPr>
        <w:t xml:space="preserve"> (combined)</w:t>
      </w:r>
    </w:p>
    <w:p w:rsidR="00586F60" w:rsidRPr="004076EF" w:rsidRDefault="00E5748F" w:rsidP="00404D2C">
      <w:pPr>
        <w:spacing w:line="360" w:lineRule="auto"/>
        <w:rPr>
          <w:rFonts w:ascii="Arial" w:hAnsi="Arial" w:cs="Arial"/>
          <w:b/>
          <w:color w:val="365F91" w:themeColor="accent1" w:themeShade="BF"/>
          <w:sz w:val="24"/>
          <w:szCs w:val="24"/>
        </w:rPr>
      </w:pPr>
      <w:r w:rsidRPr="004076EF">
        <w:rPr>
          <w:rFonts w:ascii="Arial" w:hAnsi="Arial" w:cs="Arial"/>
          <w:noProof/>
        </w:rPr>
        <w:drawing>
          <wp:inline distT="0" distB="0" distL="0" distR="0" wp14:anchorId="136FF5B8" wp14:editId="4932491E">
            <wp:extent cx="5095875" cy="3429000"/>
            <wp:effectExtent l="0" t="0" r="9525" b="19050"/>
            <wp:docPr id="6" name="Chart 6" descr="Between 2003 and 2015, workers aged 45-54 years accounted for the highest proportion (27 per cent) of fatalities in the Road transport industry, followed by workers aged 35-44 years (26 per cent).  Over the same period, workers aged 15-24 years accounted for only 4 per cent of fatalities, despite accounting for 17 per cent of employees.  By contrast, while workers aged 55-65 years only account for 13 per cent of employees, over the period they accounted for just under a quarter (24 per cent) of fatalities." title="Worker fatalities: percentage of employees and fatalities in the Road transport industry by age, 2003 to 2015 (comb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C7699" w:rsidRDefault="00FC7699">
      <w:pPr>
        <w:spacing w:before="0" w:after="0"/>
        <w:rPr>
          <w:rFonts w:ascii="Arial" w:hAnsi="Arial" w:cs="Arial"/>
          <w:b/>
          <w:color w:val="C10A27"/>
          <w:sz w:val="28"/>
          <w:szCs w:val="24"/>
        </w:rPr>
      </w:pPr>
      <w:r>
        <w:rPr>
          <w:rFonts w:ascii="Arial" w:hAnsi="Arial" w:cs="Arial"/>
          <w:b/>
          <w:color w:val="C10A27"/>
          <w:sz w:val="28"/>
          <w:szCs w:val="24"/>
        </w:rPr>
        <w:br w:type="page"/>
      </w:r>
    </w:p>
    <w:p w:rsidR="00404D2C" w:rsidRPr="00711CA3" w:rsidRDefault="00404D2C" w:rsidP="00711CA3">
      <w:pPr>
        <w:spacing w:before="360"/>
        <w:rPr>
          <w:rFonts w:ascii="Arial" w:hAnsi="Arial" w:cs="Arial"/>
          <w:b/>
          <w:color w:val="C10A27"/>
          <w:sz w:val="28"/>
          <w:szCs w:val="24"/>
        </w:rPr>
      </w:pPr>
      <w:r w:rsidRPr="00711CA3">
        <w:rPr>
          <w:rFonts w:ascii="Arial" w:hAnsi="Arial" w:cs="Arial"/>
          <w:b/>
          <w:color w:val="C10A27"/>
          <w:sz w:val="28"/>
          <w:szCs w:val="24"/>
        </w:rPr>
        <w:lastRenderedPageBreak/>
        <w:t>Fatalities by mechanism and agency of injury</w:t>
      </w:r>
    </w:p>
    <w:p w:rsidR="00947E12" w:rsidRPr="004076EF" w:rsidRDefault="00E0116D" w:rsidP="005062C6">
      <w:pPr>
        <w:pStyle w:val="FactSheetNormal"/>
        <w:spacing w:line="288" w:lineRule="auto"/>
        <w:rPr>
          <w:color w:val="auto"/>
          <w:lang w:val="en-AU"/>
        </w:rPr>
      </w:pPr>
      <w:r>
        <w:rPr>
          <w:color w:val="auto"/>
          <w:lang w:val="en-AU"/>
        </w:rPr>
        <w:t>O</w:t>
      </w:r>
      <w:r w:rsidR="00947E12" w:rsidRPr="004076EF">
        <w:rPr>
          <w:color w:val="auto"/>
          <w:lang w:val="en-AU"/>
        </w:rPr>
        <w:t>ver the 13 years to 2015</w:t>
      </w:r>
      <w:r>
        <w:rPr>
          <w:color w:val="auto"/>
          <w:lang w:val="en-AU"/>
        </w:rPr>
        <w:t xml:space="preserve"> there have been 583 worker fatalities in the Road transport industry</w:t>
      </w:r>
      <w:r w:rsidR="004F5621" w:rsidRPr="004076EF">
        <w:rPr>
          <w:color w:val="auto"/>
          <w:lang w:val="en-AU"/>
        </w:rPr>
        <w:t>.</w:t>
      </w:r>
      <w:r w:rsidR="001C719B">
        <w:rPr>
          <w:color w:val="auto"/>
          <w:lang w:val="en-AU"/>
        </w:rPr>
        <w:t xml:space="preserve"> Over three quarters of these fatalities (449 fatalities or 77 per cent) were caused by </w:t>
      </w:r>
      <w:r w:rsidR="00454675">
        <w:rPr>
          <w:color w:val="auto"/>
          <w:lang w:val="en-AU"/>
        </w:rPr>
        <w:t>V</w:t>
      </w:r>
      <w:r w:rsidR="001C719B">
        <w:rPr>
          <w:color w:val="auto"/>
          <w:lang w:val="en-AU"/>
        </w:rPr>
        <w:t xml:space="preserve">ehicle incidents, with the vast majority (82 per cent) of these involving </w:t>
      </w:r>
      <w:r w:rsidR="00454675">
        <w:rPr>
          <w:color w:val="auto"/>
          <w:lang w:val="en-AU"/>
        </w:rPr>
        <w:t>T</w:t>
      </w:r>
      <w:r w:rsidR="001C719B">
        <w:rPr>
          <w:color w:val="auto"/>
          <w:lang w:val="en-AU"/>
        </w:rPr>
        <w:t xml:space="preserve">rucks, semi-trailers or </w:t>
      </w:r>
      <w:proofErr w:type="gramStart"/>
      <w:r w:rsidR="001C719B">
        <w:rPr>
          <w:color w:val="auto"/>
          <w:lang w:val="en-AU"/>
        </w:rPr>
        <w:t>lorries</w:t>
      </w:r>
      <w:proofErr w:type="gramEnd"/>
      <w:r w:rsidR="001C719B">
        <w:rPr>
          <w:color w:val="auto"/>
          <w:lang w:val="en-AU"/>
        </w:rPr>
        <w:t xml:space="preserve">. A further 7 per cent of fatalities were caused by </w:t>
      </w:r>
      <w:proofErr w:type="gramStart"/>
      <w:r w:rsidR="00454675">
        <w:rPr>
          <w:color w:val="auto"/>
          <w:lang w:val="en-AU"/>
        </w:rPr>
        <w:t>B</w:t>
      </w:r>
      <w:r w:rsidR="001C719B">
        <w:rPr>
          <w:color w:val="auto"/>
          <w:lang w:val="en-AU"/>
        </w:rPr>
        <w:t>eing</w:t>
      </w:r>
      <w:proofErr w:type="gramEnd"/>
      <w:r w:rsidR="001C719B">
        <w:rPr>
          <w:color w:val="auto"/>
          <w:lang w:val="en-AU"/>
        </w:rPr>
        <w:t xml:space="preserve"> hit by a moving object, with over half of these due to being hit by a truck.</w:t>
      </w:r>
    </w:p>
    <w:p w:rsidR="00487719" w:rsidRPr="0097571C" w:rsidRDefault="00AE0C6F" w:rsidP="0031380D">
      <w:pPr>
        <w:pStyle w:val="Tableheading"/>
        <w:jc w:val="both"/>
        <w:rPr>
          <w:sz w:val="22"/>
        </w:rPr>
      </w:pPr>
      <w:r w:rsidRPr="0097571C">
        <w:rPr>
          <w:sz w:val="22"/>
        </w:rPr>
        <w:t xml:space="preserve">Table </w:t>
      </w:r>
      <w:r w:rsidR="00554F3C">
        <w:rPr>
          <w:sz w:val="22"/>
        </w:rPr>
        <w:t>9</w:t>
      </w:r>
      <w:r w:rsidR="00487719" w:rsidRPr="0097571C">
        <w:rPr>
          <w:sz w:val="22"/>
        </w:rPr>
        <w:t>: Worker fatalities: number by mecha</w:t>
      </w:r>
      <w:r w:rsidR="0031380D" w:rsidRPr="0097571C">
        <w:rPr>
          <w:sz w:val="22"/>
        </w:rPr>
        <w:t>nism and breakdown agency, 2003 to 2015</w:t>
      </w:r>
      <w:r w:rsidR="00487719" w:rsidRPr="0097571C">
        <w:rPr>
          <w:sz w:val="22"/>
        </w:rPr>
        <w:t xml:space="preserve"> combined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Worker fatalities: number by mechanism and breakdown agency, 2003 to 2015 combined"/>
        <w:tblDescription w:val="Table 9 shows that over the 13 years to 2015 there have been 583 worker fatalities in the Road transport industry. Over three quarters of these fatalities (449 fatalities or 77 per cent) were caused by vehicle incidents, with the vast majority (82 per cent) of these involving trucks, semi-trailers or lorries. A further 7 per cent of fatalities were caused by being hit by a moving object, with over half of these dues to being hit by a truck."/>
      </w:tblPr>
      <w:tblGrid>
        <w:gridCol w:w="7508"/>
        <w:gridCol w:w="972"/>
        <w:gridCol w:w="972"/>
      </w:tblGrid>
      <w:tr w:rsidR="004076EF" w:rsidRPr="00A12D49" w:rsidTr="00B9194B">
        <w:trPr>
          <w:trHeight w:val="401"/>
          <w:tblHeader/>
        </w:trPr>
        <w:tc>
          <w:tcPr>
            <w:tcW w:w="7508" w:type="dxa"/>
            <w:shd w:val="clear" w:color="auto" w:fill="AF1E2D"/>
            <w:vAlign w:val="center"/>
          </w:tcPr>
          <w:p w:rsidR="00E8741D" w:rsidRPr="00A12D49" w:rsidRDefault="00E8741D" w:rsidP="004076EF">
            <w:pPr>
              <w:pStyle w:val="FactSheetNormal"/>
              <w:spacing w:after="0" w:line="260" w:lineRule="atLeast"/>
              <w:rPr>
                <w:b/>
                <w:color w:val="FFFFFF" w:themeColor="background1"/>
                <w:sz w:val="20"/>
                <w:szCs w:val="20"/>
                <w:lang w:val="en-AU"/>
              </w:rPr>
            </w:pPr>
            <w:r w:rsidRPr="00A12D49">
              <w:rPr>
                <w:b/>
                <w:color w:val="FFFFFF" w:themeColor="background1"/>
                <w:sz w:val="20"/>
                <w:szCs w:val="20"/>
                <w:lang w:val="en-AU"/>
              </w:rPr>
              <w:t>Mechanism &amp; breakdown agency</w:t>
            </w:r>
          </w:p>
        </w:tc>
        <w:tc>
          <w:tcPr>
            <w:tcW w:w="864" w:type="dxa"/>
            <w:shd w:val="clear" w:color="auto" w:fill="AF1E2D"/>
            <w:vAlign w:val="center"/>
          </w:tcPr>
          <w:p w:rsidR="00E8741D" w:rsidRPr="00A12D49" w:rsidRDefault="00E8741D" w:rsidP="00A12D49">
            <w:pPr>
              <w:pStyle w:val="FactSheetNormal"/>
              <w:spacing w:after="0" w:line="260" w:lineRule="atLeast"/>
              <w:jc w:val="center"/>
              <w:rPr>
                <w:b/>
                <w:color w:val="FFFFFF" w:themeColor="background1"/>
                <w:sz w:val="20"/>
                <w:szCs w:val="20"/>
                <w:lang w:val="en-AU"/>
              </w:rPr>
            </w:pPr>
            <w:r w:rsidRPr="00A12D49">
              <w:rPr>
                <w:b/>
                <w:color w:val="FFFFFF" w:themeColor="background1"/>
                <w:sz w:val="20"/>
                <w:szCs w:val="20"/>
                <w:lang w:val="en-AU"/>
              </w:rPr>
              <w:t>Number</w:t>
            </w:r>
          </w:p>
        </w:tc>
        <w:tc>
          <w:tcPr>
            <w:tcW w:w="972" w:type="dxa"/>
            <w:shd w:val="clear" w:color="auto" w:fill="AF1E2D"/>
            <w:vAlign w:val="center"/>
          </w:tcPr>
          <w:p w:rsidR="00E8741D" w:rsidRPr="00A12D49" w:rsidRDefault="00E8741D" w:rsidP="00A12D49">
            <w:pPr>
              <w:pStyle w:val="FactSheetNormal"/>
              <w:spacing w:after="0" w:line="260" w:lineRule="atLeast"/>
              <w:jc w:val="center"/>
              <w:rPr>
                <w:b/>
                <w:color w:val="FFFFFF" w:themeColor="background1"/>
                <w:sz w:val="20"/>
                <w:szCs w:val="20"/>
                <w:lang w:val="en-AU"/>
              </w:rPr>
            </w:pPr>
            <w:r w:rsidRPr="00A12D49">
              <w:rPr>
                <w:b/>
                <w:color w:val="FFFFFF" w:themeColor="background1"/>
                <w:sz w:val="20"/>
                <w:szCs w:val="20"/>
                <w:lang w:val="en-AU"/>
              </w:rPr>
              <w:t>%</w:t>
            </w:r>
          </w:p>
        </w:tc>
      </w:tr>
      <w:tr w:rsidR="00E8741D" w:rsidRPr="00A12D49" w:rsidTr="007772DB">
        <w:trPr>
          <w:trHeight w:val="510"/>
        </w:trPr>
        <w:tc>
          <w:tcPr>
            <w:tcW w:w="7508" w:type="dxa"/>
            <w:vAlign w:val="center"/>
          </w:tcPr>
          <w:p w:rsidR="00E8741D" w:rsidRPr="00A12D49" w:rsidRDefault="00E8741D" w:rsidP="004076EF">
            <w:pPr>
              <w:pStyle w:val="FactSheetNormal"/>
              <w:spacing w:after="0" w:line="260" w:lineRule="atLeast"/>
              <w:rPr>
                <w:b/>
                <w:color w:val="auto"/>
                <w:sz w:val="20"/>
                <w:szCs w:val="20"/>
                <w:lang w:val="en-AU"/>
              </w:rPr>
            </w:pPr>
            <w:r w:rsidRPr="00A12D49">
              <w:rPr>
                <w:b/>
                <w:color w:val="auto"/>
                <w:sz w:val="20"/>
                <w:szCs w:val="20"/>
                <w:lang w:val="en-AU"/>
              </w:rPr>
              <w:t>Vehicle incidents</w:t>
            </w:r>
          </w:p>
          <w:p w:rsidR="00E8741D" w:rsidRPr="00A12D49" w:rsidRDefault="00E8741D" w:rsidP="002C45B9">
            <w:pPr>
              <w:pStyle w:val="FactSheetNormal"/>
              <w:spacing w:after="0" w:line="260" w:lineRule="atLeast"/>
              <w:rPr>
                <w:i/>
                <w:color w:val="auto"/>
                <w:sz w:val="20"/>
                <w:szCs w:val="20"/>
                <w:lang w:val="en-AU"/>
              </w:rPr>
            </w:pPr>
            <w:r w:rsidRPr="00A12D49">
              <w:rPr>
                <w:color w:val="auto"/>
                <w:sz w:val="20"/>
                <w:szCs w:val="20"/>
                <w:lang w:val="en-AU"/>
              </w:rPr>
              <w:t xml:space="preserve">  </w:t>
            </w:r>
            <w:r w:rsidRPr="00A12D49">
              <w:rPr>
                <w:i/>
                <w:color w:val="auto"/>
                <w:sz w:val="20"/>
                <w:szCs w:val="20"/>
                <w:lang w:val="en-AU"/>
              </w:rPr>
              <w:t xml:space="preserve">Of these, 82 per cent (368 fatalities) </w:t>
            </w:r>
            <w:r w:rsidR="001C719B">
              <w:rPr>
                <w:i/>
                <w:color w:val="auto"/>
                <w:sz w:val="20"/>
                <w:szCs w:val="20"/>
                <w:lang w:val="en-AU"/>
              </w:rPr>
              <w:t>were due to</w:t>
            </w:r>
            <w:r w:rsidRPr="00A12D49">
              <w:rPr>
                <w:i/>
                <w:color w:val="auto"/>
                <w:sz w:val="20"/>
                <w:szCs w:val="20"/>
                <w:lang w:val="en-AU"/>
              </w:rPr>
              <w:t xml:space="preserve"> </w:t>
            </w:r>
            <w:r w:rsidR="002C45B9">
              <w:rPr>
                <w:i/>
                <w:color w:val="auto"/>
                <w:sz w:val="20"/>
                <w:szCs w:val="20"/>
                <w:lang w:val="en-AU"/>
              </w:rPr>
              <w:t>T</w:t>
            </w:r>
            <w:r w:rsidRPr="00A12D49">
              <w:rPr>
                <w:i/>
                <w:color w:val="auto"/>
                <w:sz w:val="20"/>
                <w:szCs w:val="20"/>
                <w:lang w:val="en-AU"/>
              </w:rPr>
              <w:t>rucks, semi-trailers or lorries</w:t>
            </w:r>
          </w:p>
        </w:tc>
        <w:tc>
          <w:tcPr>
            <w:tcW w:w="864" w:type="dxa"/>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449</w:t>
            </w:r>
          </w:p>
        </w:tc>
        <w:tc>
          <w:tcPr>
            <w:tcW w:w="972" w:type="dxa"/>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77</w:t>
            </w:r>
          </w:p>
        </w:tc>
      </w:tr>
      <w:tr w:rsidR="00E8741D" w:rsidRPr="00A12D49" w:rsidTr="007772DB">
        <w:trPr>
          <w:trHeight w:val="510"/>
        </w:trPr>
        <w:tc>
          <w:tcPr>
            <w:tcW w:w="7508" w:type="dxa"/>
            <w:shd w:val="clear" w:color="auto" w:fill="F2DBDB" w:themeFill="accent2" w:themeFillTint="33"/>
            <w:vAlign w:val="center"/>
          </w:tcPr>
          <w:p w:rsidR="00390CA6" w:rsidRDefault="00E8741D" w:rsidP="00390CA6">
            <w:pPr>
              <w:pStyle w:val="FactSheetNormal"/>
              <w:spacing w:after="0" w:line="260" w:lineRule="atLeast"/>
              <w:rPr>
                <w:b/>
                <w:color w:val="auto"/>
                <w:sz w:val="20"/>
                <w:szCs w:val="20"/>
                <w:lang w:val="en-AU"/>
              </w:rPr>
            </w:pPr>
            <w:r w:rsidRPr="00A12D49">
              <w:rPr>
                <w:b/>
                <w:color w:val="auto"/>
                <w:sz w:val="20"/>
                <w:szCs w:val="20"/>
                <w:lang w:val="en-AU"/>
              </w:rPr>
              <w:t>Being hit by moving objects</w:t>
            </w:r>
          </w:p>
          <w:p w:rsidR="00E8741D" w:rsidRPr="00A12D49" w:rsidRDefault="00E8741D" w:rsidP="00390CA6">
            <w:pPr>
              <w:pStyle w:val="FactSheetNormal"/>
              <w:spacing w:after="0" w:line="260" w:lineRule="atLeast"/>
              <w:rPr>
                <w:i/>
                <w:color w:val="auto"/>
                <w:sz w:val="20"/>
                <w:szCs w:val="20"/>
                <w:lang w:val="en-AU"/>
              </w:rPr>
            </w:pPr>
            <w:r w:rsidRPr="00A12D49">
              <w:rPr>
                <w:i/>
                <w:color w:val="auto"/>
                <w:sz w:val="20"/>
                <w:szCs w:val="20"/>
                <w:lang w:val="en-AU"/>
              </w:rPr>
              <w:t>Over half (57 per cent) were workers hit by</w:t>
            </w:r>
            <w:r w:rsidR="00454675">
              <w:rPr>
                <w:i/>
                <w:color w:val="auto"/>
                <w:sz w:val="20"/>
                <w:szCs w:val="20"/>
                <w:lang w:val="en-AU"/>
              </w:rPr>
              <w:t xml:space="preserve"> a</w:t>
            </w:r>
            <w:r w:rsidRPr="00A12D49">
              <w:rPr>
                <w:i/>
                <w:color w:val="auto"/>
                <w:sz w:val="20"/>
                <w:szCs w:val="20"/>
                <w:lang w:val="en-AU"/>
              </w:rPr>
              <w:t xml:space="preserve"> truck</w:t>
            </w:r>
          </w:p>
        </w:tc>
        <w:tc>
          <w:tcPr>
            <w:tcW w:w="864" w:type="dxa"/>
            <w:shd w:val="clear" w:color="auto" w:fill="F2DBDB" w:themeFill="accent2" w:themeFillTint="33"/>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42</w:t>
            </w:r>
          </w:p>
        </w:tc>
        <w:tc>
          <w:tcPr>
            <w:tcW w:w="972" w:type="dxa"/>
            <w:shd w:val="clear" w:color="auto" w:fill="F2DBDB" w:themeFill="accent2" w:themeFillTint="33"/>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7</w:t>
            </w:r>
          </w:p>
        </w:tc>
      </w:tr>
      <w:tr w:rsidR="00E8741D" w:rsidRPr="00A12D49" w:rsidTr="007772DB">
        <w:trPr>
          <w:trHeight w:val="510"/>
        </w:trPr>
        <w:tc>
          <w:tcPr>
            <w:tcW w:w="7508" w:type="dxa"/>
            <w:vAlign w:val="center"/>
          </w:tcPr>
          <w:p w:rsidR="00E8741D" w:rsidRPr="00A12D49" w:rsidRDefault="00E8741D" w:rsidP="004076EF">
            <w:pPr>
              <w:pStyle w:val="FactSheetNormal"/>
              <w:spacing w:after="0" w:line="260" w:lineRule="atLeast"/>
              <w:rPr>
                <w:b/>
                <w:color w:val="auto"/>
                <w:sz w:val="20"/>
                <w:szCs w:val="20"/>
                <w:lang w:val="en-AU"/>
              </w:rPr>
            </w:pPr>
            <w:r w:rsidRPr="00A12D49">
              <w:rPr>
                <w:b/>
                <w:color w:val="auto"/>
                <w:sz w:val="20"/>
                <w:szCs w:val="20"/>
                <w:lang w:val="en-AU"/>
              </w:rPr>
              <w:t>Being hit by falling objects</w:t>
            </w:r>
          </w:p>
          <w:p w:rsidR="00E8741D" w:rsidRPr="00A12D49" w:rsidRDefault="00E8741D" w:rsidP="004076EF">
            <w:pPr>
              <w:pStyle w:val="FactSheetNormal"/>
              <w:spacing w:after="0" w:line="260" w:lineRule="atLeast"/>
              <w:rPr>
                <w:i/>
                <w:color w:val="auto"/>
                <w:sz w:val="20"/>
                <w:szCs w:val="20"/>
                <w:lang w:val="en-AU"/>
              </w:rPr>
            </w:pPr>
            <w:r w:rsidRPr="00A12D49">
              <w:rPr>
                <w:color w:val="auto"/>
                <w:sz w:val="20"/>
                <w:szCs w:val="20"/>
                <w:lang w:val="en-AU"/>
              </w:rPr>
              <w:t xml:space="preserve">  </w:t>
            </w:r>
            <w:r w:rsidRPr="00A12D49">
              <w:rPr>
                <w:i/>
                <w:color w:val="auto"/>
                <w:sz w:val="20"/>
                <w:szCs w:val="20"/>
                <w:lang w:val="en-AU"/>
              </w:rPr>
              <w:t>Six fatalities occurred due to objects falling from forklifts</w:t>
            </w:r>
          </w:p>
        </w:tc>
        <w:tc>
          <w:tcPr>
            <w:tcW w:w="864" w:type="dxa"/>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24</w:t>
            </w:r>
          </w:p>
        </w:tc>
        <w:tc>
          <w:tcPr>
            <w:tcW w:w="972" w:type="dxa"/>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4</w:t>
            </w:r>
          </w:p>
        </w:tc>
      </w:tr>
      <w:tr w:rsidR="00E8741D" w:rsidRPr="00A12D49" w:rsidTr="007772DB">
        <w:trPr>
          <w:trHeight w:val="510"/>
        </w:trPr>
        <w:tc>
          <w:tcPr>
            <w:tcW w:w="7508" w:type="dxa"/>
            <w:shd w:val="clear" w:color="auto" w:fill="F2DBDB" w:themeFill="accent2" w:themeFillTint="33"/>
            <w:vAlign w:val="center"/>
          </w:tcPr>
          <w:p w:rsidR="00E8741D" w:rsidRPr="00A12D49" w:rsidRDefault="00E8741D" w:rsidP="004076EF">
            <w:pPr>
              <w:pStyle w:val="FactSheetNormal"/>
              <w:spacing w:after="0" w:line="260" w:lineRule="atLeast"/>
              <w:rPr>
                <w:b/>
                <w:color w:val="auto"/>
                <w:sz w:val="20"/>
                <w:szCs w:val="20"/>
                <w:lang w:val="en-AU"/>
              </w:rPr>
            </w:pPr>
            <w:r w:rsidRPr="00A12D49">
              <w:rPr>
                <w:b/>
                <w:color w:val="auto"/>
                <w:sz w:val="20"/>
                <w:szCs w:val="20"/>
                <w:lang w:val="en-AU"/>
              </w:rPr>
              <w:t>Being trapped between stationary and moving objects</w:t>
            </w:r>
          </w:p>
          <w:p w:rsidR="00E8741D" w:rsidRPr="00A12D49" w:rsidRDefault="00E8741D" w:rsidP="004076EF">
            <w:pPr>
              <w:pStyle w:val="FactSheetNormal"/>
              <w:spacing w:after="0" w:line="260" w:lineRule="atLeast"/>
              <w:rPr>
                <w:i/>
                <w:color w:val="auto"/>
                <w:sz w:val="20"/>
                <w:szCs w:val="20"/>
                <w:lang w:val="en-AU"/>
              </w:rPr>
            </w:pPr>
            <w:r w:rsidRPr="00A12D49">
              <w:rPr>
                <w:color w:val="auto"/>
                <w:sz w:val="20"/>
                <w:szCs w:val="20"/>
                <w:lang w:val="en-AU"/>
              </w:rPr>
              <w:t xml:space="preserve">  </w:t>
            </w:r>
            <w:r w:rsidRPr="00A12D49">
              <w:rPr>
                <w:i/>
                <w:color w:val="auto"/>
                <w:sz w:val="20"/>
                <w:szCs w:val="20"/>
                <w:lang w:val="en-AU"/>
              </w:rPr>
              <w:t xml:space="preserve">88 per cent of these (15 fatalities) involved trucks or parts of trucks (eg. </w:t>
            </w:r>
            <w:r w:rsidR="009021BC" w:rsidRPr="00A12D49">
              <w:rPr>
                <w:i/>
                <w:color w:val="auto"/>
                <w:sz w:val="20"/>
                <w:szCs w:val="20"/>
                <w:lang w:val="en-AU"/>
              </w:rPr>
              <w:t>t</w:t>
            </w:r>
            <w:r w:rsidRPr="00A12D49">
              <w:rPr>
                <w:i/>
                <w:color w:val="auto"/>
                <w:sz w:val="20"/>
                <w:szCs w:val="20"/>
                <w:lang w:val="en-AU"/>
              </w:rPr>
              <w:t>railers)</w:t>
            </w:r>
          </w:p>
        </w:tc>
        <w:tc>
          <w:tcPr>
            <w:tcW w:w="864" w:type="dxa"/>
            <w:shd w:val="clear" w:color="auto" w:fill="F2DBDB" w:themeFill="accent2" w:themeFillTint="33"/>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17</w:t>
            </w:r>
          </w:p>
        </w:tc>
        <w:tc>
          <w:tcPr>
            <w:tcW w:w="972" w:type="dxa"/>
            <w:shd w:val="clear" w:color="auto" w:fill="F2DBDB" w:themeFill="accent2" w:themeFillTint="33"/>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3</w:t>
            </w:r>
          </w:p>
        </w:tc>
      </w:tr>
      <w:tr w:rsidR="00E8741D" w:rsidRPr="00A12D49" w:rsidTr="007772DB">
        <w:trPr>
          <w:trHeight w:val="510"/>
        </w:trPr>
        <w:tc>
          <w:tcPr>
            <w:tcW w:w="7508" w:type="dxa"/>
            <w:vAlign w:val="center"/>
          </w:tcPr>
          <w:p w:rsidR="00E8741D" w:rsidRPr="00A12D49" w:rsidRDefault="00E8741D" w:rsidP="004076EF">
            <w:pPr>
              <w:pStyle w:val="FactSheetNormal"/>
              <w:spacing w:after="0" w:line="260" w:lineRule="atLeast"/>
              <w:rPr>
                <w:b/>
                <w:color w:val="auto"/>
                <w:sz w:val="20"/>
                <w:szCs w:val="20"/>
                <w:lang w:val="en-AU"/>
              </w:rPr>
            </w:pPr>
            <w:r w:rsidRPr="00A12D49">
              <w:rPr>
                <w:b/>
                <w:color w:val="auto"/>
                <w:sz w:val="20"/>
                <w:szCs w:val="20"/>
                <w:lang w:val="en-AU"/>
              </w:rPr>
              <w:t>Falls from a height</w:t>
            </w:r>
          </w:p>
          <w:p w:rsidR="00E8741D" w:rsidRPr="00A12D49" w:rsidRDefault="00E8741D" w:rsidP="003803CD">
            <w:pPr>
              <w:pStyle w:val="FactSheetNormal"/>
              <w:spacing w:after="0" w:line="260" w:lineRule="atLeast"/>
              <w:ind w:left="142" w:hanging="142"/>
              <w:rPr>
                <w:i/>
                <w:color w:val="auto"/>
                <w:sz w:val="20"/>
                <w:szCs w:val="20"/>
                <w:lang w:val="en-AU"/>
              </w:rPr>
            </w:pPr>
            <w:r w:rsidRPr="00A12D49">
              <w:rPr>
                <w:color w:val="auto"/>
                <w:sz w:val="20"/>
                <w:szCs w:val="20"/>
                <w:lang w:val="en-AU"/>
              </w:rPr>
              <w:t xml:space="preserve">  </w:t>
            </w:r>
            <w:r w:rsidRPr="00A12D49">
              <w:rPr>
                <w:i/>
                <w:color w:val="auto"/>
                <w:sz w:val="20"/>
                <w:szCs w:val="20"/>
                <w:lang w:val="en-AU"/>
              </w:rPr>
              <w:t xml:space="preserve">Eight fatalities occurred as a result of truck drivers falling from the </w:t>
            </w:r>
            <w:r w:rsidR="00CE7C15">
              <w:rPr>
                <w:i/>
                <w:color w:val="auto"/>
                <w:sz w:val="20"/>
                <w:szCs w:val="20"/>
                <w:lang w:val="en-AU"/>
              </w:rPr>
              <w:t xml:space="preserve">truck </w:t>
            </w:r>
            <w:r w:rsidRPr="00A12D49">
              <w:rPr>
                <w:i/>
                <w:color w:val="auto"/>
                <w:sz w:val="20"/>
                <w:szCs w:val="20"/>
                <w:lang w:val="en-AU"/>
              </w:rPr>
              <w:t xml:space="preserve">cabin </w:t>
            </w:r>
          </w:p>
        </w:tc>
        <w:tc>
          <w:tcPr>
            <w:tcW w:w="864" w:type="dxa"/>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14</w:t>
            </w:r>
          </w:p>
        </w:tc>
        <w:tc>
          <w:tcPr>
            <w:tcW w:w="972" w:type="dxa"/>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2</w:t>
            </w:r>
          </w:p>
        </w:tc>
      </w:tr>
      <w:tr w:rsidR="00E8741D" w:rsidRPr="00A12D49" w:rsidTr="007772DB">
        <w:trPr>
          <w:trHeight w:val="197"/>
        </w:trPr>
        <w:tc>
          <w:tcPr>
            <w:tcW w:w="7508" w:type="dxa"/>
            <w:shd w:val="clear" w:color="auto" w:fill="F2DBDB" w:themeFill="accent2" w:themeFillTint="33"/>
            <w:vAlign w:val="center"/>
          </w:tcPr>
          <w:p w:rsidR="00E8741D" w:rsidRPr="00A12D49" w:rsidRDefault="00E8741D" w:rsidP="004076EF">
            <w:pPr>
              <w:pStyle w:val="FactSheetNormal"/>
              <w:spacing w:after="0" w:line="260" w:lineRule="atLeast"/>
              <w:rPr>
                <w:b/>
                <w:color w:val="auto"/>
                <w:sz w:val="20"/>
                <w:szCs w:val="20"/>
                <w:lang w:val="en-AU"/>
              </w:rPr>
            </w:pPr>
            <w:r w:rsidRPr="00A12D49">
              <w:rPr>
                <w:b/>
                <w:color w:val="auto"/>
                <w:sz w:val="20"/>
                <w:szCs w:val="20"/>
                <w:lang w:val="en-AU"/>
              </w:rPr>
              <w:t>Other mechanisms</w:t>
            </w:r>
          </w:p>
        </w:tc>
        <w:tc>
          <w:tcPr>
            <w:tcW w:w="864" w:type="dxa"/>
            <w:shd w:val="clear" w:color="auto" w:fill="F2DBDB" w:themeFill="accent2" w:themeFillTint="33"/>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37</w:t>
            </w:r>
          </w:p>
        </w:tc>
        <w:tc>
          <w:tcPr>
            <w:tcW w:w="972" w:type="dxa"/>
            <w:shd w:val="clear" w:color="auto" w:fill="F2DBDB" w:themeFill="accent2" w:themeFillTint="33"/>
            <w:vAlign w:val="center"/>
          </w:tcPr>
          <w:p w:rsidR="00E8741D" w:rsidRPr="00A12D49" w:rsidRDefault="00E8741D" w:rsidP="004076EF">
            <w:pPr>
              <w:pStyle w:val="FactSheetNormal"/>
              <w:spacing w:after="0" w:line="260" w:lineRule="atLeast"/>
              <w:jc w:val="center"/>
              <w:rPr>
                <w:color w:val="auto"/>
                <w:sz w:val="20"/>
                <w:szCs w:val="20"/>
                <w:lang w:val="en-AU"/>
              </w:rPr>
            </w:pPr>
            <w:r w:rsidRPr="00A12D49">
              <w:rPr>
                <w:color w:val="auto"/>
                <w:sz w:val="20"/>
                <w:szCs w:val="20"/>
                <w:lang w:val="en-AU"/>
              </w:rPr>
              <w:t>6</w:t>
            </w:r>
          </w:p>
        </w:tc>
      </w:tr>
      <w:tr w:rsidR="004076EF" w:rsidRPr="00A12D49" w:rsidTr="00B9194B">
        <w:trPr>
          <w:trHeight w:val="289"/>
        </w:trPr>
        <w:tc>
          <w:tcPr>
            <w:tcW w:w="7508" w:type="dxa"/>
            <w:shd w:val="clear" w:color="auto" w:fill="AF1E2D"/>
            <w:vAlign w:val="center"/>
          </w:tcPr>
          <w:p w:rsidR="00E8741D" w:rsidRPr="00A12D49" w:rsidRDefault="00AC1C7E" w:rsidP="004076EF">
            <w:pPr>
              <w:pStyle w:val="FactSheetNormal"/>
              <w:spacing w:after="0" w:line="260" w:lineRule="atLeast"/>
              <w:rPr>
                <w:b/>
                <w:color w:val="FFFFFF" w:themeColor="background1"/>
                <w:sz w:val="20"/>
                <w:szCs w:val="20"/>
                <w:lang w:val="en-AU"/>
              </w:rPr>
            </w:pPr>
            <w:r>
              <w:rPr>
                <w:b/>
                <w:color w:val="FFFFFF" w:themeColor="background1"/>
                <w:sz w:val="20"/>
                <w:szCs w:val="20"/>
                <w:lang w:val="en-AU"/>
              </w:rPr>
              <w:t>Total R</w:t>
            </w:r>
            <w:r w:rsidR="00E8741D" w:rsidRPr="00A12D49">
              <w:rPr>
                <w:b/>
                <w:color w:val="FFFFFF" w:themeColor="background1"/>
                <w:sz w:val="20"/>
                <w:szCs w:val="20"/>
                <w:lang w:val="en-AU"/>
              </w:rPr>
              <w:t>oad transport fatalities</w:t>
            </w:r>
          </w:p>
        </w:tc>
        <w:tc>
          <w:tcPr>
            <w:tcW w:w="864" w:type="dxa"/>
            <w:shd w:val="clear" w:color="auto" w:fill="AF1E2D"/>
            <w:vAlign w:val="center"/>
          </w:tcPr>
          <w:p w:rsidR="00E8741D" w:rsidRPr="00A12D49" w:rsidRDefault="00E8741D" w:rsidP="004076EF">
            <w:pPr>
              <w:pStyle w:val="FactSheetNormal"/>
              <w:spacing w:after="0" w:line="260" w:lineRule="atLeast"/>
              <w:jc w:val="center"/>
              <w:rPr>
                <w:b/>
                <w:color w:val="FFFFFF" w:themeColor="background1"/>
                <w:sz w:val="20"/>
                <w:szCs w:val="20"/>
                <w:lang w:val="en-AU"/>
              </w:rPr>
            </w:pPr>
            <w:r w:rsidRPr="00A12D49">
              <w:rPr>
                <w:b/>
                <w:color w:val="FFFFFF" w:themeColor="background1"/>
                <w:sz w:val="20"/>
                <w:szCs w:val="20"/>
                <w:lang w:val="en-AU"/>
              </w:rPr>
              <w:t>583</w:t>
            </w:r>
          </w:p>
        </w:tc>
        <w:tc>
          <w:tcPr>
            <w:tcW w:w="972" w:type="dxa"/>
            <w:shd w:val="clear" w:color="auto" w:fill="AF1E2D"/>
            <w:vAlign w:val="center"/>
          </w:tcPr>
          <w:p w:rsidR="00E8741D" w:rsidRPr="00A12D49" w:rsidRDefault="00E8741D" w:rsidP="004076EF">
            <w:pPr>
              <w:pStyle w:val="FactSheetNormal"/>
              <w:spacing w:after="0" w:line="260" w:lineRule="atLeast"/>
              <w:jc w:val="center"/>
              <w:rPr>
                <w:b/>
                <w:color w:val="FFFFFF" w:themeColor="background1"/>
                <w:sz w:val="20"/>
                <w:szCs w:val="20"/>
                <w:lang w:val="en-AU"/>
              </w:rPr>
            </w:pPr>
            <w:r w:rsidRPr="00A12D49">
              <w:rPr>
                <w:b/>
                <w:color w:val="FFFFFF" w:themeColor="background1"/>
                <w:sz w:val="20"/>
                <w:szCs w:val="20"/>
                <w:lang w:val="en-AU"/>
              </w:rPr>
              <w:t>100</w:t>
            </w:r>
          </w:p>
        </w:tc>
      </w:tr>
    </w:tbl>
    <w:p w:rsidR="00CE7C15" w:rsidRDefault="00CE7C15" w:rsidP="00C56FFA">
      <w:pPr>
        <w:spacing w:before="0"/>
        <w:rPr>
          <w:rFonts w:ascii="Arial" w:hAnsi="Arial" w:cs="Arial"/>
          <w:b/>
          <w:color w:val="C10A27"/>
          <w:sz w:val="28"/>
          <w:szCs w:val="24"/>
        </w:rPr>
      </w:pPr>
      <w:r>
        <w:rPr>
          <w:rFonts w:ascii="Arial" w:hAnsi="Arial" w:cs="Arial"/>
          <w:sz w:val="18"/>
          <w:szCs w:val="24"/>
        </w:rPr>
        <w:t>Note: The percentages shown have been rounded to the nearest whole number and therefore the sum of the figures in the percentage column may not equal 100.</w:t>
      </w:r>
    </w:p>
    <w:p w:rsidR="00487719" w:rsidRPr="001C719B" w:rsidRDefault="00487719" w:rsidP="001C719B">
      <w:pPr>
        <w:spacing w:before="240"/>
        <w:rPr>
          <w:rFonts w:ascii="Arial" w:hAnsi="Arial" w:cs="Arial"/>
          <w:b/>
          <w:color w:val="C10A27"/>
          <w:sz w:val="28"/>
          <w:szCs w:val="24"/>
        </w:rPr>
      </w:pPr>
      <w:r w:rsidRPr="001C719B">
        <w:rPr>
          <w:rFonts w:ascii="Arial" w:hAnsi="Arial" w:cs="Arial"/>
          <w:b/>
          <w:color w:val="C10A27"/>
          <w:sz w:val="28"/>
          <w:szCs w:val="24"/>
        </w:rPr>
        <w:t xml:space="preserve">Fatalities by </w:t>
      </w:r>
      <w:r w:rsidR="00157689" w:rsidRPr="001C719B">
        <w:rPr>
          <w:rFonts w:ascii="Arial" w:hAnsi="Arial" w:cs="Arial"/>
          <w:b/>
          <w:color w:val="C10A27"/>
          <w:sz w:val="28"/>
          <w:szCs w:val="24"/>
        </w:rPr>
        <w:t>state</w:t>
      </w:r>
      <w:r w:rsidR="001C719B">
        <w:rPr>
          <w:rFonts w:ascii="Arial" w:hAnsi="Arial" w:cs="Arial"/>
          <w:b/>
          <w:color w:val="C10A27"/>
          <w:sz w:val="28"/>
          <w:szCs w:val="24"/>
        </w:rPr>
        <w:t>/territory</w:t>
      </w:r>
      <w:r w:rsidRPr="001C719B">
        <w:rPr>
          <w:rFonts w:ascii="Arial" w:hAnsi="Arial" w:cs="Arial"/>
          <w:b/>
          <w:color w:val="C10A27"/>
          <w:sz w:val="28"/>
          <w:szCs w:val="24"/>
        </w:rPr>
        <w:t xml:space="preserve"> and </w:t>
      </w:r>
      <w:r w:rsidR="00E8741D" w:rsidRPr="001C719B">
        <w:rPr>
          <w:rFonts w:ascii="Arial" w:hAnsi="Arial" w:cs="Arial"/>
          <w:b/>
          <w:color w:val="C10A27"/>
          <w:sz w:val="28"/>
          <w:szCs w:val="24"/>
        </w:rPr>
        <w:t xml:space="preserve">type of </w:t>
      </w:r>
      <w:r w:rsidRPr="001C719B">
        <w:rPr>
          <w:rFonts w:ascii="Arial" w:hAnsi="Arial" w:cs="Arial"/>
          <w:b/>
          <w:color w:val="C10A27"/>
          <w:sz w:val="28"/>
          <w:szCs w:val="24"/>
        </w:rPr>
        <w:t>incident</w:t>
      </w:r>
    </w:p>
    <w:p w:rsidR="00157689" w:rsidRPr="004076EF" w:rsidRDefault="001C719B" w:rsidP="00564DD2">
      <w:pPr>
        <w:spacing w:line="288" w:lineRule="auto"/>
        <w:rPr>
          <w:rFonts w:ascii="Arial" w:hAnsi="Arial" w:cs="Arial"/>
          <w:sz w:val="22"/>
          <w:szCs w:val="22"/>
        </w:rPr>
      </w:pPr>
      <w:r>
        <w:rPr>
          <w:rFonts w:ascii="Arial" w:hAnsi="Arial" w:cs="Arial"/>
          <w:sz w:val="22"/>
          <w:szCs w:val="22"/>
        </w:rPr>
        <w:t xml:space="preserve">Table </w:t>
      </w:r>
      <w:r w:rsidR="00554F3C">
        <w:rPr>
          <w:rFonts w:ascii="Arial" w:hAnsi="Arial" w:cs="Arial"/>
          <w:sz w:val="22"/>
          <w:szCs w:val="22"/>
        </w:rPr>
        <w:t>10</w:t>
      </w:r>
      <w:r w:rsidR="00487719" w:rsidRPr="004076EF">
        <w:rPr>
          <w:rFonts w:ascii="Arial" w:hAnsi="Arial" w:cs="Arial"/>
          <w:sz w:val="22"/>
          <w:szCs w:val="22"/>
        </w:rPr>
        <w:t xml:space="preserve"> shows the breakdown </w:t>
      </w:r>
      <w:r>
        <w:rPr>
          <w:rFonts w:ascii="Arial" w:hAnsi="Arial" w:cs="Arial"/>
          <w:sz w:val="22"/>
          <w:szCs w:val="22"/>
        </w:rPr>
        <w:t xml:space="preserve">of worker fatalities in the Road transport industry </w:t>
      </w:r>
      <w:r w:rsidR="00487719" w:rsidRPr="004076EF">
        <w:rPr>
          <w:rFonts w:ascii="Arial" w:hAnsi="Arial" w:cs="Arial"/>
          <w:sz w:val="22"/>
          <w:szCs w:val="22"/>
        </w:rPr>
        <w:t xml:space="preserve">by state </w:t>
      </w:r>
      <w:r w:rsidR="00D71B56" w:rsidRPr="004076EF">
        <w:rPr>
          <w:rFonts w:ascii="Arial" w:hAnsi="Arial" w:cs="Arial"/>
          <w:sz w:val="22"/>
          <w:szCs w:val="22"/>
        </w:rPr>
        <w:t xml:space="preserve">and territory </w:t>
      </w:r>
      <w:r w:rsidR="00487719" w:rsidRPr="004076EF">
        <w:rPr>
          <w:rFonts w:ascii="Arial" w:hAnsi="Arial" w:cs="Arial"/>
          <w:sz w:val="22"/>
          <w:szCs w:val="22"/>
        </w:rPr>
        <w:t xml:space="preserve">and the </w:t>
      </w:r>
      <w:r w:rsidR="00E8741D" w:rsidRPr="004076EF">
        <w:rPr>
          <w:rFonts w:ascii="Arial" w:hAnsi="Arial" w:cs="Arial"/>
          <w:sz w:val="22"/>
          <w:szCs w:val="22"/>
        </w:rPr>
        <w:t xml:space="preserve">type of </w:t>
      </w:r>
      <w:r w:rsidR="00487719" w:rsidRPr="004076EF">
        <w:rPr>
          <w:rFonts w:ascii="Arial" w:hAnsi="Arial" w:cs="Arial"/>
          <w:sz w:val="22"/>
          <w:szCs w:val="22"/>
        </w:rPr>
        <w:t xml:space="preserve">incident </w:t>
      </w:r>
      <w:r w:rsidR="00157689" w:rsidRPr="004076EF">
        <w:rPr>
          <w:rFonts w:ascii="Arial" w:hAnsi="Arial" w:cs="Arial"/>
          <w:sz w:val="22"/>
          <w:szCs w:val="22"/>
        </w:rPr>
        <w:t xml:space="preserve">which </w:t>
      </w:r>
      <w:r w:rsidR="00487719" w:rsidRPr="004076EF">
        <w:rPr>
          <w:rFonts w:ascii="Arial" w:hAnsi="Arial" w:cs="Arial"/>
          <w:sz w:val="22"/>
          <w:szCs w:val="22"/>
        </w:rPr>
        <w:t>result</w:t>
      </w:r>
      <w:r w:rsidR="00454675">
        <w:rPr>
          <w:rFonts w:ascii="Arial" w:hAnsi="Arial" w:cs="Arial"/>
          <w:sz w:val="22"/>
          <w:szCs w:val="22"/>
        </w:rPr>
        <w:t>ed</w:t>
      </w:r>
      <w:r w:rsidR="00487719" w:rsidRPr="004076EF">
        <w:rPr>
          <w:rFonts w:ascii="Arial" w:hAnsi="Arial" w:cs="Arial"/>
          <w:sz w:val="22"/>
          <w:szCs w:val="22"/>
        </w:rPr>
        <w:t xml:space="preserve"> in death. </w:t>
      </w:r>
      <w:r w:rsidR="00157689" w:rsidRPr="004076EF">
        <w:rPr>
          <w:rFonts w:ascii="Arial" w:hAnsi="Arial" w:cs="Arial"/>
          <w:sz w:val="22"/>
          <w:szCs w:val="22"/>
        </w:rPr>
        <w:t xml:space="preserve">Nationally, </w:t>
      </w:r>
      <w:r>
        <w:rPr>
          <w:rFonts w:ascii="Arial" w:hAnsi="Arial" w:cs="Arial"/>
          <w:sz w:val="22"/>
          <w:szCs w:val="22"/>
        </w:rPr>
        <w:t>between 2003 and 2015</w:t>
      </w:r>
      <w:r w:rsidR="0096753F">
        <w:rPr>
          <w:rFonts w:ascii="Arial" w:hAnsi="Arial" w:cs="Arial"/>
          <w:sz w:val="22"/>
          <w:szCs w:val="22"/>
        </w:rPr>
        <w:t>,</w:t>
      </w:r>
      <w:r>
        <w:rPr>
          <w:rFonts w:ascii="Arial" w:hAnsi="Arial" w:cs="Arial"/>
          <w:sz w:val="22"/>
          <w:szCs w:val="22"/>
        </w:rPr>
        <w:t xml:space="preserve"> </w:t>
      </w:r>
      <w:r w:rsidR="00157689" w:rsidRPr="004076EF">
        <w:rPr>
          <w:rFonts w:ascii="Arial" w:hAnsi="Arial" w:cs="Arial"/>
          <w:sz w:val="22"/>
          <w:szCs w:val="22"/>
        </w:rPr>
        <w:t>more than three quarters of fatalities occur</w:t>
      </w:r>
      <w:r w:rsidR="000C514D" w:rsidRPr="004076EF">
        <w:rPr>
          <w:rFonts w:ascii="Arial" w:hAnsi="Arial" w:cs="Arial"/>
          <w:sz w:val="22"/>
          <w:szCs w:val="22"/>
        </w:rPr>
        <w:t>red</w:t>
      </w:r>
      <w:r w:rsidR="00157689" w:rsidRPr="004076EF">
        <w:rPr>
          <w:rFonts w:ascii="Arial" w:hAnsi="Arial" w:cs="Arial"/>
          <w:sz w:val="22"/>
          <w:szCs w:val="22"/>
        </w:rPr>
        <w:t xml:space="preserve"> in </w:t>
      </w:r>
      <w:r w:rsidR="002A2C66">
        <w:rPr>
          <w:rFonts w:ascii="Arial" w:hAnsi="Arial" w:cs="Arial"/>
          <w:sz w:val="22"/>
          <w:szCs w:val="22"/>
        </w:rPr>
        <w:t xml:space="preserve">three states: </w:t>
      </w:r>
      <w:r w:rsidR="00157689" w:rsidRPr="004076EF">
        <w:rPr>
          <w:rFonts w:ascii="Arial" w:hAnsi="Arial" w:cs="Arial"/>
          <w:sz w:val="22"/>
          <w:szCs w:val="22"/>
        </w:rPr>
        <w:t xml:space="preserve">New South Wales (34 per cent), </w:t>
      </w:r>
      <w:r w:rsidR="00CC4A17">
        <w:rPr>
          <w:rFonts w:ascii="Arial" w:hAnsi="Arial" w:cs="Arial"/>
          <w:sz w:val="22"/>
          <w:szCs w:val="22"/>
        </w:rPr>
        <w:t>Queensland</w:t>
      </w:r>
      <w:r w:rsidR="00157689" w:rsidRPr="004076EF">
        <w:rPr>
          <w:rFonts w:ascii="Arial" w:hAnsi="Arial" w:cs="Arial"/>
          <w:sz w:val="22"/>
          <w:szCs w:val="22"/>
        </w:rPr>
        <w:t xml:space="preserve"> (25 per cent) and </w:t>
      </w:r>
      <w:r w:rsidR="00CC4A17">
        <w:rPr>
          <w:rFonts w:ascii="Arial" w:hAnsi="Arial" w:cs="Arial"/>
          <w:sz w:val="22"/>
          <w:szCs w:val="22"/>
        </w:rPr>
        <w:t>Victoria</w:t>
      </w:r>
      <w:r w:rsidR="00157689" w:rsidRPr="004076EF">
        <w:rPr>
          <w:rFonts w:ascii="Arial" w:hAnsi="Arial" w:cs="Arial"/>
          <w:sz w:val="22"/>
          <w:szCs w:val="22"/>
        </w:rPr>
        <w:t xml:space="preserve"> (22 per cent). Vehicle accidents which occur on public road</w:t>
      </w:r>
      <w:r w:rsidR="00CC4A17">
        <w:rPr>
          <w:rFonts w:ascii="Arial" w:hAnsi="Arial" w:cs="Arial"/>
          <w:sz w:val="22"/>
          <w:szCs w:val="22"/>
        </w:rPr>
        <w:t>s</w:t>
      </w:r>
      <w:r w:rsidR="00157689" w:rsidRPr="004076EF">
        <w:rPr>
          <w:rFonts w:ascii="Arial" w:hAnsi="Arial" w:cs="Arial"/>
          <w:sz w:val="22"/>
          <w:szCs w:val="22"/>
        </w:rPr>
        <w:t xml:space="preserve"> make up 80 per cent </w:t>
      </w:r>
      <w:r w:rsidR="007B2A85" w:rsidRPr="004076EF">
        <w:rPr>
          <w:rFonts w:ascii="Arial" w:hAnsi="Arial" w:cs="Arial"/>
          <w:sz w:val="22"/>
          <w:szCs w:val="22"/>
        </w:rPr>
        <w:t xml:space="preserve">(467 fatalities) </w:t>
      </w:r>
      <w:r w:rsidR="00AC1C7E">
        <w:rPr>
          <w:rFonts w:ascii="Arial" w:hAnsi="Arial" w:cs="Arial"/>
          <w:sz w:val="22"/>
          <w:szCs w:val="22"/>
        </w:rPr>
        <w:t>of R</w:t>
      </w:r>
      <w:r w:rsidR="00157689" w:rsidRPr="004076EF">
        <w:rPr>
          <w:rFonts w:ascii="Arial" w:hAnsi="Arial" w:cs="Arial"/>
          <w:sz w:val="22"/>
          <w:szCs w:val="22"/>
        </w:rPr>
        <w:t xml:space="preserve">oad transport fatalities, </w:t>
      </w:r>
      <w:r w:rsidR="007B2A85" w:rsidRPr="004076EF">
        <w:rPr>
          <w:rFonts w:ascii="Arial" w:hAnsi="Arial" w:cs="Arial"/>
          <w:sz w:val="22"/>
          <w:szCs w:val="22"/>
        </w:rPr>
        <w:t>of which two out of three</w:t>
      </w:r>
      <w:r w:rsidR="006B0BA3" w:rsidRPr="004076EF">
        <w:rPr>
          <w:rFonts w:ascii="Arial" w:hAnsi="Arial" w:cs="Arial"/>
          <w:sz w:val="22"/>
          <w:szCs w:val="22"/>
        </w:rPr>
        <w:t xml:space="preserve"> resulted from</w:t>
      </w:r>
      <w:r w:rsidR="007B2A85" w:rsidRPr="004076EF">
        <w:rPr>
          <w:rFonts w:ascii="Arial" w:hAnsi="Arial" w:cs="Arial"/>
          <w:sz w:val="22"/>
          <w:szCs w:val="22"/>
        </w:rPr>
        <w:t xml:space="preserve"> single vehicle crashes. </w:t>
      </w:r>
    </w:p>
    <w:p w:rsidR="00487719" w:rsidRPr="0097571C" w:rsidRDefault="0097571C" w:rsidP="00487719">
      <w:pPr>
        <w:pStyle w:val="Tableheading"/>
        <w:rPr>
          <w:sz w:val="22"/>
        </w:rPr>
      </w:pPr>
      <w:r>
        <w:rPr>
          <w:sz w:val="22"/>
        </w:rPr>
        <w:t xml:space="preserve">Table </w:t>
      </w:r>
      <w:r w:rsidR="00554F3C">
        <w:rPr>
          <w:sz w:val="22"/>
        </w:rPr>
        <w:t>10</w:t>
      </w:r>
      <w:r w:rsidR="00487719" w:rsidRPr="0097571C">
        <w:rPr>
          <w:sz w:val="22"/>
        </w:rPr>
        <w:t xml:space="preserve">: Worker fatalities: </w:t>
      </w:r>
      <w:r w:rsidR="00157689" w:rsidRPr="0097571C">
        <w:rPr>
          <w:sz w:val="22"/>
        </w:rPr>
        <w:t xml:space="preserve">number by state and type of </w:t>
      </w:r>
      <w:r w:rsidR="00A24BD7">
        <w:rPr>
          <w:sz w:val="22"/>
        </w:rPr>
        <w:t>incident</w:t>
      </w:r>
      <w:r w:rsidR="00157689" w:rsidRPr="0097571C">
        <w:rPr>
          <w:sz w:val="22"/>
        </w:rPr>
        <w:t xml:space="preserve"> 2003 to 2015</w:t>
      </w:r>
      <w:r w:rsidR="00487719" w:rsidRPr="0097571C">
        <w:rPr>
          <w:sz w:val="22"/>
        </w:rPr>
        <w:t xml:space="preserve"> </w:t>
      </w:r>
      <w:r w:rsidR="006820DA" w:rsidRPr="0097571C">
        <w:rPr>
          <w:sz w:val="22"/>
        </w:rPr>
        <w:t>(</w:t>
      </w:r>
      <w:r w:rsidR="00487719" w:rsidRPr="0097571C">
        <w:rPr>
          <w:sz w:val="22"/>
        </w:rPr>
        <w:t>combined</w:t>
      </w:r>
      <w:r w:rsidR="006820DA" w:rsidRPr="0097571C">
        <w:rPr>
          <w:sz w:val="22"/>
        </w:rPr>
        <w:t>)</w:t>
      </w:r>
    </w:p>
    <w:tbl>
      <w:tblPr>
        <w:tblW w:w="9339"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Worker fatalities: number by state of death and type of vehicle incident, 2003 to 2015 (combined)"/>
        <w:tblDescription w:val="Table 10 shows that between 2003 and 2015, more than three quarters of fatalities occurred in three states: New South Wales (34 per cent), Queensland (25 per cent) and Victoria (22 per cent). Vehicle accidents which occur on public roads make up 80 per cent (467 fatalities) of road transport fatalities, of which two out of three resulted from single vehicle crashes. "/>
      </w:tblPr>
      <w:tblGrid>
        <w:gridCol w:w="2850"/>
        <w:gridCol w:w="851"/>
        <w:gridCol w:w="850"/>
        <w:gridCol w:w="851"/>
        <w:gridCol w:w="850"/>
        <w:gridCol w:w="709"/>
        <w:gridCol w:w="656"/>
        <w:gridCol w:w="762"/>
        <w:gridCol w:w="960"/>
      </w:tblGrid>
      <w:tr w:rsidR="004076EF" w:rsidRPr="00A12D49" w:rsidTr="00B9194B">
        <w:trPr>
          <w:trHeight w:val="396"/>
        </w:trPr>
        <w:tc>
          <w:tcPr>
            <w:tcW w:w="2850" w:type="dxa"/>
            <w:shd w:val="clear" w:color="auto" w:fill="AF1E2D"/>
            <w:noWrap/>
            <w:vAlign w:val="center"/>
            <w:hideMark/>
          </w:tcPr>
          <w:p w:rsidR="004076EF" w:rsidRPr="00A12D49" w:rsidRDefault="004076EF" w:rsidP="00A24BD7">
            <w:pPr>
              <w:spacing w:before="0" w:after="0"/>
              <w:rPr>
                <w:rFonts w:ascii="Arial" w:hAnsi="Arial" w:cs="Arial"/>
                <w:b/>
                <w:bCs/>
                <w:color w:val="FFFFFF" w:themeColor="background1"/>
              </w:rPr>
            </w:pPr>
            <w:r w:rsidRPr="00A12D49">
              <w:rPr>
                <w:rFonts w:ascii="Arial" w:hAnsi="Arial" w:cs="Arial"/>
                <w:b/>
                <w:bCs/>
                <w:color w:val="FFFFFF" w:themeColor="background1"/>
              </w:rPr>
              <w:t>Type of incident</w:t>
            </w:r>
          </w:p>
        </w:tc>
        <w:tc>
          <w:tcPr>
            <w:tcW w:w="851" w:type="dxa"/>
            <w:shd w:val="clear" w:color="auto" w:fill="AF1E2D"/>
            <w:noWrap/>
            <w:vAlign w:val="center"/>
            <w:hideMark/>
          </w:tcPr>
          <w:p w:rsidR="004076EF" w:rsidRPr="00A12D49" w:rsidRDefault="004076EF" w:rsidP="004076EF">
            <w:pPr>
              <w:spacing w:before="0" w:after="0"/>
              <w:jc w:val="center"/>
              <w:rPr>
                <w:rFonts w:ascii="Arial" w:hAnsi="Arial" w:cs="Arial"/>
                <w:b/>
                <w:bCs/>
                <w:color w:val="FFFFFF" w:themeColor="background1"/>
              </w:rPr>
            </w:pPr>
            <w:r w:rsidRPr="00A12D49">
              <w:rPr>
                <w:rFonts w:ascii="Arial" w:hAnsi="Arial" w:cs="Arial"/>
                <w:b/>
                <w:bCs/>
                <w:color w:val="FFFFFF" w:themeColor="background1"/>
              </w:rPr>
              <w:t>NSW</w:t>
            </w:r>
          </w:p>
        </w:tc>
        <w:tc>
          <w:tcPr>
            <w:tcW w:w="850" w:type="dxa"/>
            <w:shd w:val="clear" w:color="auto" w:fill="AF1E2D"/>
            <w:noWrap/>
            <w:vAlign w:val="center"/>
            <w:hideMark/>
          </w:tcPr>
          <w:p w:rsidR="004076EF" w:rsidRPr="00A12D49" w:rsidRDefault="004076EF" w:rsidP="004076EF">
            <w:pPr>
              <w:spacing w:before="0" w:after="0"/>
              <w:jc w:val="center"/>
              <w:rPr>
                <w:rFonts w:ascii="Arial" w:hAnsi="Arial" w:cs="Arial"/>
                <w:b/>
                <w:bCs/>
                <w:color w:val="FFFFFF" w:themeColor="background1"/>
              </w:rPr>
            </w:pPr>
            <w:r w:rsidRPr="00A12D49">
              <w:rPr>
                <w:rFonts w:ascii="Arial" w:hAnsi="Arial" w:cs="Arial"/>
                <w:b/>
                <w:bCs/>
                <w:color w:val="FFFFFF" w:themeColor="background1"/>
              </w:rPr>
              <w:t>QLD</w:t>
            </w:r>
          </w:p>
        </w:tc>
        <w:tc>
          <w:tcPr>
            <w:tcW w:w="851" w:type="dxa"/>
            <w:shd w:val="clear" w:color="auto" w:fill="AF1E2D"/>
            <w:noWrap/>
            <w:vAlign w:val="center"/>
            <w:hideMark/>
          </w:tcPr>
          <w:p w:rsidR="004076EF" w:rsidRPr="00A12D49" w:rsidRDefault="004076EF" w:rsidP="004076EF">
            <w:pPr>
              <w:spacing w:before="0" w:after="0"/>
              <w:jc w:val="center"/>
              <w:rPr>
                <w:rFonts w:ascii="Arial" w:hAnsi="Arial" w:cs="Arial"/>
                <w:b/>
                <w:bCs/>
                <w:color w:val="FFFFFF" w:themeColor="background1"/>
              </w:rPr>
            </w:pPr>
            <w:r w:rsidRPr="00A12D49">
              <w:rPr>
                <w:rFonts w:ascii="Arial" w:hAnsi="Arial" w:cs="Arial"/>
                <w:b/>
                <w:bCs/>
                <w:color w:val="FFFFFF" w:themeColor="background1"/>
              </w:rPr>
              <w:t>VIC</w:t>
            </w:r>
          </w:p>
        </w:tc>
        <w:tc>
          <w:tcPr>
            <w:tcW w:w="850" w:type="dxa"/>
            <w:shd w:val="clear" w:color="auto" w:fill="AF1E2D"/>
            <w:noWrap/>
            <w:vAlign w:val="center"/>
            <w:hideMark/>
          </w:tcPr>
          <w:p w:rsidR="004076EF" w:rsidRPr="00A12D49" w:rsidRDefault="004076EF" w:rsidP="004076EF">
            <w:pPr>
              <w:spacing w:before="0" w:after="0"/>
              <w:jc w:val="center"/>
              <w:rPr>
                <w:rFonts w:ascii="Arial" w:hAnsi="Arial" w:cs="Arial"/>
                <w:b/>
                <w:bCs/>
                <w:color w:val="FFFFFF" w:themeColor="background1"/>
              </w:rPr>
            </w:pPr>
            <w:r w:rsidRPr="00A12D49">
              <w:rPr>
                <w:rFonts w:ascii="Arial" w:hAnsi="Arial" w:cs="Arial"/>
                <w:b/>
                <w:bCs/>
                <w:color w:val="FFFFFF" w:themeColor="background1"/>
              </w:rPr>
              <w:t>WA</w:t>
            </w:r>
          </w:p>
        </w:tc>
        <w:tc>
          <w:tcPr>
            <w:tcW w:w="709" w:type="dxa"/>
            <w:shd w:val="clear" w:color="auto" w:fill="AF1E2D"/>
            <w:noWrap/>
            <w:vAlign w:val="center"/>
            <w:hideMark/>
          </w:tcPr>
          <w:p w:rsidR="004076EF" w:rsidRPr="00A12D49" w:rsidRDefault="004076EF" w:rsidP="004076EF">
            <w:pPr>
              <w:spacing w:before="0" w:after="0"/>
              <w:jc w:val="center"/>
              <w:rPr>
                <w:rFonts w:ascii="Arial" w:hAnsi="Arial" w:cs="Arial"/>
                <w:b/>
                <w:bCs/>
                <w:color w:val="FFFFFF" w:themeColor="background1"/>
              </w:rPr>
            </w:pPr>
            <w:r w:rsidRPr="00A12D49">
              <w:rPr>
                <w:rFonts w:ascii="Arial" w:hAnsi="Arial" w:cs="Arial"/>
                <w:b/>
                <w:bCs/>
                <w:color w:val="FFFFFF" w:themeColor="background1"/>
              </w:rPr>
              <w:t>SA</w:t>
            </w:r>
          </w:p>
        </w:tc>
        <w:tc>
          <w:tcPr>
            <w:tcW w:w="656" w:type="dxa"/>
            <w:shd w:val="clear" w:color="auto" w:fill="AF1E2D"/>
            <w:noWrap/>
            <w:vAlign w:val="center"/>
            <w:hideMark/>
          </w:tcPr>
          <w:p w:rsidR="004076EF" w:rsidRPr="00A12D49" w:rsidRDefault="004076EF" w:rsidP="004076EF">
            <w:pPr>
              <w:spacing w:before="0" w:after="0"/>
              <w:jc w:val="center"/>
              <w:rPr>
                <w:rFonts w:ascii="Arial" w:hAnsi="Arial" w:cs="Arial"/>
                <w:b/>
                <w:bCs/>
                <w:color w:val="FFFFFF" w:themeColor="background1"/>
              </w:rPr>
            </w:pPr>
            <w:r w:rsidRPr="00A12D49">
              <w:rPr>
                <w:rFonts w:ascii="Arial" w:hAnsi="Arial" w:cs="Arial"/>
                <w:b/>
                <w:bCs/>
                <w:color w:val="FFFFFF" w:themeColor="background1"/>
              </w:rPr>
              <w:t>TAS</w:t>
            </w:r>
          </w:p>
        </w:tc>
        <w:tc>
          <w:tcPr>
            <w:tcW w:w="762" w:type="dxa"/>
            <w:shd w:val="clear" w:color="auto" w:fill="AF1E2D"/>
            <w:noWrap/>
            <w:vAlign w:val="center"/>
            <w:hideMark/>
          </w:tcPr>
          <w:p w:rsidR="004076EF" w:rsidRPr="00A12D49" w:rsidRDefault="004076EF" w:rsidP="004076EF">
            <w:pPr>
              <w:spacing w:before="0" w:after="0"/>
              <w:jc w:val="center"/>
              <w:rPr>
                <w:rFonts w:ascii="Arial" w:hAnsi="Arial" w:cs="Arial"/>
                <w:b/>
                <w:bCs/>
                <w:color w:val="FFFFFF" w:themeColor="background1"/>
              </w:rPr>
            </w:pPr>
            <w:r w:rsidRPr="00A12D49">
              <w:rPr>
                <w:rFonts w:ascii="Arial" w:hAnsi="Arial" w:cs="Arial"/>
                <w:b/>
                <w:bCs/>
                <w:color w:val="FFFFFF" w:themeColor="background1"/>
              </w:rPr>
              <w:t>NT</w:t>
            </w:r>
          </w:p>
        </w:tc>
        <w:tc>
          <w:tcPr>
            <w:tcW w:w="960" w:type="dxa"/>
            <w:shd w:val="clear" w:color="auto" w:fill="AF1E2D"/>
            <w:noWrap/>
            <w:vAlign w:val="center"/>
            <w:hideMark/>
          </w:tcPr>
          <w:p w:rsidR="004076EF" w:rsidRPr="00A12D49" w:rsidRDefault="004076EF" w:rsidP="004076EF">
            <w:pPr>
              <w:spacing w:before="0" w:after="0"/>
              <w:jc w:val="center"/>
              <w:rPr>
                <w:rFonts w:ascii="Arial" w:hAnsi="Arial" w:cs="Arial"/>
                <w:b/>
                <w:bCs/>
                <w:color w:val="FFFFFF" w:themeColor="background1"/>
              </w:rPr>
            </w:pPr>
            <w:r w:rsidRPr="00A12D49">
              <w:rPr>
                <w:rFonts w:ascii="Arial" w:hAnsi="Arial" w:cs="Arial"/>
                <w:b/>
                <w:bCs/>
                <w:color w:val="FFFFFF" w:themeColor="background1"/>
              </w:rPr>
              <w:t>Total</w:t>
            </w:r>
          </w:p>
        </w:tc>
      </w:tr>
      <w:tr w:rsidR="004076EF" w:rsidRPr="00A12D49" w:rsidTr="00E9113E">
        <w:trPr>
          <w:trHeight w:val="300"/>
        </w:trPr>
        <w:tc>
          <w:tcPr>
            <w:tcW w:w="2850" w:type="dxa"/>
            <w:shd w:val="clear" w:color="auto" w:fill="E5B8B7" w:themeFill="accent2" w:themeFillTint="66"/>
            <w:noWrap/>
            <w:vAlign w:val="center"/>
            <w:hideMark/>
          </w:tcPr>
          <w:p w:rsidR="004076EF" w:rsidRPr="00A12D49" w:rsidRDefault="004076EF" w:rsidP="004076EF">
            <w:pPr>
              <w:spacing w:before="0" w:after="0"/>
              <w:rPr>
                <w:rFonts w:ascii="Arial" w:hAnsi="Arial" w:cs="Arial"/>
                <w:b/>
                <w:bCs/>
                <w:color w:val="000000"/>
              </w:rPr>
            </w:pPr>
            <w:r w:rsidRPr="00A12D49">
              <w:rPr>
                <w:rFonts w:ascii="Arial" w:hAnsi="Arial" w:cs="Arial"/>
                <w:b/>
                <w:bCs/>
                <w:color w:val="000000"/>
              </w:rPr>
              <w:t>On a public road</w:t>
            </w:r>
          </w:p>
        </w:tc>
        <w:tc>
          <w:tcPr>
            <w:tcW w:w="851"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166</w:t>
            </w:r>
          </w:p>
        </w:tc>
        <w:tc>
          <w:tcPr>
            <w:tcW w:w="850"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124</w:t>
            </w:r>
          </w:p>
        </w:tc>
        <w:tc>
          <w:tcPr>
            <w:tcW w:w="851"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101</w:t>
            </w:r>
          </w:p>
        </w:tc>
        <w:tc>
          <w:tcPr>
            <w:tcW w:w="850"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34</w:t>
            </w:r>
          </w:p>
        </w:tc>
        <w:tc>
          <w:tcPr>
            <w:tcW w:w="709"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23</w:t>
            </w:r>
          </w:p>
        </w:tc>
        <w:tc>
          <w:tcPr>
            <w:tcW w:w="656"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11</w:t>
            </w:r>
          </w:p>
        </w:tc>
        <w:tc>
          <w:tcPr>
            <w:tcW w:w="762"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8</w:t>
            </w:r>
          </w:p>
        </w:tc>
        <w:tc>
          <w:tcPr>
            <w:tcW w:w="960"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467</w:t>
            </w:r>
          </w:p>
        </w:tc>
      </w:tr>
      <w:tr w:rsidR="004076EF" w:rsidRPr="00A12D49" w:rsidTr="00E9113E">
        <w:trPr>
          <w:trHeight w:val="300"/>
        </w:trPr>
        <w:tc>
          <w:tcPr>
            <w:tcW w:w="2850" w:type="dxa"/>
            <w:shd w:val="clear" w:color="auto" w:fill="auto"/>
            <w:noWrap/>
            <w:vAlign w:val="center"/>
            <w:hideMark/>
          </w:tcPr>
          <w:p w:rsidR="004076EF" w:rsidRPr="00A12D49" w:rsidRDefault="004076EF" w:rsidP="00A12D49">
            <w:pPr>
              <w:spacing w:before="0" w:after="0"/>
              <w:ind w:firstLineChars="100" w:firstLine="200"/>
              <w:rPr>
                <w:rFonts w:ascii="Arial" w:hAnsi="Arial" w:cs="Arial"/>
                <w:color w:val="000000"/>
              </w:rPr>
            </w:pPr>
            <w:r w:rsidRPr="00A12D49">
              <w:rPr>
                <w:rFonts w:ascii="Arial" w:hAnsi="Arial" w:cs="Arial"/>
                <w:color w:val="000000"/>
              </w:rPr>
              <w:t>Multi vehicle incident</w:t>
            </w:r>
          </w:p>
        </w:tc>
        <w:tc>
          <w:tcPr>
            <w:tcW w:w="851"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59</w:t>
            </w:r>
          </w:p>
        </w:tc>
        <w:tc>
          <w:tcPr>
            <w:tcW w:w="850"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41</w:t>
            </w:r>
          </w:p>
        </w:tc>
        <w:tc>
          <w:tcPr>
            <w:tcW w:w="851"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32</w:t>
            </w:r>
          </w:p>
        </w:tc>
        <w:tc>
          <w:tcPr>
            <w:tcW w:w="850"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18</w:t>
            </w:r>
          </w:p>
        </w:tc>
        <w:tc>
          <w:tcPr>
            <w:tcW w:w="709"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7</w:t>
            </w:r>
          </w:p>
        </w:tc>
        <w:tc>
          <w:tcPr>
            <w:tcW w:w="656"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3</w:t>
            </w:r>
          </w:p>
        </w:tc>
        <w:tc>
          <w:tcPr>
            <w:tcW w:w="762"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2</w:t>
            </w:r>
          </w:p>
        </w:tc>
        <w:tc>
          <w:tcPr>
            <w:tcW w:w="960"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162</w:t>
            </w:r>
          </w:p>
        </w:tc>
      </w:tr>
      <w:tr w:rsidR="004076EF" w:rsidRPr="00A12D49" w:rsidTr="00E9113E">
        <w:trPr>
          <w:trHeight w:val="300"/>
        </w:trPr>
        <w:tc>
          <w:tcPr>
            <w:tcW w:w="2850" w:type="dxa"/>
            <w:shd w:val="clear" w:color="auto" w:fill="F2DBDB" w:themeFill="accent2" w:themeFillTint="33"/>
            <w:noWrap/>
            <w:vAlign w:val="center"/>
            <w:hideMark/>
          </w:tcPr>
          <w:p w:rsidR="004076EF" w:rsidRPr="00A12D49" w:rsidRDefault="004076EF" w:rsidP="00A12D49">
            <w:pPr>
              <w:spacing w:before="0" w:after="0"/>
              <w:ind w:firstLineChars="100" w:firstLine="200"/>
              <w:rPr>
                <w:rFonts w:ascii="Arial" w:hAnsi="Arial" w:cs="Arial"/>
                <w:color w:val="000000"/>
              </w:rPr>
            </w:pPr>
            <w:r w:rsidRPr="00A12D49">
              <w:rPr>
                <w:rFonts w:ascii="Arial" w:hAnsi="Arial" w:cs="Arial"/>
                <w:color w:val="000000"/>
              </w:rPr>
              <w:t>Single vehicle incident</w:t>
            </w:r>
          </w:p>
        </w:tc>
        <w:tc>
          <w:tcPr>
            <w:tcW w:w="851"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107</w:t>
            </w:r>
          </w:p>
        </w:tc>
        <w:tc>
          <w:tcPr>
            <w:tcW w:w="850"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83</w:t>
            </w:r>
          </w:p>
        </w:tc>
        <w:tc>
          <w:tcPr>
            <w:tcW w:w="851"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69</w:t>
            </w:r>
          </w:p>
        </w:tc>
        <w:tc>
          <w:tcPr>
            <w:tcW w:w="850"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16</w:t>
            </w:r>
          </w:p>
        </w:tc>
        <w:tc>
          <w:tcPr>
            <w:tcW w:w="709"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16</w:t>
            </w:r>
          </w:p>
        </w:tc>
        <w:tc>
          <w:tcPr>
            <w:tcW w:w="656"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8</w:t>
            </w:r>
          </w:p>
        </w:tc>
        <w:tc>
          <w:tcPr>
            <w:tcW w:w="762"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5</w:t>
            </w:r>
          </w:p>
        </w:tc>
        <w:tc>
          <w:tcPr>
            <w:tcW w:w="960"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304</w:t>
            </w:r>
          </w:p>
        </w:tc>
      </w:tr>
      <w:tr w:rsidR="004076EF" w:rsidRPr="00A12D49" w:rsidTr="00E9113E">
        <w:trPr>
          <w:trHeight w:val="300"/>
        </w:trPr>
        <w:tc>
          <w:tcPr>
            <w:tcW w:w="2850" w:type="dxa"/>
            <w:shd w:val="clear" w:color="auto" w:fill="auto"/>
            <w:noWrap/>
            <w:vAlign w:val="center"/>
            <w:hideMark/>
          </w:tcPr>
          <w:p w:rsidR="004076EF" w:rsidRPr="00A12D49" w:rsidRDefault="004076EF" w:rsidP="00175F56">
            <w:pPr>
              <w:spacing w:before="0" w:after="0"/>
              <w:ind w:firstLineChars="100" w:firstLine="200"/>
              <w:rPr>
                <w:rFonts w:ascii="Arial" w:hAnsi="Arial" w:cs="Arial"/>
                <w:color w:val="000000"/>
              </w:rPr>
            </w:pPr>
            <w:r w:rsidRPr="00A12D49">
              <w:rPr>
                <w:rFonts w:ascii="Arial" w:hAnsi="Arial" w:cs="Arial"/>
                <w:color w:val="000000"/>
              </w:rPr>
              <w:t xml:space="preserve">No </w:t>
            </w:r>
            <w:r w:rsidR="00175F56">
              <w:rPr>
                <w:rFonts w:ascii="Arial" w:hAnsi="Arial" w:cs="Arial"/>
                <w:color w:val="000000"/>
              </w:rPr>
              <w:t>crash</w:t>
            </w:r>
          </w:p>
        </w:tc>
        <w:tc>
          <w:tcPr>
            <w:tcW w:w="851" w:type="dxa"/>
            <w:shd w:val="clear" w:color="auto" w:fill="auto"/>
            <w:noWrap/>
            <w:vAlign w:val="center"/>
            <w:hideMark/>
          </w:tcPr>
          <w:p w:rsidR="004076EF" w:rsidRPr="00A12D49" w:rsidRDefault="004711FF" w:rsidP="004076EF">
            <w:pPr>
              <w:spacing w:before="0" w:after="0"/>
              <w:jc w:val="center"/>
              <w:rPr>
                <w:rFonts w:ascii="Arial" w:hAnsi="Arial" w:cs="Arial"/>
                <w:color w:val="000000"/>
              </w:rPr>
            </w:pPr>
            <w:r w:rsidRPr="00A12D49">
              <w:rPr>
                <w:rFonts w:ascii="Arial" w:hAnsi="Arial" w:cs="Arial"/>
                <w:color w:val="000000"/>
              </w:rPr>
              <w:t>0</w:t>
            </w:r>
          </w:p>
        </w:tc>
        <w:tc>
          <w:tcPr>
            <w:tcW w:w="850" w:type="dxa"/>
            <w:shd w:val="clear" w:color="auto" w:fill="auto"/>
            <w:noWrap/>
            <w:vAlign w:val="center"/>
            <w:hideMark/>
          </w:tcPr>
          <w:p w:rsidR="004076EF" w:rsidRPr="00A12D49" w:rsidRDefault="004711FF" w:rsidP="004076EF">
            <w:pPr>
              <w:spacing w:before="0" w:after="0"/>
              <w:jc w:val="center"/>
              <w:rPr>
                <w:rFonts w:ascii="Arial" w:hAnsi="Arial" w:cs="Arial"/>
                <w:color w:val="000000"/>
              </w:rPr>
            </w:pPr>
            <w:r w:rsidRPr="00A12D49">
              <w:rPr>
                <w:rFonts w:ascii="Arial" w:hAnsi="Arial" w:cs="Arial"/>
                <w:color w:val="000000"/>
              </w:rPr>
              <w:t>0</w:t>
            </w:r>
          </w:p>
        </w:tc>
        <w:tc>
          <w:tcPr>
            <w:tcW w:w="851" w:type="dxa"/>
            <w:shd w:val="clear" w:color="auto" w:fill="auto"/>
            <w:noWrap/>
            <w:vAlign w:val="center"/>
            <w:hideMark/>
          </w:tcPr>
          <w:p w:rsidR="004076EF" w:rsidRPr="00A12D49" w:rsidRDefault="004711FF" w:rsidP="004076EF">
            <w:pPr>
              <w:spacing w:before="0" w:after="0"/>
              <w:jc w:val="center"/>
              <w:rPr>
                <w:rFonts w:ascii="Arial" w:hAnsi="Arial" w:cs="Arial"/>
                <w:color w:val="000000"/>
              </w:rPr>
            </w:pPr>
            <w:r w:rsidRPr="00A12D49">
              <w:rPr>
                <w:rFonts w:ascii="Arial" w:hAnsi="Arial" w:cs="Arial"/>
                <w:color w:val="000000"/>
              </w:rPr>
              <w:t>0</w:t>
            </w:r>
          </w:p>
        </w:tc>
        <w:tc>
          <w:tcPr>
            <w:tcW w:w="850" w:type="dxa"/>
            <w:shd w:val="clear" w:color="auto" w:fill="auto"/>
            <w:noWrap/>
            <w:vAlign w:val="center"/>
            <w:hideMark/>
          </w:tcPr>
          <w:p w:rsidR="004076EF" w:rsidRPr="00A12D49" w:rsidRDefault="004711FF" w:rsidP="004076EF">
            <w:pPr>
              <w:spacing w:before="0" w:after="0"/>
              <w:jc w:val="center"/>
              <w:rPr>
                <w:rFonts w:ascii="Arial" w:hAnsi="Arial" w:cs="Arial"/>
                <w:color w:val="000000"/>
              </w:rPr>
            </w:pPr>
            <w:r w:rsidRPr="00A12D49">
              <w:rPr>
                <w:rFonts w:ascii="Arial" w:hAnsi="Arial" w:cs="Arial"/>
                <w:color w:val="000000"/>
              </w:rPr>
              <w:t>0</w:t>
            </w:r>
          </w:p>
        </w:tc>
        <w:tc>
          <w:tcPr>
            <w:tcW w:w="709" w:type="dxa"/>
            <w:shd w:val="clear" w:color="auto" w:fill="auto"/>
            <w:noWrap/>
            <w:vAlign w:val="center"/>
            <w:hideMark/>
          </w:tcPr>
          <w:p w:rsidR="004076EF" w:rsidRPr="00A12D49" w:rsidRDefault="004711FF" w:rsidP="004076EF">
            <w:pPr>
              <w:spacing w:before="0" w:after="0"/>
              <w:jc w:val="center"/>
              <w:rPr>
                <w:rFonts w:ascii="Arial" w:hAnsi="Arial" w:cs="Arial"/>
                <w:color w:val="000000"/>
              </w:rPr>
            </w:pPr>
            <w:r w:rsidRPr="00A12D49">
              <w:rPr>
                <w:rFonts w:ascii="Arial" w:hAnsi="Arial" w:cs="Arial"/>
                <w:color w:val="000000"/>
              </w:rPr>
              <w:t>0</w:t>
            </w:r>
          </w:p>
        </w:tc>
        <w:tc>
          <w:tcPr>
            <w:tcW w:w="656" w:type="dxa"/>
            <w:shd w:val="clear" w:color="auto" w:fill="auto"/>
            <w:noWrap/>
            <w:vAlign w:val="center"/>
            <w:hideMark/>
          </w:tcPr>
          <w:p w:rsidR="004076EF" w:rsidRPr="00A12D49" w:rsidRDefault="004711FF" w:rsidP="004076EF">
            <w:pPr>
              <w:spacing w:before="0" w:after="0"/>
              <w:jc w:val="center"/>
              <w:rPr>
                <w:rFonts w:ascii="Arial" w:hAnsi="Arial" w:cs="Arial"/>
                <w:color w:val="000000"/>
              </w:rPr>
            </w:pPr>
            <w:r w:rsidRPr="00A12D49">
              <w:rPr>
                <w:rFonts w:ascii="Arial" w:hAnsi="Arial" w:cs="Arial"/>
                <w:color w:val="000000"/>
              </w:rPr>
              <w:t>0</w:t>
            </w:r>
          </w:p>
        </w:tc>
        <w:tc>
          <w:tcPr>
            <w:tcW w:w="762"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w:t>
            </w:r>
          </w:p>
        </w:tc>
        <w:tc>
          <w:tcPr>
            <w:tcW w:w="960"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w:t>
            </w:r>
          </w:p>
        </w:tc>
      </w:tr>
      <w:tr w:rsidR="004076EF" w:rsidRPr="00A12D49" w:rsidTr="00E9113E">
        <w:trPr>
          <w:trHeight w:val="300"/>
        </w:trPr>
        <w:tc>
          <w:tcPr>
            <w:tcW w:w="2850" w:type="dxa"/>
            <w:shd w:val="clear" w:color="auto" w:fill="E5B8B7" w:themeFill="accent2" w:themeFillTint="66"/>
            <w:noWrap/>
            <w:vAlign w:val="center"/>
            <w:hideMark/>
          </w:tcPr>
          <w:p w:rsidR="004076EF" w:rsidRPr="00A12D49" w:rsidRDefault="004076EF" w:rsidP="004076EF">
            <w:pPr>
              <w:spacing w:before="0" w:after="0"/>
              <w:rPr>
                <w:rFonts w:ascii="Arial" w:hAnsi="Arial" w:cs="Arial"/>
                <w:b/>
                <w:bCs/>
                <w:color w:val="000000"/>
              </w:rPr>
            </w:pPr>
            <w:r w:rsidRPr="00A12D49">
              <w:rPr>
                <w:rFonts w:ascii="Arial" w:hAnsi="Arial" w:cs="Arial"/>
                <w:b/>
                <w:bCs/>
                <w:color w:val="000000"/>
              </w:rPr>
              <w:t>Not on a public road</w:t>
            </w:r>
          </w:p>
        </w:tc>
        <w:tc>
          <w:tcPr>
            <w:tcW w:w="851"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30</w:t>
            </w:r>
          </w:p>
        </w:tc>
        <w:tc>
          <w:tcPr>
            <w:tcW w:w="850"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22</w:t>
            </w:r>
          </w:p>
        </w:tc>
        <w:tc>
          <w:tcPr>
            <w:tcW w:w="851"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25</w:t>
            </w:r>
          </w:p>
        </w:tc>
        <w:tc>
          <w:tcPr>
            <w:tcW w:w="850"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24</w:t>
            </w:r>
          </w:p>
        </w:tc>
        <w:tc>
          <w:tcPr>
            <w:tcW w:w="709"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11</w:t>
            </w:r>
          </w:p>
        </w:tc>
        <w:tc>
          <w:tcPr>
            <w:tcW w:w="656"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3</w:t>
            </w:r>
          </w:p>
        </w:tc>
        <w:tc>
          <w:tcPr>
            <w:tcW w:w="762"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1</w:t>
            </w:r>
          </w:p>
        </w:tc>
        <w:tc>
          <w:tcPr>
            <w:tcW w:w="960" w:type="dxa"/>
            <w:shd w:val="clear" w:color="auto" w:fill="E5B8B7" w:themeFill="accent2" w:themeFillTint="66"/>
            <w:noWrap/>
            <w:vAlign w:val="center"/>
            <w:hideMark/>
          </w:tcPr>
          <w:p w:rsidR="004076EF" w:rsidRPr="00A12D49" w:rsidRDefault="004076EF" w:rsidP="004076EF">
            <w:pPr>
              <w:spacing w:before="0" w:after="0"/>
              <w:jc w:val="center"/>
              <w:rPr>
                <w:rFonts w:ascii="Arial" w:hAnsi="Arial" w:cs="Arial"/>
                <w:b/>
                <w:bCs/>
                <w:color w:val="000000"/>
              </w:rPr>
            </w:pPr>
            <w:r w:rsidRPr="00A12D49">
              <w:rPr>
                <w:rFonts w:ascii="Arial" w:hAnsi="Arial" w:cs="Arial"/>
                <w:b/>
                <w:bCs/>
                <w:color w:val="000000"/>
              </w:rPr>
              <w:t>116</w:t>
            </w:r>
          </w:p>
        </w:tc>
      </w:tr>
      <w:tr w:rsidR="004076EF" w:rsidRPr="00A12D49" w:rsidTr="00E9113E">
        <w:trPr>
          <w:trHeight w:val="300"/>
        </w:trPr>
        <w:tc>
          <w:tcPr>
            <w:tcW w:w="2850" w:type="dxa"/>
            <w:shd w:val="clear" w:color="auto" w:fill="auto"/>
            <w:noWrap/>
            <w:vAlign w:val="center"/>
            <w:hideMark/>
          </w:tcPr>
          <w:p w:rsidR="004076EF" w:rsidRPr="00A12D49" w:rsidRDefault="004076EF" w:rsidP="00A12D49">
            <w:pPr>
              <w:spacing w:before="0" w:after="0"/>
              <w:ind w:firstLineChars="100" w:firstLine="200"/>
              <w:rPr>
                <w:rFonts w:ascii="Arial" w:hAnsi="Arial" w:cs="Arial"/>
                <w:color w:val="000000"/>
              </w:rPr>
            </w:pPr>
            <w:r w:rsidRPr="00A12D49">
              <w:rPr>
                <w:rFonts w:ascii="Arial" w:hAnsi="Arial" w:cs="Arial"/>
                <w:color w:val="000000"/>
              </w:rPr>
              <w:t>Multi vehicle incident</w:t>
            </w:r>
          </w:p>
        </w:tc>
        <w:tc>
          <w:tcPr>
            <w:tcW w:w="851"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9</w:t>
            </w:r>
          </w:p>
        </w:tc>
        <w:tc>
          <w:tcPr>
            <w:tcW w:w="850"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2</w:t>
            </w:r>
          </w:p>
        </w:tc>
        <w:tc>
          <w:tcPr>
            <w:tcW w:w="851"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6</w:t>
            </w:r>
          </w:p>
        </w:tc>
        <w:tc>
          <w:tcPr>
            <w:tcW w:w="850"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4</w:t>
            </w:r>
          </w:p>
        </w:tc>
        <w:tc>
          <w:tcPr>
            <w:tcW w:w="709"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2</w:t>
            </w:r>
          </w:p>
        </w:tc>
        <w:tc>
          <w:tcPr>
            <w:tcW w:w="656" w:type="dxa"/>
            <w:shd w:val="clear" w:color="auto" w:fill="auto"/>
            <w:noWrap/>
            <w:vAlign w:val="center"/>
            <w:hideMark/>
          </w:tcPr>
          <w:p w:rsidR="004076EF" w:rsidRPr="00A12D49" w:rsidRDefault="004711FF" w:rsidP="004076EF">
            <w:pPr>
              <w:spacing w:before="0" w:after="0"/>
              <w:jc w:val="center"/>
              <w:rPr>
                <w:rFonts w:ascii="Arial" w:hAnsi="Arial" w:cs="Arial"/>
                <w:color w:val="000000"/>
              </w:rPr>
            </w:pPr>
            <w:r w:rsidRPr="00A12D49">
              <w:rPr>
                <w:rFonts w:ascii="Arial" w:hAnsi="Arial" w:cs="Arial"/>
                <w:color w:val="000000"/>
              </w:rPr>
              <w:t>0</w:t>
            </w:r>
          </w:p>
        </w:tc>
        <w:tc>
          <w:tcPr>
            <w:tcW w:w="762" w:type="dxa"/>
            <w:shd w:val="clear" w:color="auto" w:fill="auto"/>
            <w:noWrap/>
            <w:vAlign w:val="center"/>
            <w:hideMark/>
          </w:tcPr>
          <w:p w:rsidR="004076EF" w:rsidRPr="00A12D49" w:rsidRDefault="004711FF" w:rsidP="004076EF">
            <w:pPr>
              <w:spacing w:before="0" w:after="0"/>
              <w:jc w:val="center"/>
              <w:rPr>
                <w:rFonts w:ascii="Arial" w:hAnsi="Arial" w:cs="Arial"/>
                <w:color w:val="000000"/>
              </w:rPr>
            </w:pPr>
            <w:r w:rsidRPr="00A12D49">
              <w:rPr>
                <w:rFonts w:ascii="Arial" w:hAnsi="Arial" w:cs="Arial"/>
                <w:color w:val="000000"/>
              </w:rPr>
              <w:t>0</w:t>
            </w:r>
          </w:p>
        </w:tc>
        <w:tc>
          <w:tcPr>
            <w:tcW w:w="960"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23</w:t>
            </w:r>
          </w:p>
        </w:tc>
      </w:tr>
      <w:tr w:rsidR="004076EF" w:rsidRPr="00A12D49" w:rsidTr="00E9113E">
        <w:trPr>
          <w:trHeight w:val="300"/>
        </w:trPr>
        <w:tc>
          <w:tcPr>
            <w:tcW w:w="2850" w:type="dxa"/>
            <w:shd w:val="clear" w:color="auto" w:fill="F2DBDB" w:themeFill="accent2" w:themeFillTint="33"/>
            <w:noWrap/>
            <w:vAlign w:val="center"/>
            <w:hideMark/>
          </w:tcPr>
          <w:p w:rsidR="004076EF" w:rsidRPr="00A12D49" w:rsidRDefault="004076EF" w:rsidP="00A12D49">
            <w:pPr>
              <w:spacing w:before="0" w:after="0"/>
              <w:ind w:firstLineChars="100" w:firstLine="200"/>
              <w:rPr>
                <w:rFonts w:ascii="Arial" w:hAnsi="Arial" w:cs="Arial"/>
                <w:color w:val="000000"/>
              </w:rPr>
            </w:pPr>
            <w:r w:rsidRPr="00A12D49">
              <w:rPr>
                <w:rFonts w:ascii="Arial" w:hAnsi="Arial" w:cs="Arial"/>
                <w:color w:val="000000"/>
              </w:rPr>
              <w:t>Single vehicle incident</w:t>
            </w:r>
          </w:p>
        </w:tc>
        <w:tc>
          <w:tcPr>
            <w:tcW w:w="851"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17</w:t>
            </w:r>
          </w:p>
        </w:tc>
        <w:tc>
          <w:tcPr>
            <w:tcW w:w="850"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17</w:t>
            </w:r>
          </w:p>
        </w:tc>
        <w:tc>
          <w:tcPr>
            <w:tcW w:w="851"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15</w:t>
            </w:r>
          </w:p>
        </w:tc>
        <w:tc>
          <w:tcPr>
            <w:tcW w:w="850"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14</w:t>
            </w:r>
          </w:p>
        </w:tc>
        <w:tc>
          <w:tcPr>
            <w:tcW w:w="709"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7</w:t>
            </w:r>
          </w:p>
        </w:tc>
        <w:tc>
          <w:tcPr>
            <w:tcW w:w="656"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3</w:t>
            </w:r>
          </w:p>
        </w:tc>
        <w:tc>
          <w:tcPr>
            <w:tcW w:w="762"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w:t>
            </w:r>
          </w:p>
        </w:tc>
        <w:tc>
          <w:tcPr>
            <w:tcW w:w="960" w:type="dxa"/>
            <w:shd w:val="clear" w:color="auto" w:fill="F2DBDB" w:themeFill="accent2" w:themeFillTint="33"/>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74</w:t>
            </w:r>
          </w:p>
        </w:tc>
      </w:tr>
      <w:tr w:rsidR="004076EF" w:rsidRPr="00A12D49" w:rsidTr="00E9113E">
        <w:trPr>
          <w:trHeight w:val="300"/>
        </w:trPr>
        <w:tc>
          <w:tcPr>
            <w:tcW w:w="2850" w:type="dxa"/>
            <w:shd w:val="clear" w:color="auto" w:fill="auto"/>
            <w:noWrap/>
            <w:vAlign w:val="center"/>
            <w:hideMark/>
          </w:tcPr>
          <w:p w:rsidR="004076EF" w:rsidRPr="00A12D49" w:rsidRDefault="004076EF" w:rsidP="00175F56">
            <w:pPr>
              <w:spacing w:before="0" w:after="0"/>
              <w:ind w:firstLineChars="100" w:firstLine="200"/>
              <w:rPr>
                <w:rFonts w:ascii="Arial" w:hAnsi="Arial" w:cs="Arial"/>
                <w:color w:val="000000"/>
              </w:rPr>
            </w:pPr>
            <w:r w:rsidRPr="00A12D49">
              <w:rPr>
                <w:rFonts w:ascii="Arial" w:hAnsi="Arial" w:cs="Arial"/>
                <w:color w:val="000000"/>
              </w:rPr>
              <w:t xml:space="preserve">No </w:t>
            </w:r>
            <w:r w:rsidR="00175F56">
              <w:rPr>
                <w:rFonts w:ascii="Arial" w:hAnsi="Arial" w:cs="Arial"/>
                <w:color w:val="000000"/>
              </w:rPr>
              <w:t>crash</w:t>
            </w:r>
          </w:p>
        </w:tc>
        <w:tc>
          <w:tcPr>
            <w:tcW w:w="851"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4</w:t>
            </w:r>
          </w:p>
        </w:tc>
        <w:tc>
          <w:tcPr>
            <w:tcW w:w="850"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3</w:t>
            </w:r>
          </w:p>
        </w:tc>
        <w:tc>
          <w:tcPr>
            <w:tcW w:w="851"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4</w:t>
            </w:r>
          </w:p>
        </w:tc>
        <w:tc>
          <w:tcPr>
            <w:tcW w:w="850"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6</w:t>
            </w:r>
          </w:p>
        </w:tc>
        <w:tc>
          <w:tcPr>
            <w:tcW w:w="709"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2</w:t>
            </w:r>
          </w:p>
        </w:tc>
        <w:tc>
          <w:tcPr>
            <w:tcW w:w="656" w:type="dxa"/>
            <w:shd w:val="clear" w:color="auto" w:fill="auto"/>
            <w:noWrap/>
            <w:vAlign w:val="center"/>
            <w:hideMark/>
          </w:tcPr>
          <w:p w:rsidR="004076EF" w:rsidRPr="00A12D49" w:rsidRDefault="004711FF" w:rsidP="004076EF">
            <w:pPr>
              <w:spacing w:before="0" w:after="0"/>
              <w:jc w:val="center"/>
              <w:rPr>
                <w:rFonts w:ascii="Arial" w:hAnsi="Arial" w:cs="Arial"/>
                <w:color w:val="000000"/>
              </w:rPr>
            </w:pPr>
            <w:r w:rsidRPr="00A12D49">
              <w:rPr>
                <w:rFonts w:ascii="Arial" w:hAnsi="Arial" w:cs="Arial"/>
                <w:color w:val="000000"/>
              </w:rPr>
              <w:t>0</w:t>
            </w:r>
          </w:p>
        </w:tc>
        <w:tc>
          <w:tcPr>
            <w:tcW w:w="762" w:type="dxa"/>
            <w:shd w:val="clear" w:color="auto" w:fill="auto"/>
            <w:noWrap/>
            <w:vAlign w:val="center"/>
            <w:hideMark/>
          </w:tcPr>
          <w:p w:rsidR="004076EF" w:rsidRPr="00A12D49" w:rsidRDefault="004711FF" w:rsidP="004076EF">
            <w:pPr>
              <w:spacing w:before="0" w:after="0"/>
              <w:jc w:val="center"/>
              <w:rPr>
                <w:rFonts w:ascii="Arial" w:hAnsi="Arial" w:cs="Arial"/>
                <w:color w:val="000000"/>
              </w:rPr>
            </w:pPr>
            <w:r w:rsidRPr="00A12D49">
              <w:rPr>
                <w:rFonts w:ascii="Arial" w:hAnsi="Arial" w:cs="Arial"/>
                <w:color w:val="000000"/>
              </w:rPr>
              <w:t>0</w:t>
            </w:r>
          </w:p>
        </w:tc>
        <w:tc>
          <w:tcPr>
            <w:tcW w:w="960" w:type="dxa"/>
            <w:shd w:val="clear" w:color="auto" w:fill="auto"/>
            <w:noWrap/>
            <w:vAlign w:val="center"/>
            <w:hideMark/>
          </w:tcPr>
          <w:p w:rsidR="004076EF" w:rsidRPr="00A12D49" w:rsidRDefault="004076EF" w:rsidP="004076EF">
            <w:pPr>
              <w:spacing w:before="0" w:after="0"/>
              <w:jc w:val="center"/>
              <w:rPr>
                <w:rFonts w:ascii="Arial" w:hAnsi="Arial" w:cs="Arial"/>
                <w:color w:val="000000"/>
              </w:rPr>
            </w:pPr>
            <w:r w:rsidRPr="00A12D49">
              <w:rPr>
                <w:rFonts w:ascii="Arial" w:hAnsi="Arial" w:cs="Arial"/>
                <w:color w:val="000000"/>
              </w:rPr>
              <w:t>19</w:t>
            </w:r>
          </w:p>
        </w:tc>
      </w:tr>
      <w:tr w:rsidR="0097571C" w:rsidRPr="0097571C" w:rsidTr="00B9194B">
        <w:trPr>
          <w:trHeight w:val="300"/>
        </w:trPr>
        <w:tc>
          <w:tcPr>
            <w:tcW w:w="2850" w:type="dxa"/>
            <w:shd w:val="clear" w:color="auto" w:fill="808080"/>
            <w:noWrap/>
            <w:vAlign w:val="center"/>
            <w:hideMark/>
          </w:tcPr>
          <w:p w:rsidR="004076EF" w:rsidRPr="0097571C" w:rsidRDefault="004076EF" w:rsidP="004076EF">
            <w:pPr>
              <w:spacing w:before="0" w:after="0"/>
              <w:rPr>
                <w:rFonts w:ascii="Arial" w:hAnsi="Arial" w:cs="Arial"/>
                <w:b/>
                <w:color w:val="FFFFFF" w:themeColor="background1"/>
              </w:rPr>
            </w:pPr>
            <w:r w:rsidRPr="0097571C">
              <w:rPr>
                <w:rFonts w:ascii="Arial" w:hAnsi="Arial" w:cs="Arial"/>
                <w:b/>
                <w:color w:val="FFFFFF" w:themeColor="background1"/>
              </w:rPr>
              <w:t>Total</w:t>
            </w:r>
          </w:p>
        </w:tc>
        <w:tc>
          <w:tcPr>
            <w:tcW w:w="851" w:type="dxa"/>
            <w:shd w:val="clear" w:color="auto" w:fill="808080"/>
            <w:noWrap/>
            <w:vAlign w:val="center"/>
            <w:hideMark/>
          </w:tcPr>
          <w:p w:rsidR="004076EF" w:rsidRPr="0097571C" w:rsidRDefault="004076EF" w:rsidP="004076EF">
            <w:pPr>
              <w:spacing w:before="0" w:after="0"/>
              <w:jc w:val="center"/>
              <w:rPr>
                <w:rFonts w:ascii="Arial" w:hAnsi="Arial" w:cs="Arial"/>
                <w:b/>
                <w:color w:val="FFFFFF" w:themeColor="background1"/>
              </w:rPr>
            </w:pPr>
            <w:r w:rsidRPr="0097571C">
              <w:rPr>
                <w:rFonts w:ascii="Arial" w:hAnsi="Arial" w:cs="Arial"/>
                <w:b/>
                <w:color w:val="FFFFFF" w:themeColor="background1"/>
              </w:rPr>
              <w:t>196</w:t>
            </w:r>
          </w:p>
        </w:tc>
        <w:tc>
          <w:tcPr>
            <w:tcW w:w="850" w:type="dxa"/>
            <w:shd w:val="clear" w:color="auto" w:fill="808080"/>
            <w:noWrap/>
            <w:vAlign w:val="center"/>
            <w:hideMark/>
          </w:tcPr>
          <w:p w:rsidR="004076EF" w:rsidRPr="0097571C" w:rsidRDefault="004076EF" w:rsidP="004076EF">
            <w:pPr>
              <w:spacing w:before="0" w:after="0"/>
              <w:jc w:val="center"/>
              <w:rPr>
                <w:rFonts w:ascii="Arial" w:hAnsi="Arial" w:cs="Arial"/>
                <w:b/>
                <w:color w:val="FFFFFF" w:themeColor="background1"/>
              </w:rPr>
            </w:pPr>
            <w:r w:rsidRPr="0097571C">
              <w:rPr>
                <w:rFonts w:ascii="Arial" w:hAnsi="Arial" w:cs="Arial"/>
                <w:b/>
                <w:color w:val="FFFFFF" w:themeColor="background1"/>
              </w:rPr>
              <w:t>146</w:t>
            </w:r>
          </w:p>
        </w:tc>
        <w:tc>
          <w:tcPr>
            <w:tcW w:w="851" w:type="dxa"/>
            <w:shd w:val="clear" w:color="auto" w:fill="808080"/>
            <w:noWrap/>
            <w:vAlign w:val="center"/>
            <w:hideMark/>
          </w:tcPr>
          <w:p w:rsidR="004076EF" w:rsidRPr="0097571C" w:rsidRDefault="004076EF" w:rsidP="004076EF">
            <w:pPr>
              <w:spacing w:before="0" w:after="0"/>
              <w:jc w:val="center"/>
              <w:rPr>
                <w:rFonts w:ascii="Arial" w:hAnsi="Arial" w:cs="Arial"/>
                <w:b/>
                <w:color w:val="FFFFFF" w:themeColor="background1"/>
              </w:rPr>
            </w:pPr>
            <w:r w:rsidRPr="0097571C">
              <w:rPr>
                <w:rFonts w:ascii="Arial" w:hAnsi="Arial" w:cs="Arial"/>
                <w:b/>
                <w:color w:val="FFFFFF" w:themeColor="background1"/>
              </w:rPr>
              <w:t>126</w:t>
            </w:r>
          </w:p>
        </w:tc>
        <w:tc>
          <w:tcPr>
            <w:tcW w:w="850" w:type="dxa"/>
            <w:shd w:val="clear" w:color="auto" w:fill="808080"/>
            <w:noWrap/>
            <w:vAlign w:val="center"/>
            <w:hideMark/>
          </w:tcPr>
          <w:p w:rsidR="004076EF" w:rsidRPr="0097571C" w:rsidRDefault="004076EF" w:rsidP="004076EF">
            <w:pPr>
              <w:spacing w:before="0" w:after="0"/>
              <w:jc w:val="center"/>
              <w:rPr>
                <w:rFonts w:ascii="Arial" w:hAnsi="Arial" w:cs="Arial"/>
                <w:b/>
                <w:color w:val="FFFFFF" w:themeColor="background1"/>
              </w:rPr>
            </w:pPr>
            <w:r w:rsidRPr="0097571C">
              <w:rPr>
                <w:rFonts w:ascii="Arial" w:hAnsi="Arial" w:cs="Arial"/>
                <w:b/>
                <w:color w:val="FFFFFF" w:themeColor="background1"/>
              </w:rPr>
              <w:t>58</w:t>
            </w:r>
          </w:p>
        </w:tc>
        <w:tc>
          <w:tcPr>
            <w:tcW w:w="709" w:type="dxa"/>
            <w:shd w:val="clear" w:color="auto" w:fill="808080"/>
            <w:noWrap/>
            <w:vAlign w:val="center"/>
            <w:hideMark/>
          </w:tcPr>
          <w:p w:rsidR="004076EF" w:rsidRPr="0097571C" w:rsidRDefault="004076EF" w:rsidP="004076EF">
            <w:pPr>
              <w:spacing w:before="0" w:after="0"/>
              <w:jc w:val="center"/>
              <w:rPr>
                <w:rFonts w:ascii="Arial" w:hAnsi="Arial" w:cs="Arial"/>
                <w:b/>
                <w:color w:val="FFFFFF" w:themeColor="background1"/>
              </w:rPr>
            </w:pPr>
            <w:r w:rsidRPr="0097571C">
              <w:rPr>
                <w:rFonts w:ascii="Arial" w:hAnsi="Arial" w:cs="Arial"/>
                <w:b/>
                <w:color w:val="FFFFFF" w:themeColor="background1"/>
              </w:rPr>
              <w:t>34</w:t>
            </w:r>
          </w:p>
        </w:tc>
        <w:tc>
          <w:tcPr>
            <w:tcW w:w="656" w:type="dxa"/>
            <w:shd w:val="clear" w:color="auto" w:fill="808080"/>
            <w:noWrap/>
            <w:vAlign w:val="center"/>
            <w:hideMark/>
          </w:tcPr>
          <w:p w:rsidR="004076EF" w:rsidRPr="0097571C" w:rsidRDefault="004076EF" w:rsidP="004076EF">
            <w:pPr>
              <w:spacing w:before="0" w:after="0"/>
              <w:jc w:val="center"/>
              <w:rPr>
                <w:rFonts w:ascii="Arial" w:hAnsi="Arial" w:cs="Arial"/>
                <w:b/>
                <w:color w:val="FFFFFF" w:themeColor="background1"/>
              </w:rPr>
            </w:pPr>
            <w:r w:rsidRPr="0097571C">
              <w:rPr>
                <w:rFonts w:ascii="Arial" w:hAnsi="Arial" w:cs="Arial"/>
                <w:b/>
                <w:color w:val="FFFFFF" w:themeColor="background1"/>
              </w:rPr>
              <w:t>14</w:t>
            </w:r>
          </w:p>
        </w:tc>
        <w:tc>
          <w:tcPr>
            <w:tcW w:w="762" w:type="dxa"/>
            <w:shd w:val="clear" w:color="auto" w:fill="808080"/>
            <w:noWrap/>
            <w:vAlign w:val="center"/>
            <w:hideMark/>
          </w:tcPr>
          <w:p w:rsidR="004076EF" w:rsidRPr="0097571C" w:rsidRDefault="004076EF" w:rsidP="004076EF">
            <w:pPr>
              <w:spacing w:before="0" w:after="0"/>
              <w:jc w:val="center"/>
              <w:rPr>
                <w:rFonts w:ascii="Arial" w:hAnsi="Arial" w:cs="Arial"/>
                <w:b/>
                <w:color w:val="FFFFFF" w:themeColor="background1"/>
              </w:rPr>
            </w:pPr>
            <w:r w:rsidRPr="0097571C">
              <w:rPr>
                <w:rFonts w:ascii="Arial" w:hAnsi="Arial" w:cs="Arial"/>
                <w:b/>
                <w:color w:val="FFFFFF" w:themeColor="background1"/>
              </w:rPr>
              <w:t>9</w:t>
            </w:r>
          </w:p>
        </w:tc>
        <w:tc>
          <w:tcPr>
            <w:tcW w:w="960" w:type="dxa"/>
            <w:shd w:val="clear" w:color="auto" w:fill="808080"/>
            <w:noWrap/>
            <w:vAlign w:val="center"/>
            <w:hideMark/>
          </w:tcPr>
          <w:p w:rsidR="004076EF" w:rsidRPr="0097571C" w:rsidRDefault="004076EF" w:rsidP="004076EF">
            <w:pPr>
              <w:spacing w:before="0" w:after="0"/>
              <w:jc w:val="center"/>
              <w:rPr>
                <w:rFonts w:ascii="Arial" w:hAnsi="Arial" w:cs="Arial"/>
                <w:b/>
                <w:color w:val="FFFFFF" w:themeColor="background1"/>
              </w:rPr>
            </w:pPr>
            <w:r w:rsidRPr="0097571C">
              <w:rPr>
                <w:rFonts w:ascii="Arial" w:hAnsi="Arial" w:cs="Arial"/>
                <w:b/>
                <w:color w:val="FFFFFF" w:themeColor="background1"/>
              </w:rPr>
              <w:t>583</w:t>
            </w:r>
          </w:p>
        </w:tc>
      </w:tr>
      <w:tr w:rsidR="004711FF" w:rsidRPr="00A12D49" w:rsidTr="00B9194B">
        <w:trPr>
          <w:trHeight w:val="300"/>
        </w:trPr>
        <w:tc>
          <w:tcPr>
            <w:tcW w:w="2850" w:type="dxa"/>
            <w:shd w:val="clear" w:color="auto" w:fill="AF1E2D"/>
            <w:noWrap/>
            <w:vAlign w:val="center"/>
            <w:hideMark/>
          </w:tcPr>
          <w:p w:rsidR="004076EF" w:rsidRPr="00A12D49" w:rsidRDefault="004076EF" w:rsidP="004076EF">
            <w:pPr>
              <w:spacing w:before="0" w:after="0"/>
              <w:rPr>
                <w:rFonts w:ascii="Arial" w:hAnsi="Arial" w:cs="Arial"/>
                <w:b/>
                <w:color w:val="FFFFFF" w:themeColor="background1"/>
              </w:rPr>
            </w:pPr>
            <w:r w:rsidRPr="00A12D49">
              <w:rPr>
                <w:rFonts w:ascii="Arial" w:hAnsi="Arial" w:cs="Arial"/>
                <w:b/>
                <w:color w:val="FFFFFF" w:themeColor="background1"/>
              </w:rPr>
              <w:t>% of total</w:t>
            </w:r>
          </w:p>
        </w:tc>
        <w:tc>
          <w:tcPr>
            <w:tcW w:w="851" w:type="dxa"/>
            <w:shd w:val="clear" w:color="auto" w:fill="AF1E2D"/>
            <w:noWrap/>
            <w:vAlign w:val="center"/>
            <w:hideMark/>
          </w:tcPr>
          <w:p w:rsidR="004076EF" w:rsidRPr="00A12D49" w:rsidRDefault="004076EF" w:rsidP="004076EF">
            <w:pPr>
              <w:spacing w:before="0" w:after="0"/>
              <w:jc w:val="center"/>
              <w:rPr>
                <w:rFonts w:ascii="Arial" w:hAnsi="Arial" w:cs="Arial"/>
                <w:b/>
                <w:color w:val="FFFFFF" w:themeColor="background1"/>
              </w:rPr>
            </w:pPr>
            <w:r w:rsidRPr="00A12D49">
              <w:rPr>
                <w:rFonts w:ascii="Arial" w:hAnsi="Arial" w:cs="Arial"/>
                <w:b/>
                <w:color w:val="FFFFFF" w:themeColor="background1"/>
              </w:rPr>
              <w:t>34%</w:t>
            </w:r>
          </w:p>
        </w:tc>
        <w:tc>
          <w:tcPr>
            <w:tcW w:w="850" w:type="dxa"/>
            <w:shd w:val="clear" w:color="auto" w:fill="AF1E2D"/>
            <w:noWrap/>
            <w:vAlign w:val="center"/>
            <w:hideMark/>
          </w:tcPr>
          <w:p w:rsidR="004076EF" w:rsidRPr="00A12D49" w:rsidRDefault="004076EF" w:rsidP="004076EF">
            <w:pPr>
              <w:spacing w:before="0" w:after="0"/>
              <w:jc w:val="center"/>
              <w:rPr>
                <w:rFonts w:ascii="Arial" w:hAnsi="Arial" w:cs="Arial"/>
                <w:b/>
                <w:color w:val="FFFFFF" w:themeColor="background1"/>
              </w:rPr>
            </w:pPr>
            <w:r w:rsidRPr="00A12D49">
              <w:rPr>
                <w:rFonts w:ascii="Arial" w:hAnsi="Arial" w:cs="Arial"/>
                <w:b/>
                <w:color w:val="FFFFFF" w:themeColor="background1"/>
              </w:rPr>
              <w:t>25%</w:t>
            </w:r>
          </w:p>
        </w:tc>
        <w:tc>
          <w:tcPr>
            <w:tcW w:w="851" w:type="dxa"/>
            <w:shd w:val="clear" w:color="auto" w:fill="AF1E2D"/>
            <w:noWrap/>
            <w:vAlign w:val="center"/>
            <w:hideMark/>
          </w:tcPr>
          <w:p w:rsidR="004076EF" w:rsidRPr="00A12D49" w:rsidRDefault="004076EF" w:rsidP="004076EF">
            <w:pPr>
              <w:spacing w:before="0" w:after="0"/>
              <w:jc w:val="center"/>
              <w:rPr>
                <w:rFonts w:ascii="Arial" w:hAnsi="Arial" w:cs="Arial"/>
                <w:b/>
                <w:color w:val="FFFFFF" w:themeColor="background1"/>
              </w:rPr>
            </w:pPr>
            <w:r w:rsidRPr="00A12D49">
              <w:rPr>
                <w:rFonts w:ascii="Arial" w:hAnsi="Arial" w:cs="Arial"/>
                <w:b/>
                <w:color w:val="FFFFFF" w:themeColor="background1"/>
              </w:rPr>
              <w:t>22%</w:t>
            </w:r>
          </w:p>
        </w:tc>
        <w:tc>
          <w:tcPr>
            <w:tcW w:w="850" w:type="dxa"/>
            <w:shd w:val="clear" w:color="auto" w:fill="AF1E2D"/>
            <w:noWrap/>
            <w:vAlign w:val="center"/>
            <w:hideMark/>
          </w:tcPr>
          <w:p w:rsidR="004076EF" w:rsidRPr="00A12D49" w:rsidRDefault="004076EF" w:rsidP="004076EF">
            <w:pPr>
              <w:spacing w:before="0" w:after="0"/>
              <w:jc w:val="center"/>
              <w:rPr>
                <w:rFonts w:ascii="Arial" w:hAnsi="Arial" w:cs="Arial"/>
                <w:b/>
                <w:color w:val="FFFFFF" w:themeColor="background1"/>
              </w:rPr>
            </w:pPr>
            <w:r w:rsidRPr="00A12D49">
              <w:rPr>
                <w:rFonts w:ascii="Arial" w:hAnsi="Arial" w:cs="Arial"/>
                <w:b/>
                <w:color w:val="FFFFFF" w:themeColor="background1"/>
              </w:rPr>
              <w:t>10%</w:t>
            </w:r>
          </w:p>
        </w:tc>
        <w:tc>
          <w:tcPr>
            <w:tcW w:w="709" w:type="dxa"/>
            <w:shd w:val="clear" w:color="auto" w:fill="AF1E2D"/>
            <w:noWrap/>
            <w:vAlign w:val="center"/>
            <w:hideMark/>
          </w:tcPr>
          <w:p w:rsidR="004076EF" w:rsidRPr="00A12D49" w:rsidRDefault="004076EF" w:rsidP="004076EF">
            <w:pPr>
              <w:spacing w:before="0" w:after="0"/>
              <w:jc w:val="center"/>
              <w:rPr>
                <w:rFonts w:ascii="Arial" w:hAnsi="Arial" w:cs="Arial"/>
                <w:b/>
                <w:color w:val="FFFFFF" w:themeColor="background1"/>
              </w:rPr>
            </w:pPr>
            <w:r w:rsidRPr="00A12D49">
              <w:rPr>
                <w:rFonts w:ascii="Arial" w:hAnsi="Arial" w:cs="Arial"/>
                <w:b/>
                <w:color w:val="FFFFFF" w:themeColor="background1"/>
              </w:rPr>
              <w:t>6%</w:t>
            </w:r>
          </w:p>
        </w:tc>
        <w:tc>
          <w:tcPr>
            <w:tcW w:w="656" w:type="dxa"/>
            <w:shd w:val="clear" w:color="auto" w:fill="AF1E2D"/>
            <w:noWrap/>
            <w:vAlign w:val="center"/>
            <w:hideMark/>
          </w:tcPr>
          <w:p w:rsidR="004076EF" w:rsidRPr="00A12D49" w:rsidRDefault="004076EF" w:rsidP="004076EF">
            <w:pPr>
              <w:spacing w:before="0" w:after="0"/>
              <w:jc w:val="center"/>
              <w:rPr>
                <w:rFonts w:ascii="Arial" w:hAnsi="Arial" w:cs="Arial"/>
                <w:b/>
                <w:color w:val="FFFFFF" w:themeColor="background1"/>
              </w:rPr>
            </w:pPr>
            <w:r w:rsidRPr="00A12D49">
              <w:rPr>
                <w:rFonts w:ascii="Arial" w:hAnsi="Arial" w:cs="Arial"/>
                <w:b/>
                <w:color w:val="FFFFFF" w:themeColor="background1"/>
              </w:rPr>
              <w:t>2%</w:t>
            </w:r>
          </w:p>
        </w:tc>
        <w:tc>
          <w:tcPr>
            <w:tcW w:w="762" w:type="dxa"/>
            <w:shd w:val="clear" w:color="auto" w:fill="AF1E2D"/>
            <w:noWrap/>
            <w:vAlign w:val="center"/>
            <w:hideMark/>
          </w:tcPr>
          <w:p w:rsidR="004076EF" w:rsidRPr="00A12D49" w:rsidRDefault="004076EF" w:rsidP="004076EF">
            <w:pPr>
              <w:spacing w:before="0" w:after="0"/>
              <w:jc w:val="center"/>
              <w:rPr>
                <w:rFonts w:ascii="Arial" w:hAnsi="Arial" w:cs="Arial"/>
                <w:b/>
                <w:color w:val="FFFFFF" w:themeColor="background1"/>
              </w:rPr>
            </w:pPr>
            <w:r w:rsidRPr="00A12D49">
              <w:rPr>
                <w:rFonts w:ascii="Arial" w:hAnsi="Arial" w:cs="Arial"/>
                <w:b/>
                <w:color w:val="FFFFFF" w:themeColor="background1"/>
              </w:rPr>
              <w:t>2%</w:t>
            </w:r>
          </w:p>
        </w:tc>
        <w:tc>
          <w:tcPr>
            <w:tcW w:w="960" w:type="dxa"/>
            <w:shd w:val="clear" w:color="auto" w:fill="AF1E2D"/>
            <w:noWrap/>
            <w:vAlign w:val="center"/>
            <w:hideMark/>
          </w:tcPr>
          <w:p w:rsidR="004076EF" w:rsidRPr="00A12D49" w:rsidRDefault="004076EF" w:rsidP="004076EF">
            <w:pPr>
              <w:spacing w:before="0" w:after="0"/>
              <w:jc w:val="center"/>
              <w:rPr>
                <w:rFonts w:ascii="Arial" w:hAnsi="Arial" w:cs="Arial"/>
                <w:b/>
                <w:color w:val="FFFFFF" w:themeColor="background1"/>
              </w:rPr>
            </w:pPr>
            <w:r w:rsidRPr="00A12D49">
              <w:rPr>
                <w:rFonts w:ascii="Arial" w:hAnsi="Arial" w:cs="Arial"/>
                <w:b/>
                <w:color w:val="FFFFFF" w:themeColor="background1"/>
              </w:rPr>
              <w:t>100%</w:t>
            </w:r>
          </w:p>
        </w:tc>
      </w:tr>
    </w:tbl>
    <w:p w:rsidR="00CE7C15" w:rsidRDefault="00CE7C15" w:rsidP="00C56FFA">
      <w:pPr>
        <w:spacing w:before="0"/>
        <w:rPr>
          <w:rFonts w:ascii="Arial" w:hAnsi="Arial" w:cs="Arial"/>
          <w:b/>
          <w:color w:val="C10A27"/>
          <w:sz w:val="32"/>
          <w:szCs w:val="24"/>
        </w:rPr>
      </w:pPr>
      <w:r>
        <w:rPr>
          <w:rFonts w:ascii="Arial" w:hAnsi="Arial" w:cs="Arial"/>
          <w:sz w:val="18"/>
          <w:szCs w:val="24"/>
        </w:rPr>
        <w:t>Note: The percentages shown have been rounded to the nearest whole number and therefore the sum of the figures in the total row may not equal 100.</w:t>
      </w:r>
    </w:p>
    <w:p w:rsidR="006B310D" w:rsidRPr="001C719B" w:rsidRDefault="00CE7C15" w:rsidP="00574FA9">
      <w:pPr>
        <w:spacing w:before="0" w:after="0"/>
        <w:rPr>
          <w:rFonts w:ascii="Arial" w:hAnsi="Arial" w:cs="Arial"/>
          <w:b/>
          <w:color w:val="C10A27"/>
          <w:sz w:val="32"/>
          <w:szCs w:val="24"/>
        </w:rPr>
      </w:pPr>
      <w:r>
        <w:rPr>
          <w:rFonts w:ascii="Arial" w:hAnsi="Arial" w:cs="Arial"/>
          <w:b/>
          <w:color w:val="C10A27"/>
          <w:sz w:val="32"/>
          <w:szCs w:val="24"/>
        </w:rPr>
        <w:br w:type="page"/>
      </w:r>
      <w:r w:rsidR="00404D2C" w:rsidRPr="001C719B">
        <w:rPr>
          <w:rFonts w:ascii="Arial" w:hAnsi="Arial" w:cs="Arial"/>
          <w:b/>
          <w:color w:val="C10A27"/>
          <w:sz w:val="32"/>
          <w:szCs w:val="24"/>
        </w:rPr>
        <w:lastRenderedPageBreak/>
        <w:t>ANALYSIS</w:t>
      </w:r>
      <w:r w:rsidR="00306222" w:rsidRPr="001C719B">
        <w:rPr>
          <w:rFonts w:ascii="Arial" w:hAnsi="Arial" w:cs="Arial"/>
          <w:b/>
          <w:color w:val="C10A27"/>
          <w:sz w:val="32"/>
          <w:szCs w:val="24"/>
        </w:rPr>
        <w:t xml:space="preserve"> OF VEHICLE FATALITIES </w:t>
      </w:r>
    </w:p>
    <w:p w:rsidR="001C719B" w:rsidRDefault="005F226C" w:rsidP="005062C6">
      <w:pPr>
        <w:spacing w:line="288" w:lineRule="auto"/>
        <w:rPr>
          <w:rFonts w:ascii="Arial" w:hAnsi="Arial" w:cs="Arial"/>
          <w:sz w:val="22"/>
          <w:szCs w:val="22"/>
        </w:rPr>
      </w:pPr>
      <w:r w:rsidRPr="004076EF">
        <w:rPr>
          <w:rFonts w:ascii="Arial" w:hAnsi="Arial" w:cs="Arial"/>
          <w:sz w:val="22"/>
          <w:szCs w:val="22"/>
        </w:rPr>
        <w:t xml:space="preserve">Road transport fatalities which occurred from 2013 to 2015 have been analysed </w:t>
      </w:r>
      <w:r w:rsidR="001C719B">
        <w:rPr>
          <w:rFonts w:ascii="Arial" w:hAnsi="Arial" w:cs="Arial"/>
          <w:sz w:val="22"/>
          <w:szCs w:val="22"/>
        </w:rPr>
        <w:t xml:space="preserve">in further detail </w:t>
      </w:r>
      <w:r w:rsidR="00302F43" w:rsidRPr="004076EF">
        <w:rPr>
          <w:rFonts w:ascii="Arial" w:hAnsi="Arial" w:cs="Arial"/>
          <w:sz w:val="22"/>
          <w:szCs w:val="22"/>
        </w:rPr>
        <w:t xml:space="preserve">using a variety of sources including </w:t>
      </w:r>
      <w:r w:rsidR="00222D33" w:rsidRPr="004076EF">
        <w:rPr>
          <w:rFonts w:ascii="Arial" w:hAnsi="Arial" w:cs="Arial"/>
          <w:sz w:val="22"/>
          <w:szCs w:val="22"/>
        </w:rPr>
        <w:t xml:space="preserve">information from </w:t>
      </w:r>
      <w:r w:rsidR="00302F43" w:rsidRPr="004076EF">
        <w:rPr>
          <w:rFonts w:ascii="Arial" w:hAnsi="Arial" w:cs="Arial"/>
          <w:sz w:val="22"/>
          <w:szCs w:val="22"/>
        </w:rPr>
        <w:t xml:space="preserve">the National Coronial Information System, </w:t>
      </w:r>
      <w:r w:rsidR="001C719B">
        <w:rPr>
          <w:rFonts w:ascii="Arial" w:hAnsi="Arial" w:cs="Arial"/>
          <w:sz w:val="22"/>
          <w:szCs w:val="22"/>
        </w:rPr>
        <w:t xml:space="preserve">the </w:t>
      </w:r>
      <w:r w:rsidR="00302F43" w:rsidRPr="004076EF">
        <w:rPr>
          <w:rFonts w:ascii="Arial" w:hAnsi="Arial" w:cs="Arial"/>
          <w:sz w:val="22"/>
          <w:szCs w:val="22"/>
        </w:rPr>
        <w:t xml:space="preserve">National </w:t>
      </w:r>
      <w:r w:rsidR="001C719B">
        <w:rPr>
          <w:rFonts w:ascii="Arial" w:hAnsi="Arial" w:cs="Arial"/>
          <w:sz w:val="22"/>
          <w:szCs w:val="22"/>
        </w:rPr>
        <w:t>D</w:t>
      </w:r>
      <w:r w:rsidR="00302F43" w:rsidRPr="004076EF">
        <w:rPr>
          <w:rFonts w:ascii="Arial" w:hAnsi="Arial" w:cs="Arial"/>
          <w:sz w:val="22"/>
          <w:szCs w:val="22"/>
        </w:rPr>
        <w:t xml:space="preserve">ataset </w:t>
      </w:r>
      <w:r w:rsidR="00222D33" w:rsidRPr="004076EF">
        <w:rPr>
          <w:rFonts w:ascii="Arial" w:hAnsi="Arial" w:cs="Arial"/>
          <w:sz w:val="22"/>
          <w:szCs w:val="22"/>
        </w:rPr>
        <w:t>for C</w:t>
      </w:r>
      <w:r w:rsidR="00302F43" w:rsidRPr="004076EF">
        <w:rPr>
          <w:rFonts w:ascii="Arial" w:hAnsi="Arial" w:cs="Arial"/>
          <w:sz w:val="22"/>
          <w:szCs w:val="22"/>
        </w:rPr>
        <w:t>ompensation-based statistics,</w:t>
      </w:r>
      <w:r w:rsidR="00821AC6" w:rsidRPr="004076EF">
        <w:rPr>
          <w:rFonts w:ascii="Arial" w:hAnsi="Arial" w:cs="Arial"/>
          <w:sz w:val="22"/>
          <w:szCs w:val="22"/>
        </w:rPr>
        <w:t xml:space="preserve"> notifiable f</w:t>
      </w:r>
      <w:r w:rsidR="00222D33" w:rsidRPr="004076EF">
        <w:rPr>
          <w:rFonts w:ascii="Arial" w:hAnsi="Arial" w:cs="Arial"/>
          <w:sz w:val="22"/>
          <w:szCs w:val="22"/>
        </w:rPr>
        <w:t xml:space="preserve">atalities </w:t>
      </w:r>
      <w:r w:rsidR="001C719B">
        <w:rPr>
          <w:rFonts w:ascii="Arial" w:hAnsi="Arial" w:cs="Arial"/>
          <w:sz w:val="22"/>
          <w:szCs w:val="22"/>
        </w:rPr>
        <w:t xml:space="preserve">from states and territories </w:t>
      </w:r>
      <w:r w:rsidR="00222D33" w:rsidRPr="004076EF">
        <w:rPr>
          <w:rFonts w:ascii="Arial" w:hAnsi="Arial" w:cs="Arial"/>
          <w:sz w:val="22"/>
          <w:szCs w:val="22"/>
        </w:rPr>
        <w:t xml:space="preserve">and </w:t>
      </w:r>
      <w:r w:rsidR="00821AC6" w:rsidRPr="004076EF">
        <w:rPr>
          <w:rFonts w:ascii="Arial" w:hAnsi="Arial" w:cs="Arial"/>
          <w:sz w:val="22"/>
          <w:szCs w:val="22"/>
        </w:rPr>
        <w:t xml:space="preserve">data reported by </w:t>
      </w:r>
      <w:r w:rsidR="00222D33" w:rsidRPr="004076EF">
        <w:rPr>
          <w:rFonts w:ascii="Arial" w:hAnsi="Arial" w:cs="Arial"/>
          <w:sz w:val="22"/>
          <w:szCs w:val="22"/>
        </w:rPr>
        <w:t>the Bureau of Infrastructure, Transport and Regional Economics</w:t>
      </w:r>
      <w:r w:rsidR="00A569EB" w:rsidRPr="004076EF">
        <w:rPr>
          <w:rFonts w:ascii="Arial" w:hAnsi="Arial" w:cs="Arial"/>
          <w:sz w:val="22"/>
          <w:szCs w:val="22"/>
        </w:rPr>
        <w:t xml:space="preserve">. </w:t>
      </w:r>
    </w:p>
    <w:p w:rsidR="00A71165" w:rsidRPr="004076EF" w:rsidRDefault="003D2DBC" w:rsidP="005062C6">
      <w:pPr>
        <w:spacing w:line="288" w:lineRule="auto"/>
        <w:rPr>
          <w:rFonts w:ascii="Arial" w:hAnsi="Arial" w:cs="Arial"/>
          <w:sz w:val="22"/>
          <w:szCs w:val="22"/>
        </w:rPr>
      </w:pPr>
      <w:r w:rsidRPr="004076EF">
        <w:rPr>
          <w:rFonts w:ascii="Arial" w:hAnsi="Arial" w:cs="Arial"/>
          <w:sz w:val="22"/>
          <w:szCs w:val="22"/>
        </w:rPr>
        <w:t>The</w:t>
      </w:r>
      <w:r w:rsidR="00A569EB" w:rsidRPr="004076EF">
        <w:rPr>
          <w:rFonts w:ascii="Arial" w:hAnsi="Arial" w:cs="Arial"/>
          <w:sz w:val="22"/>
          <w:szCs w:val="22"/>
        </w:rPr>
        <w:t xml:space="preserve"> sample </w:t>
      </w:r>
      <w:r w:rsidRPr="004076EF">
        <w:rPr>
          <w:rFonts w:ascii="Arial" w:hAnsi="Arial" w:cs="Arial"/>
          <w:sz w:val="22"/>
          <w:szCs w:val="22"/>
        </w:rPr>
        <w:t>of 108</w:t>
      </w:r>
      <w:r w:rsidR="00A569EB" w:rsidRPr="004076EF">
        <w:rPr>
          <w:rFonts w:ascii="Arial" w:hAnsi="Arial" w:cs="Arial"/>
          <w:sz w:val="22"/>
          <w:szCs w:val="22"/>
        </w:rPr>
        <w:t xml:space="preserve"> worker fatalities</w:t>
      </w:r>
      <w:r w:rsidR="001C719B">
        <w:rPr>
          <w:rFonts w:ascii="Arial" w:hAnsi="Arial" w:cs="Arial"/>
          <w:sz w:val="22"/>
          <w:szCs w:val="22"/>
        </w:rPr>
        <w:t xml:space="preserve"> occurring between 2013 and 2015</w:t>
      </w:r>
      <w:r w:rsidR="00A569EB" w:rsidRPr="004076EF">
        <w:rPr>
          <w:rFonts w:ascii="Arial" w:hAnsi="Arial" w:cs="Arial"/>
          <w:sz w:val="22"/>
          <w:szCs w:val="22"/>
        </w:rPr>
        <w:t xml:space="preserve"> was selected </w:t>
      </w:r>
      <w:r w:rsidR="00312EE0" w:rsidRPr="004076EF">
        <w:rPr>
          <w:rFonts w:ascii="Arial" w:hAnsi="Arial" w:cs="Arial"/>
          <w:sz w:val="22"/>
          <w:szCs w:val="22"/>
        </w:rPr>
        <w:t xml:space="preserve">in order </w:t>
      </w:r>
      <w:r w:rsidR="00A569EB" w:rsidRPr="004076EF">
        <w:rPr>
          <w:rFonts w:ascii="Arial" w:hAnsi="Arial" w:cs="Arial"/>
          <w:sz w:val="22"/>
          <w:szCs w:val="22"/>
        </w:rPr>
        <w:t xml:space="preserve">to </w:t>
      </w:r>
      <w:r w:rsidR="005B75C0">
        <w:rPr>
          <w:rFonts w:ascii="Arial" w:hAnsi="Arial" w:cs="Arial"/>
          <w:sz w:val="22"/>
          <w:szCs w:val="22"/>
        </w:rPr>
        <w:t xml:space="preserve">conduct further analysis </w:t>
      </w:r>
      <w:r w:rsidR="00A569EB" w:rsidRPr="004076EF">
        <w:rPr>
          <w:rFonts w:ascii="Arial" w:hAnsi="Arial" w:cs="Arial"/>
          <w:sz w:val="22"/>
          <w:szCs w:val="22"/>
        </w:rPr>
        <w:t xml:space="preserve">regarding the circumstances which led to the incident, how </w:t>
      </w:r>
      <w:r w:rsidR="00821AC6" w:rsidRPr="004076EF">
        <w:rPr>
          <w:rFonts w:ascii="Arial" w:hAnsi="Arial" w:cs="Arial"/>
          <w:sz w:val="22"/>
          <w:szCs w:val="22"/>
        </w:rPr>
        <w:t xml:space="preserve">and when </w:t>
      </w:r>
      <w:r w:rsidR="005B75C0">
        <w:rPr>
          <w:rFonts w:ascii="Arial" w:hAnsi="Arial" w:cs="Arial"/>
          <w:sz w:val="22"/>
          <w:szCs w:val="22"/>
        </w:rPr>
        <w:t xml:space="preserve">the incident </w:t>
      </w:r>
      <w:r w:rsidR="00A569EB" w:rsidRPr="004076EF">
        <w:rPr>
          <w:rFonts w:ascii="Arial" w:hAnsi="Arial" w:cs="Arial"/>
          <w:sz w:val="22"/>
          <w:szCs w:val="22"/>
        </w:rPr>
        <w:t>occurred</w:t>
      </w:r>
      <w:r w:rsidRPr="004076EF">
        <w:rPr>
          <w:rFonts w:ascii="Arial" w:hAnsi="Arial" w:cs="Arial"/>
          <w:sz w:val="22"/>
          <w:szCs w:val="22"/>
        </w:rPr>
        <w:t>,</w:t>
      </w:r>
      <w:r w:rsidR="00821AC6" w:rsidRPr="004076EF">
        <w:rPr>
          <w:rFonts w:ascii="Arial" w:hAnsi="Arial" w:cs="Arial"/>
          <w:sz w:val="22"/>
          <w:szCs w:val="22"/>
        </w:rPr>
        <w:t xml:space="preserve"> and the</w:t>
      </w:r>
      <w:r w:rsidRPr="004076EF">
        <w:rPr>
          <w:rFonts w:ascii="Arial" w:hAnsi="Arial" w:cs="Arial"/>
          <w:sz w:val="22"/>
          <w:szCs w:val="22"/>
        </w:rPr>
        <w:t xml:space="preserve"> </w:t>
      </w:r>
      <w:r w:rsidR="00797407" w:rsidRPr="004076EF">
        <w:rPr>
          <w:rFonts w:ascii="Arial" w:hAnsi="Arial" w:cs="Arial"/>
          <w:sz w:val="22"/>
          <w:szCs w:val="22"/>
        </w:rPr>
        <w:t xml:space="preserve">type of </w:t>
      </w:r>
      <w:r w:rsidR="00821AC6" w:rsidRPr="004076EF">
        <w:rPr>
          <w:rFonts w:ascii="Arial" w:hAnsi="Arial" w:cs="Arial"/>
          <w:sz w:val="22"/>
          <w:szCs w:val="22"/>
        </w:rPr>
        <w:t>vehicle involved</w:t>
      </w:r>
      <w:r w:rsidR="00797407" w:rsidRPr="004076EF">
        <w:rPr>
          <w:rFonts w:ascii="Arial" w:hAnsi="Arial" w:cs="Arial"/>
          <w:sz w:val="22"/>
          <w:szCs w:val="22"/>
        </w:rPr>
        <w:t xml:space="preserve">. As </w:t>
      </w:r>
      <w:r w:rsidR="00E034C7" w:rsidRPr="004076EF">
        <w:rPr>
          <w:rFonts w:ascii="Arial" w:hAnsi="Arial" w:cs="Arial"/>
          <w:sz w:val="22"/>
          <w:szCs w:val="22"/>
        </w:rPr>
        <w:t xml:space="preserve">work-related </w:t>
      </w:r>
      <w:r w:rsidR="00797407" w:rsidRPr="004076EF">
        <w:rPr>
          <w:rFonts w:ascii="Arial" w:hAnsi="Arial" w:cs="Arial"/>
          <w:sz w:val="22"/>
          <w:szCs w:val="22"/>
        </w:rPr>
        <w:t>fatalities data is classified according to</w:t>
      </w:r>
      <w:r w:rsidR="00E034C7" w:rsidRPr="004076EF">
        <w:rPr>
          <w:rFonts w:ascii="Arial" w:hAnsi="Arial" w:cs="Arial"/>
          <w:sz w:val="22"/>
          <w:szCs w:val="22"/>
        </w:rPr>
        <w:t xml:space="preserve"> the workers’</w:t>
      </w:r>
      <w:r w:rsidR="00797407" w:rsidRPr="004076EF">
        <w:rPr>
          <w:rFonts w:ascii="Arial" w:hAnsi="Arial" w:cs="Arial"/>
          <w:sz w:val="22"/>
          <w:szCs w:val="22"/>
        </w:rPr>
        <w:t xml:space="preserve"> industry of employer, </w:t>
      </w:r>
      <w:r w:rsidR="00E034C7" w:rsidRPr="004076EF">
        <w:rPr>
          <w:rFonts w:ascii="Arial" w:hAnsi="Arial" w:cs="Arial"/>
          <w:sz w:val="22"/>
          <w:szCs w:val="22"/>
        </w:rPr>
        <w:t xml:space="preserve">some </w:t>
      </w:r>
      <w:r w:rsidR="00AC1C7E">
        <w:rPr>
          <w:rFonts w:ascii="Arial" w:hAnsi="Arial" w:cs="Arial"/>
          <w:sz w:val="22"/>
          <w:szCs w:val="22"/>
        </w:rPr>
        <w:t>fatalities in R</w:t>
      </w:r>
      <w:r w:rsidR="00797407" w:rsidRPr="004076EF">
        <w:rPr>
          <w:rFonts w:ascii="Arial" w:hAnsi="Arial" w:cs="Arial"/>
          <w:sz w:val="22"/>
          <w:szCs w:val="22"/>
        </w:rPr>
        <w:t xml:space="preserve">oad transport </w:t>
      </w:r>
      <w:r w:rsidR="00E034C7" w:rsidRPr="004076EF">
        <w:rPr>
          <w:rFonts w:ascii="Arial" w:hAnsi="Arial" w:cs="Arial"/>
          <w:sz w:val="22"/>
          <w:szCs w:val="22"/>
        </w:rPr>
        <w:t>may</w:t>
      </w:r>
      <w:r w:rsidR="00797407" w:rsidRPr="004076EF">
        <w:rPr>
          <w:rFonts w:ascii="Arial" w:hAnsi="Arial" w:cs="Arial"/>
          <w:sz w:val="22"/>
          <w:szCs w:val="22"/>
        </w:rPr>
        <w:t xml:space="preserve"> occur whilst the worker is not driving </w:t>
      </w:r>
      <w:r w:rsidR="00E034C7" w:rsidRPr="004076EF">
        <w:rPr>
          <w:rFonts w:ascii="Arial" w:hAnsi="Arial" w:cs="Arial"/>
          <w:sz w:val="22"/>
          <w:szCs w:val="22"/>
        </w:rPr>
        <w:t xml:space="preserve">a vehicle </w:t>
      </w:r>
      <w:r w:rsidR="00797407" w:rsidRPr="004076EF">
        <w:rPr>
          <w:rFonts w:ascii="Arial" w:hAnsi="Arial" w:cs="Arial"/>
          <w:sz w:val="22"/>
          <w:szCs w:val="22"/>
        </w:rPr>
        <w:t>– for example, unloading</w:t>
      </w:r>
      <w:r w:rsidR="00E034C7" w:rsidRPr="004076EF">
        <w:rPr>
          <w:rFonts w:ascii="Arial" w:hAnsi="Arial" w:cs="Arial"/>
          <w:sz w:val="22"/>
          <w:szCs w:val="22"/>
        </w:rPr>
        <w:t xml:space="preserve">/ </w:t>
      </w:r>
      <w:r w:rsidR="00797407" w:rsidRPr="004076EF">
        <w:rPr>
          <w:rFonts w:ascii="Arial" w:hAnsi="Arial" w:cs="Arial"/>
          <w:sz w:val="22"/>
          <w:szCs w:val="22"/>
        </w:rPr>
        <w:t>loading or undertaking maintenance.</w:t>
      </w:r>
      <w:r w:rsidR="00E034C7" w:rsidRPr="004076EF">
        <w:rPr>
          <w:rFonts w:ascii="Arial" w:hAnsi="Arial" w:cs="Arial"/>
          <w:sz w:val="22"/>
          <w:szCs w:val="22"/>
        </w:rPr>
        <w:t xml:space="preserve"> </w:t>
      </w:r>
    </w:p>
    <w:p w:rsidR="00487719" w:rsidRPr="005B75C0" w:rsidRDefault="00A569EB" w:rsidP="005B75C0">
      <w:pPr>
        <w:spacing w:before="240"/>
        <w:rPr>
          <w:rFonts w:ascii="Arial" w:hAnsi="Arial" w:cs="Arial"/>
          <w:b/>
          <w:color w:val="C10A27"/>
          <w:sz w:val="28"/>
          <w:szCs w:val="24"/>
        </w:rPr>
      </w:pPr>
      <w:r w:rsidRPr="005B75C0">
        <w:rPr>
          <w:rFonts w:ascii="Arial" w:hAnsi="Arial" w:cs="Arial"/>
          <w:b/>
          <w:color w:val="C10A27"/>
          <w:sz w:val="28"/>
          <w:szCs w:val="24"/>
        </w:rPr>
        <w:t xml:space="preserve">Fatalities by time </w:t>
      </w:r>
      <w:r w:rsidR="00C73C42" w:rsidRPr="005B75C0">
        <w:rPr>
          <w:rFonts w:ascii="Arial" w:hAnsi="Arial" w:cs="Arial"/>
          <w:b/>
          <w:color w:val="C10A27"/>
          <w:sz w:val="28"/>
          <w:szCs w:val="24"/>
        </w:rPr>
        <w:t xml:space="preserve">and location </w:t>
      </w:r>
      <w:r w:rsidRPr="005B75C0">
        <w:rPr>
          <w:rFonts w:ascii="Arial" w:hAnsi="Arial" w:cs="Arial"/>
          <w:b/>
          <w:color w:val="C10A27"/>
          <w:sz w:val="28"/>
          <w:szCs w:val="24"/>
        </w:rPr>
        <w:t xml:space="preserve">of </w:t>
      </w:r>
      <w:r w:rsidR="00C73C42" w:rsidRPr="005B75C0">
        <w:rPr>
          <w:rFonts w:ascii="Arial" w:hAnsi="Arial" w:cs="Arial"/>
          <w:b/>
          <w:color w:val="C10A27"/>
          <w:sz w:val="28"/>
          <w:szCs w:val="24"/>
        </w:rPr>
        <w:t>death</w:t>
      </w:r>
      <w:r w:rsidR="00F9493B" w:rsidRPr="005B75C0">
        <w:rPr>
          <w:rFonts w:ascii="Arial" w:hAnsi="Arial" w:cs="Arial"/>
          <w:b/>
          <w:color w:val="C10A27"/>
          <w:sz w:val="28"/>
          <w:szCs w:val="24"/>
        </w:rPr>
        <w:t xml:space="preserve"> </w:t>
      </w:r>
    </w:p>
    <w:p w:rsidR="001A5243" w:rsidRDefault="003B2F3C" w:rsidP="005062C6">
      <w:pPr>
        <w:spacing w:after="240" w:line="288" w:lineRule="auto"/>
        <w:rPr>
          <w:rFonts w:ascii="Arial" w:hAnsi="Arial" w:cs="Arial"/>
          <w:sz w:val="22"/>
          <w:szCs w:val="22"/>
        </w:rPr>
      </w:pPr>
      <w:r w:rsidRPr="004076EF">
        <w:rPr>
          <w:rFonts w:ascii="Arial" w:hAnsi="Arial" w:cs="Arial"/>
          <w:sz w:val="22"/>
          <w:szCs w:val="22"/>
        </w:rPr>
        <w:t xml:space="preserve">Of the 108 </w:t>
      </w:r>
      <w:r w:rsidR="00AC1C7E">
        <w:rPr>
          <w:rFonts w:ascii="Arial" w:hAnsi="Arial" w:cs="Arial"/>
          <w:sz w:val="22"/>
          <w:szCs w:val="22"/>
        </w:rPr>
        <w:t>R</w:t>
      </w:r>
      <w:r w:rsidRPr="004076EF">
        <w:rPr>
          <w:rFonts w:ascii="Arial" w:hAnsi="Arial" w:cs="Arial"/>
          <w:sz w:val="22"/>
          <w:szCs w:val="22"/>
        </w:rPr>
        <w:t>oad transport fatalities, 78 workers (72 per cent) died</w:t>
      </w:r>
      <w:r w:rsidR="00C7047B" w:rsidRPr="004076EF">
        <w:rPr>
          <w:rFonts w:ascii="Arial" w:hAnsi="Arial" w:cs="Arial"/>
          <w:sz w:val="22"/>
          <w:szCs w:val="22"/>
        </w:rPr>
        <w:t xml:space="preserve"> while driving </w:t>
      </w:r>
      <w:r w:rsidRPr="004076EF">
        <w:rPr>
          <w:rFonts w:ascii="Arial" w:hAnsi="Arial" w:cs="Arial"/>
          <w:sz w:val="22"/>
          <w:szCs w:val="22"/>
        </w:rPr>
        <w:t xml:space="preserve">on country roads. The </w:t>
      </w:r>
      <w:r w:rsidR="005B75C0">
        <w:rPr>
          <w:rFonts w:ascii="Arial" w:hAnsi="Arial" w:cs="Arial"/>
          <w:sz w:val="22"/>
          <w:szCs w:val="22"/>
        </w:rPr>
        <w:t xml:space="preserve">highest </w:t>
      </w:r>
      <w:r w:rsidRPr="004076EF">
        <w:rPr>
          <w:rFonts w:ascii="Arial" w:hAnsi="Arial" w:cs="Arial"/>
          <w:sz w:val="22"/>
          <w:szCs w:val="22"/>
        </w:rPr>
        <w:t xml:space="preserve">number of fatalities </w:t>
      </w:r>
      <w:r w:rsidR="00306222" w:rsidRPr="004076EF">
        <w:rPr>
          <w:rFonts w:ascii="Arial" w:hAnsi="Arial" w:cs="Arial"/>
          <w:sz w:val="22"/>
          <w:szCs w:val="22"/>
        </w:rPr>
        <w:t xml:space="preserve">on country roads </w:t>
      </w:r>
      <w:r w:rsidRPr="004076EF">
        <w:rPr>
          <w:rFonts w:ascii="Arial" w:hAnsi="Arial" w:cs="Arial"/>
          <w:sz w:val="22"/>
          <w:szCs w:val="22"/>
        </w:rPr>
        <w:t xml:space="preserve">occurred </w:t>
      </w:r>
      <w:r w:rsidR="005B75C0">
        <w:rPr>
          <w:rFonts w:ascii="Arial" w:hAnsi="Arial" w:cs="Arial"/>
          <w:sz w:val="22"/>
          <w:szCs w:val="22"/>
        </w:rPr>
        <w:t xml:space="preserve">in the late afternoon and evening, </w:t>
      </w:r>
      <w:r w:rsidRPr="004076EF">
        <w:rPr>
          <w:rFonts w:ascii="Arial" w:hAnsi="Arial" w:cs="Arial"/>
          <w:sz w:val="22"/>
          <w:szCs w:val="22"/>
        </w:rPr>
        <w:t>between 4</w:t>
      </w:r>
      <w:r w:rsidR="00677F80">
        <w:rPr>
          <w:rFonts w:ascii="Arial" w:hAnsi="Arial" w:cs="Arial"/>
          <w:sz w:val="22"/>
          <w:szCs w:val="22"/>
        </w:rPr>
        <w:t xml:space="preserve"> pm</w:t>
      </w:r>
      <w:r w:rsidRPr="004076EF">
        <w:rPr>
          <w:rFonts w:ascii="Arial" w:hAnsi="Arial" w:cs="Arial"/>
          <w:sz w:val="22"/>
          <w:szCs w:val="22"/>
        </w:rPr>
        <w:t xml:space="preserve"> and 8</w:t>
      </w:r>
      <w:r w:rsidR="005B75C0">
        <w:rPr>
          <w:rFonts w:ascii="Arial" w:hAnsi="Arial" w:cs="Arial"/>
          <w:sz w:val="22"/>
          <w:szCs w:val="22"/>
        </w:rPr>
        <w:t xml:space="preserve"> </w:t>
      </w:r>
      <w:r w:rsidRPr="004076EF">
        <w:rPr>
          <w:rFonts w:ascii="Arial" w:hAnsi="Arial" w:cs="Arial"/>
          <w:sz w:val="22"/>
          <w:szCs w:val="22"/>
        </w:rPr>
        <w:t>pm (19 fatalities)</w:t>
      </w:r>
      <w:r w:rsidR="00820DA1" w:rsidRPr="004076EF">
        <w:rPr>
          <w:rFonts w:ascii="Arial" w:hAnsi="Arial" w:cs="Arial"/>
          <w:sz w:val="22"/>
          <w:szCs w:val="22"/>
        </w:rPr>
        <w:t>.</w:t>
      </w:r>
      <w:r w:rsidR="00306222" w:rsidRPr="004076EF">
        <w:rPr>
          <w:rFonts w:ascii="Arial" w:hAnsi="Arial" w:cs="Arial"/>
          <w:sz w:val="22"/>
          <w:szCs w:val="22"/>
        </w:rPr>
        <w:t xml:space="preserve"> </w:t>
      </w:r>
      <w:r w:rsidR="005B75C0">
        <w:rPr>
          <w:rFonts w:ascii="Arial" w:hAnsi="Arial" w:cs="Arial"/>
          <w:sz w:val="22"/>
          <w:szCs w:val="22"/>
        </w:rPr>
        <w:t>By contrast, h</w:t>
      </w:r>
      <w:r w:rsidR="00306222" w:rsidRPr="004076EF">
        <w:rPr>
          <w:rFonts w:ascii="Arial" w:hAnsi="Arial" w:cs="Arial"/>
          <w:sz w:val="22"/>
          <w:szCs w:val="22"/>
        </w:rPr>
        <w:t xml:space="preserve">alf of </w:t>
      </w:r>
      <w:r w:rsidR="009504F5" w:rsidRPr="004076EF">
        <w:rPr>
          <w:rFonts w:ascii="Arial" w:hAnsi="Arial" w:cs="Arial"/>
          <w:sz w:val="22"/>
          <w:szCs w:val="22"/>
        </w:rPr>
        <w:t xml:space="preserve">the </w:t>
      </w:r>
      <w:r w:rsidR="00306222" w:rsidRPr="004076EF">
        <w:rPr>
          <w:rFonts w:ascii="Arial" w:hAnsi="Arial" w:cs="Arial"/>
          <w:sz w:val="22"/>
          <w:szCs w:val="22"/>
        </w:rPr>
        <w:t xml:space="preserve">fatalities (15) on metro roads occurred </w:t>
      </w:r>
      <w:r w:rsidR="005B75C0">
        <w:rPr>
          <w:rFonts w:ascii="Arial" w:hAnsi="Arial" w:cs="Arial"/>
          <w:sz w:val="22"/>
          <w:szCs w:val="22"/>
        </w:rPr>
        <w:t xml:space="preserve">during the morning, </w:t>
      </w:r>
      <w:r w:rsidR="00306222" w:rsidRPr="004076EF">
        <w:rPr>
          <w:rFonts w:ascii="Arial" w:hAnsi="Arial" w:cs="Arial"/>
          <w:sz w:val="22"/>
          <w:szCs w:val="22"/>
        </w:rPr>
        <w:t>between 4</w:t>
      </w:r>
      <w:r w:rsidR="005B75C0">
        <w:rPr>
          <w:rFonts w:ascii="Arial" w:hAnsi="Arial" w:cs="Arial"/>
          <w:sz w:val="22"/>
          <w:szCs w:val="22"/>
        </w:rPr>
        <w:t xml:space="preserve"> </w:t>
      </w:r>
      <w:r w:rsidR="00306222" w:rsidRPr="004076EF">
        <w:rPr>
          <w:rFonts w:ascii="Arial" w:hAnsi="Arial" w:cs="Arial"/>
          <w:sz w:val="22"/>
          <w:szCs w:val="22"/>
        </w:rPr>
        <w:t>am and midday.</w:t>
      </w:r>
      <w:r w:rsidR="00390CA6" w:rsidRPr="00390CA6">
        <w:rPr>
          <w:noProof/>
        </w:rPr>
        <w:t xml:space="preserve"> </w:t>
      </w:r>
    </w:p>
    <w:p w:rsidR="002E66AC" w:rsidRDefault="00390CA6" w:rsidP="002E66AC">
      <w:pPr>
        <w:spacing w:line="288" w:lineRule="auto"/>
        <w:ind w:left="4395"/>
        <w:rPr>
          <w:rFonts w:ascii="Arial" w:hAnsi="Arial" w:cs="Arial"/>
          <w:b/>
          <w:sz w:val="22"/>
          <w:szCs w:val="22"/>
        </w:rPr>
      </w:pPr>
      <w:r>
        <w:rPr>
          <w:noProof/>
        </w:rPr>
        <w:drawing>
          <wp:anchor distT="0" distB="0" distL="114300" distR="114300" simplePos="0" relativeHeight="251675648" behindDoc="1" locked="0" layoutInCell="1" allowOverlap="1" wp14:anchorId="632A30BC" wp14:editId="649C9395">
            <wp:simplePos x="0" y="0"/>
            <wp:positionH relativeFrom="column">
              <wp:posOffset>0</wp:posOffset>
            </wp:positionH>
            <wp:positionV relativeFrom="paragraph">
              <wp:posOffset>38261</wp:posOffset>
            </wp:positionV>
            <wp:extent cx="2573020" cy="2613025"/>
            <wp:effectExtent l="0" t="0" r="0" b="0"/>
            <wp:wrapNone/>
            <wp:docPr id="1" name="Picture 1" descr="This infographic shows that of the 108 road transport fatalities:&#10;- 19 occurred between 12am and 4am&#10;- 19 occurred between 4am and 8am&#10;- 15 occurred between 8am and 12pm&#10;- 20 occurred between 12pm and 4pm&#10;- 21 occurred between 4pm and 8pm&#10;- 14 occurred between 8pm and 12am" title="Worker fatalities: number by time and location of death, 2013 to 2015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jury wheel_0805201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73020" cy="2613025"/>
                    </a:xfrm>
                    <a:prstGeom prst="rect">
                      <a:avLst/>
                    </a:prstGeom>
                  </pic:spPr>
                </pic:pic>
              </a:graphicData>
            </a:graphic>
            <wp14:sizeRelH relativeFrom="margin">
              <wp14:pctWidth>0</wp14:pctWidth>
            </wp14:sizeRelH>
            <wp14:sizeRelV relativeFrom="margin">
              <wp14:pctHeight>0</wp14:pctHeight>
            </wp14:sizeRelV>
          </wp:anchor>
        </w:drawing>
      </w:r>
      <w:r w:rsidR="002E66AC" w:rsidRPr="00833951">
        <w:rPr>
          <w:rFonts w:ascii="Arial" w:hAnsi="Arial" w:cs="Arial"/>
          <w:b/>
          <w:sz w:val="22"/>
          <w:szCs w:val="22"/>
        </w:rPr>
        <w:t xml:space="preserve">Table </w:t>
      </w:r>
      <w:r w:rsidR="002E66AC">
        <w:rPr>
          <w:rFonts w:ascii="Arial" w:hAnsi="Arial" w:cs="Arial"/>
          <w:b/>
          <w:sz w:val="22"/>
          <w:szCs w:val="22"/>
        </w:rPr>
        <w:t>11</w:t>
      </w:r>
      <w:r w:rsidR="002E66AC" w:rsidRPr="00833951">
        <w:rPr>
          <w:rFonts w:ascii="Arial" w:hAnsi="Arial" w:cs="Arial"/>
          <w:b/>
          <w:sz w:val="22"/>
          <w:szCs w:val="22"/>
        </w:rPr>
        <w:t>: Worker fatalities: number by time and location of death, 2013 to 2015 (combined)</w:t>
      </w:r>
    </w:p>
    <w:tbl>
      <w:tblPr>
        <w:tblW w:w="4845" w:type="dxa"/>
        <w:tblInd w:w="42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Worker fatalities: number by time and location of death, 2013 to 2015 (combined)"/>
        <w:tblDescription w:val="Table 11 shows that the highest number of fatalities on country roads occurred in the late afternoon and evening, between 4 pm and 8 pm (19 fatalities). By contrast, half of the fatalities (15) on metro roads occurred during the morning, between 4 am and midday. "/>
      </w:tblPr>
      <w:tblGrid>
        <w:gridCol w:w="1929"/>
        <w:gridCol w:w="1070"/>
        <w:gridCol w:w="990"/>
        <w:gridCol w:w="856"/>
      </w:tblGrid>
      <w:tr w:rsidR="00390CA6" w:rsidRPr="004711FF" w:rsidTr="00B9194B">
        <w:trPr>
          <w:trHeight w:val="300"/>
          <w:tblHeader/>
        </w:trPr>
        <w:tc>
          <w:tcPr>
            <w:tcW w:w="1929" w:type="dxa"/>
            <w:shd w:val="clear" w:color="auto" w:fill="AF1E2D"/>
            <w:noWrap/>
            <w:vAlign w:val="center"/>
            <w:hideMark/>
          </w:tcPr>
          <w:p w:rsidR="00390CA6" w:rsidRPr="004711FF" w:rsidRDefault="00390CA6" w:rsidP="00390CA6">
            <w:pPr>
              <w:spacing w:before="0" w:after="0"/>
              <w:rPr>
                <w:rFonts w:ascii="Arial" w:hAnsi="Arial" w:cs="Arial"/>
                <w:b/>
                <w:bCs/>
                <w:color w:val="FFFFFF"/>
                <w:sz w:val="22"/>
                <w:szCs w:val="22"/>
              </w:rPr>
            </w:pPr>
            <w:r w:rsidRPr="004711FF">
              <w:rPr>
                <w:rFonts w:ascii="Arial" w:hAnsi="Arial" w:cs="Arial"/>
                <w:b/>
                <w:bCs/>
                <w:color w:val="FFFFFF"/>
                <w:sz w:val="22"/>
                <w:szCs w:val="22"/>
              </w:rPr>
              <w:t>Time of incident</w:t>
            </w:r>
          </w:p>
        </w:tc>
        <w:tc>
          <w:tcPr>
            <w:tcW w:w="1070" w:type="dxa"/>
            <w:shd w:val="clear" w:color="auto" w:fill="AF1E2D"/>
            <w:noWrap/>
            <w:vAlign w:val="center"/>
            <w:hideMark/>
          </w:tcPr>
          <w:p w:rsidR="00390CA6" w:rsidRPr="004711FF" w:rsidRDefault="00390CA6" w:rsidP="00390CA6">
            <w:pPr>
              <w:spacing w:before="0" w:after="0"/>
              <w:rPr>
                <w:rFonts w:ascii="Arial" w:hAnsi="Arial" w:cs="Arial"/>
                <w:b/>
                <w:bCs/>
                <w:color w:val="FFFFFF"/>
                <w:sz w:val="22"/>
                <w:szCs w:val="22"/>
              </w:rPr>
            </w:pPr>
            <w:r w:rsidRPr="004711FF">
              <w:rPr>
                <w:rFonts w:ascii="Arial" w:hAnsi="Arial" w:cs="Arial"/>
                <w:b/>
                <w:bCs/>
                <w:color w:val="FFFFFF"/>
                <w:sz w:val="22"/>
                <w:szCs w:val="22"/>
              </w:rPr>
              <w:t>Country</w:t>
            </w:r>
          </w:p>
        </w:tc>
        <w:tc>
          <w:tcPr>
            <w:tcW w:w="990" w:type="dxa"/>
            <w:shd w:val="clear" w:color="auto" w:fill="AF1E2D"/>
            <w:noWrap/>
            <w:vAlign w:val="center"/>
            <w:hideMark/>
          </w:tcPr>
          <w:p w:rsidR="00390CA6" w:rsidRPr="004711FF" w:rsidRDefault="00390CA6" w:rsidP="00390CA6">
            <w:pPr>
              <w:spacing w:before="0" w:after="0"/>
              <w:rPr>
                <w:rFonts w:ascii="Arial" w:hAnsi="Arial" w:cs="Arial"/>
                <w:b/>
                <w:bCs/>
                <w:color w:val="FFFFFF"/>
                <w:sz w:val="22"/>
                <w:szCs w:val="22"/>
              </w:rPr>
            </w:pPr>
            <w:r w:rsidRPr="004711FF">
              <w:rPr>
                <w:rFonts w:ascii="Arial" w:hAnsi="Arial" w:cs="Arial"/>
                <w:b/>
                <w:bCs/>
                <w:color w:val="FFFFFF"/>
                <w:sz w:val="22"/>
                <w:szCs w:val="22"/>
              </w:rPr>
              <w:t>Metro</w:t>
            </w:r>
          </w:p>
        </w:tc>
        <w:tc>
          <w:tcPr>
            <w:tcW w:w="856" w:type="dxa"/>
            <w:shd w:val="clear" w:color="auto" w:fill="AF1E2D"/>
            <w:noWrap/>
            <w:vAlign w:val="center"/>
            <w:hideMark/>
          </w:tcPr>
          <w:p w:rsidR="00390CA6" w:rsidRPr="004711FF" w:rsidRDefault="00390CA6" w:rsidP="00390CA6">
            <w:pPr>
              <w:spacing w:before="0" w:after="0"/>
              <w:rPr>
                <w:rFonts w:ascii="Arial" w:hAnsi="Arial" w:cs="Arial"/>
                <w:b/>
                <w:bCs/>
                <w:color w:val="FFFFFF"/>
                <w:sz w:val="22"/>
                <w:szCs w:val="22"/>
              </w:rPr>
            </w:pPr>
            <w:r w:rsidRPr="004711FF">
              <w:rPr>
                <w:rFonts w:ascii="Arial" w:hAnsi="Arial" w:cs="Arial"/>
                <w:b/>
                <w:bCs/>
                <w:color w:val="FFFFFF"/>
                <w:sz w:val="22"/>
                <w:szCs w:val="22"/>
              </w:rPr>
              <w:t>Total</w:t>
            </w:r>
          </w:p>
        </w:tc>
      </w:tr>
      <w:tr w:rsidR="00390CA6" w:rsidRPr="004711FF" w:rsidTr="00390CA6">
        <w:trPr>
          <w:trHeight w:val="300"/>
        </w:trPr>
        <w:tc>
          <w:tcPr>
            <w:tcW w:w="1929" w:type="dxa"/>
            <w:shd w:val="clear" w:color="auto" w:fill="auto"/>
            <w:noWrap/>
            <w:vAlign w:val="center"/>
            <w:hideMark/>
          </w:tcPr>
          <w:p w:rsidR="00390CA6" w:rsidRPr="004711FF" w:rsidRDefault="00390CA6" w:rsidP="00390CA6">
            <w:pPr>
              <w:spacing w:before="0" w:after="0"/>
              <w:rPr>
                <w:rFonts w:ascii="Arial" w:hAnsi="Arial" w:cs="Arial"/>
                <w:color w:val="000000"/>
                <w:sz w:val="22"/>
                <w:szCs w:val="22"/>
              </w:rPr>
            </w:pPr>
            <w:r w:rsidRPr="004711FF">
              <w:rPr>
                <w:rFonts w:ascii="Arial" w:hAnsi="Arial" w:cs="Arial"/>
                <w:color w:val="000000"/>
                <w:sz w:val="22"/>
              </w:rPr>
              <w:t>12am to 4am</w:t>
            </w:r>
          </w:p>
        </w:tc>
        <w:tc>
          <w:tcPr>
            <w:tcW w:w="1070" w:type="dxa"/>
            <w:shd w:val="clear" w:color="auto" w:fill="auto"/>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15</w:t>
            </w:r>
          </w:p>
        </w:tc>
        <w:tc>
          <w:tcPr>
            <w:tcW w:w="990" w:type="dxa"/>
            <w:shd w:val="clear" w:color="auto" w:fill="auto"/>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4</w:t>
            </w:r>
          </w:p>
        </w:tc>
        <w:tc>
          <w:tcPr>
            <w:tcW w:w="856" w:type="dxa"/>
            <w:shd w:val="clear" w:color="auto" w:fill="auto"/>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19</w:t>
            </w:r>
          </w:p>
        </w:tc>
      </w:tr>
      <w:tr w:rsidR="00390CA6" w:rsidRPr="004711FF" w:rsidTr="00390CA6">
        <w:trPr>
          <w:trHeight w:val="300"/>
        </w:trPr>
        <w:tc>
          <w:tcPr>
            <w:tcW w:w="1929" w:type="dxa"/>
            <w:shd w:val="clear" w:color="auto" w:fill="F2DBDB" w:themeFill="accent2" w:themeFillTint="33"/>
            <w:noWrap/>
            <w:vAlign w:val="center"/>
            <w:hideMark/>
          </w:tcPr>
          <w:p w:rsidR="00390CA6" w:rsidRPr="004711FF" w:rsidRDefault="00390CA6" w:rsidP="00390CA6">
            <w:pPr>
              <w:spacing w:before="0" w:after="0"/>
              <w:rPr>
                <w:rFonts w:ascii="Arial" w:hAnsi="Arial" w:cs="Arial"/>
                <w:color w:val="000000"/>
                <w:sz w:val="22"/>
                <w:szCs w:val="22"/>
              </w:rPr>
            </w:pPr>
            <w:r w:rsidRPr="004711FF">
              <w:rPr>
                <w:rFonts w:ascii="Arial" w:hAnsi="Arial" w:cs="Arial"/>
                <w:color w:val="000000"/>
                <w:sz w:val="22"/>
              </w:rPr>
              <w:t>4 am to 8am</w:t>
            </w:r>
          </w:p>
        </w:tc>
        <w:tc>
          <w:tcPr>
            <w:tcW w:w="1070" w:type="dxa"/>
            <w:shd w:val="clear" w:color="auto" w:fill="F2DBDB" w:themeFill="accent2" w:themeFillTint="33"/>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11</w:t>
            </w:r>
          </w:p>
        </w:tc>
        <w:tc>
          <w:tcPr>
            <w:tcW w:w="990" w:type="dxa"/>
            <w:shd w:val="clear" w:color="auto" w:fill="F2DBDB" w:themeFill="accent2" w:themeFillTint="33"/>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8</w:t>
            </w:r>
          </w:p>
        </w:tc>
        <w:tc>
          <w:tcPr>
            <w:tcW w:w="856" w:type="dxa"/>
            <w:shd w:val="clear" w:color="auto" w:fill="F2DBDB" w:themeFill="accent2" w:themeFillTint="33"/>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19</w:t>
            </w:r>
          </w:p>
        </w:tc>
      </w:tr>
      <w:tr w:rsidR="00390CA6" w:rsidRPr="004711FF" w:rsidTr="00390CA6">
        <w:trPr>
          <w:trHeight w:val="300"/>
        </w:trPr>
        <w:tc>
          <w:tcPr>
            <w:tcW w:w="1929" w:type="dxa"/>
            <w:shd w:val="clear" w:color="auto" w:fill="auto"/>
            <w:noWrap/>
            <w:vAlign w:val="center"/>
            <w:hideMark/>
          </w:tcPr>
          <w:p w:rsidR="00390CA6" w:rsidRPr="004711FF" w:rsidRDefault="00390CA6" w:rsidP="00390CA6">
            <w:pPr>
              <w:spacing w:before="0" w:after="0"/>
              <w:rPr>
                <w:rFonts w:ascii="Arial" w:hAnsi="Arial" w:cs="Arial"/>
                <w:color w:val="000000"/>
                <w:sz w:val="22"/>
                <w:szCs w:val="22"/>
              </w:rPr>
            </w:pPr>
            <w:r w:rsidRPr="004711FF">
              <w:rPr>
                <w:rFonts w:ascii="Arial" w:hAnsi="Arial" w:cs="Arial"/>
                <w:color w:val="000000"/>
                <w:sz w:val="22"/>
              </w:rPr>
              <w:t>8am to 12pm</w:t>
            </w:r>
          </w:p>
        </w:tc>
        <w:tc>
          <w:tcPr>
            <w:tcW w:w="1070" w:type="dxa"/>
            <w:shd w:val="clear" w:color="auto" w:fill="auto"/>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8</w:t>
            </w:r>
          </w:p>
        </w:tc>
        <w:tc>
          <w:tcPr>
            <w:tcW w:w="990" w:type="dxa"/>
            <w:shd w:val="clear" w:color="auto" w:fill="auto"/>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7</w:t>
            </w:r>
          </w:p>
        </w:tc>
        <w:tc>
          <w:tcPr>
            <w:tcW w:w="856" w:type="dxa"/>
            <w:shd w:val="clear" w:color="auto" w:fill="auto"/>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15</w:t>
            </w:r>
          </w:p>
        </w:tc>
      </w:tr>
      <w:tr w:rsidR="00390CA6" w:rsidRPr="004711FF" w:rsidTr="00390CA6">
        <w:trPr>
          <w:trHeight w:val="300"/>
        </w:trPr>
        <w:tc>
          <w:tcPr>
            <w:tcW w:w="1929" w:type="dxa"/>
            <w:shd w:val="clear" w:color="auto" w:fill="F2DBDB" w:themeFill="accent2" w:themeFillTint="33"/>
            <w:noWrap/>
            <w:vAlign w:val="center"/>
            <w:hideMark/>
          </w:tcPr>
          <w:p w:rsidR="00390CA6" w:rsidRPr="004711FF" w:rsidRDefault="00390CA6" w:rsidP="00390CA6">
            <w:pPr>
              <w:spacing w:before="0" w:after="0"/>
              <w:rPr>
                <w:rFonts w:ascii="Arial" w:hAnsi="Arial" w:cs="Arial"/>
                <w:color w:val="000000"/>
                <w:sz w:val="22"/>
                <w:szCs w:val="22"/>
              </w:rPr>
            </w:pPr>
            <w:r w:rsidRPr="004711FF">
              <w:rPr>
                <w:rFonts w:ascii="Arial" w:hAnsi="Arial" w:cs="Arial"/>
                <w:color w:val="000000"/>
                <w:sz w:val="22"/>
              </w:rPr>
              <w:t>12pm to 4pm</w:t>
            </w:r>
          </w:p>
        </w:tc>
        <w:tc>
          <w:tcPr>
            <w:tcW w:w="1070" w:type="dxa"/>
            <w:shd w:val="clear" w:color="auto" w:fill="F2DBDB" w:themeFill="accent2" w:themeFillTint="33"/>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15</w:t>
            </w:r>
          </w:p>
        </w:tc>
        <w:tc>
          <w:tcPr>
            <w:tcW w:w="990" w:type="dxa"/>
            <w:shd w:val="clear" w:color="auto" w:fill="F2DBDB" w:themeFill="accent2" w:themeFillTint="33"/>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5</w:t>
            </w:r>
          </w:p>
        </w:tc>
        <w:tc>
          <w:tcPr>
            <w:tcW w:w="856" w:type="dxa"/>
            <w:shd w:val="clear" w:color="auto" w:fill="F2DBDB" w:themeFill="accent2" w:themeFillTint="33"/>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20</w:t>
            </w:r>
          </w:p>
        </w:tc>
      </w:tr>
      <w:tr w:rsidR="00390CA6" w:rsidRPr="004711FF" w:rsidTr="00390CA6">
        <w:trPr>
          <w:trHeight w:val="300"/>
        </w:trPr>
        <w:tc>
          <w:tcPr>
            <w:tcW w:w="1929" w:type="dxa"/>
            <w:shd w:val="clear" w:color="auto" w:fill="auto"/>
            <w:noWrap/>
            <w:vAlign w:val="center"/>
            <w:hideMark/>
          </w:tcPr>
          <w:p w:rsidR="00390CA6" w:rsidRPr="004711FF" w:rsidRDefault="00390CA6" w:rsidP="00390CA6">
            <w:pPr>
              <w:spacing w:before="0" w:after="0"/>
              <w:rPr>
                <w:rFonts w:ascii="Arial" w:hAnsi="Arial" w:cs="Arial"/>
                <w:color w:val="000000"/>
                <w:sz w:val="22"/>
                <w:szCs w:val="22"/>
              </w:rPr>
            </w:pPr>
            <w:r w:rsidRPr="004711FF">
              <w:rPr>
                <w:rFonts w:ascii="Arial" w:hAnsi="Arial" w:cs="Arial"/>
                <w:color w:val="000000"/>
                <w:sz w:val="22"/>
              </w:rPr>
              <w:t>4pm to 8pm</w:t>
            </w:r>
          </w:p>
        </w:tc>
        <w:tc>
          <w:tcPr>
            <w:tcW w:w="1070" w:type="dxa"/>
            <w:shd w:val="clear" w:color="auto" w:fill="auto"/>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19</w:t>
            </w:r>
          </w:p>
        </w:tc>
        <w:tc>
          <w:tcPr>
            <w:tcW w:w="990" w:type="dxa"/>
            <w:shd w:val="clear" w:color="auto" w:fill="auto"/>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2</w:t>
            </w:r>
          </w:p>
        </w:tc>
        <w:tc>
          <w:tcPr>
            <w:tcW w:w="856" w:type="dxa"/>
            <w:shd w:val="clear" w:color="auto" w:fill="auto"/>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21</w:t>
            </w:r>
          </w:p>
        </w:tc>
      </w:tr>
      <w:tr w:rsidR="00390CA6" w:rsidRPr="004711FF" w:rsidTr="00390CA6">
        <w:trPr>
          <w:trHeight w:val="315"/>
        </w:trPr>
        <w:tc>
          <w:tcPr>
            <w:tcW w:w="1929" w:type="dxa"/>
            <w:shd w:val="clear" w:color="auto" w:fill="F2DBDB" w:themeFill="accent2" w:themeFillTint="33"/>
            <w:noWrap/>
            <w:vAlign w:val="center"/>
            <w:hideMark/>
          </w:tcPr>
          <w:p w:rsidR="00390CA6" w:rsidRPr="004711FF" w:rsidRDefault="00390CA6" w:rsidP="00390CA6">
            <w:pPr>
              <w:spacing w:before="0" w:after="0"/>
              <w:rPr>
                <w:rFonts w:ascii="Arial" w:hAnsi="Arial" w:cs="Arial"/>
                <w:color w:val="000000"/>
                <w:sz w:val="22"/>
                <w:szCs w:val="22"/>
              </w:rPr>
            </w:pPr>
            <w:r w:rsidRPr="004711FF">
              <w:rPr>
                <w:rFonts w:ascii="Arial" w:hAnsi="Arial" w:cs="Arial"/>
                <w:color w:val="000000"/>
                <w:sz w:val="22"/>
              </w:rPr>
              <w:t>8pm to 12am</w:t>
            </w:r>
          </w:p>
        </w:tc>
        <w:tc>
          <w:tcPr>
            <w:tcW w:w="1070" w:type="dxa"/>
            <w:shd w:val="clear" w:color="auto" w:fill="F2DBDB" w:themeFill="accent2" w:themeFillTint="33"/>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10</w:t>
            </w:r>
          </w:p>
        </w:tc>
        <w:tc>
          <w:tcPr>
            <w:tcW w:w="990" w:type="dxa"/>
            <w:shd w:val="clear" w:color="auto" w:fill="F2DBDB" w:themeFill="accent2" w:themeFillTint="33"/>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4</w:t>
            </w:r>
          </w:p>
        </w:tc>
        <w:tc>
          <w:tcPr>
            <w:tcW w:w="856" w:type="dxa"/>
            <w:shd w:val="clear" w:color="auto" w:fill="F2DBDB" w:themeFill="accent2" w:themeFillTint="33"/>
            <w:noWrap/>
            <w:vAlign w:val="center"/>
            <w:hideMark/>
          </w:tcPr>
          <w:p w:rsidR="00390CA6" w:rsidRPr="004711FF" w:rsidRDefault="00390CA6" w:rsidP="00390CA6">
            <w:pPr>
              <w:spacing w:before="0" w:after="0"/>
              <w:jc w:val="center"/>
              <w:rPr>
                <w:rFonts w:ascii="Arial" w:hAnsi="Arial" w:cs="Arial"/>
                <w:color w:val="000000"/>
                <w:sz w:val="22"/>
                <w:szCs w:val="22"/>
              </w:rPr>
            </w:pPr>
            <w:r w:rsidRPr="004711FF">
              <w:rPr>
                <w:rFonts w:ascii="Arial" w:hAnsi="Arial" w:cs="Arial"/>
                <w:color w:val="000000"/>
                <w:sz w:val="22"/>
              </w:rPr>
              <w:t>14</w:t>
            </w:r>
          </w:p>
        </w:tc>
      </w:tr>
      <w:tr w:rsidR="00390CA6" w:rsidRPr="004711FF" w:rsidTr="00B9194B">
        <w:trPr>
          <w:trHeight w:val="315"/>
        </w:trPr>
        <w:tc>
          <w:tcPr>
            <w:tcW w:w="1929" w:type="dxa"/>
            <w:shd w:val="clear" w:color="auto" w:fill="AF1E2D"/>
            <w:noWrap/>
            <w:vAlign w:val="center"/>
            <w:hideMark/>
          </w:tcPr>
          <w:p w:rsidR="00390CA6" w:rsidRPr="004711FF" w:rsidRDefault="00390CA6" w:rsidP="00390CA6">
            <w:pPr>
              <w:spacing w:before="0" w:after="0"/>
              <w:rPr>
                <w:rFonts w:ascii="Arial" w:hAnsi="Arial" w:cs="Arial"/>
                <w:b/>
                <w:bCs/>
                <w:color w:val="FFFFFF"/>
                <w:sz w:val="22"/>
                <w:szCs w:val="22"/>
              </w:rPr>
            </w:pPr>
            <w:r w:rsidRPr="004711FF">
              <w:rPr>
                <w:rFonts w:ascii="Arial" w:hAnsi="Arial" w:cs="Arial"/>
                <w:b/>
                <w:bCs/>
                <w:color w:val="FFFFFF"/>
                <w:sz w:val="22"/>
                <w:szCs w:val="22"/>
              </w:rPr>
              <w:t>Total</w:t>
            </w:r>
          </w:p>
        </w:tc>
        <w:tc>
          <w:tcPr>
            <w:tcW w:w="1070" w:type="dxa"/>
            <w:shd w:val="clear" w:color="auto" w:fill="AF1E2D"/>
            <w:noWrap/>
            <w:vAlign w:val="center"/>
            <w:hideMark/>
          </w:tcPr>
          <w:p w:rsidR="00390CA6" w:rsidRPr="004711FF" w:rsidRDefault="00390CA6" w:rsidP="00390CA6">
            <w:pPr>
              <w:spacing w:before="0" w:after="0"/>
              <w:jc w:val="center"/>
              <w:rPr>
                <w:rFonts w:ascii="Arial" w:hAnsi="Arial" w:cs="Arial"/>
                <w:b/>
                <w:bCs/>
                <w:color w:val="FFFFFF"/>
                <w:sz w:val="22"/>
                <w:szCs w:val="22"/>
              </w:rPr>
            </w:pPr>
            <w:r w:rsidRPr="004711FF">
              <w:rPr>
                <w:rFonts w:ascii="Arial" w:hAnsi="Arial" w:cs="Arial"/>
                <w:b/>
                <w:bCs/>
                <w:color w:val="FFFFFF"/>
                <w:sz w:val="22"/>
                <w:szCs w:val="22"/>
              </w:rPr>
              <w:t>78</w:t>
            </w:r>
          </w:p>
        </w:tc>
        <w:tc>
          <w:tcPr>
            <w:tcW w:w="990" w:type="dxa"/>
            <w:shd w:val="clear" w:color="auto" w:fill="AF1E2D"/>
            <w:noWrap/>
            <w:vAlign w:val="center"/>
            <w:hideMark/>
          </w:tcPr>
          <w:p w:rsidR="00390CA6" w:rsidRPr="004711FF" w:rsidRDefault="00390CA6" w:rsidP="00390CA6">
            <w:pPr>
              <w:spacing w:before="0" w:after="0"/>
              <w:jc w:val="center"/>
              <w:rPr>
                <w:rFonts w:ascii="Arial" w:hAnsi="Arial" w:cs="Arial"/>
                <w:b/>
                <w:bCs/>
                <w:color w:val="FFFFFF"/>
                <w:sz w:val="22"/>
                <w:szCs w:val="22"/>
              </w:rPr>
            </w:pPr>
            <w:r w:rsidRPr="004711FF">
              <w:rPr>
                <w:rFonts w:ascii="Arial" w:hAnsi="Arial" w:cs="Arial"/>
                <w:b/>
                <w:bCs/>
                <w:color w:val="FFFFFF"/>
                <w:sz w:val="22"/>
                <w:szCs w:val="22"/>
              </w:rPr>
              <w:t>30</w:t>
            </w:r>
          </w:p>
        </w:tc>
        <w:tc>
          <w:tcPr>
            <w:tcW w:w="856" w:type="dxa"/>
            <w:shd w:val="clear" w:color="auto" w:fill="AF1E2D"/>
            <w:noWrap/>
            <w:vAlign w:val="center"/>
            <w:hideMark/>
          </w:tcPr>
          <w:p w:rsidR="00390CA6" w:rsidRPr="004711FF" w:rsidRDefault="00390CA6" w:rsidP="00390CA6">
            <w:pPr>
              <w:spacing w:before="0" w:after="0"/>
              <w:jc w:val="center"/>
              <w:rPr>
                <w:rFonts w:ascii="Arial" w:hAnsi="Arial" w:cs="Arial"/>
                <w:b/>
                <w:bCs/>
                <w:color w:val="FFFFFF"/>
                <w:sz w:val="22"/>
                <w:szCs w:val="22"/>
              </w:rPr>
            </w:pPr>
            <w:r w:rsidRPr="004711FF">
              <w:rPr>
                <w:rFonts w:ascii="Arial" w:hAnsi="Arial" w:cs="Arial"/>
                <w:b/>
                <w:bCs/>
                <w:color w:val="FFFFFF"/>
                <w:sz w:val="22"/>
                <w:szCs w:val="22"/>
              </w:rPr>
              <w:t>108</w:t>
            </w:r>
          </w:p>
        </w:tc>
      </w:tr>
    </w:tbl>
    <w:p w:rsidR="00F9493B" w:rsidRPr="005B75C0" w:rsidRDefault="00F9493B" w:rsidP="00390CA6">
      <w:pPr>
        <w:spacing w:before="1080"/>
        <w:rPr>
          <w:rFonts w:ascii="Arial" w:hAnsi="Arial" w:cs="Arial"/>
          <w:b/>
          <w:color w:val="C10A27"/>
          <w:sz w:val="28"/>
          <w:szCs w:val="24"/>
        </w:rPr>
      </w:pPr>
      <w:r w:rsidRPr="005B75C0">
        <w:rPr>
          <w:rFonts w:ascii="Arial" w:hAnsi="Arial" w:cs="Arial"/>
          <w:b/>
          <w:color w:val="C10A27"/>
          <w:sz w:val="28"/>
          <w:szCs w:val="24"/>
        </w:rPr>
        <w:t xml:space="preserve">Fatalities by </w:t>
      </w:r>
      <w:r w:rsidR="00725B06" w:rsidRPr="005B75C0">
        <w:rPr>
          <w:rFonts w:ascii="Arial" w:hAnsi="Arial" w:cs="Arial"/>
          <w:b/>
          <w:color w:val="C10A27"/>
          <w:sz w:val="28"/>
          <w:szCs w:val="24"/>
        </w:rPr>
        <w:t xml:space="preserve">worker </w:t>
      </w:r>
      <w:r w:rsidR="003B2F3C" w:rsidRPr="005B75C0">
        <w:rPr>
          <w:rFonts w:ascii="Arial" w:hAnsi="Arial" w:cs="Arial"/>
          <w:b/>
          <w:color w:val="C10A27"/>
          <w:sz w:val="28"/>
          <w:szCs w:val="24"/>
        </w:rPr>
        <w:t>activity</w:t>
      </w:r>
      <w:r w:rsidR="00082186" w:rsidRPr="005B75C0">
        <w:rPr>
          <w:rFonts w:ascii="Arial" w:hAnsi="Arial" w:cs="Arial"/>
          <w:b/>
          <w:color w:val="C10A27"/>
          <w:sz w:val="28"/>
          <w:szCs w:val="24"/>
        </w:rPr>
        <w:t xml:space="preserve"> and type of crash</w:t>
      </w:r>
    </w:p>
    <w:p w:rsidR="00802F3E" w:rsidRPr="004076EF" w:rsidRDefault="005B75C0" w:rsidP="005062C6">
      <w:pPr>
        <w:spacing w:line="288" w:lineRule="auto"/>
        <w:rPr>
          <w:rFonts w:ascii="Arial" w:hAnsi="Arial" w:cs="Arial"/>
          <w:sz w:val="22"/>
          <w:szCs w:val="22"/>
        </w:rPr>
      </w:pPr>
      <w:r>
        <w:rPr>
          <w:rFonts w:ascii="Arial" w:hAnsi="Arial" w:cs="Arial"/>
          <w:sz w:val="22"/>
          <w:szCs w:val="22"/>
        </w:rPr>
        <w:t>As shown in Table 1</w:t>
      </w:r>
      <w:r w:rsidR="00554F3C">
        <w:rPr>
          <w:rFonts w:ascii="Arial" w:hAnsi="Arial" w:cs="Arial"/>
          <w:sz w:val="22"/>
          <w:szCs w:val="22"/>
        </w:rPr>
        <w:t>2</w:t>
      </w:r>
      <w:r>
        <w:rPr>
          <w:rFonts w:ascii="Arial" w:hAnsi="Arial" w:cs="Arial"/>
          <w:sz w:val="22"/>
          <w:szCs w:val="22"/>
        </w:rPr>
        <w:t>, a</w:t>
      </w:r>
      <w:r w:rsidR="00802F3E" w:rsidRPr="004076EF">
        <w:rPr>
          <w:rFonts w:ascii="Arial" w:hAnsi="Arial" w:cs="Arial"/>
          <w:sz w:val="22"/>
          <w:szCs w:val="22"/>
        </w:rPr>
        <w:t>lmost</w:t>
      </w:r>
      <w:r w:rsidR="00C73C42" w:rsidRPr="004076EF">
        <w:rPr>
          <w:rFonts w:ascii="Arial" w:hAnsi="Arial" w:cs="Arial"/>
          <w:sz w:val="22"/>
          <w:szCs w:val="22"/>
        </w:rPr>
        <w:t xml:space="preserve"> half (49 fatalities) </w:t>
      </w:r>
      <w:r w:rsidR="00AC1C7E">
        <w:rPr>
          <w:rFonts w:ascii="Arial" w:hAnsi="Arial" w:cs="Arial"/>
          <w:sz w:val="22"/>
          <w:szCs w:val="22"/>
        </w:rPr>
        <w:t>of the 108 R</w:t>
      </w:r>
      <w:r>
        <w:rPr>
          <w:rFonts w:ascii="Arial" w:hAnsi="Arial" w:cs="Arial"/>
          <w:sz w:val="22"/>
          <w:szCs w:val="22"/>
        </w:rPr>
        <w:t xml:space="preserve">oad transport fatalities </w:t>
      </w:r>
      <w:r w:rsidR="00C73C42" w:rsidRPr="004076EF">
        <w:rPr>
          <w:rFonts w:ascii="Arial" w:hAnsi="Arial" w:cs="Arial"/>
          <w:sz w:val="22"/>
          <w:szCs w:val="22"/>
        </w:rPr>
        <w:t>were as a result</w:t>
      </w:r>
      <w:r w:rsidR="00677F80">
        <w:rPr>
          <w:rFonts w:ascii="Arial" w:hAnsi="Arial" w:cs="Arial"/>
          <w:sz w:val="22"/>
          <w:szCs w:val="22"/>
        </w:rPr>
        <w:t xml:space="preserve"> of</w:t>
      </w:r>
      <w:r w:rsidR="00C73C42" w:rsidRPr="004076EF">
        <w:rPr>
          <w:rFonts w:ascii="Arial" w:hAnsi="Arial" w:cs="Arial"/>
          <w:sz w:val="22"/>
          <w:szCs w:val="22"/>
        </w:rPr>
        <w:t xml:space="preserve"> a single vehicle </w:t>
      </w:r>
      <w:r>
        <w:rPr>
          <w:rFonts w:ascii="Arial" w:hAnsi="Arial" w:cs="Arial"/>
          <w:sz w:val="22"/>
          <w:szCs w:val="22"/>
        </w:rPr>
        <w:t>crash,</w:t>
      </w:r>
      <w:r w:rsidR="00312EE0" w:rsidRPr="004076EF">
        <w:rPr>
          <w:rFonts w:ascii="Arial" w:hAnsi="Arial" w:cs="Arial"/>
          <w:sz w:val="22"/>
          <w:szCs w:val="22"/>
        </w:rPr>
        <w:t xml:space="preserve"> with the majority occurring on country roads. </w:t>
      </w:r>
    </w:p>
    <w:p w:rsidR="005B75C0" w:rsidRDefault="001A5243" w:rsidP="005062C6">
      <w:pPr>
        <w:spacing w:line="288" w:lineRule="auto"/>
        <w:rPr>
          <w:rFonts w:ascii="Arial" w:hAnsi="Arial" w:cs="Arial"/>
          <w:sz w:val="22"/>
          <w:szCs w:val="22"/>
        </w:rPr>
      </w:pPr>
      <w:r w:rsidRPr="004076EF">
        <w:rPr>
          <w:rFonts w:ascii="Arial" w:hAnsi="Arial" w:cs="Arial"/>
          <w:sz w:val="22"/>
          <w:szCs w:val="22"/>
        </w:rPr>
        <w:t>There were</w:t>
      </w:r>
      <w:r w:rsidR="00306222" w:rsidRPr="004076EF">
        <w:rPr>
          <w:rFonts w:ascii="Arial" w:hAnsi="Arial" w:cs="Arial"/>
          <w:sz w:val="22"/>
          <w:szCs w:val="22"/>
        </w:rPr>
        <w:t xml:space="preserve"> 36</w:t>
      </w:r>
      <w:r w:rsidR="00C73C42" w:rsidRPr="004076EF">
        <w:rPr>
          <w:rFonts w:ascii="Arial" w:hAnsi="Arial" w:cs="Arial"/>
          <w:sz w:val="22"/>
          <w:szCs w:val="22"/>
        </w:rPr>
        <w:t xml:space="preserve"> </w:t>
      </w:r>
      <w:r w:rsidR="004C53D1" w:rsidRPr="004076EF">
        <w:rPr>
          <w:rFonts w:ascii="Arial" w:hAnsi="Arial" w:cs="Arial"/>
          <w:sz w:val="22"/>
          <w:szCs w:val="22"/>
        </w:rPr>
        <w:t xml:space="preserve">fatalities </w:t>
      </w:r>
      <w:r w:rsidR="00C73C42" w:rsidRPr="004076EF">
        <w:rPr>
          <w:rFonts w:ascii="Arial" w:hAnsi="Arial" w:cs="Arial"/>
          <w:sz w:val="22"/>
          <w:szCs w:val="22"/>
        </w:rPr>
        <w:t>which occurre</w:t>
      </w:r>
      <w:r w:rsidRPr="004076EF">
        <w:rPr>
          <w:rFonts w:ascii="Arial" w:hAnsi="Arial" w:cs="Arial"/>
          <w:sz w:val="22"/>
          <w:szCs w:val="22"/>
        </w:rPr>
        <w:t>d as a result of a multiple vehicle crash</w:t>
      </w:r>
      <w:r w:rsidR="005B75C0">
        <w:rPr>
          <w:rFonts w:ascii="Arial" w:hAnsi="Arial" w:cs="Arial"/>
          <w:sz w:val="22"/>
          <w:szCs w:val="22"/>
        </w:rPr>
        <w:t xml:space="preserve">, of which </w:t>
      </w:r>
      <w:r w:rsidR="004C53D1" w:rsidRPr="004076EF">
        <w:rPr>
          <w:rFonts w:ascii="Arial" w:hAnsi="Arial" w:cs="Arial"/>
          <w:sz w:val="22"/>
          <w:szCs w:val="22"/>
        </w:rPr>
        <w:t>16 (44</w:t>
      </w:r>
      <w:r w:rsidR="005B75C0">
        <w:rPr>
          <w:rFonts w:ascii="Arial" w:hAnsi="Arial" w:cs="Arial"/>
          <w:sz w:val="22"/>
          <w:szCs w:val="22"/>
        </w:rPr>
        <w:t> </w:t>
      </w:r>
      <w:r w:rsidR="004C53D1" w:rsidRPr="004076EF">
        <w:rPr>
          <w:rFonts w:ascii="Arial" w:hAnsi="Arial" w:cs="Arial"/>
          <w:sz w:val="22"/>
          <w:szCs w:val="22"/>
        </w:rPr>
        <w:t>per cent) occurred as a result of</w:t>
      </w:r>
      <w:r w:rsidR="00C73C42" w:rsidRPr="004076EF">
        <w:rPr>
          <w:rFonts w:ascii="Arial" w:hAnsi="Arial" w:cs="Arial"/>
          <w:sz w:val="22"/>
          <w:szCs w:val="22"/>
        </w:rPr>
        <w:t xml:space="preserve"> </w:t>
      </w:r>
      <w:r w:rsidR="006C3D4E" w:rsidRPr="004076EF">
        <w:rPr>
          <w:rFonts w:ascii="Arial" w:hAnsi="Arial" w:cs="Arial"/>
          <w:sz w:val="22"/>
          <w:szCs w:val="22"/>
        </w:rPr>
        <w:t xml:space="preserve">a </w:t>
      </w:r>
      <w:r w:rsidR="004C53D1" w:rsidRPr="004076EF">
        <w:rPr>
          <w:rFonts w:ascii="Arial" w:hAnsi="Arial" w:cs="Arial"/>
          <w:sz w:val="22"/>
          <w:szCs w:val="22"/>
        </w:rPr>
        <w:t>heavy vehicle crashing</w:t>
      </w:r>
      <w:r w:rsidR="00C73C42" w:rsidRPr="004076EF">
        <w:rPr>
          <w:rFonts w:ascii="Arial" w:hAnsi="Arial" w:cs="Arial"/>
          <w:sz w:val="22"/>
          <w:szCs w:val="22"/>
        </w:rPr>
        <w:t xml:space="preserve"> with </w:t>
      </w:r>
      <w:r w:rsidR="006C3D4E" w:rsidRPr="004076EF">
        <w:rPr>
          <w:rFonts w:ascii="Arial" w:hAnsi="Arial" w:cs="Arial"/>
          <w:sz w:val="22"/>
          <w:szCs w:val="22"/>
        </w:rPr>
        <w:t>another heavy vehicle</w:t>
      </w:r>
      <w:r w:rsidR="004C53D1" w:rsidRPr="004076EF">
        <w:rPr>
          <w:rFonts w:ascii="Arial" w:hAnsi="Arial" w:cs="Arial"/>
          <w:sz w:val="22"/>
          <w:szCs w:val="22"/>
        </w:rPr>
        <w:t>. A further eight fatalities occurred when a heavy vehicle crashed into a light vehicle</w:t>
      </w:r>
      <w:r w:rsidR="006C3D4E" w:rsidRPr="004076EF">
        <w:rPr>
          <w:rFonts w:ascii="Arial" w:hAnsi="Arial" w:cs="Arial"/>
          <w:sz w:val="22"/>
          <w:szCs w:val="22"/>
        </w:rPr>
        <w:t xml:space="preserve">. </w:t>
      </w:r>
    </w:p>
    <w:p w:rsidR="004C53D1" w:rsidRPr="004076EF" w:rsidRDefault="005A46F1" w:rsidP="005062C6">
      <w:pPr>
        <w:spacing w:line="288" w:lineRule="auto"/>
        <w:rPr>
          <w:rFonts w:ascii="Arial" w:hAnsi="Arial" w:cs="Arial"/>
          <w:sz w:val="22"/>
          <w:szCs w:val="22"/>
        </w:rPr>
      </w:pPr>
      <w:r w:rsidRPr="004076EF">
        <w:rPr>
          <w:rFonts w:ascii="Arial" w:hAnsi="Arial" w:cs="Arial"/>
          <w:sz w:val="22"/>
          <w:szCs w:val="22"/>
        </w:rPr>
        <w:t>Of the 108 worker fatalities, t</w:t>
      </w:r>
      <w:r w:rsidR="006C3D4E" w:rsidRPr="004076EF">
        <w:rPr>
          <w:rFonts w:ascii="Arial" w:hAnsi="Arial" w:cs="Arial"/>
          <w:sz w:val="22"/>
          <w:szCs w:val="22"/>
        </w:rPr>
        <w:t xml:space="preserve">here have been 23 fatalities as a result of performing </w:t>
      </w:r>
      <w:r w:rsidRPr="004076EF">
        <w:rPr>
          <w:rFonts w:ascii="Arial" w:hAnsi="Arial" w:cs="Arial"/>
          <w:sz w:val="22"/>
          <w:szCs w:val="22"/>
        </w:rPr>
        <w:t>duties</w:t>
      </w:r>
      <w:r w:rsidR="006C3D4E" w:rsidRPr="004076EF">
        <w:rPr>
          <w:rFonts w:ascii="Arial" w:hAnsi="Arial" w:cs="Arial"/>
          <w:sz w:val="22"/>
          <w:szCs w:val="22"/>
        </w:rPr>
        <w:t xml:space="preserve"> </w:t>
      </w:r>
      <w:r w:rsidRPr="004076EF">
        <w:rPr>
          <w:rFonts w:ascii="Arial" w:hAnsi="Arial" w:cs="Arial"/>
          <w:sz w:val="22"/>
          <w:szCs w:val="22"/>
        </w:rPr>
        <w:t>other than</w:t>
      </w:r>
      <w:r w:rsidR="006C3D4E" w:rsidRPr="004076EF">
        <w:rPr>
          <w:rFonts w:ascii="Arial" w:hAnsi="Arial" w:cs="Arial"/>
          <w:sz w:val="22"/>
          <w:szCs w:val="22"/>
        </w:rPr>
        <w:t xml:space="preserve"> driving. </w:t>
      </w:r>
      <w:r w:rsidRPr="004076EF">
        <w:rPr>
          <w:rFonts w:ascii="Arial" w:hAnsi="Arial" w:cs="Arial"/>
          <w:sz w:val="22"/>
          <w:szCs w:val="22"/>
        </w:rPr>
        <w:t>Seven of these</w:t>
      </w:r>
      <w:r w:rsidR="006C3D4E" w:rsidRPr="004076EF">
        <w:rPr>
          <w:rFonts w:ascii="Arial" w:hAnsi="Arial" w:cs="Arial"/>
          <w:sz w:val="22"/>
          <w:szCs w:val="22"/>
        </w:rPr>
        <w:t xml:space="preserve"> fatalities occurred </w:t>
      </w:r>
      <w:r w:rsidRPr="004076EF">
        <w:rPr>
          <w:rFonts w:ascii="Arial" w:hAnsi="Arial" w:cs="Arial"/>
          <w:sz w:val="22"/>
          <w:szCs w:val="22"/>
        </w:rPr>
        <w:t>while the worker was</w:t>
      </w:r>
      <w:r w:rsidR="006C3D4E" w:rsidRPr="004076EF">
        <w:rPr>
          <w:rFonts w:ascii="Arial" w:hAnsi="Arial" w:cs="Arial"/>
          <w:sz w:val="22"/>
          <w:szCs w:val="22"/>
        </w:rPr>
        <w:t xml:space="preserve"> </w:t>
      </w:r>
      <w:r w:rsidRPr="004076EF">
        <w:rPr>
          <w:rFonts w:ascii="Arial" w:hAnsi="Arial" w:cs="Arial"/>
          <w:sz w:val="22"/>
          <w:szCs w:val="22"/>
        </w:rPr>
        <w:t>unloading a vehicle</w:t>
      </w:r>
      <w:r w:rsidR="005B75C0">
        <w:rPr>
          <w:rFonts w:ascii="Arial" w:hAnsi="Arial" w:cs="Arial"/>
          <w:sz w:val="22"/>
          <w:szCs w:val="22"/>
        </w:rPr>
        <w:t xml:space="preserve">, </w:t>
      </w:r>
      <w:r w:rsidRPr="004076EF">
        <w:rPr>
          <w:rFonts w:ascii="Arial" w:hAnsi="Arial" w:cs="Arial"/>
          <w:sz w:val="22"/>
          <w:szCs w:val="22"/>
        </w:rPr>
        <w:t>with</w:t>
      </w:r>
      <w:r w:rsidR="005B75C0">
        <w:rPr>
          <w:rFonts w:ascii="Arial" w:hAnsi="Arial" w:cs="Arial"/>
          <w:sz w:val="22"/>
          <w:szCs w:val="22"/>
        </w:rPr>
        <w:t xml:space="preserve"> three of these occurring </w:t>
      </w:r>
      <w:r w:rsidRPr="004076EF">
        <w:rPr>
          <w:rFonts w:ascii="Arial" w:hAnsi="Arial" w:cs="Arial"/>
          <w:sz w:val="22"/>
          <w:szCs w:val="22"/>
        </w:rPr>
        <w:t>whilst unloading livestock.</w:t>
      </w:r>
    </w:p>
    <w:p w:rsidR="00725B06" w:rsidRPr="004076EF" w:rsidRDefault="00F62DC6" w:rsidP="00564DD2">
      <w:pPr>
        <w:spacing w:line="288" w:lineRule="auto"/>
        <w:rPr>
          <w:rFonts w:ascii="Arial" w:hAnsi="Arial" w:cs="Arial"/>
          <w:sz w:val="22"/>
          <w:szCs w:val="22"/>
        </w:rPr>
      </w:pPr>
      <w:r w:rsidRPr="004076EF">
        <w:rPr>
          <w:rFonts w:ascii="Arial" w:hAnsi="Arial" w:cs="Arial"/>
          <w:sz w:val="22"/>
          <w:szCs w:val="22"/>
        </w:rPr>
        <w:lastRenderedPageBreak/>
        <w:t xml:space="preserve">Of the seven fatalities </w:t>
      </w:r>
      <w:r w:rsidR="005B75C0">
        <w:rPr>
          <w:rFonts w:ascii="Arial" w:hAnsi="Arial" w:cs="Arial"/>
          <w:sz w:val="22"/>
          <w:szCs w:val="22"/>
        </w:rPr>
        <w:t xml:space="preserve">that occurred </w:t>
      </w:r>
      <w:r w:rsidRPr="004076EF">
        <w:rPr>
          <w:rFonts w:ascii="Arial" w:hAnsi="Arial" w:cs="Arial"/>
          <w:sz w:val="22"/>
          <w:szCs w:val="22"/>
        </w:rPr>
        <w:t xml:space="preserve">whilst </w:t>
      </w:r>
      <w:r w:rsidR="005B75C0">
        <w:rPr>
          <w:rFonts w:ascii="Arial" w:hAnsi="Arial" w:cs="Arial"/>
          <w:sz w:val="22"/>
          <w:szCs w:val="22"/>
        </w:rPr>
        <w:t xml:space="preserve">the worker was </w:t>
      </w:r>
      <w:r w:rsidRPr="004076EF">
        <w:rPr>
          <w:rFonts w:ascii="Arial" w:hAnsi="Arial" w:cs="Arial"/>
          <w:sz w:val="22"/>
          <w:szCs w:val="22"/>
        </w:rPr>
        <w:t xml:space="preserve">conducting maintenance on </w:t>
      </w:r>
      <w:r w:rsidR="005B75C0">
        <w:rPr>
          <w:rFonts w:ascii="Arial" w:hAnsi="Arial" w:cs="Arial"/>
          <w:sz w:val="22"/>
          <w:szCs w:val="22"/>
        </w:rPr>
        <w:t>a</w:t>
      </w:r>
      <w:r w:rsidRPr="004076EF">
        <w:rPr>
          <w:rFonts w:ascii="Arial" w:hAnsi="Arial" w:cs="Arial"/>
          <w:sz w:val="22"/>
          <w:szCs w:val="22"/>
        </w:rPr>
        <w:t xml:space="preserve"> vehicle, two workers died whilst checking brakes and three were crushed whilst working underneath the vehicle</w:t>
      </w:r>
      <w:r w:rsidR="001A5243" w:rsidRPr="004076EF">
        <w:rPr>
          <w:rFonts w:ascii="Arial" w:hAnsi="Arial" w:cs="Arial"/>
          <w:sz w:val="22"/>
          <w:szCs w:val="22"/>
        </w:rPr>
        <w:t xml:space="preserve"> primarily due to hydraulic jack failure.</w:t>
      </w:r>
    </w:p>
    <w:p w:rsidR="001A5243" w:rsidRPr="007011AA" w:rsidRDefault="00AE0C6F" w:rsidP="001A5243">
      <w:pPr>
        <w:pStyle w:val="Tableheading"/>
        <w:jc w:val="both"/>
        <w:rPr>
          <w:sz w:val="22"/>
        </w:rPr>
      </w:pPr>
      <w:r w:rsidRPr="007011AA">
        <w:rPr>
          <w:sz w:val="22"/>
        </w:rPr>
        <w:t xml:space="preserve">Table </w:t>
      </w:r>
      <w:r w:rsidR="005B75C0">
        <w:rPr>
          <w:sz w:val="22"/>
        </w:rPr>
        <w:t>1</w:t>
      </w:r>
      <w:r w:rsidR="00554F3C">
        <w:rPr>
          <w:sz w:val="22"/>
        </w:rPr>
        <w:t>2</w:t>
      </w:r>
      <w:r w:rsidR="001A5243" w:rsidRPr="007011AA">
        <w:rPr>
          <w:sz w:val="22"/>
        </w:rPr>
        <w:t xml:space="preserve">: Worker fatalities: number by </w:t>
      </w:r>
      <w:r w:rsidR="006820DA" w:rsidRPr="007011AA">
        <w:rPr>
          <w:sz w:val="22"/>
        </w:rPr>
        <w:t xml:space="preserve">worker activity and </w:t>
      </w:r>
      <w:r w:rsidR="003A585E" w:rsidRPr="007011AA">
        <w:rPr>
          <w:sz w:val="22"/>
        </w:rPr>
        <w:t>type of crash</w:t>
      </w:r>
      <w:r w:rsidR="001A5243" w:rsidRPr="007011AA">
        <w:rPr>
          <w:sz w:val="22"/>
        </w:rPr>
        <w:t xml:space="preserve">, 2013 to 2015 </w:t>
      </w:r>
      <w:r w:rsidR="005B75C0">
        <w:rPr>
          <w:sz w:val="22"/>
        </w:rPr>
        <w:t>(</w:t>
      </w:r>
      <w:r w:rsidR="001A5243" w:rsidRPr="007011AA">
        <w:rPr>
          <w:sz w:val="22"/>
        </w:rPr>
        <w:t>combined</w:t>
      </w:r>
      <w:r w:rsidR="005B75C0">
        <w:rPr>
          <w:sz w:val="22"/>
        </w:rPr>
        <w:t>)</w:t>
      </w:r>
    </w:p>
    <w:tbl>
      <w:tblPr>
        <w:tblW w:w="7103"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Worker fatalities: number by worker activity and type of crash, 2013 to 2015 (combined)"/>
        <w:tblDescription w:val="Table 12 shows that almost half (49 fatalities) of the 108 Road transport fatalities were as a result of a single vehicle crash, with the majority occurring on country roads. A further 36 were a result of a multiple vehicle crash and 23 fatalities were the result of performing duties other than driving. &#10;"/>
      </w:tblPr>
      <w:tblGrid>
        <w:gridCol w:w="2850"/>
        <w:gridCol w:w="1560"/>
        <w:gridCol w:w="1559"/>
        <w:gridCol w:w="1134"/>
      </w:tblGrid>
      <w:tr w:rsidR="007011AA" w:rsidRPr="00C40D10" w:rsidTr="00B9194B">
        <w:trPr>
          <w:trHeight w:val="300"/>
        </w:trPr>
        <w:tc>
          <w:tcPr>
            <w:tcW w:w="2850" w:type="dxa"/>
            <w:shd w:val="clear" w:color="auto" w:fill="AF1E2D"/>
            <w:noWrap/>
            <w:vAlign w:val="center"/>
            <w:hideMark/>
          </w:tcPr>
          <w:p w:rsidR="00C40D10" w:rsidRPr="00C40D10" w:rsidRDefault="00C40D10" w:rsidP="0037001B">
            <w:pPr>
              <w:spacing w:before="0" w:after="0"/>
              <w:jc w:val="center"/>
              <w:rPr>
                <w:rFonts w:ascii="Arial" w:hAnsi="Arial" w:cs="Arial"/>
                <w:b/>
                <w:bCs/>
                <w:color w:val="FFFFFF" w:themeColor="background1"/>
              </w:rPr>
            </w:pPr>
          </w:p>
        </w:tc>
        <w:tc>
          <w:tcPr>
            <w:tcW w:w="1560" w:type="dxa"/>
            <w:shd w:val="clear" w:color="auto" w:fill="AF1E2D"/>
            <w:noWrap/>
            <w:vAlign w:val="center"/>
            <w:hideMark/>
          </w:tcPr>
          <w:p w:rsidR="00C40D10" w:rsidRPr="00C40D10" w:rsidRDefault="00C40D10" w:rsidP="0037001B">
            <w:pPr>
              <w:spacing w:before="0" w:after="0"/>
              <w:jc w:val="center"/>
              <w:rPr>
                <w:rFonts w:ascii="Arial" w:hAnsi="Arial" w:cs="Arial"/>
                <w:b/>
                <w:bCs/>
                <w:color w:val="FFFFFF" w:themeColor="background1"/>
              </w:rPr>
            </w:pPr>
            <w:r w:rsidRPr="00C40D10">
              <w:rPr>
                <w:rFonts w:ascii="Arial" w:hAnsi="Arial" w:cs="Arial"/>
                <w:b/>
                <w:bCs/>
                <w:color w:val="FFFFFF" w:themeColor="background1"/>
              </w:rPr>
              <w:t>Country</w:t>
            </w:r>
          </w:p>
        </w:tc>
        <w:tc>
          <w:tcPr>
            <w:tcW w:w="1559" w:type="dxa"/>
            <w:shd w:val="clear" w:color="auto" w:fill="AF1E2D"/>
            <w:noWrap/>
            <w:vAlign w:val="center"/>
            <w:hideMark/>
          </w:tcPr>
          <w:p w:rsidR="00C40D10" w:rsidRPr="00C40D10" w:rsidRDefault="00C40D10" w:rsidP="0037001B">
            <w:pPr>
              <w:spacing w:before="0" w:after="0"/>
              <w:jc w:val="center"/>
              <w:rPr>
                <w:rFonts w:ascii="Arial" w:hAnsi="Arial" w:cs="Arial"/>
                <w:b/>
                <w:bCs/>
                <w:color w:val="FFFFFF" w:themeColor="background1"/>
              </w:rPr>
            </w:pPr>
            <w:r w:rsidRPr="00C40D10">
              <w:rPr>
                <w:rFonts w:ascii="Arial" w:hAnsi="Arial" w:cs="Arial"/>
                <w:b/>
                <w:bCs/>
                <w:color w:val="FFFFFF" w:themeColor="background1"/>
              </w:rPr>
              <w:t>Metro</w:t>
            </w:r>
          </w:p>
        </w:tc>
        <w:tc>
          <w:tcPr>
            <w:tcW w:w="1134" w:type="dxa"/>
            <w:shd w:val="clear" w:color="auto" w:fill="AF1E2D"/>
            <w:noWrap/>
            <w:vAlign w:val="center"/>
            <w:hideMark/>
          </w:tcPr>
          <w:p w:rsidR="00C40D10" w:rsidRPr="00C40D10" w:rsidRDefault="00C40D10" w:rsidP="0037001B">
            <w:pPr>
              <w:spacing w:before="0" w:after="0"/>
              <w:jc w:val="center"/>
              <w:rPr>
                <w:rFonts w:ascii="Arial" w:hAnsi="Arial" w:cs="Arial"/>
                <w:b/>
                <w:bCs/>
                <w:color w:val="FFFFFF" w:themeColor="background1"/>
              </w:rPr>
            </w:pPr>
            <w:r w:rsidRPr="00C40D10">
              <w:rPr>
                <w:rFonts w:ascii="Arial" w:hAnsi="Arial" w:cs="Arial"/>
                <w:b/>
                <w:bCs/>
                <w:color w:val="FFFFFF" w:themeColor="background1"/>
              </w:rPr>
              <w:t>Total</w:t>
            </w:r>
          </w:p>
        </w:tc>
      </w:tr>
      <w:tr w:rsidR="00C40D10" w:rsidRPr="00C40D10" w:rsidTr="00E9113E">
        <w:trPr>
          <w:trHeight w:val="300"/>
        </w:trPr>
        <w:tc>
          <w:tcPr>
            <w:tcW w:w="2850" w:type="dxa"/>
            <w:shd w:val="clear" w:color="auto" w:fill="E5B8B7" w:themeFill="accent2" w:themeFillTint="66"/>
            <w:noWrap/>
            <w:vAlign w:val="center"/>
            <w:hideMark/>
          </w:tcPr>
          <w:p w:rsidR="00C40D10" w:rsidRPr="00C40D10" w:rsidRDefault="00C40D10" w:rsidP="0037001B">
            <w:pPr>
              <w:spacing w:before="0" w:after="0"/>
              <w:rPr>
                <w:rFonts w:ascii="Arial" w:hAnsi="Arial" w:cs="Arial"/>
                <w:color w:val="000000"/>
              </w:rPr>
            </w:pPr>
            <w:r w:rsidRPr="00C40D10">
              <w:rPr>
                <w:rFonts w:ascii="Arial" w:hAnsi="Arial" w:cs="Arial"/>
                <w:color w:val="000000"/>
              </w:rPr>
              <w:t>Single vehicle crash</w:t>
            </w:r>
          </w:p>
        </w:tc>
        <w:tc>
          <w:tcPr>
            <w:tcW w:w="1560" w:type="dxa"/>
            <w:shd w:val="clear" w:color="auto" w:fill="E5B8B7" w:themeFill="accent2" w:themeFillTint="66"/>
            <w:noWrap/>
            <w:vAlign w:val="center"/>
            <w:hideMark/>
          </w:tcPr>
          <w:p w:rsidR="00C40D10" w:rsidRPr="00C40D10" w:rsidRDefault="00C40D10" w:rsidP="007011AA">
            <w:pPr>
              <w:spacing w:before="0" w:after="0"/>
              <w:jc w:val="center"/>
              <w:rPr>
                <w:rFonts w:ascii="Arial" w:hAnsi="Arial" w:cs="Arial"/>
                <w:color w:val="000000"/>
              </w:rPr>
            </w:pPr>
            <w:r w:rsidRPr="00C40D10">
              <w:rPr>
                <w:rFonts w:ascii="Arial" w:hAnsi="Arial" w:cs="Arial"/>
                <w:color w:val="000000"/>
              </w:rPr>
              <w:t>40</w:t>
            </w:r>
          </w:p>
        </w:tc>
        <w:tc>
          <w:tcPr>
            <w:tcW w:w="1559" w:type="dxa"/>
            <w:shd w:val="clear" w:color="auto" w:fill="E5B8B7" w:themeFill="accent2" w:themeFillTint="66"/>
            <w:noWrap/>
            <w:vAlign w:val="center"/>
            <w:hideMark/>
          </w:tcPr>
          <w:p w:rsidR="00C40D10" w:rsidRPr="00C40D10" w:rsidRDefault="00C40D10" w:rsidP="007011AA">
            <w:pPr>
              <w:spacing w:before="0" w:after="0"/>
              <w:jc w:val="center"/>
              <w:rPr>
                <w:rFonts w:ascii="Arial" w:hAnsi="Arial" w:cs="Arial"/>
                <w:color w:val="000000"/>
              </w:rPr>
            </w:pPr>
            <w:r w:rsidRPr="00C40D10">
              <w:rPr>
                <w:rFonts w:ascii="Arial" w:hAnsi="Arial" w:cs="Arial"/>
                <w:color w:val="000000"/>
              </w:rPr>
              <w:t>9</w:t>
            </w:r>
          </w:p>
        </w:tc>
        <w:tc>
          <w:tcPr>
            <w:tcW w:w="1134" w:type="dxa"/>
            <w:shd w:val="clear" w:color="auto" w:fill="E5B8B7" w:themeFill="accent2" w:themeFillTint="66"/>
            <w:noWrap/>
            <w:vAlign w:val="center"/>
            <w:hideMark/>
          </w:tcPr>
          <w:p w:rsidR="00C40D10" w:rsidRPr="00C40D10" w:rsidRDefault="00C40D10" w:rsidP="007011AA">
            <w:pPr>
              <w:spacing w:before="0" w:after="0"/>
              <w:jc w:val="center"/>
              <w:rPr>
                <w:rFonts w:ascii="Arial" w:hAnsi="Arial" w:cs="Arial"/>
                <w:color w:val="000000"/>
              </w:rPr>
            </w:pPr>
            <w:r w:rsidRPr="00C40D10">
              <w:rPr>
                <w:rFonts w:ascii="Arial" w:hAnsi="Arial" w:cs="Arial"/>
                <w:color w:val="000000"/>
              </w:rPr>
              <w:t>49</w:t>
            </w:r>
          </w:p>
        </w:tc>
      </w:tr>
      <w:tr w:rsidR="00C40D10" w:rsidRPr="00C40D10" w:rsidTr="00E9113E">
        <w:trPr>
          <w:trHeight w:val="300"/>
        </w:trPr>
        <w:tc>
          <w:tcPr>
            <w:tcW w:w="2850" w:type="dxa"/>
            <w:shd w:val="clear" w:color="auto" w:fill="auto"/>
            <w:noWrap/>
            <w:vAlign w:val="center"/>
            <w:hideMark/>
          </w:tcPr>
          <w:p w:rsidR="00C40D10" w:rsidRPr="00C40D10" w:rsidRDefault="00C40D10" w:rsidP="0037001B">
            <w:pPr>
              <w:spacing w:before="0" w:after="0"/>
              <w:rPr>
                <w:rFonts w:ascii="Arial" w:hAnsi="Arial" w:cs="Arial"/>
                <w:color w:val="000000"/>
              </w:rPr>
            </w:pPr>
            <w:r w:rsidRPr="00C40D10">
              <w:rPr>
                <w:rFonts w:ascii="Arial" w:hAnsi="Arial" w:cs="Arial"/>
                <w:color w:val="000000"/>
              </w:rPr>
              <w:t>Multiple vehicle crash</w:t>
            </w:r>
          </w:p>
        </w:tc>
        <w:tc>
          <w:tcPr>
            <w:tcW w:w="1560" w:type="dxa"/>
            <w:shd w:val="clear" w:color="auto" w:fill="auto"/>
            <w:noWrap/>
            <w:vAlign w:val="center"/>
            <w:hideMark/>
          </w:tcPr>
          <w:p w:rsidR="00C40D10" w:rsidRPr="00C40D10" w:rsidRDefault="00C40D10" w:rsidP="007011AA">
            <w:pPr>
              <w:spacing w:before="0" w:after="0"/>
              <w:jc w:val="center"/>
              <w:rPr>
                <w:rFonts w:ascii="Arial" w:hAnsi="Arial" w:cs="Arial"/>
                <w:color w:val="000000"/>
              </w:rPr>
            </w:pPr>
            <w:r w:rsidRPr="00C40D10">
              <w:rPr>
                <w:rFonts w:ascii="Arial" w:hAnsi="Arial" w:cs="Arial"/>
                <w:color w:val="000000"/>
              </w:rPr>
              <w:t>29</w:t>
            </w:r>
          </w:p>
        </w:tc>
        <w:tc>
          <w:tcPr>
            <w:tcW w:w="1559" w:type="dxa"/>
            <w:shd w:val="clear" w:color="auto" w:fill="auto"/>
            <w:noWrap/>
            <w:vAlign w:val="center"/>
            <w:hideMark/>
          </w:tcPr>
          <w:p w:rsidR="00C40D10" w:rsidRPr="00C40D10" w:rsidRDefault="00C40D10" w:rsidP="007011AA">
            <w:pPr>
              <w:spacing w:before="0" w:after="0"/>
              <w:jc w:val="center"/>
              <w:rPr>
                <w:rFonts w:ascii="Arial" w:hAnsi="Arial" w:cs="Arial"/>
                <w:color w:val="000000"/>
              </w:rPr>
            </w:pPr>
            <w:r w:rsidRPr="00C40D10">
              <w:rPr>
                <w:rFonts w:ascii="Arial" w:hAnsi="Arial" w:cs="Arial"/>
                <w:color w:val="000000"/>
              </w:rPr>
              <w:t>7</w:t>
            </w:r>
          </w:p>
        </w:tc>
        <w:tc>
          <w:tcPr>
            <w:tcW w:w="1134" w:type="dxa"/>
            <w:shd w:val="clear" w:color="auto" w:fill="auto"/>
            <w:noWrap/>
            <w:vAlign w:val="center"/>
            <w:hideMark/>
          </w:tcPr>
          <w:p w:rsidR="00C40D10" w:rsidRPr="00C40D10" w:rsidRDefault="00C40D10" w:rsidP="007011AA">
            <w:pPr>
              <w:spacing w:before="0" w:after="0"/>
              <w:jc w:val="center"/>
              <w:rPr>
                <w:rFonts w:ascii="Arial" w:hAnsi="Arial" w:cs="Arial"/>
                <w:color w:val="000000"/>
              </w:rPr>
            </w:pPr>
            <w:r w:rsidRPr="00C40D10">
              <w:rPr>
                <w:rFonts w:ascii="Arial" w:hAnsi="Arial" w:cs="Arial"/>
                <w:color w:val="000000"/>
              </w:rPr>
              <w:t>36</w:t>
            </w:r>
          </w:p>
        </w:tc>
      </w:tr>
      <w:tr w:rsidR="00C40D10" w:rsidRPr="00C40D10" w:rsidTr="00E9113E">
        <w:trPr>
          <w:trHeight w:val="300"/>
        </w:trPr>
        <w:tc>
          <w:tcPr>
            <w:tcW w:w="2850" w:type="dxa"/>
            <w:shd w:val="clear" w:color="auto" w:fill="E5B8B7" w:themeFill="accent2" w:themeFillTint="66"/>
            <w:noWrap/>
            <w:vAlign w:val="center"/>
            <w:hideMark/>
          </w:tcPr>
          <w:p w:rsidR="00C40D10" w:rsidRPr="00C40D10" w:rsidRDefault="00C40D10" w:rsidP="0037001B">
            <w:pPr>
              <w:spacing w:before="0" w:after="0"/>
              <w:rPr>
                <w:rFonts w:ascii="Arial" w:hAnsi="Arial" w:cs="Arial"/>
                <w:color w:val="000000"/>
              </w:rPr>
            </w:pPr>
            <w:r w:rsidRPr="00C40D10">
              <w:rPr>
                <w:rFonts w:ascii="Arial" w:hAnsi="Arial" w:cs="Arial"/>
                <w:color w:val="000000"/>
              </w:rPr>
              <w:t>No crash</w:t>
            </w:r>
          </w:p>
        </w:tc>
        <w:tc>
          <w:tcPr>
            <w:tcW w:w="1560" w:type="dxa"/>
            <w:shd w:val="clear" w:color="auto" w:fill="E5B8B7" w:themeFill="accent2" w:themeFillTint="66"/>
            <w:noWrap/>
            <w:vAlign w:val="center"/>
            <w:hideMark/>
          </w:tcPr>
          <w:p w:rsidR="00C40D10" w:rsidRPr="00C40D10" w:rsidRDefault="00C40D10" w:rsidP="007011AA">
            <w:pPr>
              <w:spacing w:before="0" w:after="0"/>
              <w:jc w:val="center"/>
              <w:rPr>
                <w:rFonts w:ascii="Arial" w:hAnsi="Arial" w:cs="Arial"/>
                <w:color w:val="000000"/>
              </w:rPr>
            </w:pPr>
            <w:r w:rsidRPr="00C40D10">
              <w:rPr>
                <w:rFonts w:ascii="Arial" w:hAnsi="Arial" w:cs="Arial"/>
                <w:color w:val="000000"/>
              </w:rPr>
              <w:t>9</w:t>
            </w:r>
          </w:p>
        </w:tc>
        <w:tc>
          <w:tcPr>
            <w:tcW w:w="1559" w:type="dxa"/>
            <w:shd w:val="clear" w:color="auto" w:fill="E5B8B7" w:themeFill="accent2" w:themeFillTint="66"/>
            <w:noWrap/>
            <w:vAlign w:val="center"/>
            <w:hideMark/>
          </w:tcPr>
          <w:p w:rsidR="00C40D10" w:rsidRPr="00C40D10" w:rsidRDefault="00C40D10" w:rsidP="007011AA">
            <w:pPr>
              <w:spacing w:before="0" w:after="0"/>
              <w:jc w:val="center"/>
              <w:rPr>
                <w:rFonts w:ascii="Arial" w:hAnsi="Arial" w:cs="Arial"/>
                <w:color w:val="000000"/>
              </w:rPr>
            </w:pPr>
            <w:r w:rsidRPr="00C40D10">
              <w:rPr>
                <w:rFonts w:ascii="Arial" w:hAnsi="Arial" w:cs="Arial"/>
                <w:color w:val="000000"/>
              </w:rPr>
              <w:t>14</w:t>
            </w:r>
          </w:p>
        </w:tc>
        <w:tc>
          <w:tcPr>
            <w:tcW w:w="1134" w:type="dxa"/>
            <w:shd w:val="clear" w:color="auto" w:fill="E5B8B7" w:themeFill="accent2" w:themeFillTint="66"/>
            <w:noWrap/>
            <w:vAlign w:val="center"/>
            <w:hideMark/>
          </w:tcPr>
          <w:p w:rsidR="00C40D10" w:rsidRPr="00C40D10" w:rsidRDefault="00C40D10" w:rsidP="007011AA">
            <w:pPr>
              <w:spacing w:before="0" w:after="0"/>
              <w:jc w:val="center"/>
              <w:rPr>
                <w:rFonts w:ascii="Arial" w:hAnsi="Arial" w:cs="Arial"/>
                <w:color w:val="000000"/>
              </w:rPr>
            </w:pPr>
            <w:r w:rsidRPr="00C40D10">
              <w:rPr>
                <w:rFonts w:ascii="Arial" w:hAnsi="Arial" w:cs="Arial"/>
                <w:color w:val="000000"/>
              </w:rPr>
              <w:t>23</w:t>
            </w:r>
          </w:p>
        </w:tc>
      </w:tr>
      <w:tr w:rsidR="00C40D10" w:rsidRPr="00C40D10" w:rsidTr="00E9113E">
        <w:trPr>
          <w:trHeight w:val="300"/>
        </w:trPr>
        <w:tc>
          <w:tcPr>
            <w:tcW w:w="2850" w:type="dxa"/>
            <w:shd w:val="clear" w:color="auto" w:fill="auto"/>
            <w:noWrap/>
            <w:vAlign w:val="center"/>
            <w:hideMark/>
          </w:tcPr>
          <w:p w:rsidR="00C40D10" w:rsidRPr="00C40D10" w:rsidRDefault="00C40D10" w:rsidP="0037001B">
            <w:pPr>
              <w:spacing w:before="0" w:after="0"/>
              <w:rPr>
                <w:rFonts w:ascii="Arial" w:hAnsi="Arial" w:cs="Arial"/>
                <w:i/>
                <w:iCs/>
                <w:color w:val="000000"/>
              </w:rPr>
            </w:pPr>
            <w:r w:rsidRPr="00C40D10">
              <w:rPr>
                <w:rFonts w:ascii="Arial" w:hAnsi="Arial" w:cs="Arial"/>
                <w:i/>
                <w:iCs/>
                <w:color w:val="000000"/>
              </w:rPr>
              <w:t xml:space="preserve">   Unloading/loading</w:t>
            </w:r>
          </w:p>
        </w:tc>
        <w:tc>
          <w:tcPr>
            <w:tcW w:w="1560" w:type="dxa"/>
            <w:shd w:val="clear" w:color="auto" w:fill="auto"/>
            <w:noWrap/>
            <w:vAlign w:val="center"/>
            <w:hideMark/>
          </w:tcPr>
          <w:p w:rsidR="00C40D10" w:rsidRPr="00C40D10" w:rsidRDefault="00C40D10" w:rsidP="007011AA">
            <w:pPr>
              <w:spacing w:before="0" w:after="0"/>
              <w:jc w:val="center"/>
              <w:rPr>
                <w:rFonts w:ascii="Arial" w:hAnsi="Arial" w:cs="Arial"/>
                <w:i/>
                <w:iCs/>
                <w:color w:val="000000"/>
              </w:rPr>
            </w:pPr>
            <w:r w:rsidRPr="00C40D10">
              <w:rPr>
                <w:rFonts w:ascii="Arial" w:hAnsi="Arial" w:cs="Arial"/>
                <w:i/>
                <w:iCs/>
                <w:color w:val="000000"/>
              </w:rPr>
              <w:t>5</w:t>
            </w:r>
          </w:p>
        </w:tc>
        <w:tc>
          <w:tcPr>
            <w:tcW w:w="1559" w:type="dxa"/>
            <w:shd w:val="clear" w:color="auto" w:fill="auto"/>
            <w:noWrap/>
            <w:vAlign w:val="center"/>
            <w:hideMark/>
          </w:tcPr>
          <w:p w:rsidR="00C40D10" w:rsidRPr="00C40D10" w:rsidRDefault="00C40D10" w:rsidP="007011AA">
            <w:pPr>
              <w:spacing w:before="0" w:after="0"/>
              <w:jc w:val="center"/>
              <w:rPr>
                <w:rFonts w:ascii="Arial" w:hAnsi="Arial" w:cs="Arial"/>
                <w:i/>
                <w:iCs/>
                <w:color w:val="000000"/>
              </w:rPr>
            </w:pPr>
            <w:r w:rsidRPr="00C40D10">
              <w:rPr>
                <w:rFonts w:ascii="Arial" w:hAnsi="Arial" w:cs="Arial"/>
                <w:i/>
                <w:iCs/>
                <w:color w:val="000000"/>
              </w:rPr>
              <w:t>8</w:t>
            </w:r>
          </w:p>
        </w:tc>
        <w:tc>
          <w:tcPr>
            <w:tcW w:w="1134" w:type="dxa"/>
            <w:shd w:val="clear" w:color="auto" w:fill="auto"/>
            <w:noWrap/>
            <w:vAlign w:val="center"/>
            <w:hideMark/>
          </w:tcPr>
          <w:p w:rsidR="00C40D10" w:rsidRPr="00C40D10" w:rsidRDefault="00C40D10" w:rsidP="007011AA">
            <w:pPr>
              <w:spacing w:before="0" w:after="0"/>
              <w:jc w:val="center"/>
              <w:rPr>
                <w:rFonts w:ascii="Arial" w:hAnsi="Arial" w:cs="Arial"/>
                <w:i/>
                <w:iCs/>
                <w:color w:val="000000"/>
              </w:rPr>
            </w:pPr>
            <w:r w:rsidRPr="00C40D10">
              <w:rPr>
                <w:rFonts w:ascii="Arial" w:hAnsi="Arial" w:cs="Arial"/>
                <w:i/>
                <w:iCs/>
                <w:color w:val="000000"/>
              </w:rPr>
              <w:t>13</w:t>
            </w:r>
          </w:p>
        </w:tc>
      </w:tr>
      <w:tr w:rsidR="00C40D10" w:rsidRPr="00C40D10" w:rsidTr="00E9113E">
        <w:trPr>
          <w:trHeight w:val="300"/>
        </w:trPr>
        <w:tc>
          <w:tcPr>
            <w:tcW w:w="2850" w:type="dxa"/>
            <w:shd w:val="clear" w:color="auto" w:fill="F2DBDB" w:themeFill="accent2" w:themeFillTint="33"/>
            <w:noWrap/>
            <w:vAlign w:val="center"/>
            <w:hideMark/>
          </w:tcPr>
          <w:p w:rsidR="00C40D10" w:rsidRPr="00C40D10" w:rsidRDefault="00C40D10" w:rsidP="0037001B">
            <w:pPr>
              <w:spacing w:before="0" w:after="0"/>
              <w:rPr>
                <w:rFonts w:ascii="Arial" w:hAnsi="Arial" w:cs="Arial"/>
                <w:i/>
                <w:iCs/>
                <w:color w:val="000000"/>
              </w:rPr>
            </w:pPr>
            <w:r w:rsidRPr="00C40D10">
              <w:rPr>
                <w:rFonts w:ascii="Arial" w:hAnsi="Arial" w:cs="Arial"/>
                <w:i/>
                <w:iCs/>
                <w:color w:val="000000"/>
              </w:rPr>
              <w:t xml:space="preserve">   Vehicle maintenance</w:t>
            </w:r>
          </w:p>
        </w:tc>
        <w:tc>
          <w:tcPr>
            <w:tcW w:w="1560" w:type="dxa"/>
            <w:shd w:val="clear" w:color="auto" w:fill="F2DBDB" w:themeFill="accent2" w:themeFillTint="33"/>
            <w:noWrap/>
            <w:vAlign w:val="center"/>
            <w:hideMark/>
          </w:tcPr>
          <w:p w:rsidR="00C40D10" w:rsidRPr="00C40D10" w:rsidRDefault="00C40D10" w:rsidP="007011AA">
            <w:pPr>
              <w:spacing w:before="0" w:after="0"/>
              <w:jc w:val="center"/>
              <w:rPr>
                <w:rFonts w:ascii="Arial" w:hAnsi="Arial" w:cs="Arial"/>
                <w:i/>
                <w:iCs/>
                <w:color w:val="000000"/>
              </w:rPr>
            </w:pPr>
            <w:r w:rsidRPr="00C40D10">
              <w:rPr>
                <w:rFonts w:ascii="Arial" w:hAnsi="Arial" w:cs="Arial"/>
                <w:i/>
                <w:iCs/>
                <w:color w:val="000000"/>
              </w:rPr>
              <w:t>3</w:t>
            </w:r>
          </w:p>
        </w:tc>
        <w:tc>
          <w:tcPr>
            <w:tcW w:w="1559" w:type="dxa"/>
            <w:shd w:val="clear" w:color="auto" w:fill="F2DBDB" w:themeFill="accent2" w:themeFillTint="33"/>
            <w:noWrap/>
            <w:vAlign w:val="center"/>
            <w:hideMark/>
          </w:tcPr>
          <w:p w:rsidR="00C40D10" w:rsidRPr="00C40D10" w:rsidRDefault="00C40D10" w:rsidP="007011AA">
            <w:pPr>
              <w:spacing w:before="0" w:after="0"/>
              <w:jc w:val="center"/>
              <w:rPr>
                <w:rFonts w:ascii="Arial" w:hAnsi="Arial" w:cs="Arial"/>
                <w:i/>
                <w:iCs/>
                <w:color w:val="000000"/>
              </w:rPr>
            </w:pPr>
            <w:r w:rsidRPr="00C40D10">
              <w:rPr>
                <w:rFonts w:ascii="Arial" w:hAnsi="Arial" w:cs="Arial"/>
                <w:i/>
                <w:iCs/>
                <w:color w:val="000000"/>
              </w:rPr>
              <w:t>4</w:t>
            </w:r>
          </w:p>
        </w:tc>
        <w:tc>
          <w:tcPr>
            <w:tcW w:w="1134" w:type="dxa"/>
            <w:shd w:val="clear" w:color="auto" w:fill="F2DBDB" w:themeFill="accent2" w:themeFillTint="33"/>
            <w:noWrap/>
            <w:vAlign w:val="center"/>
            <w:hideMark/>
          </w:tcPr>
          <w:p w:rsidR="00C40D10" w:rsidRPr="00C40D10" w:rsidRDefault="00C40D10" w:rsidP="007011AA">
            <w:pPr>
              <w:spacing w:before="0" w:after="0"/>
              <w:jc w:val="center"/>
              <w:rPr>
                <w:rFonts w:ascii="Arial" w:hAnsi="Arial" w:cs="Arial"/>
                <w:i/>
                <w:iCs/>
                <w:color w:val="000000"/>
              </w:rPr>
            </w:pPr>
            <w:r w:rsidRPr="00C40D10">
              <w:rPr>
                <w:rFonts w:ascii="Arial" w:hAnsi="Arial" w:cs="Arial"/>
                <w:i/>
                <w:iCs/>
                <w:color w:val="000000"/>
              </w:rPr>
              <w:t>7</w:t>
            </w:r>
          </w:p>
        </w:tc>
      </w:tr>
      <w:tr w:rsidR="00C40D10" w:rsidRPr="00C40D10" w:rsidTr="00E9113E">
        <w:trPr>
          <w:trHeight w:val="300"/>
        </w:trPr>
        <w:tc>
          <w:tcPr>
            <w:tcW w:w="2850" w:type="dxa"/>
            <w:shd w:val="clear" w:color="auto" w:fill="auto"/>
            <w:noWrap/>
            <w:vAlign w:val="center"/>
            <w:hideMark/>
          </w:tcPr>
          <w:p w:rsidR="00C40D10" w:rsidRPr="00C40D10" w:rsidRDefault="00C40D10" w:rsidP="0037001B">
            <w:pPr>
              <w:spacing w:before="0" w:after="0"/>
              <w:rPr>
                <w:rFonts w:ascii="Arial" w:hAnsi="Arial" w:cs="Arial"/>
                <w:i/>
                <w:iCs/>
                <w:color w:val="000000"/>
              </w:rPr>
            </w:pPr>
            <w:r w:rsidRPr="00C40D10">
              <w:rPr>
                <w:rFonts w:ascii="Arial" w:hAnsi="Arial" w:cs="Arial"/>
                <w:i/>
                <w:iCs/>
                <w:color w:val="000000"/>
              </w:rPr>
              <w:t xml:space="preserve">   Worker on foot</w:t>
            </w:r>
          </w:p>
        </w:tc>
        <w:tc>
          <w:tcPr>
            <w:tcW w:w="1560" w:type="dxa"/>
            <w:shd w:val="clear" w:color="auto" w:fill="auto"/>
            <w:noWrap/>
            <w:vAlign w:val="center"/>
            <w:hideMark/>
          </w:tcPr>
          <w:p w:rsidR="00C40D10" w:rsidRPr="00C40D10" w:rsidRDefault="00C40D10" w:rsidP="007011AA">
            <w:pPr>
              <w:spacing w:before="0" w:after="0"/>
              <w:jc w:val="center"/>
              <w:rPr>
                <w:rFonts w:ascii="Arial" w:hAnsi="Arial" w:cs="Arial"/>
                <w:i/>
                <w:iCs/>
                <w:color w:val="000000"/>
              </w:rPr>
            </w:pPr>
            <w:r w:rsidRPr="00C40D10">
              <w:rPr>
                <w:rFonts w:ascii="Arial" w:hAnsi="Arial" w:cs="Arial"/>
                <w:i/>
                <w:iCs/>
                <w:color w:val="000000"/>
              </w:rPr>
              <w:t>1</w:t>
            </w:r>
          </w:p>
        </w:tc>
        <w:tc>
          <w:tcPr>
            <w:tcW w:w="1559" w:type="dxa"/>
            <w:shd w:val="clear" w:color="auto" w:fill="auto"/>
            <w:noWrap/>
            <w:vAlign w:val="center"/>
            <w:hideMark/>
          </w:tcPr>
          <w:p w:rsidR="00C40D10" w:rsidRPr="00C40D10" w:rsidRDefault="00C40D10" w:rsidP="007011AA">
            <w:pPr>
              <w:spacing w:before="0" w:after="0"/>
              <w:jc w:val="center"/>
              <w:rPr>
                <w:rFonts w:ascii="Arial" w:hAnsi="Arial" w:cs="Arial"/>
                <w:i/>
                <w:iCs/>
                <w:color w:val="000000"/>
              </w:rPr>
            </w:pPr>
            <w:r w:rsidRPr="00C40D10">
              <w:rPr>
                <w:rFonts w:ascii="Arial" w:hAnsi="Arial" w:cs="Arial"/>
                <w:i/>
                <w:iCs/>
                <w:color w:val="000000"/>
              </w:rPr>
              <w:t>2</w:t>
            </w:r>
          </w:p>
        </w:tc>
        <w:tc>
          <w:tcPr>
            <w:tcW w:w="1134" w:type="dxa"/>
            <w:shd w:val="clear" w:color="auto" w:fill="auto"/>
            <w:noWrap/>
            <w:vAlign w:val="center"/>
            <w:hideMark/>
          </w:tcPr>
          <w:p w:rsidR="00C40D10" w:rsidRPr="00C40D10" w:rsidRDefault="00C40D10" w:rsidP="007011AA">
            <w:pPr>
              <w:spacing w:before="0" w:after="0"/>
              <w:jc w:val="center"/>
              <w:rPr>
                <w:rFonts w:ascii="Arial" w:hAnsi="Arial" w:cs="Arial"/>
                <w:i/>
                <w:iCs/>
                <w:color w:val="000000"/>
              </w:rPr>
            </w:pPr>
            <w:r w:rsidRPr="00C40D10">
              <w:rPr>
                <w:rFonts w:ascii="Arial" w:hAnsi="Arial" w:cs="Arial"/>
                <w:i/>
                <w:iCs/>
                <w:color w:val="000000"/>
              </w:rPr>
              <w:t>3</w:t>
            </w:r>
          </w:p>
        </w:tc>
      </w:tr>
      <w:tr w:rsidR="0037001B" w:rsidRPr="00C40D10" w:rsidTr="00B9194B">
        <w:trPr>
          <w:trHeight w:val="300"/>
        </w:trPr>
        <w:tc>
          <w:tcPr>
            <w:tcW w:w="2850" w:type="dxa"/>
            <w:shd w:val="clear" w:color="auto" w:fill="AF1E2D"/>
            <w:noWrap/>
            <w:vAlign w:val="center"/>
            <w:hideMark/>
          </w:tcPr>
          <w:p w:rsidR="00C40D10" w:rsidRPr="00C40D10" w:rsidRDefault="00C40D10" w:rsidP="0037001B">
            <w:pPr>
              <w:spacing w:before="0" w:after="0"/>
              <w:rPr>
                <w:rFonts w:ascii="Arial" w:hAnsi="Arial" w:cs="Arial"/>
                <w:b/>
                <w:bCs/>
                <w:color w:val="FFFFFF" w:themeColor="background1"/>
              </w:rPr>
            </w:pPr>
            <w:r w:rsidRPr="00C40D10">
              <w:rPr>
                <w:rFonts w:ascii="Arial" w:hAnsi="Arial" w:cs="Arial"/>
                <w:b/>
                <w:bCs/>
                <w:color w:val="FFFFFF" w:themeColor="background1"/>
              </w:rPr>
              <w:t>Total</w:t>
            </w:r>
          </w:p>
        </w:tc>
        <w:tc>
          <w:tcPr>
            <w:tcW w:w="1560" w:type="dxa"/>
            <w:shd w:val="clear" w:color="auto" w:fill="AF1E2D"/>
            <w:noWrap/>
            <w:vAlign w:val="center"/>
            <w:hideMark/>
          </w:tcPr>
          <w:p w:rsidR="00C40D10" w:rsidRPr="00C40D10" w:rsidRDefault="00C40D10" w:rsidP="007011AA">
            <w:pPr>
              <w:spacing w:before="0" w:after="0"/>
              <w:jc w:val="center"/>
              <w:rPr>
                <w:rFonts w:ascii="Arial" w:hAnsi="Arial" w:cs="Arial"/>
                <w:b/>
                <w:bCs/>
                <w:color w:val="FFFFFF" w:themeColor="background1"/>
              </w:rPr>
            </w:pPr>
            <w:r w:rsidRPr="00C40D10">
              <w:rPr>
                <w:rFonts w:ascii="Arial" w:hAnsi="Arial" w:cs="Arial"/>
                <w:b/>
                <w:bCs/>
                <w:color w:val="FFFFFF" w:themeColor="background1"/>
              </w:rPr>
              <w:t>78</w:t>
            </w:r>
          </w:p>
        </w:tc>
        <w:tc>
          <w:tcPr>
            <w:tcW w:w="1559" w:type="dxa"/>
            <w:shd w:val="clear" w:color="auto" w:fill="AF1E2D"/>
            <w:noWrap/>
            <w:vAlign w:val="center"/>
            <w:hideMark/>
          </w:tcPr>
          <w:p w:rsidR="00C40D10" w:rsidRPr="00C40D10" w:rsidRDefault="00C40D10" w:rsidP="007011AA">
            <w:pPr>
              <w:spacing w:before="0" w:after="0"/>
              <w:jc w:val="center"/>
              <w:rPr>
                <w:rFonts w:ascii="Arial" w:hAnsi="Arial" w:cs="Arial"/>
                <w:b/>
                <w:bCs/>
                <w:color w:val="FFFFFF" w:themeColor="background1"/>
              </w:rPr>
            </w:pPr>
            <w:r w:rsidRPr="00C40D10">
              <w:rPr>
                <w:rFonts w:ascii="Arial" w:hAnsi="Arial" w:cs="Arial"/>
                <w:b/>
                <w:bCs/>
                <w:color w:val="FFFFFF" w:themeColor="background1"/>
              </w:rPr>
              <w:t>30</w:t>
            </w:r>
          </w:p>
        </w:tc>
        <w:tc>
          <w:tcPr>
            <w:tcW w:w="1134" w:type="dxa"/>
            <w:shd w:val="clear" w:color="auto" w:fill="AF1E2D"/>
            <w:noWrap/>
            <w:vAlign w:val="center"/>
            <w:hideMark/>
          </w:tcPr>
          <w:p w:rsidR="00C40D10" w:rsidRPr="00C40D10" w:rsidRDefault="00C40D10" w:rsidP="007011AA">
            <w:pPr>
              <w:spacing w:before="0" w:after="0"/>
              <w:jc w:val="center"/>
              <w:rPr>
                <w:rFonts w:ascii="Arial" w:hAnsi="Arial" w:cs="Arial"/>
                <w:b/>
                <w:bCs/>
                <w:color w:val="FFFFFF" w:themeColor="background1"/>
              </w:rPr>
            </w:pPr>
            <w:r w:rsidRPr="00C40D10">
              <w:rPr>
                <w:rFonts w:ascii="Arial" w:hAnsi="Arial" w:cs="Arial"/>
                <w:b/>
                <w:bCs/>
                <w:color w:val="FFFFFF" w:themeColor="background1"/>
              </w:rPr>
              <w:t>108</w:t>
            </w:r>
          </w:p>
        </w:tc>
      </w:tr>
    </w:tbl>
    <w:p w:rsidR="005A46F1" w:rsidRPr="004076EF" w:rsidRDefault="00E034C7" w:rsidP="005B75C0">
      <w:pPr>
        <w:spacing w:before="360"/>
        <w:rPr>
          <w:rFonts w:ascii="Arial" w:hAnsi="Arial" w:cs="Arial"/>
          <w:b/>
          <w:color w:val="C10A27"/>
          <w:sz w:val="24"/>
          <w:szCs w:val="24"/>
        </w:rPr>
      </w:pPr>
      <w:r w:rsidRPr="005B75C0">
        <w:rPr>
          <w:rFonts w:ascii="Arial" w:hAnsi="Arial" w:cs="Arial"/>
          <w:b/>
          <w:color w:val="C10A27"/>
          <w:sz w:val="28"/>
          <w:szCs w:val="24"/>
        </w:rPr>
        <w:t xml:space="preserve">Fatalities by type of </w:t>
      </w:r>
      <w:r w:rsidR="005C5428" w:rsidRPr="005B75C0">
        <w:rPr>
          <w:rFonts w:ascii="Arial" w:hAnsi="Arial" w:cs="Arial"/>
          <w:b/>
          <w:color w:val="C10A27"/>
          <w:sz w:val="28"/>
          <w:szCs w:val="24"/>
        </w:rPr>
        <w:t>crash and mechanism</w:t>
      </w:r>
      <w:r w:rsidR="003A585E" w:rsidRPr="005B75C0">
        <w:rPr>
          <w:rFonts w:ascii="Arial" w:hAnsi="Arial" w:cs="Arial"/>
          <w:b/>
          <w:color w:val="C10A27"/>
          <w:sz w:val="28"/>
          <w:szCs w:val="24"/>
        </w:rPr>
        <w:t xml:space="preserve"> of incident</w:t>
      </w:r>
    </w:p>
    <w:p w:rsidR="0097785B" w:rsidRDefault="00AC1C7E" w:rsidP="005062C6">
      <w:pPr>
        <w:spacing w:line="288" w:lineRule="auto"/>
        <w:rPr>
          <w:rFonts w:ascii="Arial" w:hAnsi="Arial" w:cs="Arial"/>
          <w:sz w:val="22"/>
          <w:szCs w:val="22"/>
        </w:rPr>
      </w:pPr>
      <w:r>
        <w:rPr>
          <w:rFonts w:ascii="Arial" w:hAnsi="Arial" w:cs="Arial"/>
          <w:sz w:val="22"/>
          <w:szCs w:val="22"/>
        </w:rPr>
        <w:t>Of the 108 R</w:t>
      </w:r>
      <w:r w:rsidR="003A585E" w:rsidRPr="004076EF">
        <w:rPr>
          <w:rFonts w:ascii="Arial" w:hAnsi="Arial" w:cs="Arial"/>
          <w:sz w:val="22"/>
          <w:szCs w:val="22"/>
        </w:rPr>
        <w:t xml:space="preserve">oad transport fatalities, almost one-third (32 fatalities) were due to </w:t>
      </w:r>
      <w:r w:rsidR="00F62AB9" w:rsidRPr="004076EF">
        <w:rPr>
          <w:rFonts w:ascii="Arial" w:hAnsi="Arial" w:cs="Arial"/>
          <w:sz w:val="22"/>
          <w:szCs w:val="22"/>
        </w:rPr>
        <w:t>workers</w:t>
      </w:r>
      <w:r w:rsidR="003A585E" w:rsidRPr="004076EF">
        <w:rPr>
          <w:rFonts w:ascii="Arial" w:hAnsi="Arial" w:cs="Arial"/>
          <w:sz w:val="22"/>
          <w:szCs w:val="22"/>
        </w:rPr>
        <w:t xml:space="preserve"> veering off the road, usually as a result of a sweeping or sharp bend. There were </w:t>
      </w:r>
      <w:r w:rsidR="00407533">
        <w:rPr>
          <w:rFonts w:ascii="Arial" w:hAnsi="Arial" w:cs="Arial"/>
          <w:sz w:val="22"/>
          <w:szCs w:val="22"/>
        </w:rPr>
        <w:t xml:space="preserve">a </w:t>
      </w:r>
      <w:r w:rsidR="0097785B">
        <w:rPr>
          <w:rFonts w:ascii="Arial" w:hAnsi="Arial" w:cs="Arial"/>
          <w:sz w:val="22"/>
          <w:szCs w:val="22"/>
        </w:rPr>
        <w:t xml:space="preserve">further </w:t>
      </w:r>
      <w:r w:rsidR="003A585E" w:rsidRPr="004076EF">
        <w:rPr>
          <w:rFonts w:ascii="Arial" w:hAnsi="Arial" w:cs="Arial"/>
          <w:sz w:val="22"/>
          <w:szCs w:val="22"/>
        </w:rPr>
        <w:t>23 workers</w:t>
      </w:r>
      <w:r w:rsidR="00F62AB9" w:rsidRPr="004076EF">
        <w:rPr>
          <w:rFonts w:ascii="Arial" w:hAnsi="Arial" w:cs="Arial"/>
          <w:sz w:val="22"/>
          <w:szCs w:val="22"/>
        </w:rPr>
        <w:t xml:space="preserve"> (21</w:t>
      </w:r>
      <w:r w:rsidR="005B75C0">
        <w:rPr>
          <w:rFonts w:ascii="Arial" w:hAnsi="Arial" w:cs="Arial"/>
          <w:sz w:val="22"/>
          <w:szCs w:val="22"/>
        </w:rPr>
        <w:t> </w:t>
      </w:r>
      <w:r w:rsidR="00F62AB9" w:rsidRPr="004076EF">
        <w:rPr>
          <w:rFonts w:ascii="Arial" w:hAnsi="Arial" w:cs="Arial"/>
          <w:sz w:val="22"/>
          <w:szCs w:val="22"/>
        </w:rPr>
        <w:t>per</w:t>
      </w:r>
      <w:r w:rsidR="005B75C0">
        <w:rPr>
          <w:rFonts w:ascii="Arial" w:hAnsi="Arial" w:cs="Arial"/>
          <w:sz w:val="22"/>
          <w:szCs w:val="22"/>
        </w:rPr>
        <w:t> </w:t>
      </w:r>
      <w:r w:rsidR="00F62AB9" w:rsidRPr="004076EF">
        <w:rPr>
          <w:rFonts w:ascii="Arial" w:hAnsi="Arial" w:cs="Arial"/>
          <w:sz w:val="22"/>
          <w:szCs w:val="22"/>
        </w:rPr>
        <w:t>cent)</w:t>
      </w:r>
      <w:r w:rsidR="003A585E" w:rsidRPr="004076EF">
        <w:rPr>
          <w:rFonts w:ascii="Arial" w:hAnsi="Arial" w:cs="Arial"/>
          <w:sz w:val="22"/>
          <w:szCs w:val="22"/>
        </w:rPr>
        <w:t xml:space="preserve"> who died </w:t>
      </w:r>
      <w:r w:rsidR="00F62AB9" w:rsidRPr="004076EF">
        <w:rPr>
          <w:rFonts w:ascii="Arial" w:hAnsi="Arial" w:cs="Arial"/>
          <w:sz w:val="22"/>
          <w:szCs w:val="22"/>
        </w:rPr>
        <w:t>as a result of a head-on collision, of which 14 were due to the worker</w:t>
      </w:r>
      <w:r w:rsidR="005B75C0">
        <w:rPr>
          <w:rFonts w:ascii="Arial" w:hAnsi="Arial" w:cs="Arial"/>
          <w:sz w:val="22"/>
          <w:szCs w:val="22"/>
        </w:rPr>
        <w:t>’s vehicle</w:t>
      </w:r>
      <w:r w:rsidR="00F62AB9" w:rsidRPr="004076EF">
        <w:rPr>
          <w:rFonts w:ascii="Arial" w:hAnsi="Arial" w:cs="Arial"/>
          <w:sz w:val="22"/>
          <w:szCs w:val="22"/>
        </w:rPr>
        <w:t xml:space="preserve"> crossing to the wrong side of the road. </w:t>
      </w:r>
    </w:p>
    <w:p w:rsidR="003A585E" w:rsidRPr="004076EF" w:rsidRDefault="00F62AB9" w:rsidP="005062C6">
      <w:pPr>
        <w:spacing w:line="288" w:lineRule="auto"/>
        <w:rPr>
          <w:rFonts w:ascii="Arial" w:hAnsi="Arial" w:cs="Arial"/>
          <w:sz w:val="22"/>
          <w:szCs w:val="22"/>
        </w:rPr>
      </w:pPr>
      <w:r w:rsidRPr="004076EF">
        <w:rPr>
          <w:rFonts w:ascii="Arial" w:hAnsi="Arial" w:cs="Arial"/>
          <w:sz w:val="22"/>
          <w:szCs w:val="22"/>
        </w:rPr>
        <w:t>Seven fatalities (</w:t>
      </w:r>
      <w:r w:rsidR="00E9640E" w:rsidRPr="004076EF">
        <w:rPr>
          <w:rFonts w:ascii="Arial" w:hAnsi="Arial" w:cs="Arial"/>
          <w:sz w:val="22"/>
          <w:szCs w:val="22"/>
        </w:rPr>
        <w:t>6</w:t>
      </w:r>
      <w:r w:rsidRPr="004076EF">
        <w:rPr>
          <w:rFonts w:ascii="Arial" w:hAnsi="Arial" w:cs="Arial"/>
          <w:sz w:val="22"/>
          <w:szCs w:val="22"/>
        </w:rPr>
        <w:t xml:space="preserve"> per cent) occurred </w:t>
      </w:r>
      <w:r w:rsidR="00E9640E" w:rsidRPr="004076EF">
        <w:rPr>
          <w:rFonts w:ascii="Arial" w:hAnsi="Arial" w:cs="Arial"/>
          <w:sz w:val="22"/>
          <w:szCs w:val="22"/>
        </w:rPr>
        <w:t xml:space="preserve">as a consequence of the worker </w:t>
      </w:r>
      <w:r w:rsidR="006D763E" w:rsidRPr="004076EF">
        <w:rPr>
          <w:rFonts w:ascii="Arial" w:hAnsi="Arial" w:cs="Arial"/>
          <w:sz w:val="22"/>
          <w:szCs w:val="22"/>
        </w:rPr>
        <w:t>being struck by equipment (eg. l</w:t>
      </w:r>
      <w:r w:rsidR="00E9640E" w:rsidRPr="004076EF">
        <w:rPr>
          <w:rFonts w:ascii="Arial" w:hAnsi="Arial" w:cs="Arial"/>
          <w:sz w:val="22"/>
          <w:szCs w:val="22"/>
        </w:rPr>
        <w:t>ifting equipment, loading ramps)</w:t>
      </w:r>
      <w:r w:rsidR="0097785B">
        <w:rPr>
          <w:rFonts w:ascii="Arial" w:hAnsi="Arial" w:cs="Arial"/>
          <w:sz w:val="22"/>
          <w:szCs w:val="22"/>
        </w:rPr>
        <w:t>, while a</w:t>
      </w:r>
      <w:r w:rsidR="00E9640E" w:rsidRPr="004076EF">
        <w:rPr>
          <w:rFonts w:ascii="Arial" w:hAnsi="Arial" w:cs="Arial"/>
          <w:sz w:val="22"/>
          <w:szCs w:val="22"/>
        </w:rPr>
        <w:t xml:space="preserve"> further </w:t>
      </w:r>
      <w:r w:rsidRPr="004076EF">
        <w:rPr>
          <w:rFonts w:ascii="Arial" w:hAnsi="Arial" w:cs="Arial"/>
          <w:sz w:val="22"/>
          <w:szCs w:val="22"/>
        </w:rPr>
        <w:t xml:space="preserve">six fatalities (5 per cent) were deemed to be related to excessive speed given the road conditions.  </w:t>
      </w:r>
    </w:p>
    <w:p w:rsidR="005C5428" w:rsidRPr="00E756A7" w:rsidRDefault="00AE0C6F" w:rsidP="00134C15">
      <w:pPr>
        <w:pStyle w:val="Tableheading"/>
        <w:rPr>
          <w:sz w:val="22"/>
        </w:rPr>
      </w:pPr>
      <w:r w:rsidRPr="00E756A7">
        <w:rPr>
          <w:sz w:val="22"/>
        </w:rPr>
        <w:t xml:space="preserve">Table </w:t>
      </w:r>
      <w:r w:rsidR="005B46A5">
        <w:rPr>
          <w:sz w:val="22"/>
        </w:rPr>
        <w:t>1</w:t>
      </w:r>
      <w:r w:rsidR="00554F3C">
        <w:rPr>
          <w:sz w:val="22"/>
        </w:rPr>
        <w:t>3</w:t>
      </w:r>
      <w:r w:rsidR="005C5428" w:rsidRPr="00E756A7">
        <w:rPr>
          <w:sz w:val="22"/>
        </w:rPr>
        <w:t xml:space="preserve">: Worker fatalities: number by </w:t>
      </w:r>
      <w:r w:rsidR="003A585E" w:rsidRPr="00E756A7">
        <w:rPr>
          <w:sz w:val="22"/>
        </w:rPr>
        <w:t xml:space="preserve">type of crash </w:t>
      </w:r>
      <w:r w:rsidR="005C5428" w:rsidRPr="00E756A7">
        <w:rPr>
          <w:sz w:val="22"/>
        </w:rPr>
        <w:t>and mechanism</w:t>
      </w:r>
      <w:r w:rsidR="003A585E" w:rsidRPr="00E756A7">
        <w:rPr>
          <w:sz w:val="22"/>
        </w:rPr>
        <w:t xml:space="preserve"> of incident</w:t>
      </w:r>
      <w:r w:rsidR="005C5428" w:rsidRPr="00E756A7">
        <w:rPr>
          <w:sz w:val="22"/>
        </w:rPr>
        <w:t>, 2013 to 2015 combined</w:t>
      </w:r>
    </w:p>
    <w:tbl>
      <w:tblPr>
        <w:tblW w:w="9040"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Worker fatalities: number by type of crash and mechanism of incident, 2013 to 2015 combined"/>
        <w:tblDescription w:val="Table 12 shows almost one-third (32 fatalities) of the 108 fatalities were due to workers veering off the road. There were a further 23 workers (21 per cent) who died as a result of a head-on collision, and 7 fatalities (6 per cent) occurred as a consequence of the worker being struck by equipment (eg. lifting equipment, loading ramps).  &#10;"/>
      </w:tblPr>
      <w:tblGrid>
        <w:gridCol w:w="3820"/>
        <w:gridCol w:w="1340"/>
        <w:gridCol w:w="1660"/>
        <w:gridCol w:w="1140"/>
        <w:gridCol w:w="1080"/>
      </w:tblGrid>
      <w:tr w:rsidR="00E756A7" w:rsidRPr="00E756A7" w:rsidTr="00B9194B">
        <w:trPr>
          <w:trHeight w:val="600"/>
        </w:trPr>
        <w:tc>
          <w:tcPr>
            <w:tcW w:w="3820" w:type="dxa"/>
            <w:shd w:val="clear" w:color="auto" w:fill="AF1E2D"/>
            <w:noWrap/>
            <w:vAlign w:val="center"/>
            <w:hideMark/>
          </w:tcPr>
          <w:p w:rsidR="00C40D10" w:rsidRPr="00C40D10" w:rsidRDefault="00C40D10" w:rsidP="0037001B">
            <w:pPr>
              <w:spacing w:before="0" w:after="0"/>
              <w:jc w:val="center"/>
              <w:rPr>
                <w:rFonts w:ascii="Arial" w:hAnsi="Arial" w:cs="Arial"/>
                <w:b/>
                <w:bCs/>
                <w:color w:val="FFFFFF" w:themeColor="background1"/>
              </w:rPr>
            </w:pPr>
          </w:p>
        </w:tc>
        <w:tc>
          <w:tcPr>
            <w:tcW w:w="1340" w:type="dxa"/>
            <w:shd w:val="clear" w:color="auto" w:fill="AF1E2D"/>
            <w:vAlign w:val="center"/>
            <w:hideMark/>
          </w:tcPr>
          <w:p w:rsidR="00C40D10" w:rsidRPr="00C40D10" w:rsidRDefault="00C40D10" w:rsidP="0037001B">
            <w:pPr>
              <w:spacing w:before="0" w:after="0"/>
              <w:jc w:val="center"/>
              <w:rPr>
                <w:rFonts w:ascii="Arial" w:hAnsi="Arial" w:cs="Arial"/>
                <w:b/>
                <w:bCs/>
                <w:color w:val="FFFFFF" w:themeColor="background1"/>
              </w:rPr>
            </w:pPr>
            <w:r w:rsidRPr="00C40D10">
              <w:rPr>
                <w:rFonts w:ascii="Arial" w:hAnsi="Arial" w:cs="Arial"/>
                <w:b/>
                <w:bCs/>
                <w:color w:val="FFFFFF" w:themeColor="background1"/>
              </w:rPr>
              <w:t>Single vehicle crash</w:t>
            </w:r>
          </w:p>
        </w:tc>
        <w:tc>
          <w:tcPr>
            <w:tcW w:w="1660" w:type="dxa"/>
            <w:shd w:val="clear" w:color="auto" w:fill="AF1E2D"/>
            <w:vAlign w:val="center"/>
            <w:hideMark/>
          </w:tcPr>
          <w:p w:rsidR="00C40D10" w:rsidRPr="00C40D10" w:rsidRDefault="00C40D10" w:rsidP="0037001B">
            <w:pPr>
              <w:spacing w:before="0" w:after="0"/>
              <w:jc w:val="center"/>
              <w:rPr>
                <w:rFonts w:ascii="Arial" w:hAnsi="Arial" w:cs="Arial"/>
                <w:b/>
                <w:bCs/>
                <w:color w:val="FFFFFF" w:themeColor="background1"/>
              </w:rPr>
            </w:pPr>
            <w:r w:rsidRPr="00C40D10">
              <w:rPr>
                <w:rFonts w:ascii="Arial" w:hAnsi="Arial" w:cs="Arial"/>
                <w:b/>
                <w:bCs/>
                <w:color w:val="FFFFFF" w:themeColor="background1"/>
              </w:rPr>
              <w:t>Multiple vehicle crash</w:t>
            </w:r>
          </w:p>
        </w:tc>
        <w:tc>
          <w:tcPr>
            <w:tcW w:w="1140" w:type="dxa"/>
            <w:shd w:val="clear" w:color="auto" w:fill="AF1E2D"/>
            <w:vAlign w:val="center"/>
            <w:hideMark/>
          </w:tcPr>
          <w:p w:rsidR="00C40D10" w:rsidRPr="00C40D10" w:rsidRDefault="00C40D10" w:rsidP="0037001B">
            <w:pPr>
              <w:spacing w:before="0" w:after="0"/>
              <w:jc w:val="center"/>
              <w:rPr>
                <w:rFonts w:ascii="Arial" w:hAnsi="Arial" w:cs="Arial"/>
                <w:b/>
                <w:bCs/>
                <w:color w:val="FFFFFF" w:themeColor="background1"/>
              </w:rPr>
            </w:pPr>
            <w:r w:rsidRPr="00C40D10">
              <w:rPr>
                <w:rFonts w:ascii="Arial" w:hAnsi="Arial" w:cs="Arial"/>
                <w:b/>
                <w:bCs/>
                <w:color w:val="FFFFFF" w:themeColor="background1"/>
              </w:rPr>
              <w:t>No crash</w:t>
            </w:r>
          </w:p>
        </w:tc>
        <w:tc>
          <w:tcPr>
            <w:tcW w:w="1080" w:type="dxa"/>
            <w:shd w:val="clear" w:color="auto" w:fill="AF1E2D"/>
            <w:noWrap/>
            <w:vAlign w:val="center"/>
            <w:hideMark/>
          </w:tcPr>
          <w:p w:rsidR="00C40D10" w:rsidRPr="00C40D10" w:rsidRDefault="00C40D10" w:rsidP="0037001B">
            <w:pPr>
              <w:spacing w:before="0" w:after="0"/>
              <w:jc w:val="center"/>
              <w:rPr>
                <w:rFonts w:ascii="Arial" w:hAnsi="Arial" w:cs="Arial"/>
                <w:b/>
                <w:bCs/>
                <w:color w:val="FFFFFF" w:themeColor="background1"/>
              </w:rPr>
            </w:pPr>
            <w:r w:rsidRPr="00C40D10">
              <w:rPr>
                <w:rFonts w:ascii="Arial" w:hAnsi="Arial" w:cs="Arial"/>
                <w:b/>
                <w:bCs/>
                <w:color w:val="FFFFFF" w:themeColor="background1"/>
              </w:rPr>
              <w:t>Total</w:t>
            </w:r>
          </w:p>
        </w:tc>
      </w:tr>
      <w:tr w:rsidR="00C40D10" w:rsidRPr="00C40D10" w:rsidTr="00E9113E">
        <w:trPr>
          <w:trHeight w:val="300"/>
        </w:trPr>
        <w:tc>
          <w:tcPr>
            <w:tcW w:w="3820" w:type="dxa"/>
            <w:shd w:val="clear" w:color="auto" w:fill="E5B8B7" w:themeFill="accent2" w:themeFillTint="66"/>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Veered off road</w:t>
            </w:r>
          </w:p>
        </w:tc>
        <w:tc>
          <w:tcPr>
            <w:tcW w:w="134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28</w:t>
            </w:r>
          </w:p>
        </w:tc>
        <w:tc>
          <w:tcPr>
            <w:tcW w:w="166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4</w:t>
            </w:r>
          </w:p>
        </w:tc>
        <w:tc>
          <w:tcPr>
            <w:tcW w:w="1140" w:type="dxa"/>
            <w:shd w:val="clear" w:color="auto" w:fill="E5B8B7" w:themeFill="accent2" w:themeFillTint="66"/>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08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32</w:t>
            </w:r>
          </w:p>
        </w:tc>
      </w:tr>
      <w:tr w:rsidR="00C40D10" w:rsidRPr="00C40D10" w:rsidTr="00E9113E">
        <w:trPr>
          <w:trHeight w:val="300"/>
        </w:trPr>
        <w:tc>
          <w:tcPr>
            <w:tcW w:w="3820" w:type="dxa"/>
            <w:shd w:val="clear" w:color="auto" w:fill="auto"/>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Inattention/fatigue</w:t>
            </w:r>
          </w:p>
        </w:tc>
        <w:tc>
          <w:tcPr>
            <w:tcW w:w="134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3</w:t>
            </w:r>
          </w:p>
        </w:tc>
        <w:tc>
          <w:tcPr>
            <w:tcW w:w="166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6</w:t>
            </w:r>
          </w:p>
        </w:tc>
        <w:tc>
          <w:tcPr>
            <w:tcW w:w="1140" w:type="dxa"/>
            <w:shd w:val="clear" w:color="auto" w:fill="auto"/>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08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9</w:t>
            </w:r>
          </w:p>
        </w:tc>
      </w:tr>
      <w:tr w:rsidR="00C40D10" w:rsidRPr="00C40D10" w:rsidTr="00E9113E">
        <w:trPr>
          <w:trHeight w:val="300"/>
        </w:trPr>
        <w:tc>
          <w:tcPr>
            <w:tcW w:w="3820" w:type="dxa"/>
            <w:shd w:val="clear" w:color="auto" w:fill="E5B8B7" w:themeFill="accent2" w:themeFillTint="66"/>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Wrong side of road</w:t>
            </w:r>
          </w:p>
        </w:tc>
        <w:tc>
          <w:tcPr>
            <w:tcW w:w="134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6</w:t>
            </w:r>
          </w:p>
        </w:tc>
        <w:tc>
          <w:tcPr>
            <w:tcW w:w="166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17</w:t>
            </w:r>
          </w:p>
        </w:tc>
        <w:tc>
          <w:tcPr>
            <w:tcW w:w="1140" w:type="dxa"/>
            <w:shd w:val="clear" w:color="auto" w:fill="E5B8B7" w:themeFill="accent2" w:themeFillTint="66"/>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08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23</w:t>
            </w:r>
          </w:p>
        </w:tc>
      </w:tr>
      <w:tr w:rsidR="00C40D10" w:rsidRPr="00C40D10" w:rsidTr="00E9113E">
        <w:trPr>
          <w:trHeight w:val="300"/>
        </w:trPr>
        <w:tc>
          <w:tcPr>
            <w:tcW w:w="3820" w:type="dxa"/>
            <w:shd w:val="clear" w:color="auto" w:fill="auto"/>
            <w:noWrap/>
            <w:vAlign w:val="center"/>
            <w:hideMark/>
          </w:tcPr>
          <w:p w:rsidR="00C40D10" w:rsidRPr="00C40D10" w:rsidRDefault="00390CA6" w:rsidP="00390CA6">
            <w:pPr>
              <w:tabs>
                <w:tab w:val="left" w:pos="247"/>
              </w:tabs>
              <w:spacing w:before="0" w:after="0"/>
              <w:rPr>
                <w:rFonts w:ascii="Arial" w:hAnsi="Arial" w:cs="Arial"/>
                <w:i/>
                <w:iCs/>
                <w:color w:val="000000"/>
              </w:rPr>
            </w:pPr>
            <w:r>
              <w:rPr>
                <w:rFonts w:ascii="Arial" w:hAnsi="Arial" w:cs="Arial"/>
                <w:i/>
                <w:iCs/>
                <w:color w:val="000000"/>
              </w:rPr>
              <w:tab/>
            </w:r>
            <w:r w:rsidR="00C40D10" w:rsidRPr="00C40D10">
              <w:rPr>
                <w:rFonts w:ascii="Arial" w:hAnsi="Arial" w:cs="Arial"/>
                <w:i/>
                <w:iCs/>
                <w:color w:val="000000"/>
              </w:rPr>
              <w:t>Wrong side of road - worker vehicle</w:t>
            </w:r>
          </w:p>
        </w:tc>
        <w:tc>
          <w:tcPr>
            <w:tcW w:w="1340" w:type="dxa"/>
            <w:shd w:val="clear" w:color="auto" w:fill="auto"/>
            <w:noWrap/>
            <w:vAlign w:val="center"/>
            <w:hideMark/>
          </w:tcPr>
          <w:p w:rsidR="00C40D10" w:rsidRPr="00C40D10" w:rsidRDefault="00C40D10" w:rsidP="0037001B">
            <w:pPr>
              <w:spacing w:before="0" w:after="0"/>
              <w:jc w:val="center"/>
              <w:rPr>
                <w:rFonts w:ascii="Arial" w:hAnsi="Arial" w:cs="Arial"/>
                <w:i/>
                <w:iCs/>
                <w:color w:val="000000"/>
              </w:rPr>
            </w:pPr>
            <w:r w:rsidRPr="00C40D10">
              <w:rPr>
                <w:rFonts w:ascii="Arial" w:hAnsi="Arial" w:cs="Arial"/>
                <w:i/>
                <w:iCs/>
                <w:color w:val="000000"/>
              </w:rPr>
              <w:t>6</w:t>
            </w:r>
          </w:p>
        </w:tc>
        <w:tc>
          <w:tcPr>
            <w:tcW w:w="1660" w:type="dxa"/>
            <w:shd w:val="clear" w:color="auto" w:fill="auto"/>
            <w:noWrap/>
            <w:vAlign w:val="center"/>
            <w:hideMark/>
          </w:tcPr>
          <w:p w:rsidR="00C40D10" w:rsidRPr="00C40D10" w:rsidRDefault="00C40D10" w:rsidP="0037001B">
            <w:pPr>
              <w:spacing w:before="0" w:after="0"/>
              <w:jc w:val="center"/>
              <w:rPr>
                <w:rFonts w:ascii="Arial" w:hAnsi="Arial" w:cs="Arial"/>
                <w:i/>
                <w:iCs/>
                <w:color w:val="000000"/>
              </w:rPr>
            </w:pPr>
            <w:r w:rsidRPr="00C40D10">
              <w:rPr>
                <w:rFonts w:ascii="Arial" w:hAnsi="Arial" w:cs="Arial"/>
                <w:i/>
                <w:iCs/>
                <w:color w:val="000000"/>
              </w:rPr>
              <w:t>8</w:t>
            </w:r>
          </w:p>
        </w:tc>
        <w:tc>
          <w:tcPr>
            <w:tcW w:w="1140" w:type="dxa"/>
            <w:shd w:val="clear" w:color="auto" w:fill="auto"/>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080" w:type="dxa"/>
            <w:shd w:val="clear" w:color="auto" w:fill="auto"/>
            <w:noWrap/>
            <w:vAlign w:val="center"/>
            <w:hideMark/>
          </w:tcPr>
          <w:p w:rsidR="00C40D10" w:rsidRPr="00C40D10" w:rsidRDefault="00C40D10" w:rsidP="0037001B">
            <w:pPr>
              <w:spacing w:before="0" w:after="0"/>
              <w:jc w:val="center"/>
              <w:rPr>
                <w:rFonts w:ascii="Arial" w:hAnsi="Arial" w:cs="Arial"/>
                <w:i/>
                <w:iCs/>
                <w:color w:val="000000"/>
              </w:rPr>
            </w:pPr>
            <w:r w:rsidRPr="00C40D10">
              <w:rPr>
                <w:rFonts w:ascii="Arial" w:hAnsi="Arial" w:cs="Arial"/>
                <w:i/>
                <w:iCs/>
                <w:color w:val="000000"/>
              </w:rPr>
              <w:t>14</w:t>
            </w:r>
          </w:p>
        </w:tc>
      </w:tr>
      <w:tr w:rsidR="00C40D10" w:rsidRPr="00C40D10" w:rsidTr="00E9113E">
        <w:trPr>
          <w:trHeight w:val="300"/>
        </w:trPr>
        <w:tc>
          <w:tcPr>
            <w:tcW w:w="3820" w:type="dxa"/>
            <w:shd w:val="clear" w:color="auto" w:fill="F2DBDB" w:themeFill="accent2" w:themeFillTint="33"/>
            <w:noWrap/>
            <w:vAlign w:val="center"/>
            <w:hideMark/>
          </w:tcPr>
          <w:p w:rsidR="00C40D10" w:rsidRPr="00C40D10" w:rsidRDefault="00390CA6" w:rsidP="00390CA6">
            <w:pPr>
              <w:tabs>
                <w:tab w:val="left" w:pos="222"/>
              </w:tabs>
              <w:spacing w:before="0" w:after="0"/>
              <w:rPr>
                <w:rFonts w:ascii="Arial" w:hAnsi="Arial" w:cs="Arial"/>
                <w:i/>
                <w:iCs/>
                <w:color w:val="000000"/>
              </w:rPr>
            </w:pPr>
            <w:r>
              <w:rPr>
                <w:rFonts w:ascii="Arial" w:hAnsi="Arial" w:cs="Arial"/>
                <w:i/>
                <w:iCs/>
                <w:color w:val="000000"/>
              </w:rPr>
              <w:tab/>
            </w:r>
            <w:r w:rsidR="00C40D10" w:rsidRPr="00C40D10">
              <w:rPr>
                <w:rFonts w:ascii="Arial" w:hAnsi="Arial" w:cs="Arial"/>
                <w:i/>
                <w:iCs/>
                <w:color w:val="000000"/>
              </w:rPr>
              <w:t>Wrong side of road - other vehicle</w:t>
            </w:r>
          </w:p>
        </w:tc>
        <w:tc>
          <w:tcPr>
            <w:tcW w:w="1340" w:type="dxa"/>
            <w:shd w:val="clear" w:color="auto" w:fill="F2DBDB" w:themeFill="accent2" w:themeFillTint="33"/>
            <w:noWrap/>
            <w:vAlign w:val="center"/>
            <w:hideMark/>
          </w:tcPr>
          <w:p w:rsidR="00C40D10" w:rsidRPr="00C40D10" w:rsidRDefault="0037001B" w:rsidP="0037001B">
            <w:pPr>
              <w:spacing w:before="0" w:after="0"/>
              <w:jc w:val="center"/>
              <w:rPr>
                <w:rFonts w:ascii="Arial" w:hAnsi="Arial" w:cs="Arial"/>
                <w:i/>
                <w:iCs/>
                <w:color w:val="000000"/>
              </w:rPr>
            </w:pPr>
            <w:r w:rsidRPr="0037001B">
              <w:rPr>
                <w:rFonts w:ascii="Arial" w:hAnsi="Arial" w:cs="Arial"/>
                <w:i/>
                <w:iCs/>
                <w:color w:val="000000"/>
              </w:rPr>
              <w:t>0</w:t>
            </w:r>
          </w:p>
        </w:tc>
        <w:tc>
          <w:tcPr>
            <w:tcW w:w="1660" w:type="dxa"/>
            <w:shd w:val="clear" w:color="auto" w:fill="F2DBDB" w:themeFill="accent2" w:themeFillTint="33"/>
            <w:noWrap/>
            <w:vAlign w:val="center"/>
            <w:hideMark/>
          </w:tcPr>
          <w:p w:rsidR="00C40D10" w:rsidRPr="00C40D10" w:rsidRDefault="00C40D10" w:rsidP="0037001B">
            <w:pPr>
              <w:spacing w:before="0" w:after="0"/>
              <w:jc w:val="center"/>
              <w:rPr>
                <w:rFonts w:ascii="Arial" w:hAnsi="Arial" w:cs="Arial"/>
                <w:i/>
                <w:iCs/>
                <w:color w:val="000000"/>
              </w:rPr>
            </w:pPr>
            <w:r w:rsidRPr="00C40D10">
              <w:rPr>
                <w:rFonts w:ascii="Arial" w:hAnsi="Arial" w:cs="Arial"/>
                <w:i/>
                <w:iCs/>
                <w:color w:val="000000"/>
              </w:rPr>
              <w:t>9</w:t>
            </w:r>
          </w:p>
        </w:tc>
        <w:tc>
          <w:tcPr>
            <w:tcW w:w="1140" w:type="dxa"/>
            <w:shd w:val="clear" w:color="auto" w:fill="F2DBDB" w:themeFill="accent2" w:themeFillTint="33"/>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080" w:type="dxa"/>
            <w:shd w:val="clear" w:color="auto" w:fill="F2DBDB" w:themeFill="accent2" w:themeFillTint="33"/>
            <w:noWrap/>
            <w:vAlign w:val="center"/>
            <w:hideMark/>
          </w:tcPr>
          <w:p w:rsidR="00C40D10" w:rsidRPr="00C40D10" w:rsidRDefault="00C40D10" w:rsidP="0037001B">
            <w:pPr>
              <w:spacing w:before="0" w:after="0"/>
              <w:jc w:val="center"/>
              <w:rPr>
                <w:rFonts w:ascii="Arial" w:hAnsi="Arial" w:cs="Arial"/>
                <w:i/>
                <w:iCs/>
                <w:color w:val="000000"/>
              </w:rPr>
            </w:pPr>
            <w:r w:rsidRPr="00C40D10">
              <w:rPr>
                <w:rFonts w:ascii="Arial" w:hAnsi="Arial" w:cs="Arial"/>
                <w:i/>
                <w:iCs/>
                <w:color w:val="000000"/>
              </w:rPr>
              <w:t>9</w:t>
            </w:r>
          </w:p>
        </w:tc>
      </w:tr>
      <w:tr w:rsidR="00C40D10" w:rsidRPr="00C40D10" w:rsidTr="00E9113E">
        <w:trPr>
          <w:trHeight w:val="300"/>
        </w:trPr>
        <w:tc>
          <w:tcPr>
            <w:tcW w:w="3820" w:type="dxa"/>
            <w:shd w:val="clear" w:color="auto" w:fill="auto"/>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Speed</w:t>
            </w:r>
          </w:p>
        </w:tc>
        <w:tc>
          <w:tcPr>
            <w:tcW w:w="134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5</w:t>
            </w:r>
          </w:p>
        </w:tc>
        <w:tc>
          <w:tcPr>
            <w:tcW w:w="166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1</w:t>
            </w:r>
          </w:p>
        </w:tc>
        <w:tc>
          <w:tcPr>
            <w:tcW w:w="1140" w:type="dxa"/>
            <w:shd w:val="clear" w:color="auto" w:fill="auto"/>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08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6</w:t>
            </w:r>
          </w:p>
        </w:tc>
      </w:tr>
      <w:tr w:rsidR="00C40D10" w:rsidRPr="00C40D10" w:rsidTr="00E9113E">
        <w:trPr>
          <w:trHeight w:val="300"/>
        </w:trPr>
        <w:tc>
          <w:tcPr>
            <w:tcW w:w="3820" w:type="dxa"/>
            <w:shd w:val="clear" w:color="auto" w:fill="E5B8B7" w:themeFill="accent2" w:themeFillTint="66"/>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Mechanical/tyre failure</w:t>
            </w:r>
          </w:p>
        </w:tc>
        <w:tc>
          <w:tcPr>
            <w:tcW w:w="134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5</w:t>
            </w:r>
          </w:p>
        </w:tc>
        <w:tc>
          <w:tcPr>
            <w:tcW w:w="1660" w:type="dxa"/>
            <w:shd w:val="clear" w:color="auto" w:fill="E5B8B7" w:themeFill="accent2" w:themeFillTint="66"/>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14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2</w:t>
            </w:r>
          </w:p>
        </w:tc>
        <w:tc>
          <w:tcPr>
            <w:tcW w:w="108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7</w:t>
            </w:r>
          </w:p>
        </w:tc>
      </w:tr>
      <w:tr w:rsidR="00C40D10" w:rsidRPr="00C40D10" w:rsidTr="00E9113E">
        <w:trPr>
          <w:trHeight w:val="300"/>
        </w:trPr>
        <w:tc>
          <w:tcPr>
            <w:tcW w:w="3820" w:type="dxa"/>
            <w:shd w:val="clear" w:color="auto" w:fill="auto"/>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Struck by equipment</w:t>
            </w:r>
          </w:p>
        </w:tc>
        <w:tc>
          <w:tcPr>
            <w:tcW w:w="1340" w:type="dxa"/>
            <w:shd w:val="clear" w:color="auto" w:fill="auto"/>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660" w:type="dxa"/>
            <w:shd w:val="clear" w:color="auto" w:fill="auto"/>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14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7</w:t>
            </w:r>
          </w:p>
        </w:tc>
        <w:tc>
          <w:tcPr>
            <w:tcW w:w="108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7</w:t>
            </w:r>
          </w:p>
        </w:tc>
      </w:tr>
      <w:tr w:rsidR="00C40D10" w:rsidRPr="00C40D10" w:rsidTr="00E9113E">
        <w:trPr>
          <w:trHeight w:val="300"/>
        </w:trPr>
        <w:tc>
          <w:tcPr>
            <w:tcW w:w="3820" w:type="dxa"/>
            <w:shd w:val="clear" w:color="auto" w:fill="E5B8B7" w:themeFill="accent2" w:themeFillTint="66"/>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Worker on foot and hit by vehicle</w:t>
            </w:r>
          </w:p>
        </w:tc>
        <w:tc>
          <w:tcPr>
            <w:tcW w:w="1340" w:type="dxa"/>
            <w:shd w:val="clear" w:color="auto" w:fill="E5B8B7" w:themeFill="accent2" w:themeFillTint="66"/>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660" w:type="dxa"/>
            <w:shd w:val="clear" w:color="auto" w:fill="E5B8B7" w:themeFill="accent2" w:themeFillTint="66"/>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14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4</w:t>
            </w:r>
          </w:p>
        </w:tc>
        <w:tc>
          <w:tcPr>
            <w:tcW w:w="108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4</w:t>
            </w:r>
          </w:p>
        </w:tc>
      </w:tr>
      <w:tr w:rsidR="00C40D10" w:rsidRPr="00C40D10" w:rsidTr="00E9113E">
        <w:trPr>
          <w:trHeight w:val="300"/>
        </w:trPr>
        <w:tc>
          <w:tcPr>
            <w:tcW w:w="3820" w:type="dxa"/>
            <w:shd w:val="clear" w:color="auto" w:fill="auto"/>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Other</w:t>
            </w:r>
          </w:p>
        </w:tc>
        <w:tc>
          <w:tcPr>
            <w:tcW w:w="1340" w:type="dxa"/>
            <w:shd w:val="clear" w:color="auto" w:fill="auto"/>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66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5</w:t>
            </w:r>
          </w:p>
        </w:tc>
        <w:tc>
          <w:tcPr>
            <w:tcW w:w="114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10</w:t>
            </w:r>
          </w:p>
        </w:tc>
        <w:tc>
          <w:tcPr>
            <w:tcW w:w="1080" w:type="dxa"/>
            <w:shd w:val="clear" w:color="auto" w:fill="auto"/>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15</w:t>
            </w:r>
          </w:p>
        </w:tc>
      </w:tr>
      <w:tr w:rsidR="00C40D10" w:rsidRPr="00C40D10" w:rsidTr="00E9113E">
        <w:trPr>
          <w:trHeight w:val="300"/>
        </w:trPr>
        <w:tc>
          <w:tcPr>
            <w:tcW w:w="3820" w:type="dxa"/>
            <w:shd w:val="clear" w:color="auto" w:fill="E5B8B7" w:themeFill="accent2" w:themeFillTint="66"/>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Unknown</w:t>
            </w:r>
          </w:p>
        </w:tc>
        <w:tc>
          <w:tcPr>
            <w:tcW w:w="134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2</w:t>
            </w:r>
          </w:p>
        </w:tc>
        <w:tc>
          <w:tcPr>
            <w:tcW w:w="166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3</w:t>
            </w:r>
          </w:p>
        </w:tc>
        <w:tc>
          <w:tcPr>
            <w:tcW w:w="1140" w:type="dxa"/>
            <w:shd w:val="clear" w:color="auto" w:fill="E5B8B7" w:themeFill="accent2" w:themeFillTint="66"/>
            <w:noWrap/>
            <w:vAlign w:val="center"/>
            <w:hideMark/>
          </w:tcPr>
          <w:p w:rsidR="00C40D10" w:rsidRPr="00C40D10" w:rsidRDefault="0037001B" w:rsidP="0037001B">
            <w:pPr>
              <w:spacing w:before="0" w:after="0"/>
              <w:jc w:val="center"/>
              <w:rPr>
                <w:rFonts w:ascii="Arial" w:hAnsi="Arial" w:cs="Arial"/>
                <w:color w:val="000000"/>
              </w:rPr>
            </w:pPr>
            <w:r w:rsidRPr="0037001B">
              <w:rPr>
                <w:rFonts w:ascii="Arial" w:hAnsi="Arial" w:cs="Arial"/>
                <w:color w:val="000000"/>
              </w:rPr>
              <w:t>0</w:t>
            </w:r>
          </w:p>
        </w:tc>
        <w:tc>
          <w:tcPr>
            <w:tcW w:w="1080" w:type="dxa"/>
            <w:shd w:val="clear" w:color="auto" w:fill="E5B8B7" w:themeFill="accent2" w:themeFillTint="66"/>
            <w:noWrap/>
            <w:vAlign w:val="center"/>
            <w:hideMark/>
          </w:tcPr>
          <w:p w:rsidR="00C40D10" w:rsidRPr="00C40D10" w:rsidRDefault="00C40D10" w:rsidP="0037001B">
            <w:pPr>
              <w:spacing w:before="0" w:after="0"/>
              <w:jc w:val="center"/>
              <w:rPr>
                <w:rFonts w:ascii="Arial" w:hAnsi="Arial" w:cs="Arial"/>
                <w:color w:val="000000"/>
              </w:rPr>
            </w:pPr>
            <w:r w:rsidRPr="00C40D10">
              <w:rPr>
                <w:rFonts w:ascii="Arial" w:hAnsi="Arial" w:cs="Arial"/>
                <w:color w:val="000000"/>
              </w:rPr>
              <w:t>5</w:t>
            </w:r>
          </w:p>
        </w:tc>
      </w:tr>
      <w:tr w:rsidR="00E756A7" w:rsidRPr="00E756A7" w:rsidTr="00B9194B">
        <w:trPr>
          <w:trHeight w:val="300"/>
        </w:trPr>
        <w:tc>
          <w:tcPr>
            <w:tcW w:w="3820" w:type="dxa"/>
            <w:shd w:val="clear" w:color="auto" w:fill="AF1E2D"/>
            <w:noWrap/>
            <w:vAlign w:val="center"/>
            <w:hideMark/>
          </w:tcPr>
          <w:p w:rsidR="00C40D10" w:rsidRPr="00C40D10" w:rsidRDefault="00C40D10" w:rsidP="00E756A7">
            <w:pPr>
              <w:spacing w:before="0" w:after="0"/>
              <w:rPr>
                <w:rFonts w:ascii="Arial" w:hAnsi="Arial" w:cs="Arial"/>
                <w:b/>
                <w:color w:val="FFFFFF" w:themeColor="background1"/>
              </w:rPr>
            </w:pPr>
            <w:r w:rsidRPr="00C40D10">
              <w:rPr>
                <w:rFonts w:ascii="Arial" w:hAnsi="Arial" w:cs="Arial"/>
                <w:b/>
                <w:color w:val="FFFFFF" w:themeColor="background1"/>
              </w:rPr>
              <w:t>Total</w:t>
            </w:r>
          </w:p>
        </w:tc>
        <w:tc>
          <w:tcPr>
            <w:tcW w:w="1340" w:type="dxa"/>
            <w:shd w:val="clear" w:color="auto" w:fill="AF1E2D"/>
            <w:noWrap/>
            <w:vAlign w:val="center"/>
            <w:hideMark/>
          </w:tcPr>
          <w:p w:rsidR="00C40D10" w:rsidRPr="00C40D10" w:rsidRDefault="00C40D10" w:rsidP="0037001B">
            <w:pPr>
              <w:spacing w:before="0" w:after="0"/>
              <w:jc w:val="center"/>
              <w:rPr>
                <w:rFonts w:ascii="Arial" w:hAnsi="Arial" w:cs="Arial"/>
                <w:b/>
                <w:color w:val="FFFFFF" w:themeColor="background1"/>
              </w:rPr>
            </w:pPr>
            <w:r w:rsidRPr="00C40D10">
              <w:rPr>
                <w:rFonts w:ascii="Arial" w:hAnsi="Arial" w:cs="Arial"/>
                <w:b/>
                <w:color w:val="FFFFFF" w:themeColor="background1"/>
              </w:rPr>
              <w:t>49</w:t>
            </w:r>
          </w:p>
        </w:tc>
        <w:tc>
          <w:tcPr>
            <w:tcW w:w="1660" w:type="dxa"/>
            <w:shd w:val="clear" w:color="auto" w:fill="AF1E2D"/>
            <w:noWrap/>
            <w:vAlign w:val="center"/>
            <w:hideMark/>
          </w:tcPr>
          <w:p w:rsidR="00C40D10" w:rsidRPr="00C40D10" w:rsidRDefault="00C40D10" w:rsidP="0037001B">
            <w:pPr>
              <w:spacing w:before="0" w:after="0"/>
              <w:jc w:val="center"/>
              <w:rPr>
                <w:rFonts w:ascii="Arial" w:hAnsi="Arial" w:cs="Arial"/>
                <w:b/>
                <w:color w:val="FFFFFF" w:themeColor="background1"/>
              </w:rPr>
            </w:pPr>
            <w:r w:rsidRPr="00C40D10">
              <w:rPr>
                <w:rFonts w:ascii="Arial" w:hAnsi="Arial" w:cs="Arial"/>
                <w:b/>
                <w:color w:val="FFFFFF" w:themeColor="background1"/>
              </w:rPr>
              <w:t>36</w:t>
            </w:r>
          </w:p>
        </w:tc>
        <w:tc>
          <w:tcPr>
            <w:tcW w:w="1140" w:type="dxa"/>
            <w:shd w:val="clear" w:color="auto" w:fill="AF1E2D"/>
            <w:noWrap/>
            <w:vAlign w:val="center"/>
            <w:hideMark/>
          </w:tcPr>
          <w:p w:rsidR="00C40D10" w:rsidRPr="00C40D10" w:rsidRDefault="00C40D10" w:rsidP="0037001B">
            <w:pPr>
              <w:spacing w:before="0" w:after="0"/>
              <w:jc w:val="center"/>
              <w:rPr>
                <w:rFonts w:ascii="Arial" w:hAnsi="Arial" w:cs="Arial"/>
                <w:b/>
                <w:color w:val="FFFFFF" w:themeColor="background1"/>
              </w:rPr>
            </w:pPr>
            <w:r w:rsidRPr="00C40D10">
              <w:rPr>
                <w:rFonts w:ascii="Arial" w:hAnsi="Arial" w:cs="Arial"/>
                <w:b/>
                <w:color w:val="FFFFFF" w:themeColor="background1"/>
              </w:rPr>
              <w:t>23</w:t>
            </w:r>
          </w:p>
        </w:tc>
        <w:tc>
          <w:tcPr>
            <w:tcW w:w="1080" w:type="dxa"/>
            <w:shd w:val="clear" w:color="auto" w:fill="AF1E2D"/>
            <w:noWrap/>
            <w:vAlign w:val="center"/>
            <w:hideMark/>
          </w:tcPr>
          <w:p w:rsidR="00C40D10" w:rsidRPr="00C40D10" w:rsidRDefault="00C40D10" w:rsidP="0037001B">
            <w:pPr>
              <w:spacing w:before="0" w:after="0"/>
              <w:jc w:val="center"/>
              <w:rPr>
                <w:rFonts w:ascii="Arial" w:hAnsi="Arial" w:cs="Arial"/>
                <w:b/>
                <w:color w:val="FFFFFF" w:themeColor="background1"/>
              </w:rPr>
            </w:pPr>
            <w:r w:rsidRPr="00C40D10">
              <w:rPr>
                <w:rFonts w:ascii="Arial" w:hAnsi="Arial" w:cs="Arial"/>
                <w:b/>
                <w:color w:val="FFFFFF" w:themeColor="background1"/>
              </w:rPr>
              <w:t>108</w:t>
            </w:r>
          </w:p>
        </w:tc>
      </w:tr>
    </w:tbl>
    <w:p w:rsidR="0097785B" w:rsidRDefault="0097785B" w:rsidP="0097785B">
      <w:pPr>
        <w:spacing w:before="360"/>
        <w:rPr>
          <w:rFonts w:ascii="Arial" w:hAnsi="Arial" w:cs="Arial"/>
          <w:b/>
          <w:color w:val="C10A27"/>
          <w:sz w:val="28"/>
          <w:szCs w:val="24"/>
        </w:rPr>
      </w:pPr>
    </w:p>
    <w:p w:rsidR="0097785B" w:rsidRDefault="0097785B" w:rsidP="0097785B">
      <w:r>
        <w:br w:type="page"/>
      </w:r>
    </w:p>
    <w:p w:rsidR="00F9493B" w:rsidRPr="0097785B" w:rsidRDefault="005C5E44" w:rsidP="0097785B">
      <w:pPr>
        <w:spacing w:before="360"/>
        <w:rPr>
          <w:rFonts w:ascii="Arial" w:hAnsi="Arial" w:cs="Arial"/>
          <w:b/>
          <w:color w:val="C10A27"/>
          <w:sz w:val="28"/>
          <w:szCs w:val="24"/>
        </w:rPr>
      </w:pPr>
      <w:r w:rsidRPr="0097785B">
        <w:rPr>
          <w:rFonts w:ascii="Arial" w:hAnsi="Arial" w:cs="Arial"/>
          <w:b/>
          <w:color w:val="C10A27"/>
          <w:sz w:val="28"/>
          <w:szCs w:val="24"/>
        </w:rPr>
        <w:lastRenderedPageBreak/>
        <w:t>Fatalities by t</w:t>
      </w:r>
      <w:r w:rsidR="00134C15" w:rsidRPr="0097785B">
        <w:rPr>
          <w:rFonts w:ascii="Arial" w:hAnsi="Arial" w:cs="Arial"/>
          <w:b/>
          <w:color w:val="C10A27"/>
          <w:sz w:val="28"/>
          <w:szCs w:val="24"/>
        </w:rPr>
        <w:t>ype of truck</w:t>
      </w:r>
    </w:p>
    <w:p w:rsidR="005C5E44" w:rsidRPr="004076EF" w:rsidRDefault="003074B2" w:rsidP="00564DD2">
      <w:pPr>
        <w:spacing w:line="288" w:lineRule="auto"/>
        <w:rPr>
          <w:rFonts w:ascii="Arial" w:hAnsi="Arial" w:cs="Arial"/>
          <w:sz w:val="22"/>
          <w:szCs w:val="22"/>
        </w:rPr>
      </w:pPr>
      <w:r w:rsidRPr="004076EF">
        <w:rPr>
          <w:rFonts w:ascii="Arial" w:hAnsi="Arial" w:cs="Arial"/>
          <w:sz w:val="22"/>
          <w:szCs w:val="22"/>
        </w:rPr>
        <w:t>Of the 108 fa</w:t>
      </w:r>
      <w:r w:rsidR="00AC1C7E">
        <w:rPr>
          <w:rFonts w:ascii="Arial" w:hAnsi="Arial" w:cs="Arial"/>
          <w:sz w:val="22"/>
          <w:szCs w:val="22"/>
        </w:rPr>
        <w:t>talities which occurred in the R</w:t>
      </w:r>
      <w:r w:rsidRPr="004076EF">
        <w:rPr>
          <w:rFonts w:ascii="Arial" w:hAnsi="Arial" w:cs="Arial"/>
          <w:sz w:val="22"/>
          <w:szCs w:val="22"/>
        </w:rPr>
        <w:t>oad transport industry, 59 involved articulated trucks, 16 involved rigid trucks and 1</w:t>
      </w:r>
      <w:r w:rsidR="0097785B">
        <w:rPr>
          <w:rFonts w:ascii="Arial" w:hAnsi="Arial" w:cs="Arial"/>
          <w:sz w:val="22"/>
          <w:szCs w:val="22"/>
        </w:rPr>
        <w:t>1</w:t>
      </w:r>
      <w:r w:rsidRPr="004076EF">
        <w:rPr>
          <w:rFonts w:ascii="Arial" w:hAnsi="Arial" w:cs="Arial"/>
          <w:sz w:val="22"/>
          <w:szCs w:val="22"/>
        </w:rPr>
        <w:t xml:space="preserve"> involve</w:t>
      </w:r>
      <w:r w:rsidR="0097785B">
        <w:rPr>
          <w:rFonts w:ascii="Arial" w:hAnsi="Arial" w:cs="Arial"/>
          <w:sz w:val="22"/>
          <w:szCs w:val="22"/>
        </w:rPr>
        <w:t>d light vehicles</w:t>
      </w:r>
      <w:r w:rsidRPr="004076EF">
        <w:rPr>
          <w:rFonts w:ascii="Arial" w:hAnsi="Arial" w:cs="Arial"/>
          <w:sz w:val="22"/>
          <w:szCs w:val="22"/>
        </w:rPr>
        <w:t>.</w:t>
      </w:r>
    </w:p>
    <w:p w:rsidR="00AE0C6F" w:rsidRPr="00E66B7B" w:rsidRDefault="006820DA" w:rsidP="00AE0C6F">
      <w:pPr>
        <w:pStyle w:val="Tableheading"/>
        <w:rPr>
          <w:sz w:val="22"/>
        </w:rPr>
      </w:pPr>
      <w:r w:rsidRPr="00E66B7B">
        <w:rPr>
          <w:sz w:val="22"/>
        </w:rPr>
        <w:t xml:space="preserve">Table </w:t>
      </w:r>
      <w:r w:rsidR="005B46A5">
        <w:rPr>
          <w:sz w:val="22"/>
        </w:rPr>
        <w:t>1</w:t>
      </w:r>
      <w:r w:rsidR="00444F71">
        <w:rPr>
          <w:sz w:val="22"/>
        </w:rPr>
        <w:t>4</w:t>
      </w:r>
      <w:r w:rsidR="00AE0C6F" w:rsidRPr="00E66B7B">
        <w:rPr>
          <w:sz w:val="22"/>
        </w:rPr>
        <w:t xml:space="preserve">: Worker fatalities: number by type of crash and </w:t>
      </w:r>
      <w:r w:rsidRPr="00E66B7B">
        <w:rPr>
          <w:sz w:val="22"/>
        </w:rPr>
        <w:t>vehicle</w:t>
      </w:r>
      <w:r w:rsidR="00AE0C6F" w:rsidRPr="00E66B7B">
        <w:rPr>
          <w:sz w:val="22"/>
        </w:rPr>
        <w:t xml:space="preserve">, 2013 to 2015 </w:t>
      </w:r>
      <w:r w:rsidR="0011022E" w:rsidRPr="00E66B7B">
        <w:rPr>
          <w:sz w:val="22"/>
        </w:rPr>
        <w:t>(</w:t>
      </w:r>
      <w:r w:rsidR="00AE0C6F" w:rsidRPr="00E66B7B">
        <w:rPr>
          <w:sz w:val="22"/>
        </w:rPr>
        <w:t>combined</w:t>
      </w:r>
      <w:r w:rsidR="0011022E" w:rsidRPr="00E66B7B">
        <w:rPr>
          <w:sz w:val="22"/>
        </w:rPr>
        <w:t>)</w:t>
      </w:r>
    </w:p>
    <w:tbl>
      <w:tblPr>
        <w:tblW w:w="7245"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Worker fatalities: number by type of crash and vehicle, 2013 to 2015 (combined)"/>
        <w:tblDescription w:val="Table 14 shows that of the 108 fatalities which occurred in the road transport industry, 59 involved articulated trucks, 16 involved rigid trucks and 11 involved light vehicles."/>
      </w:tblPr>
      <w:tblGrid>
        <w:gridCol w:w="2425"/>
        <w:gridCol w:w="1559"/>
        <w:gridCol w:w="1418"/>
        <w:gridCol w:w="1843"/>
      </w:tblGrid>
      <w:tr w:rsidR="00E756A7" w:rsidRPr="00E66B7B" w:rsidTr="00B9194B">
        <w:trPr>
          <w:trHeight w:val="900"/>
        </w:trPr>
        <w:tc>
          <w:tcPr>
            <w:tcW w:w="2425" w:type="dxa"/>
            <w:shd w:val="clear" w:color="auto" w:fill="AF1E2D"/>
            <w:noWrap/>
            <w:vAlign w:val="center"/>
            <w:hideMark/>
          </w:tcPr>
          <w:p w:rsidR="00C40D10" w:rsidRPr="00C40D10" w:rsidRDefault="00C40D10" w:rsidP="00E756A7">
            <w:pPr>
              <w:spacing w:before="0" w:after="0"/>
              <w:rPr>
                <w:rFonts w:ascii="Arial" w:hAnsi="Arial" w:cs="Arial"/>
                <w:b/>
                <w:bCs/>
                <w:color w:val="FFFFFF" w:themeColor="background1"/>
              </w:rPr>
            </w:pPr>
            <w:r w:rsidRPr="00C40D10">
              <w:rPr>
                <w:rFonts w:ascii="Arial" w:hAnsi="Arial" w:cs="Arial"/>
                <w:b/>
                <w:bCs/>
                <w:color w:val="FFFFFF" w:themeColor="background1"/>
              </w:rPr>
              <w:t>Type of vehicle</w:t>
            </w:r>
          </w:p>
        </w:tc>
        <w:tc>
          <w:tcPr>
            <w:tcW w:w="1559" w:type="dxa"/>
            <w:shd w:val="clear" w:color="auto" w:fill="AF1E2D"/>
            <w:vAlign w:val="center"/>
            <w:hideMark/>
          </w:tcPr>
          <w:p w:rsidR="00C40D10" w:rsidRPr="00C40D10" w:rsidRDefault="00C40D10" w:rsidP="00E756A7">
            <w:pPr>
              <w:spacing w:before="0" w:after="0"/>
              <w:jc w:val="center"/>
              <w:rPr>
                <w:rFonts w:ascii="Arial" w:hAnsi="Arial" w:cs="Arial"/>
                <w:b/>
                <w:bCs/>
                <w:color w:val="FFFFFF" w:themeColor="background1"/>
              </w:rPr>
            </w:pPr>
            <w:r w:rsidRPr="00C40D10">
              <w:rPr>
                <w:rFonts w:ascii="Arial" w:hAnsi="Arial" w:cs="Arial"/>
                <w:b/>
                <w:bCs/>
                <w:color w:val="FFFFFF" w:themeColor="background1"/>
              </w:rPr>
              <w:t>Single vehicle incident</w:t>
            </w:r>
          </w:p>
        </w:tc>
        <w:tc>
          <w:tcPr>
            <w:tcW w:w="1418" w:type="dxa"/>
            <w:shd w:val="clear" w:color="auto" w:fill="AF1E2D"/>
            <w:vAlign w:val="center"/>
            <w:hideMark/>
          </w:tcPr>
          <w:p w:rsidR="00C40D10" w:rsidRPr="00C40D10" w:rsidRDefault="00C40D10" w:rsidP="00E756A7">
            <w:pPr>
              <w:spacing w:before="0" w:after="0"/>
              <w:jc w:val="center"/>
              <w:rPr>
                <w:rFonts w:ascii="Arial" w:hAnsi="Arial" w:cs="Arial"/>
                <w:b/>
                <w:bCs/>
                <w:color w:val="FFFFFF" w:themeColor="background1"/>
              </w:rPr>
            </w:pPr>
            <w:r w:rsidRPr="00C40D10">
              <w:rPr>
                <w:rFonts w:ascii="Arial" w:hAnsi="Arial" w:cs="Arial"/>
                <w:b/>
                <w:bCs/>
                <w:color w:val="FFFFFF" w:themeColor="background1"/>
              </w:rPr>
              <w:t>Multi vehicle incident</w:t>
            </w:r>
          </w:p>
        </w:tc>
        <w:tc>
          <w:tcPr>
            <w:tcW w:w="1843" w:type="dxa"/>
            <w:shd w:val="clear" w:color="auto" w:fill="AF1E2D"/>
            <w:vAlign w:val="center"/>
            <w:hideMark/>
          </w:tcPr>
          <w:p w:rsidR="00C40D10" w:rsidRPr="00C40D10" w:rsidRDefault="00C40D10" w:rsidP="00E756A7">
            <w:pPr>
              <w:spacing w:before="0" w:after="0"/>
              <w:jc w:val="center"/>
              <w:rPr>
                <w:rFonts w:ascii="Arial" w:hAnsi="Arial" w:cs="Arial"/>
                <w:b/>
                <w:bCs/>
                <w:color w:val="FFFFFF" w:themeColor="background1"/>
              </w:rPr>
            </w:pPr>
            <w:r w:rsidRPr="00C40D10">
              <w:rPr>
                <w:rFonts w:ascii="Arial" w:hAnsi="Arial" w:cs="Arial"/>
                <w:b/>
                <w:bCs/>
                <w:color w:val="FFFFFF" w:themeColor="background1"/>
              </w:rPr>
              <w:t>Total*</w:t>
            </w:r>
          </w:p>
        </w:tc>
      </w:tr>
      <w:tr w:rsidR="00C40D10" w:rsidRPr="00C40D10" w:rsidTr="00E9113E">
        <w:trPr>
          <w:trHeight w:val="300"/>
        </w:trPr>
        <w:tc>
          <w:tcPr>
            <w:tcW w:w="2425" w:type="dxa"/>
            <w:shd w:val="clear" w:color="auto" w:fill="F2DBDB" w:themeFill="accent2" w:themeFillTint="33"/>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Articulated truck</w:t>
            </w:r>
          </w:p>
        </w:tc>
        <w:tc>
          <w:tcPr>
            <w:tcW w:w="1559" w:type="dxa"/>
            <w:shd w:val="clear" w:color="auto" w:fill="F2DBDB" w:themeFill="accent2" w:themeFillTint="33"/>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39</w:t>
            </w:r>
          </w:p>
        </w:tc>
        <w:tc>
          <w:tcPr>
            <w:tcW w:w="1418" w:type="dxa"/>
            <w:shd w:val="clear" w:color="auto" w:fill="F2DBDB" w:themeFill="accent2" w:themeFillTint="33"/>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20</w:t>
            </w:r>
          </w:p>
        </w:tc>
        <w:tc>
          <w:tcPr>
            <w:tcW w:w="1843" w:type="dxa"/>
            <w:shd w:val="clear" w:color="auto" w:fill="F2DBDB" w:themeFill="accent2" w:themeFillTint="33"/>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59</w:t>
            </w:r>
          </w:p>
        </w:tc>
      </w:tr>
      <w:tr w:rsidR="00C40D10" w:rsidRPr="00C40D10" w:rsidTr="00E9113E">
        <w:trPr>
          <w:trHeight w:val="300"/>
        </w:trPr>
        <w:tc>
          <w:tcPr>
            <w:tcW w:w="2425" w:type="dxa"/>
            <w:shd w:val="clear" w:color="auto" w:fill="auto"/>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Bus</w:t>
            </w:r>
          </w:p>
        </w:tc>
        <w:tc>
          <w:tcPr>
            <w:tcW w:w="1559" w:type="dxa"/>
            <w:shd w:val="clear" w:color="auto" w:fill="auto"/>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1</w:t>
            </w:r>
          </w:p>
        </w:tc>
        <w:tc>
          <w:tcPr>
            <w:tcW w:w="1418" w:type="dxa"/>
            <w:shd w:val="clear" w:color="auto" w:fill="auto"/>
            <w:noWrap/>
            <w:vAlign w:val="center"/>
            <w:hideMark/>
          </w:tcPr>
          <w:p w:rsidR="00C40D10" w:rsidRPr="00C40D10" w:rsidRDefault="00E756A7" w:rsidP="00E756A7">
            <w:pPr>
              <w:spacing w:before="0" w:after="0"/>
              <w:jc w:val="center"/>
              <w:rPr>
                <w:rFonts w:ascii="Arial" w:hAnsi="Arial" w:cs="Arial"/>
                <w:color w:val="000000"/>
              </w:rPr>
            </w:pPr>
            <w:r w:rsidRPr="00E66B7B">
              <w:rPr>
                <w:rFonts w:ascii="Arial" w:hAnsi="Arial" w:cs="Arial"/>
                <w:color w:val="000000"/>
              </w:rPr>
              <w:t>0</w:t>
            </w:r>
          </w:p>
        </w:tc>
        <w:tc>
          <w:tcPr>
            <w:tcW w:w="1843" w:type="dxa"/>
            <w:shd w:val="clear" w:color="auto" w:fill="auto"/>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1</w:t>
            </w:r>
          </w:p>
        </w:tc>
      </w:tr>
      <w:tr w:rsidR="00C40D10" w:rsidRPr="00C40D10" w:rsidTr="00E9113E">
        <w:trPr>
          <w:trHeight w:val="300"/>
        </w:trPr>
        <w:tc>
          <w:tcPr>
            <w:tcW w:w="2425" w:type="dxa"/>
            <w:shd w:val="clear" w:color="auto" w:fill="F2DBDB" w:themeFill="accent2" w:themeFillTint="33"/>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Rigid truck</w:t>
            </w:r>
          </w:p>
        </w:tc>
        <w:tc>
          <w:tcPr>
            <w:tcW w:w="1559" w:type="dxa"/>
            <w:shd w:val="clear" w:color="auto" w:fill="F2DBDB" w:themeFill="accent2" w:themeFillTint="33"/>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9</w:t>
            </w:r>
          </w:p>
        </w:tc>
        <w:tc>
          <w:tcPr>
            <w:tcW w:w="1418" w:type="dxa"/>
            <w:shd w:val="clear" w:color="auto" w:fill="F2DBDB" w:themeFill="accent2" w:themeFillTint="33"/>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7</w:t>
            </w:r>
          </w:p>
        </w:tc>
        <w:tc>
          <w:tcPr>
            <w:tcW w:w="1843" w:type="dxa"/>
            <w:shd w:val="clear" w:color="auto" w:fill="F2DBDB" w:themeFill="accent2" w:themeFillTint="33"/>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16</w:t>
            </w:r>
          </w:p>
        </w:tc>
      </w:tr>
      <w:tr w:rsidR="00C40D10" w:rsidRPr="00C40D10" w:rsidTr="00E9113E">
        <w:trPr>
          <w:trHeight w:val="300"/>
        </w:trPr>
        <w:tc>
          <w:tcPr>
            <w:tcW w:w="2425" w:type="dxa"/>
            <w:shd w:val="clear" w:color="auto" w:fill="auto"/>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Light vehicle</w:t>
            </w:r>
          </w:p>
        </w:tc>
        <w:tc>
          <w:tcPr>
            <w:tcW w:w="1559" w:type="dxa"/>
            <w:shd w:val="clear" w:color="auto" w:fill="auto"/>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7</w:t>
            </w:r>
          </w:p>
        </w:tc>
        <w:tc>
          <w:tcPr>
            <w:tcW w:w="1418" w:type="dxa"/>
            <w:shd w:val="clear" w:color="auto" w:fill="auto"/>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4</w:t>
            </w:r>
          </w:p>
        </w:tc>
        <w:tc>
          <w:tcPr>
            <w:tcW w:w="1843" w:type="dxa"/>
            <w:shd w:val="clear" w:color="auto" w:fill="auto"/>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11</w:t>
            </w:r>
          </w:p>
        </w:tc>
      </w:tr>
      <w:tr w:rsidR="00C40D10" w:rsidRPr="00C40D10" w:rsidTr="00E9113E">
        <w:trPr>
          <w:trHeight w:val="300"/>
        </w:trPr>
        <w:tc>
          <w:tcPr>
            <w:tcW w:w="2425" w:type="dxa"/>
            <w:shd w:val="clear" w:color="auto" w:fill="F2DBDB" w:themeFill="accent2" w:themeFillTint="33"/>
            <w:noWrap/>
            <w:vAlign w:val="center"/>
            <w:hideMark/>
          </w:tcPr>
          <w:p w:rsidR="00C40D10" w:rsidRPr="00C40D10" w:rsidRDefault="00C40D10" w:rsidP="00E756A7">
            <w:pPr>
              <w:spacing w:before="0" w:after="0"/>
              <w:rPr>
                <w:rFonts w:ascii="Arial" w:hAnsi="Arial" w:cs="Arial"/>
                <w:color w:val="000000"/>
              </w:rPr>
            </w:pPr>
            <w:r w:rsidRPr="00C40D10">
              <w:rPr>
                <w:rFonts w:ascii="Arial" w:hAnsi="Arial" w:cs="Arial"/>
                <w:color w:val="000000"/>
              </w:rPr>
              <w:t>Unknown</w:t>
            </w:r>
          </w:p>
        </w:tc>
        <w:tc>
          <w:tcPr>
            <w:tcW w:w="1559" w:type="dxa"/>
            <w:shd w:val="clear" w:color="auto" w:fill="F2DBDB" w:themeFill="accent2" w:themeFillTint="33"/>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11</w:t>
            </w:r>
          </w:p>
        </w:tc>
        <w:tc>
          <w:tcPr>
            <w:tcW w:w="1418" w:type="dxa"/>
            <w:shd w:val="clear" w:color="auto" w:fill="F2DBDB" w:themeFill="accent2" w:themeFillTint="33"/>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4</w:t>
            </w:r>
          </w:p>
        </w:tc>
        <w:tc>
          <w:tcPr>
            <w:tcW w:w="1843" w:type="dxa"/>
            <w:shd w:val="clear" w:color="auto" w:fill="F2DBDB" w:themeFill="accent2" w:themeFillTint="33"/>
            <w:noWrap/>
            <w:vAlign w:val="center"/>
            <w:hideMark/>
          </w:tcPr>
          <w:p w:rsidR="00C40D10" w:rsidRPr="00C40D10" w:rsidRDefault="00C40D10" w:rsidP="00E756A7">
            <w:pPr>
              <w:spacing w:before="0" w:after="0"/>
              <w:jc w:val="center"/>
              <w:rPr>
                <w:rFonts w:ascii="Arial" w:hAnsi="Arial" w:cs="Arial"/>
                <w:color w:val="000000"/>
              </w:rPr>
            </w:pPr>
            <w:r w:rsidRPr="00C40D10">
              <w:rPr>
                <w:rFonts w:ascii="Arial" w:hAnsi="Arial" w:cs="Arial"/>
                <w:color w:val="000000"/>
              </w:rPr>
              <w:t>21</w:t>
            </w:r>
          </w:p>
        </w:tc>
      </w:tr>
      <w:tr w:rsidR="00E756A7" w:rsidRPr="00E66B7B" w:rsidTr="00B9194B">
        <w:trPr>
          <w:trHeight w:val="300"/>
        </w:trPr>
        <w:tc>
          <w:tcPr>
            <w:tcW w:w="2425" w:type="dxa"/>
            <w:shd w:val="clear" w:color="auto" w:fill="AF1E2D"/>
            <w:noWrap/>
            <w:vAlign w:val="center"/>
            <w:hideMark/>
          </w:tcPr>
          <w:p w:rsidR="00C40D10" w:rsidRPr="00C40D10" w:rsidRDefault="00C40D10" w:rsidP="00E756A7">
            <w:pPr>
              <w:spacing w:before="0" w:after="0"/>
              <w:rPr>
                <w:rFonts w:ascii="Arial" w:hAnsi="Arial" w:cs="Arial"/>
                <w:b/>
                <w:bCs/>
                <w:color w:val="FFFFFF" w:themeColor="background1"/>
              </w:rPr>
            </w:pPr>
            <w:r w:rsidRPr="00C40D10">
              <w:rPr>
                <w:rFonts w:ascii="Arial" w:hAnsi="Arial" w:cs="Arial"/>
                <w:b/>
                <w:bCs/>
                <w:color w:val="FFFFFF" w:themeColor="background1"/>
              </w:rPr>
              <w:t>Total</w:t>
            </w:r>
          </w:p>
        </w:tc>
        <w:tc>
          <w:tcPr>
            <w:tcW w:w="1559" w:type="dxa"/>
            <w:shd w:val="clear" w:color="auto" w:fill="AF1E2D"/>
            <w:noWrap/>
            <w:vAlign w:val="center"/>
            <w:hideMark/>
          </w:tcPr>
          <w:p w:rsidR="00C40D10" w:rsidRPr="00C40D10" w:rsidRDefault="00C40D10" w:rsidP="00E756A7">
            <w:pPr>
              <w:spacing w:before="0" w:after="0"/>
              <w:jc w:val="center"/>
              <w:rPr>
                <w:rFonts w:ascii="Arial" w:hAnsi="Arial" w:cs="Arial"/>
                <w:b/>
                <w:bCs/>
                <w:color w:val="FFFFFF" w:themeColor="background1"/>
              </w:rPr>
            </w:pPr>
            <w:r w:rsidRPr="00C40D10">
              <w:rPr>
                <w:rFonts w:ascii="Arial" w:hAnsi="Arial" w:cs="Arial"/>
                <w:b/>
                <w:bCs/>
                <w:color w:val="FFFFFF" w:themeColor="background1"/>
              </w:rPr>
              <w:t>67</w:t>
            </w:r>
          </w:p>
        </w:tc>
        <w:tc>
          <w:tcPr>
            <w:tcW w:w="1418" w:type="dxa"/>
            <w:shd w:val="clear" w:color="auto" w:fill="AF1E2D"/>
            <w:noWrap/>
            <w:vAlign w:val="center"/>
            <w:hideMark/>
          </w:tcPr>
          <w:p w:rsidR="00C40D10" w:rsidRPr="00C40D10" w:rsidRDefault="00C40D10" w:rsidP="00E756A7">
            <w:pPr>
              <w:spacing w:before="0" w:after="0"/>
              <w:jc w:val="center"/>
              <w:rPr>
                <w:rFonts w:ascii="Arial" w:hAnsi="Arial" w:cs="Arial"/>
                <w:b/>
                <w:bCs/>
                <w:color w:val="FFFFFF" w:themeColor="background1"/>
              </w:rPr>
            </w:pPr>
            <w:r w:rsidRPr="00C40D10">
              <w:rPr>
                <w:rFonts w:ascii="Arial" w:hAnsi="Arial" w:cs="Arial"/>
                <w:b/>
                <w:bCs/>
                <w:color w:val="FFFFFF" w:themeColor="background1"/>
              </w:rPr>
              <w:t>35</w:t>
            </w:r>
          </w:p>
        </w:tc>
        <w:tc>
          <w:tcPr>
            <w:tcW w:w="1843" w:type="dxa"/>
            <w:shd w:val="clear" w:color="auto" w:fill="AF1E2D"/>
            <w:noWrap/>
            <w:vAlign w:val="center"/>
            <w:hideMark/>
          </w:tcPr>
          <w:p w:rsidR="00C40D10" w:rsidRPr="00C40D10" w:rsidRDefault="00C40D10" w:rsidP="00E756A7">
            <w:pPr>
              <w:spacing w:before="0" w:after="0"/>
              <w:jc w:val="center"/>
              <w:rPr>
                <w:rFonts w:ascii="Arial" w:hAnsi="Arial" w:cs="Arial"/>
                <w:b/>
                <w:bCs/>
                <w:color w:val="FFFFFF" w:themeColor="background1"/>
              </w:rPr>
            </w:pPr>
            <w:r w:rsidRPr="00C40D10">
              <w:rPr>
                <w:rFonts w:ascii="Arial" w:hAnsi="Arial" w:cs="Arial"/>
                <w:b/>
                <w:bCs/>
                <w:color w:val="FFFFFF" w:themeColor="background1"/>
              </w:rPr>
              <w:t>108</w:t>
            </w:r>
          </w:p>
        </w:tc>
      </w:tr>
    </w:tbl>
    <w:p w:rsidR="00AE0C6F" w:rsidRPr="00E66B7B" w:rsidRDefault="00E756A7" w:rsidP="008D53D4">
      <w:pPr>
        <w:pStyle w:val="FactSheetNormal"/>
        <w:spacing w:line="360" w:lineRule="auto"/>
        <w:rPr>
          <w:sz w:val="18"/>
        </w:rPr>
      </w:pPr>
      <w:r w:rsidRPr="00E66B7B">
        <w:rPr>
          <w:sz w:val="18"/>
        </w:rPr>
        <w:t>* includes where type of crash was unk</w:t>
      </w:r>
      <w:r w:rsidR="00E66B7B" w:rsidRPr="00E66B7B">
        <w:rPr>
          <w:sz w:val="18"/>
        </w:rPr>
        <w:t>n</w:t>
      </w:r>
      <w:r w:rsidRPr="00E66B7B">
        <w:rPr>
          <w:sz w:val="18"/>
        </w:rPr>
        <w:t>own</w:t>
      </w:r>
    </w:p>
    <w:p w:rsidR="003074B2" w:rsidRPr="004076EF" w:rsidRDefault="003074B2" w:rsidP="0097785B">
      <w:pPr>
        <w:pStyle w:val="FactSheetNormal"/>
        <w:spacing w:before="120" w:line="240" w:lineRule="auto"/>
      </w:pPr>
      <w:r w:rsidRPr="004076EF">
        <w:rPr>
          <w:color w:val="auto"/>
          <w:lang w:val="en-AU"/>
        </w:rPr>
        <w:t xml:space="preserve">The Bureau of Infrastructure, Transport and Regional Economics’ </w:t>
      </w:r>
      <w:r w:rsidR="003F23DE">
        <w:rPr>
          <w:color w:val="auto"/>
          <w:lang w:val="en-AU"/>
        </w:rPr>
        <w:t>r</w:t>
      </w:r>
      <w:r w:rsidRPr="004076EF">
        <w:rPr>
          <w:color w:val="auto"/>
          <w:lang w:val="en-AU"/>
        </w:rPr>
        <w:t xml:space="preserve">eport, </w:t>
      </w:r>
      <w:hyperlink r:id="rId20" w:history="1">
        <w:r w:rsidRPr="0097785B">
          <w:rPr>
            <w:rStyle w:val="Hyperlink"/>
            <w:i/>
            <w:lang w:val="en-AU"/>
          </w:rPr>
          <w:t>Heavy truck safety: crash analysis and trends</w:t>
        </w:r>
      </w:hyperlink>
      <w:r w:rsidRPr="004076EF">
        <w:rPr>
          <w:color w:val="auto"/>
          <w:lang w:val="en-AU"/>
        </w:rPr>
        <w:t xml:space="preserve">, contains details of many aspects of truck related fatalities; however, it does not identify which </w:t>
      </w:r>
      <w:r w:rsidR="00D37457">
        <w:rPr>
          <w:color w:val="auto"/>
          <w:lang w:val="en-AU"/>
        </w:rPr>
        <w:t xml:space="preserve">fatalities </w:t>
      </w:r>
      <w:r w:rsidRPr="004076EF">
        <w:rPr>
          <w:color w:val="auto"/>
          <w:lang w:val="en-AU"/>
        </w:rPr>
        <w:t>were work-related</w:t>
      </w:r>
      <w:r w:rsidR="0097785B">
        <w:rPr>
          <w:color w:val="auto"/>
          <w:lang w:val="en-AU"/>
        </w:rPr>
        <w:t>.</w:t>
      </w:r>
      <w:r w:rsidR="0097785B" w:rsidRPr="004076EF">
        <w:t xml:space="preserve"> </w:t>
      </w:r>
    </w:p>
    <w:p w:rsidR="00197DB3" w:rsidRPr="004076EF" w:rsidRDefault="00CC281F" w:rsidP="00564DD2">
      <w:pPr>
        <w:spacing w:line="288" w:lineRule="auto"/>
        <w:rPr>
          <w:rFonts w:ascii="Arial" w:hAnsi="Arial" w:cs="Arial"/>
          <w:sz w:val="22"/>
          <w:szCs w:val="22"/>
        </w:rPr>
      </w:pPr>
      <w:r w:rsidRPr="004076EF">
        <w:rPr>
          <w:rFonts w:ascii="Arial" w:hAnsi="Arial" w:cs="Arial"/>
          <w:sz w:val="22"/>
          <w:szCs w:val="22"/>
        </w:rPr>
        <w:t>Nevertheless</w:t>
      </w:r>
      <w:r w:rsidR="006C1B92" w:rsidRPr="004076EF">
        <w:rPr>
          <w:rFonts w:ascii="Arial" w:hAnsi="Arial" w:cs="Arial"/>
          <w:sz w:val="22"/>
          <w:szCs w:val="22"/>
        </w:rPr>
        <w:t xml:space="preserve">, </w:t>
      </w:r>
      <w:r w:rsidR="003F23DE">
        <w:rPr>
          <w:rFonts w:ascii="Arial" w:hAnsi="Arial" w:cs="Arial"/>
          <w:sz w:val="22"/>
          <w:szCs w:val="22"/>
        </w:rPr>
        <w:t xml:space="preserve">the report </w:t>
      </w:r>
      <w:r w:rsidR="006C1B92" w:rsidRPr="004076EF">
        <w:rPr>
          <w:rFonts w:ascii="Arial" w:hAnsi="Arial" w:cs="Arial"/>
          <w:sz w:val="22"/>
          <w:szCs w:val="22"/>
        </w:rPr>
        <w:t xml:space="preserve">shows </w:t>
      </w:r>
      <w:r w:rsidR="0097785B">
        <w:rPr>
          <w:rFonts w:ascii="Arial" w:hAnsi="Arial" w:cs="Arial"/>
          <w:sz w:val="22"/>
          <w:szCs w:val="22"/>
        </w:rPr>
        <w:t xml:space="preserve">that </w:t>
      </w:r>
      <w:r w:rsidR="003F23DE">
        <w:rPr>
          <w:rFonts w:ascii="Arial" w:hAnsi="Arial" w:cs="Arial"/>
          <w:sz w:val="22"/>
          <w:szCs w:val="22"/>
        </w:rPr>
        <w:t xml:space="preserve">while </w:t>
      </w:r>
      <w:r w:rsidR="006C1B92" w:rsidRPr="004076EF">
        <w:rPr>
          <w:rFonts w:ascii="Arial" w:hAnsi="Arial" w:cs="Arial"/>
          <w:sz w:val="22"/>
          <w:szCs w:val="22"/>
        </w:rPr>
        <w:t>articulated truck</w:t>
      </w:r>
      <w:r w:rsidR="0097785B">
        <w:rPr>
          <w:rFonts w:ascii="Arial" w:hAnsi="Arial" w:cs="Arial"/>
          <w:sz w:val="22"/>
          <w:szCs w:val="22"/>
        </w:rPr>
        <w:t xml:space="preserve">-related </w:t>
      </w:r>
      <w:r w:rsidR="006C1B92" w:rsidRPr="004076EF">
        <w:rPr>
          <w:rFonts w:ascii="Arial" w:hAnsi="Arial" w:cs="Arial"/>
          <w:sz w:val="22"/>
          <w:szCs w:val="22"/>
        </w:rPr>
        <w:t xml:space="preserve">fatalities have fallen by around </w:t>
      </w:r>
      <w:r w:rsidR="0097785B">
        <w:rPr>
          <w:rFonts w:ascii="Arial" w:hAnsi="Arial" w:cs="Arial"/>
          <w:sz w:val="22"/>
          <w:szCs w:val="22"/>
        </w:rPr>
        <w:t>5 </w:t>
      </w:r>
      <w:r w:rsidR="006C1B92" w:rsidRPr="004076EF">
        <w:rPr>
          <w:rFonts w:ascii="Arial" w:hAnsi="Arial" w:cs="Arial"/>
          <w:sz w:val="22"/>
          <w:szCs w:val="22"/>
        </w:rPr>
        <w:t>per</w:t>
      </w:r>
      <w:r w:rsidR="0097785B">
        <w:rPr>
          <w:rFonts w:ascii="Arial" w:hAnsi="Arial" w:cs="Arial"/>
          <w:sz w:val="22"/>
          <w:szCs w:val="22"/>
        </w:rPr>
        <w:t> </w:t>
      </w:r>
      <w:r w:rsidR="006C1B92" w:rsidRPr="004076EF">
        <w:rPr>
          <w:rFonts w:ascii="Arial" w:hAnsi="Arial" w:cs="Arial"/>
          <w:sz w:val="22"/>
          <w:szCs w:val="22"/>
        </w:rPr>
        <w:t>cent each year since 2006</w:t>
      </w:r>
      <w:r w:rsidR="0097785B">
        <w:rPr>
          <w:rFonts w:ascii="Arial" w:hAnsi="Arial" w:cs="Arial"/>
          <w:sz w:val="22"/>
          <w:szCs w:val="22"/>
        </w:rPr>
        <w:t>,</w:t>
      </w:r>
      <w:r w:rsidR="006C1B92" w:rsidRPr="004076EF">
        <w:rPr>
          <w:rFonts w:ascii="Arial" w:hAnsi="Arial" w:cs="Arial"/>
          <w:sz w:val="22"/>
          <w:szCs w:val="22"/>
        </w:rPr>
        <w:t xml:space="preserve"> </w:t>
      </w:r>
      <w:r w:rsidRPr="004076EF">
        <w:rPr>
          <w:rFonts w:ascii="Arial" w:hAnsi="Arial" w:cs="Arial"/>
          <w:sz w:val="22"/>
          <w:szCs w:val="22"/>
        </w:rPr>
        <w:t>t</w:t>
      </w:r>
      <w:r w:rsidR="006C1B92" w:rsidRPr="004076EF">
        <w:rPr>
          <w:rFonts w:ascii="Arial" w:hAnsi="Arial" w:cs="Arial"/>
          <w:sz w:val="22"/>
          <w:szCs w:val="22"/>
        </w:rPr>
        <w:t xml:space="preserve">here has been little change in the number of fatalities </w:t>
      </w:r>
      <w:r w:rsidR="0097785B">
        <w:rPr>
          <w:rFonts w:ascii="Arial" w:hAnsi="Arial" w:cs="Arial"/>
          <w:sz w:val="22"/>
          <w:szCs w:val="22"/>
        </w:rPr>
        <w:t>involving</w:t>
      </w:r>
      <w:r w:rsidR="006C1B92" w:rsidRPr="004076EF">
        <w:rPr>
          <w:rFonts w:ascii="Arial" w:hAnsi="Arial" w:cs="Arial"/>
          <w:sz w:val="22"/>
          <w:szCs w:val="22"/>
        </w:rPr>
        <w:t xml:space="preserve"> heavy rigid trucks.</w:t>
      </w:r>
      <w:r w:rsidR="00EF15B3" w:rsidRPr="00EF15B3">
        <w:rPr>
          <w:caps/>
          <w:noProof/>
        </w:rPr>
        <w:t xml:space="preserve"> </w:t>
      </w:r>
    </w:p>
    <w:p w:rsidR="00E772BC" w:rsidRDefault="003F23DE" w:rsidP="00564DD2">
      <w:pPr>
        <w:spacing w:line="288" w:lineRule="auto"/>
        <w:rPr>
          <w:rFonts w:ascii="Arial" w:hAnsi="Arial" w:cs="Arial"/>
          <w:sz w:val="22"/>
          <w:szCs w:val="22"/>
        </w:rPr>
      </w:pPr>
      <w:r>
        <w:rPr>
          <w:rFonts w:ascii="Arial" w:hAnsi="Arial" w:cs="Arial"/>
          <w:sz w:val="22"/>
          <w:szCs w:val="22"/>
        </w:rPr>
        <w:t>The report also highlights that a</w:t>
      </w:r>
      <w:r w:rsidR="00A25BF0" w:rsidRPr="004076EF">
        <w:rPr>
          <w:rFonts w:ascii="Arial" w:hAnsi="Arial" w:cs="Arial"/>
          <w:sz w:val="22"/>
          <w:szCs w:val="22"/>
        </w:rPr>
        <w:t xml:space="preserve">rticulated trucks do most (80 per cent) of their travel outside </w:t>
      </w:r>
      <w:r w:rsidR="00D37457">
        <w:rPr>
          <w:rFonts w:ascii="Arial" w:hAnsi="Arial" w:cs="Arial"/>
          <w:sz w:val="22"/>
          <w:szCs w:val="22"/>
        </w:rPr>
        <w:t>of</w:t>
      </w:r>
      <w:r w:rsidR="00A25BF0" w:rsidRPr="004076EF">
        <w:rPr>
          <w:rFonts w:ascii="Arial" w:hAnsi="Arial" w:cs="Arial"/>
          <w:sz w:val="22"/>
          <w:szCs w:val="22"/>
        </w:rPr>
        <w:t xml:space="preserve"> capital city area</w:t>
      </w:r>
      <w:r w:rsidR="00D37457">
        <w:rPr>
          <w:rFonts w:ascii="Arial" w:hAnsi="Arial" w:cs="Arial"/>
          <w:sz w:val="22"/>
          <w:szCs w:val="22"/>
        </w:rPr>
        <w:t>s.</w:t>
      </w:r>
      <w:r w:rsidR="00A25BF0" w:rsidRPr="004076EF">
        <w:rPr>
          <w:rFonts w:ascii="Arial" w:hAnsi="Arial" w:cs="Arial"/>
          <w:sz w:val="22"/>
          <w:szCs w:val="22"/>
        </w:rPr>
        <w:t xml:space="preserve"> </w:t>
      </w:r>
      <w:r w:rsidR="00D37457">
        <w:rPr>
          <w:rFonts w:ascii="Arial" w:hAnsi="Arial" w:cs="Arial"/>
          <w:sz w:val="22"/>
          <w:szCs w:val="22"/>
        </w:rPr>
        <w:t xml:space="preserve">In contrast, </w:t>
      </w:r>
      <w:r w:rsidR="00A25BF0" w:rsidRPr="004076EF">
        <w:rPr>
          <w:rFonts w:ascii="Arial" w:hAnsi="Arial" w:cs="Arial"/>
          <w:sz w:val="22"/>
          <w:szCs w:val="22"/>
        </w:rPr>
        <w:t>rigid truck</w:t>
      </w:r>
      <w:r w:rsidR="00D37457">
        <w:rPr>
          <w:rFonts w:ascii="Arial" w:hAnsi="Arial" w:cs="Arial"/>
          <w:sz w:val="22"/>
          <w:szCs w:val="22"/>
        </w:rPr>
        <w:t xml:space="preserve"> travel</w:t>
      </w:r>
      <w:r w:rsidR="0097785B">
        <w:rPr>
          <w:rFonts w:ascii="Arial" w:hAnsi="Arial" w:cs="Arial"/>
          <w:sz w:val="22"/>
          <w:szCs w:val="22"/>
        </w:rPr>
        <w:t xml:space="preserve"> is </w:t>
      </w:r>
      <w:r w:rsidR="00A25BF0" w:rsidRPr="004076EF">
        <w:rPr>
          <w:rFonts w:ascii="Arial" w:hAnsi="Arial" w:cs="Arial"/>
          <w:sz w:val="22"/>
          <w:szCs w:val="22"/>
        </w:rPr>
        <w:t>evenly split between capital city areas and other</w:t>
      </w:r>
      <w:r w:rsidR="0097785B">
        <w:rPr>
          <w:rFonts w:ascii="Arial" w:hAnsi="Arial" w:cs="Arial"/>
          <w:sz w:val="22"/>
          <w:szCs w:val="22"/>
        </w:rPr>
        <w:t xml:space="preserve"> areas.</w:t>
      </w:r>
      <w:r w:rsidR="005C2E83" w:rsidRPr="004076EF">
        <w:rPr>
          <w:rFonts w:ascii="Arial" w:hAnsi="Arial" w:cs="Arial"/>
          <w:sz w:val="22"/>
          <w:szCs w:val="22"/>
        </w:rPr>
        <w:t xml:space="preserve"> </w:t>
      </w:r>
    </w:p>
    <w:p w:rsidR="005C2E83" w:rsidRPr="004076EF" w:rsidRDefault="00E772BC" w:rsidP="00564DD2">
      <w:pPr>
        <w:spacing w:line="288" w:lineRule="auto"/>
        <w:rPr>
          <w:rFonts w:ascii="Arial" w:hAnsi="Arial" w:cs="Arial"/>
          <w:sz w:val="22"/>
          <w:szCs w:val="22"/>
        </w:rPr>
      </w:pPr>
      <w:r>
        <w:rPr>
          <w:rFonts w:ascii="Arial" w:hAnsi="Arial" w:cs="Arial"/>
          <w:sz w:val="22"/>
          <w:szCs w:val="22"/>
        </w:rPr>
        <w:t>In line with this, the report shows that fatalities involving a</w:t>
      </w:r>
      <w:r w:rsidR="005C2E83" w:rsidRPr="004076EF">
        <w:rPr>
          <w:rFonts w:ascii="Arial" w:hAnsi="Arial" w:cs="Arial"/>
          <w:sz w:val="22"/>
          <w:szCs w:val="22"/>
        </w:rPr>
        <w:t>rticulated truck</w:t>
      </w:r>
      <w:r>
        <w:rPr>
          <w:rFonts w:ascii="Arial" w:hAnsi="Arial" w:cs="Arial"/>
          <w:sz w:val="22"/>
          <w:szCs w:val="22"/>
        </w:rPr>
        <w:t>s</w:t>
      </w:r>
      <w:r w:rsidR="005C2E83" w:rsidRPr="004076EF">
        <w:rPr>
          <w:rFonts w:ascii="Arial" w:hAnsi="Arial" w:cs="Arial"/>
          <w:sz w:val="22"/>
          <w:szCs w:val="22"/>
        </w:rPr>
        <w:t xml:space="preserve"> </w:t>
      </w:r>
      <w:r>
        <w:rPr>
          <w:rFonts w:ascii="Arial" w:hAnsi="Arial" w:cs="Arial"/>
          <w:sz w:val="22"/>
          <w:szCs w:val="22"/>
        </w:rPr>
        <w:t xml:space="preserve">are </w:t>
      </w:r>
      <w:r w:rsidR="005C2E83" w:rsidRPr="004076EF">
        <w:rPr>
          <w:rFonts w:ascii="Arial" w:hAnsi="Arial" w:cs="Arial"/>
          <w:sz w:val="22"/>
          <w:szCs w:val="22"/>
        </w:rPr>
        <w:t xml:space="preserve">more likely in rural/remote locations than </w:t>
      </w:r>
      <w:r>
        <w:rPr>
          <w:rFonts w:ascii="Arial" w:hAnsi="Arial" w:cs="Arial"/>
          <w:sz w:val="22"/>
          <w:szCs w:val="22"/>
        </w:rPr>
        <w:t xml:space="preserve">is the case for other types of </w:t>
      </w:r>
      <w:r w:rsidR="005C2E83" w:rsidRPr="004076EF">
        <w:rPr>
          <w:rFonts w:ascii="Arial" w:hAnsi="Arial" w:cs="Arial"/>
          <w:sz w:val="22"/>
          <w:szCs w:val="22"/>
        </w:rPr>
        <w:t>trucks.</w:t>
      </w:r>
      <w:r w:rsidR="003F23DE">
        <w:rPr>
          <w:rFonts w:ascii="Arial" w:hAnsi="Arial" w:cs="Arial"/>
          <w:sz w:val="22"/>
          <w:szCs w:val="22"/>
        </w:rPr>
        <w:t xml:space="preserve"> </w:t>
      </w:r>
      <w:r>
        <w:rPr>
          <w:rFonts w:ascii="Arial" w:hAnsi="Arial" w:cs="Arial"/>
          <w:sz w:val="22"/>
          <w:szCs w:val="22"/>
        </w:rPr>
        <w:t>A</w:t>
      </w:r>
      <w:r w:rsidR="005C2E83" w:rsidRPr="004076EF">
        <w:rPr>
          <w:rFonts w:ascii="Arial" w:hAnsi="Arial" w:cs="Arial"/>
          <w:sz w:val="22"/>
          <w:szCs w:val="22"/>
        </w:rPr>
        <w:t>lthough regional or remote areas account for only 30 per cent of the Australian population, they account for 65 per cent of fatal crashes with 80 per cent of these involving articulated trucks.</w:t>
      </w:r>
    </w:p>
    <w:sectPr w:rsidR="005C2E83" w:rsidRPr="004076EF" w:rsidSect="007772DB">
      <w:footerReference w:type="default" r:id="rId21"/>
      <w:pgSz w:w="11906" w:h="16838" w:code="9"/>
      <w:pgMar w:top="1276" w:right="1134" w:bottom="1135"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50" w:rsidRDefault="00AD7950" w:rsidP="00046BC1">
      <w:pPr>
        <w:spacing w:before="0" w:after="0"/>
      </w:pPr>
      <w:r>
        <w:separator/>
      </w:r>
    </w:p>
  </w:endnote>
  <w:endnote w:type="continuationSeparator" w:id="0">
    <w:p w:rsidR="00AD7950" w:rsidRDefault="00AD7950" w:rsidP="00046B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Gotham Book">
    <w:altName w:val="Gotham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50" w:rsidRDefault="00AD7950" w:rsidP="00C56FFA">
    <w:pPr>
      <w:pBdr>
        <w:top w:val="single" w:sz="6" w:space="1" w:color="C10A27"/>
        <w:left w:val="single" w:sz="6" w:space="4" w:color="C10A27"/>
        <w:bottom w:val="single" w:sz="6" w:space="1" w:color="C10A27"/>
        <w:right w:val="single" w:sz="6" w:space="4" w:color="C10A27"/>
      </w:pBdr>
      <w:spacing w:after="0"/>
    </w:pPr>
    <w:r w:rsidRPr="00706745">
      <w:rPr>
        <w:rFonts w:cs="Gotham Book"/>
        <w:color w:val="000000"/>
        <w:sz w:val="16"/>
      </w:rPr>
      <w:t>Data is this report are sourced from the National Dataset for Compensation-based Statistics (NDS) and the Work-related Traumatic Injury Fatalities data set.  Claims and fatalities are coded according to the Type of Occurrence Classification System 3</w:t>
    </w:r>
    <w:r w:rsidRPr="00C56FFA">
      <w:rPr>
        <w:rFonts w:cs="Gotham Book"/>
        <w:color w:val="000000"/>
        <w:sz w:val="16"/>
        <w:vertAlign w:val="superscript"/>
      </w:rPr>
      <w:t>rd</w:t>
    </w:r>
    <w:r>
      <w:rPr>
        <w:rFonts w:cs="Gotham Book"/>
        <w:color w:val="000000"/>
        <w:sz w:val="16"/>
      </w:rPr>
      <w:t> </w:t>
    </w:r>
    <w:r w:rsidRPr="00706745">
      <w:rPr>
        <w:rFonts w:cs="Gotham Book"/>
        <w:color w:val="000000"/>
        <w:sz w:val="16"/>
      </w:rPr>
      <w:t>Ed. Revision 1 (TOOCS). Industry and occupation level data are presented using the Australian and New Zealand Standard Industrial Classification (ANZSIC) 2006 and Australian and New Zealand Standard Classification of Occupations (ANZSCO) 2006.</w:t>
    </w:r>
    <w:r>
      <w:rPr>
        <w:rFonts w:cs="Gotham Book"/>
        <w:color w:val="000000"/>
        <w:sz w:val="16"/>
      </w:rPr>
      <w:t xml:space="preserve"> Data on serious claims only relate to employees covered by workers’ compensation and therefore excludes some workers, such as self</w:t>
    </w:r>
    <w:r>
      <w:rPr>
        <w:rFonts w:cs="Gotham Book"/>
        <w:color w:val="000000"/>
        <w:sz w:val="16"/>
      </w:rPr>
      <w:noBreakHyphen/>
      <w:t xml:space="preserve">employed.  Data on fatalities, however, cover all workers including self-employed workers, unpaid volunteers etc. Further information and explanatory notes on the data can be found on the Safe Work Australia </w:t>
    </w:r>
    <w:hyperlink r:id="rId1" w:history="1">
      <w:r w:rsidRPr="00DB6BF3">
        <w:rPr>
          <w:rStyle w:val="Hyperlink"/>
          <w:rFonts w:cs="Gotham Book"/>
          <w:sz w:val="16"/>
        </w:rPr>
        <w:t>website</w:t>
      </w:r>
    </w:hyperlink>
    <w:r>
      <w:rPr>
        <w:rFonts w:cs="Gotham Book"/>
        <w:color w:val="000000"/>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50" w:rsidRDefault="00AD7950">
    <w:pPr>
      <w:pStyle w:val="Footer"/>
      <w:jc w:val="right"/>
    </w:pPr>
  </w:p>
  <w:p w:rsidR="00AD7950" w:rsidRDefault="006263A4" w:rsidP="00C56FFA">
    <w:pPr>
      <w:pStyle w:val="Footer"/>
      <w:pBdr>
        <w:top w:val="single" w:sz="6" w:space="1" w:color="C10A27"/>
      </w:pBdr>
      <w:jc w:val="right"/>
    </w:pPr>
    <w:sdt>
      <w:sdtPr>
        <w:id w:val="-413859573"/>
        <w:docPartObj>
          <w:docPartGallery w:val="Page Numbers (Bottom of Page)"/>
          <w:docPartUnique/>
        </w:docPartObj>
      </w:sdtPr>
      <w:sdtEndPr>
        <w:rPr>
          <w:noProof/>
        </w:rPr>
      </w:sdtEndPr>
      <w:sdtContent>
        <w:r w:rsidR="00AD7950">
          <w:fldChar w:fldCharType="begin"/>
        </w:r>
        <w:r w:rsidR="00AD7950">
          <w:instrText xml:space="preserve"> PAGE   \* MERGEFORMAT </w:instrText>
        </w:r>
        <w:r w:rsidR="00AD7950">
          <w:fldChar w:fldCharType="separate"/>
        </w:r>
        <w:r>
          <w:rPr>
            <w:noProof/>
          </w:rPr>
          <w:t>2</w:t>
        </w:r>
        <w:r w:rsidR="00AD7950">
          <w:rPr>
            <w:noProof/>
          </w:rPr>
          <w:fldChar w:fldCharType="end"/>
        </w:r>
      </w:sdtContent>
    </w:sdt>
  </w:p>
  <w:p w:rsidR="00AD7950" w:rsidRPr="00FA03F8" w:rsidRDefault="00AD7950" w:rsidP="00FA03F8">
    <w:pPr>
      <w:pStyle w:val="Footer"/>
    </w:pPr>
  </w:p>
  <w:p w:rsidR="00AD7950" w:rsidRDefault="00AD7950"/>
  <w:p w:rsidR="00AD7950" w:rsidRDefault="00AD7950" w:rsidP="00390CA6"/>
  <w:p w:rsidR="00AD7950" w:rsidRDefault="00AD7950" w:rsidP="00274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50" w:rsidRDefault="00AD7950" w:rsidP="00046BC1">
      <w:pPr>
        <w:spacing w:before="0" w:after="0"/>
      </w:pPr>
      <w:r>
        <w:separator/>
      </w:r>
    </w:p>
  </w:footnote>
  <w:footnote w:type="continuationSeparator" w:id="0">
    <w:p w:rsidR="00AD7950" w:rsidRDefault="00AD7950" w:rsidP="00046BC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B70D0"/>
    <w:multiLevelType w:val="hybridMultilevel"/>
    <w:tmpl w:val="49FE2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b0e3aa2-ff47-4cbd-9a9e-e5dfc53e533a"/>
  </w:docVars>
  <w:rsids>
    <w:rsidRoot w:val="00D80106"/>
    <w:rsid w:val="000019FE"/>
    <w:rsid w:val="0001009B"/>
    <w:rsid w:val="00011CE9"/>
    <w:rsid w:val="00022172"/>
    <w:rsid w:val="0002445B"/>
    <w:rsid w:val="000330A1"/>
    <w:rsid w:val="00034326"/>
    <w:rsid w:val="000441EB"/>
    <w:rsid w:val="00046BC1"/>
    <w:rsid w:val="000643EF"/>
    <w:rsid w:val="000661BA"/>
    <w:rsid w:val="0007294F"/>
    <w:rsid w:val="00074105"/>
    <w:rsid w:val="00082186"/>
    <w:rsid w:val="000A29D0"/>
    <w:rsid w:val="000A4481"/>
    <w:rsid w:val="000B7228"/>
    <w:rsid w:val="000C514D"/>
    <w:rsid w:val="000E2777"/>
    <w:rsid w:val="0011022E"/>
    <w:rsid w:val="001109B5"/>
    <w:rsid w:val="00134C15"/>
    <w:rsid w:val="00147210"/>
    <w:rsid w:val="00157689"/>
    <w:rsid w:val="00170B90"/>
    <w:rsid w:val="00175F56"/>
    <w:rsid w:val="001804E7"/>
    <w:rsid w:val="001856F7"/>
    <w:rsid w:val="00197DB3"/>
    <w:rsid w:val="001A5243"/>
    <w:rsid w:val="001B1F8E"/>
    <w:rsid w:val="001B7916"/>
    <w:rsid w:val="001C719B"/>
    <w:rsid w:val="001C7808"/>
    <w:rsid w:val="001F2388"/>
    <w:rsid w:val="001F2EDB"/>
    <w:rsid w:val="00212820"/>
    <w:rsid w:val="00222D33"/>
    <w:rsid w:val="00223301"/>
    <w:rsid w:val="00224C3F"/>
    <w:rsid w:val="0024348C"/>
    <w:rsid w:val="002444A9"/>
    <w:rsid w:val="00251155"/>
    <w:rsid w:val="00251E83"/>
    <w:rsid w:val="00274113"/>
    <w:rsid w:val="00274AE9"/>
    <w:rsid w:val="00283000"/>
    <w:rsid w:val="002874D3"/>
    <w:rsid w:val="00292D90"/>
    <w:rsid w:val="002A24D1"/>
    <w:rsid w:val="002A2C66"/>
    <w:rsid w:val="002A4898"/>
    <w:rsid w:val="002B41D4"/>
    <w:rsid w:val="002C1299"/>
    <w:rsid w:val="002C45B9"/>
    <w:rsid w:val="002D483D"/>
    <w:rsid w:val="002D4E89"/>
    <w:rsid w:val="002E66AC"/>
    <w:rsid w:val="002F1E7A"/>
    <w:rsid w:val="002F57F1"/>
    <w:rsid w:val="00302F43"/>
    <w:rsid w:val="00306222"/>
    <w:rsid w:val="003074B2"/>
    <w:rsid w:val="00312EE0"/>
    <w:rsid w:val="0031380D"/>
    <w:rsid w:val="00316173"/>
    <w:rsid w:val="00322A6D"/>
    <w:rsid w:val="00334EFE"/>
    <w:rsid w:val="00340379"/>
    <w:rsid w:val="00341CA2"/>
    <w:rsid w:val="00346BFC"/>
    <w:rsid w:val="00347A57"/>
    <w:rsid w:val="00360AF6"/>
    <w:rsid w:val="0037001B"/>
    <w:rsid w:val="00373613"/>
    <w:rsid w:val="00375927"/>
    <w:rsid w:val="003803A9"/>
    <w:rsid w:val="003803CD"/>
    <w:rsid w:val="00390CA6"/>
    <w:rsid w:val="00395FED"/>
    <w:rsid w:val="003A1912"/>
    <w:rsid w:val="003A3BD2"/>
    <w:rsid w:val="003A585E"/>
    <w:rsid w:val="003B2F3C"/>
    <w:rsid w:val="003B3AAE"/>
    <w:rsid w:val="003D2DBC"/>
    <w:rsid w:val="003E3AC6"/>
    <w:rsid w:val="003E5110"/>
    <w:rsid w:val="003F1EBA"/>
    <w:rsid w:val="003F23DE"/>
    <w:rsid w:val="00404D2C"/>
    <w:rsid w:val="00404EA3"/>
    <w:rsid w:val="00407533"/>
    <w:rsid w:val="004076EF"/>
    <w:rsid w:val="0041580C"/>
    <w:rsid w:val="00427DC5"/>
    <w:rsid w:val="00431310"/>
    <w:rsid w:val="0044203F"/>
    <w:rsid w:val="00444F71"/>
    <w:rsid w:val="00446764"/>
    <w:rsid w:val="00454675"/>
    <w:rsid w:val="00465A3C"/>
    <w:rsid w:val="004711FF"/>
    <w:rsid w:val="0048145C"/>
    <w:rsid w:val="0048534D"/>
    <w:rsid w:val="0048755A"/>
    <w:rsid w:val="00487719"/>
    <w:rsid w:val="00495DF4"/>
    <w:rsid w:val="00497A39"/>
    <w:rsid w:val="004A136B"/>
    <w:rsid w:val="004B0935"/>
    <w:rsid w:val="004C2F51"/>
    <w:rsid w:val="004C53D1"/>
    <w:rsid w:val="004E3E69"/>
    <w:rsid w:val="004F0B05"/>
    <w:rsid w:val="004F5621"/>
    <w:rsid w:val="00502672"/>
    <w:rsid w:val="005062C6"/>
    <w:rsid w:val="00520F32"/>
    <w:rsid w:val="005360FE"/>
    <w:rsid w:val="005428A4"/>
    <w:rsid w:val="00543BE3"/>
    <w:rsid w:val="00554F3C"/>
    <w:rsid w:val="00560C5A"/>
    <w:rsid w:val="00564DD2"/>
    <w:rsid w:val="0056504C"/>
    <w:rsid w:val="00565228"/>
    <w:rsid w:val="005653C1"/>
    <w:rsid w:val="0056541C"/>
    <w:rsid w:val="00574FA9"/>
    <w:rsid w:val="00586F60"/>
    <w:rsid w:val="005A46F1"/>
    <w:rsid w:val="005B207B"/>
    <w:rsid w:val="005B46A5"/>
    <w:rsid w:val="005B75C0"/>
    <w:rsid w:val="005B7F2B"/>
    <w:rsid w:val="005C2E83"/>
    <w:rsid w:val="005C5428"/>
    <w:rsid w:val="005C5E44"/>
    <w:rsid w:val="005F226C"/>
    <w:rsid w:val="00603F0C"/>
    <w:rsid w:val="00612FDF"/>
    <w:rsid w:val="006263A4"/>
    <w:rsid w:val="00633EE8"/>
    <w:rsid w:val="00640B02"/>
    <w:rsid w:val="00662D0B"/>
    <w:rsid w:val="006667AA"/>
    <w:rsid w:val="00673771"/>
    <w:rsid w:val="00675BD8"/>
    <w:rsid w:val="00677F80"/>
    <w:rsid w:val="006820DA"/>
    <w:rsid w:val="0068505E"/>
    <w:rsid w:val="00692110"/>
    <w:rsid w:val="00695E72"/>
    <w:rsid w:val="006A0372"/>
    <w:rsid w:val="006A78A2"/>
    <w:rsid w:val="006B0BA3"/>
    <w:rsid w:val="006B310D"/>
    <w:rsid w:val="006B357C"/>
    <w:rsid w:val="006C0423"/>
    <w:rsid w:val="006C1B92"/>
    <w:rsid w:val="006C3D4E"/>
    <w:rsid w:val="006D4FA9"/>
    <w:rsid w:val="006D763E"/>
    <w:rsid w:val="006E1B60"/>
    <w:rsid w:val="007011AA"/>
    <w:rsid w:val="00705A86"/>
    <w:rsid w:val="007079F7"/>
    <w:rsid w:val="00711CA3"/>
    <w:rsid w:val="00725B06"/>
    <w:rsid w:val="007307F5"/>
    <w:rsid w:val="007467AC"/>
    <w:rsid w:val="00747C75"/>
    <w:rsid w:val="00751F02"/>
    <w:rsid w:val="007772DB"/>
    <w:rsid w:val="0078082D"/>
    <w:rsid w:val="007950B9"/>
    <w:rsid w:val="00797407"/>
    <w:rsid w:val="007A45E4"/>
    <w:rsid w:val="007B2A85"/>
    <w:rsid w:val="007B6953"/>
    <w:rsid w:val="007D6070"/>
    <w:rsid w:val="007E0C2B"/>
    <w:rsid w:val="007F5A29"/>
    <w:rsid w:val="00802F3E"/>
    <w:rsid w:val="0080500C"/>
    <w:rsid w:val="0081015F"/>
    <w:rsid w:val="00820DA1"/>
    <w:rsid w:val="00821AC6"/>
    <w:rsid w:val="00830E51"/>
    <w:rsid w:val="00831881"/>
    <w:rsid w:val="00833951"/>
    <w:rsid w:val="008507EB"/>
    <w:rsid w:val="00855757"/>
    <w:rsid w:val="0086407B"/>
    <w:rsid w:val="008834BE"/>
    <w:rsid w:val="00883BE1"/>
    <w:rsid w:val="008872AF"/>
    <w:rsid w:val="00890045"/>
    <w:rsid w:val="00891793"/>
    <w:rsid w:val="00892EBD"/>
    <w:rsid w:val="00892F89"/>
    <w:rsid w:val="00894E05"/>
    <w:rsid w:val="008A7E33"/>
    <w:rsid w:val="008B0C49"/>
    <w:rsid w:val="008C0C0A"/>
    <w:rsid w:val="008D53D4"/>
    <w:rsid w:val="008E6D54"/>
    <w:rsid w:val="008F1FDE"/>
    <w:rsid w:val="008F616E"/>
    <w:rsid w:val="009021BC"/>
    <w:rsid w:val="00904815"/>
    <w:rsid w:val="00906BA3"/>
    <w:rsid w:val="0093298C"/>
    <w:rsid w:val="00940622"/>
    <w:rsid w:val="00947E12"/>
    <w:rsid w:val="009504F5"/>
    <w:rsid w:val="00951A3C"/>
    <w:rsid w:val="00956AC7"/>
    <w:rsid w:val="00961BB0"/>
    <w:rsid w:val="00961E98"/>
    <w:rsid w:val="0096753F"/>
    <w:rsid w:val="009711BB"/>
    <w:rsid w:val="0097145B"/>
    <w:rsid w:val="009726E3"/>
    <w:rsid w:val="0097571C"/>
    <w:rsid w:val="0097785B"/>
    <w:rsid w:val="00991305"/>
    <w:rsid w:val="00992FDC"/>
    <w:rsid w:val="009B22F7"/>
    <w:rsid w:val="009B231B"/>
    <w:rsid w:val="009B5DAE"/>
    <w:rsid w:val="009B77E3"/>
    <w:rsid w:val="009C07DC"/>
    <w:rsid w:val="009D3D4B"/>
    <w:rsid w:val="009D450B"/>
    <w:rsid w:val="009F2112"/>
    <w:rsid w:val="009F55BE"/>
    <w:rsid w:val="00A1063E"/>
    <w:rsid w:val="00A12D49"/>
    <w:rsid w:val="00A24BD7"/>
    <w:rsid w:val="00A25BF0"/>
    <w:rsid w:val="00A26D75"/>
    <w:rsid w:val="00A26E53"/>
    <w:rsid w:val="00A27A86"/>
    <w:rsid w:val="00A30BB7"/>
    <w:rsid w:val="00A43B24"/>
    <w:rsid w:val="00A569EB"/>
    <w:rsid w:val="00A650B4"/>
    <w:rsid w:val="00A71165"/>
    <w:rsid w:val="00A7441D"/>
    <w:rsid w:val="00AC1C7E"/>
    <w:rsid w:val="00AC2BE3"/>
    <w:rsid w:val="00AC3029"/>
    <w:rsid w:val="00AC3894"/>
    <w:rsid w:val="00AD7950"/>
    <w:rsid w:val="00AE0C6F"/>
    <w:rsid w:val="00AE2339"/>
    <w:rsid w:val="00AF0125"/>
    <w:rsid w:val="00AF04A8"/>
    <w:rsid w:val="00AF203A"/>
    <w:rsid w:val="00AF38A5"/>
    <w:rsid w:val="00AF5C3D"/>
    <w:rsid w:val="00B33D2D"/>
    <w:rsid w:val="00B40807"/>
    <w:rsid w:val="00B45EF7"/>
    <w:rsid w:val="00B722EB"/>
    <w:rsid w:val="00B82799"/>
    <w:rsid w:val="00B82E0E"/>
    <w:rsid w:val="00B82E5A"/>
    <w:rsid w:val="00B9194B"/>
    <w:rsid w:val="00B94429"/>
    <w:rsid w:val="00B96FDB"/>
    <w:rsid w:val="00BA13DC"/>
    <w:rsid w:val="00BB12FA"/>
    <w:rsid w:val="00BB3505"/>
    <w:rsid w:val="00BD7A61"/>
    <w:rsid w:val="00C03DC6"/>
    <w:rsid w:val="00C07AD3"/>
    <w:rsid w:val="00C32FC6"/>
    <w:rsid w:val="00C40D10"/>
    <w:rsid w:val="00C47A36"/>
    <w:rsid w:val="00C56FFA"/>
    <w:rsid w:val="00C64471"/>
    <w:rsid w:val="00C7047B"/>
    <w:rsid w:val="00C72464"/>
    <w:rsid w:val="00C73C42"/>
    <w:rsid w:val="00C743A1"/>
    <w:rsid w:val="00C75C59"/>
    <w:rsid w:val="00C876B5"/>
    <w:rsid w:val="00CC25BB"/>
    <w:rsid w:val="00CC281F"/>
    <w:rsid w:val="00CC4A17"/>
    <w:rsid w:val="00CD03A3"/>
    <w:rsid w:val="00CD0729"/>
    <w:rsid w:val="00CE1422"/>
    <w:rsid w:val="00CE3C77"/>
    <w:rsid w:val="00CE7804"/>
    <w:rsid w:val="00CE7C15"/>
    <w:rsid w:val="00CF5751"/>
    <w:rsid w:val="00D017DA"/>
    <w:rsid w:val="00D07710"/>
    <w:rsid w:val="00D16FCF"/>
    <w:rsid w:val="00D27EA9"/>
    <w:rsid w:val="00D33756"/>
    <w:rsid w:val="00D37457"/>
    <w:rsid w:val="00D37B12"/>
    <w:rsid w:val="00D50EFB"/>
    <w:rsid w:val="00D57E3F"/>
    <w:rsid w:val="00D6138C"/>
    <w:rsid w:val="00D71B56"/>
    <w:rsid w:val="00D80106"/>
    <w:rsid w:val="00D80A50"/>
    <w:rsid w:val="00DA4DBC"/>
    <w:rsid w:val="00DB6BF3"/>
    <w:rsid w:val="00DC53C8"/>
    <w:rsid w:val="00DC69C0"/>
    <w:rsid w:val="00DD1AC3"/>
    <w:rsid w:val="00E0116D"/>
    <w:rsid w:val="00E01A0E"/>
    <w:rsid w:val="00E01B32"/>
    <w:rsid w:val="00E034C7"/>
    <w:rsid w:val="00E35579"/>
    <w:rsid w:val="00E37D47"/>
    <w:rsid w:val="00E56946"/>
    <w:rsid w:val="00E57023"/>
    <w:rsid w:val="00E5748F"/>
    <w:rsid w:val="00E60D67"/>
    <w:rsid w:val="00E66B7B"/>
    <w:rsid w:val="00E756A7"/>
    <w:rsid w:val="00E772BC"/>
    <w:rsid w:val="00E83D81"/>
    <w:rsid w:val="00E8741D"/>
    <w:rsid w:val="00E9113E"/>
    <w:rsid w:val="00E9640E"/>
    <w:rsid w:val="00EA1EF1"/>
    <w:rsid w:val="00EA7042"/>
    <w:rsid w:val="00EB4366"/>
    <w:rsid w:val="00EB71D6"/>
    <w:rsid w:val="00EC2412"/>
    <w:rsid w:val="00EE727D"/>
    <w:rsid w:val="00EF15B3"/>
    <w:rsid w:val="00F05108"/>
    <w:rsid w:val="00F157E2"/>
    <w:rsid w:val="00F31514"/>
    <w:rsid w:val="00F33558"/>
    <w:rsid w:val="00F45183"/>
    <w:rsid w:val="00F54A5F"/>
    <w:rsid w:val="00F5788D"/>
    <w:rsid w:val="00F62087"/>
    <w:rsid w:val="00F62AB9"/>
    <w:rsid w:val="00F62DC6"/>
    <w:rsid w:val="00F64ABA"/>
    <w:rsid w:val="00F6735C"/>
    <w:rsid w:val="00F72BE1"/>
    <w:rsid w:val="00F9493B"/>
    <w:rsid w:val="00FA03F8"/>
    <w:rsid w:val="00FA4E29"/>
    <w:rsid w:val="00FB6541"/>
    <w:rsid w:val="00FC2466"/>
    <w:rsid w:val="00FC7699"/>
    <w:rsid w:val="00FD2F1F"/>
    <w:rsid w:val="00FE2192"/>
    <w:rsid w:val="00FE309A"/>
    <w:rsid w:val="00FF2D7D"/>
    <w:rsid w:val="00FF3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A6"/>
    <w:pPr>
      <w:spacing w:before="120" w:after="120"/>
    </w:pPr>
    <w:rPr>
      <w:rFonts w:ascii="Myriad Pro" w:hAnsi="Myriad Pro"/>
    </w:rPr>
  </w:style>
  <w:style w:type="paragraph" w:styleId="Heading2">
    <w:name w:val="heading 2"/>
    <w:basedOn w:val="Normal"/>
    <w:next w:val="Normal"/>
    <w:link w:val="Heading2Char"/>
    <w:unhideWhenUsed/>
    <w:qFormat/>
    <w:rsid w:val="00487719"/>
    <w:pPr>
      <w:keepNext/>
      <w:keepLines/>
      <w:spacing w:before="200"/>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80106"/>
    <w:rPr>
      <w:sz w:val="52"/>
      <w:szCs w:val="52"/>
    </w:rPr>
  </w:style>
  <w:style w:type="character" w:customStyle="1" w:styleId="TitleChar">
    <w:name w:val="Title Char"/>
    <w:basedOn w:val="DefaultParagraphFont"/>
    <w:link w:val="Title"/>
    <w:rsid w:val="00D80106"/>
    <w:rPr>
      <w:rFonts w:ascii="Myriad Pro" w:hAnsi="Myriad Pro"/>
      <w:sz w:val="52"/>
      <w:szCs w:val="52"/>
    </w:rPr>
  </w:style>
  <w:style w:type="table" w:styleId="TableGrid">
    <w:name w:val="Table Grid"/>
    <w:basedOn w:val="TableNormal"/>
    <w:rsid w:val="009B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22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9B22F7"/>
    <w:rPr>
      <w:rFonts w:ascii="Tahoma" w:hAnsi="Tahoma" w:cs="Tahoma"/>
      <w:sz w:val="16"/>
      <w:szCs w:val="16"/>
    </w:rPr>
  </w:style>
  <w:style w:type="paragraph" w:styleId="ListParagraph">
    <w:name w:val="List Paragraph"/>
    <w:basedOn w:val="Normal"/>
    <w:uiPriority w:val="34"/>
    <w:qFormat/>
    <w:rsid w:val="002D4E89"/>
    <w:pPr>
      <w:spacing w:before="0" w:after="0"/>
      <w:ind w:left="720"/>
      <w:contextualSpacing/>
    </w:pPr>
    <w:rPr>
      <w:rFonts w:ascii="Times New Roman" w:hAnsi="Times New Roman"/>
      <w:sz w:val="24"/>
      <w:szCs w:val="24"/>
    </w:rPr>
  </w:style>
  <w:style w:type="paragraph" w:customStyle="1" w:styleId="FactSheetNormal">
    <w:name w:val="Fact Sheet Normal"/>
    <w:basedOn w:val="BodyText"/>
    <w:link w:val="FactSheetNormalChar"/>
    <w:qFormat/>
    <w:rsid w:val="001B7916"/>
    <w:pPr>
      <w:suppressAutoHyphens/>
      <w:autoSpaceDE w:val="0"/>
      <w:autoSpaceDN w:val="0"/>
      <w:adjustRightInd w:val="0"/>
      <w:spacing w:before="0" w:line="280" w:lineRule="atLeast"/>
      <w:textAlignment w:val="center"/>
    </w:pPr>
    <w:rPr>
      <w:rFonts w:ascii="Arial" w:hAnsi="Arial" w:cs="Arial"/>
      <w:color w:val="000000"/>
      <w:sz w:val="22"/>
      <w:szCs w:val="22"/>
      <w:lang w:val="en-GB"/>
    </w:rPr>
  </w:style>
  <w:style w:type="character" w:customStyle="1" w:styleId="FactSheetNormalChar">
    <w:name w:val="Fact Sheet Normal Char"/>
    <w:basedOn w:val="BodyTextChar"/>
    <w:link w:val="FactSheetNormal"/>
    <w:rsid w:val="001B7916"/>
    <w:rPr>
      <w:rFonts w:ascii="Arial" w:hAnsi="Arial" w:cs="Arial"/>
      <w:color w:val="000000"/>
      <w:sz w:val="22"/>
      <w:szCs w:val="22"/>
      <w:lang w:val="en-GB"/>
    </w:rPr>
  </w:style>
  <w:style w:type="paragraph" w:styleId="BodyText">
    <w:name w:val="Body Text"/>
    <w:basedOn w:val="Normal"/>
    <w:link w:val="BodyTextChar"/>
    <w:rsid w:val="001B7916"/>
  </w:style>
  <w:style w:type="character" w:customStyle="1" w:styleId="BodyTextChar">
    <w:name w:val="Body Text Char"/>
    <w:basedOn w:val="DefaultParagraphFont"/>
    <w:link w:val="BodyText"/>
    <w:rsid w:val="001B7916"/>
    <w:rPr>
      <w:rFonts w:ascii="Myriad Pro" w:hAnsi="Myriad Pro"/>
    </w:rPr>
  </w:style>
  <w:style w:type="character" w:customStyle="1" w:styleId="Heading2Char">
    <w:name w:val="Heading 2 Char"/>
    <w:basedOn w:val="DefaultParagraphFont"/>
    <w:link w:val="Heading2"/>
    <w:rsid w:val="00487719"/>
    <w:rPr>
      <w:rFonts w:ascii="Arial" w:eastAsiaTheme="majorEastAsia" w:hAnsi="Arial" w:cstheme="majorBidi"/>
      <w:b/>
      <w:bCs/>
      <w:sz w:val="28"/>
      <w:szCs w:val="26"/>
    </w:rPr>
  </w:style>
  <w:style w:type="paragraph" w:customStyle="1" w:styleId="Figureheading">
    <w:name w:val="Figure heading"/>
    <w:basedOn w:val="Normal"/>
    <w:link w:val="FigureheadingChar"/>
    <w:qFormat/>
    <w:rsid w:val="00487719"/>
    <w:pPr>
      <w:suppressAutoHyphens/>
      <w:autoSpaceDE w:val="0"/>
      <w:autoSpaceDN w:val="0"/>
      <w:adjustRightInd w:val="0"/>
      <w:spacing w:before="0" w:after="57" w:line="220" w:lineRule="atLeast"/>
      <w:textAlignment w:val="center"/>
    </w:pPr>
    <w:rPr>
      <w:rFonts w:ascii="Arial" w:hAnsi="Arial" w:cs="Arial"/>
      <w:b/>
      <w:color w:val="000000"/>
      <w:lang w:val="en-GB"/>
    </w:rPr>
  </w:style>
  <w:style w:type="character" w:customStyle="1" w:styleId="FigureheadingChar">
    <w:name w:val="Figure heading Char"/>
    <w:basedOn w:val="DefaultParagraphFont"/>
    <w:link w:val="Figureheading"/>
    <w:rsid w:val="00487719"/>
    <w:rPr>
      <w:rFonts w:ascii="Arial" w:hAnsi="Arial" w:cs="Arial"/>
      <w:b/>
      <w:color w:val="000000"/>
      <w:lang w:val="en-GB"/>
    </w:rPr>
  </w:style>
  <w:style w:type="paragraph" w:customStyle="1" w:styleId="Headerrow">
    <w:name w:val="Header row"/>
    <w:basedOn w:val="Normal"/>
    <w:link w:val="HeaderrowChar"/>
    <w:qFormat/>
    <w:rsid w:val="00487719"/>
    <w:pPr>
      <w:spacing w:before="0" w:after="0"/>
    </w:pPr>
    <w:rPr>
      <w:rFonts w:ascii="Arial" w:hAnsi="Arial" w:cs="Arial"/>
      <w:b/>
      <w:bCs/>
      <w:color w:val="000000"/>
      <w:sz w:val="16"/>
      <w:szCs w:val="16"/>
    </w:rPr>
  </w:style>
  <w:style w:type="paragraph" w:customStyle="1" w:styleId="FactSheetTableRowHeadings">
    <w:name w:val="Fact Sheet Table Row Headings"/>
    <w:basedOn w:val="Normal"/>
    <w:link w:val="FactSheetTableRowHeadingsChar"/>
    <w:qFormat/>
    <w:rsid w:val="00487719"/>
    <w:pPr>
      <w:spacing w:before="0" w:after="0"/>
    </w:pPr>
    <w:rPr>
      <w:rFonts w:ascii="Arial" w:hAnsi="Arial" w:cs="Arial"/>
      <w:b/>
      <w:bCs/>
      <w:color w:val="000000"/>
      <w:sz w:val="16"/>
      <w:szCs w:val="16"/>
    </w:rPr>
  </w:style>
  <w:style w:type="character" w:customStyle="1" w:styleId="HeaderrowChar">
    <w:name w:val="Header row Char"/>
    <w:basedOn w:val="DefaultParagraphFont"/>
    <w:link w:val="Headerrow"/>
    <w:rsid w:val="00487719"/>
    <w:rPr>
      <w:rFonts w:ascii="Arial" w:hAnsi="Arial" w:cs="Arial"/>
      <w:b/>
      <w:bCs/>
      <w:color w:val="000000"/>
      <w:sz w:val="16"/>
      <w:szCs w:val="16"/>
    </w:rPr>
  </w:style>
  <w:style w:type="paragraph" w:customStyle="1" w:styleId="FactSheetNotes">
    <w:name w:val="Fact Sheet Notes"/>
    <w:basedOn w:val="Normal"/>
    <w:link w:val="FactSheetNotesChar"/>
    <w:qFormat/>
    <w:rsid w:val="00487719"/>
    <w:pPr>
      <w:spacing w:before="0" w:after="0"/>
    </w:pPr>
    <w:rPr>
      <w:rFonts w:ascii="Arial" w:hAnsi="Arial" w:cs="Arial"/>
      <w:sz w:val="16"/>
      <w:szCs w:val="16"/>
    </w:rPr>
  </w:style>
  <w:style w:type="character" w:customStyle="1" w:styleId="FactSheetTableRowHeadingsChar">
    <w:name w:val="Fact Sheet Table Row Headings Char"/>
    <w:basedOn w:val="DefaultParagraphFont"/>
    <w:link w:val="FactSheetTableRowHeadings"/>
    <w:rsid w:val="00487719"/>
    <w:rPr>
      <w:rFonts w:ascii="Arial" w:hAnsi="Arial" w:cs="Arial"/>
      <w:b/>
      <w:bCs/>
      <w:color w:val="000000"/>
      <w:sz w:val="16"/>
      <w:szCs w:val="16"/>
    </w:rPr>
  </w:style>
  <w:style w:type="paragraph" w:customStyle="1" w:styleId="Tableheading">
    <w:name w:val="Table heading"/>
    <w:basedOn w:val="Normal"/>
    <w:link w:val="TableheadingChar"/>
    <w:qFormat/>
    <w:rsid w:val="00487719"/>
    <w:pPr>
      <w:spacing w:after="60"/>
    </w:pPr>
    <w:rPr>
      <w:rFonts w:ascii="Arial" w:hAnsi="Arial" w:cs="Arial"/>
      <w:b/>
    </w:rPr>
  </w:style>
  <w:style w:type="character" w:customStyle="1" w:styleId="FactSheetNotesChar">
    <w:name w:val="Fact Sheet Notes Char"/>
    <w:basedOn w:val="DefaultParagraphFont"/>
    <w:link w:val="FactSheetNotes"/>
    <w:rsid w:val="00487719"/>
    <w:rPr>
      <w:rFonts w:ascii="Arial" w:hAnsi="Arial" w:cs="Arial"/>
      <w:sz w:val="16"/>
      <w:szCs w:val="16"/>
    </w:rPr>
  </w:style>
  <w:style w:type="character" w:customStyle="1" w:styleId="TableheadingChar">
    <w:name w:val="Table heading Char"/>
    <w:basedOn w:val="DefaultParagraphFont"/>
    <w:link w:val="Tableheading"/>
    <w:rsid w:val="00487719"/>
    <w:rPr>
      <w:rFonts w:ascii="Arial" w:hAnsi="Arial" w:cs="Arial"/>
      <w:b/>
    </w:rPr>
  </w:style>
  <w:style w:type="character" w:styleId="Hyperlink">
    <w:name w:val="Hyperlink"/>
    <w:basedOn w:val="DefaultParagraphFont"/>
    <w:rsid w:val="000330A1"/>
    <w:rPr>
      <w:color w:val="0000FF" w:themeColor="hyperlink"/>
      <w:u w:val="single"/>
    </w:rPr>
  </w:style>
  <w:style w:type="character" w:styleId="CommentReference">
    <w:name w:val="annotation reference"/>
    <w:basedOn w:val="DefaultParagraphFont"/>
    <w:rsid w:val="00B82799"/>
    <w:rPr>
      <w:sz w:val="16"/>
      <w:szCs w:val="16"/>
    </w:rPr>
  </w:style>
  <w:style w:type="paragraph" w:styleId="CommentText">
    <w:name w:val="annotation text"/>
    <w:basedOn w:val="Normal"/>
    <w:link w:val="CommentTextChar"/>
    <w:rsid w:val="00B82799"/>
  </w:style>
  <w:style w:type="character" w:customStyle="1" w:styleId="CommentTextChar">
    <w:name w:val="Comment Text Char"/>
    <w:basedOn w:val="DefaultParagraphFont"/>
    <w:link w:val="CommentText"/>
    <w:rsid w:val="00B82799"/>
    <w:rPr>
      <w:rFonts w:ascii="Myriad Pro" w:hAnsi="Myriad Pro"/>
    </w:rPr>
  </w:style>
  <w:style w:type="paragraph" w:styleId="CommentSubject">
    <w:name w:val="annotation subject"/>
    <w:basedOn w:val="CommentText"/>
    <w:next w:val="CommentText"/>
    <w:link w:val="CommentSubjectChar"/>
    <w:rsid w:val="00B82799"/>
    <w:rPr>
      <w:b/>
      <w:bCs/>
    </w:rPr>
  </w:style>
  <w:style w:type="character" w:customStyle="1" w:styleId="CommentSubjectChar">
    <w:name w:val="Comment Subject Char"/>
    <w:basedOn w:val="CommentTextChar"/>
    <w:link w:val="CommentSubject"/>
    <w:rsid w:val="00B82799"/>
    <w:rPr>
      <w:rFonts w:ascii="Myriad Pro" w:hAnsi="Myriad Pro"/>
      <w:b/>
      <w:bCs/>
    </w:rPr>
  </w:style>
  <w:style w:type="paragraph" w:styleId="Revision">
    <w:name w:val="Revision"/>
    <w:hidden/>
    <w:uiPriority w:val="99"/>
    <w:semiHidden/>
    <w:rsid w:val="00D6138C"/>
    <w:rPr>
      <w:rFonts w:ascii="Myriad Pro" w:hAnsi="Myriad Pro"/>
    </w:rPr>
  </w:style>
  <w:style w:type="paragraph" w:styleId="Header">
    <w:name w:val="header"/>
    <w:basedOn w:val="Normal"/>
    <w:link w:val="HeaderChar"/>
    <w:rsid w:val="00046BC1"/>
    <w:pPr>
      <w:tabs>
        <w:tab w:val="center" w:pos="4513"/>
        <w:tab w:val="right" w:pos="9026"/>
      </w:tabs>
      <w:spacing w:before="0" w:after="0"/>
    </w:pPr>
  </w:style>
  <w:style w:type="character" w:customStyle="1" w:styleId="HeaderChar">
    <w:name w:val="Header Char"/>
    <w:basedOn w:val="DefaultParagraphFont"/>
    <w:link w:val="Header"/>
    <w:rsid w:val="00046BC1"/>
    <w:rPr>
      <w:rFonts w:ascii="Myriad Pro" w:hAnsi="Myriad Pro"/>
    </w:rPr>
  </w:style>
  <w:style w:type="paragraph" w:styleId="Footer">
    <w:name w:val="footer"/>
    <w:basedOn w:val="Normal"/>
    <w:link w:val="FooterChar"/>
    <w:uiPriority w:val="99"/>
    <w:rsid w:val="00046BC1"/>
    <w:pPr>
      <w:tabs>
        <w:tab w:val="center" w:pos="4513"/>
        <w:tab w:val="right" w:pos="9026"/>
      </w:tabs>
      <w:spacing w:before="0" w:after="0"/>
    </w:pPr>
  </w:style>
  <w:style w:type="character" w:customStyle="1" w:styleId="FooterChar">
    <w:name w:val="Footer Char"/>
    <w:basedOn w:val="DefaultParagraphFont"/>
    <w:link w:val="Footer"/>
    <w:uiPriority w:val="99"/>
    <w:rsid w:val="00046BC1"/>
    <w:rPr>
      <w:rFonts w:ascii="Myriad Pro" w:hAnsi="Myriad Pro"/>
    </w:rPr>
  </w:style>
  <w:style w:type="paragraph" w:customStyle="1" w:styleId="SWACoverHeader">
    <w:name w:val="SWA Cover Header"/>
    <w:basedOn w:val="Title"/>
    <w:link w:val="SWACoverHeaderChar"/>
    <w:qFormat/>
    <w:rsid w:val="00FE2192"/>
    <w:pPr>
      <w:overflowPunct w:val="0"/>
      <w:autoSpaceDE w:val="0"/>
      <w:autoSpaceDN w:val="0"/>
      <w:adjustRightInd w:val="0"/>
      <w:spacing w:before="5000" w:after="60"/>
      <w:textAlignment w:val="baseline"/>
      <w:outlineLvl w:val="0"/>
    </w:pPr>
    <w:rPr>
      <w:rFonts w:ascii="Arial Bold" w:eastAsiaTheme="majorEastAsia" w:hAnsi="Arial Bold" w:cs="Arial"/>
      <w:b/>
      <w:bCs/>
      <w:color w:val="FFFFFF" w:themeColor="background1"/>
      <w:kern w:val="28"/>
      <w:sz w:val="96"/>
      <w:szCs w:val="96"/>
      <w:lang w:eastAsia="en-US"/>
    </w:rPr>
  </w:style>
  <w:style w:type="character" w:customStyle="1" w:styleId="SWACoverHeaderChar">
    <w:name w:val="SWA Cover Header Char"/>
    <w:basedOn w:val="DefaultParagraphFont"/>
    <w:link w:val="SWACoverHeader"/>
    <w:rsid w:val="00FE2192"/>
    <w:rPr>
      <w:rFonts w:ascii="Arial Bold" w:eastAsiaTheme="majorEastAsia" w:hAnsi="Arial Bold" w:cs="Arial"/>
      <w:b/>
      <w:bCs/>
      <w:color w:val="FFFFFF" w:themeColor="background1"/>
      <w:kern w:val="28"/>
      <w:sz w:val="96"/>
      <w:szCs w:val="96"/>
      <w:lang w:eastAsia="en-US"/>
    </w:rPr>
  </w:style>
  <w:style w:type="character" w:styleId="FollowedHyperlink">
    <w:name w:val="FollowedHyperlink"/>
    <w:basedOn w:val="DefaultParagraphFont"/>
    <w:rsid w:val="003F23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A6"/>
    <w:pPr>
      <w:spacing w:before="120" w:after="120"/>
    </w:pPr>
    <w:rPr>
      <w:rFonts w:ascii="Myriad Pro" w:hAnsi="Myriad Pro"/>
    </w:rPr>
  </w:style>
  <w:style w:type="paragraph" w:styleId="Heading2">
    <w:name w:val="heading 2"/>
    <w:basedOn w:val="Normal"/>
    <w:next w:val="Normal"/>
    <w:link w:val="Heading2Char"/>
    <w:unhideWhenUsed/>
    <w:qFormat/>
    <w:rsid w:val="00487719"/>
    <w:pPr>
      <w:keepNext/>
      <w:keepLines/>
      <w:spacing w:before="200"/>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80106"/>
    <w:rPr>
      <w:sz w:val="52"/>
      <w:szCs w:val="52"/>
    </w:rPr>
  </w:style>
  <w:style w:type="character" w:customStyle="1" w:styleId="TitleChar">
    <w:name w:val="Title Char"/>
    <w:basedOn w:val="DefaultParagraphFont"/>
    <w:link w:val="Title"/>
    <w:rsid w:val="00D80106"/>
    <w:rPr>
      <w:rFonts w:ascii="Myriad Pro" w:hAnsi="Myriad Pro"/>
      <w:sz w:val="52"/>
      <w:szCs w:val="52"/>
    </w:rPr>
  </w:style>
  <w:style w:type="table" w:styleId="TableGrid">
    <w:name w:val="Table Grid"/>
    <w:basedOn w:val="TableNormal"/>
    <w:rsid w:val="009B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22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9B22F7"/>
    <w:rPr>
      <w:rFonts w:ascii="Tahoma" w:hAnsi="Tahoma" w:cs="Tahoma"/>
      <w:sz w:val="16"/>
      <w:szCs w:val="16"/>
    </w:rPr>
  </w:style>
  <w:style w:type="paragraph" w:styleId="ListParagraph">
    <w:name w:val="List Paragraph"/>
    <w:basedOn w:val="Normal"/>
    <w:uiPriority w:val="34"/>
    <w:qFormat/>
    <w:rsid w:val="002D4E89"/>
    <w:pPr>
      <w:spacing w:before="0" w:after="0"/>
      <w:ind w:left="720"/>
      <w:contextualSpacing/>
    </w:pPr>
    <w:rPr>
      <w:rFonts w:ascii="Times New Roman" w:hAnsi="Times New Roman"/>
      <w:sz w:val="24"/>
      <w:szCs w:val="24"/>
    </w:rPr>
  </w:style>
  <w:style w:type="paragraph" w:customStyle="1" w:styleId="FactSheetNormal">
    <w:name w:val="Fact Sheet Normal"/>
    <w:basedOn w:val="BodyText"/>
    <w:link w:val="FactSheetNormalChar"/>
    <w:qFormat/>
    <w:rsid w:val="001B7916"/>
    <w:pPr>
      <w:suppressAutoHyphens/>
      <w:autoSpaceDE w:val="0"/>
      <w:autoSpaceDN w:val="0"/>
      <w:adjustRightInd w:val="0"/>
      <w:spacing w:before="0" w:line="280" w:lineRule="atLeast"/>
      <w:textAlignment w:val="center"/>
    </w:pPr>
    <w:rPr>
      <w:rFonts w:ascii="Arial" w:hAnsi="Arial" w:cs="Arial"/>
      <w:color w:val="000000"/>
      <w:sz w:val="22"/>
      <w:szCs w:val="22"/>
      <w:lang w:val="en-GB"/>
    </w:rPr>
  </w:style>
  <w:style w:type="character" w:customStyle="1" w:styleId="FactSheetNormalChar">
    <w:name w:val="Fact Sheet Normal Char"/>
    <w:basedOn w:val="BodyTextChar"/>
    <w:link w:val="FactSheetNormal"/>
    <w:rsid w:val="001B7916"/>
    <w:rPr>
      <w:rFonts w:ascii="Arial" w:hAnsi="Arial" w:cs="Arial"/>
      <w:color w:val="000000"/>
      <w:sz w:val="22"/>
      <w:szCs w:val="22"/>
      <w:lang w:val="en-GB"/>
    </w:rPr>
  </w:style>
  <w:style w:type="paragraph" w:styleId="BodyText">
    <w:name w:val="Body Text"/>
    <w:basedOn w:val="Normal"/>
    <w:link w:val="BodyTextChar"/>
    <w:rsid w:val="001B7916"/>
  </w:style>
  <w:style w:type="character" w:customStyle="1" w:styleId="BodyTextChar">
    <w:name w:val="Body Text Char"/>
    <w:basedOn w:val="DefaultParagraphFont"/>
    <w:link w:val="BodyText"/>
    <w:rsid w:val="001B7916"/>
    <w:rPr>
      <w:rFonts w:ascii="Myriad Pro" w:hAnsi="Myriad Pro"/>
    </w:rPr>
  </w:style>
  <w:style w:type="character" w:customStyle="1" w:styleId="Heading2Char">
    <w:name w:val="Heading 2 Char"/>
    <w:basedOn w:val="DefaultParagraphFont"/>
    <w:link w:val="Heading2"/>
    <w:rsid w:val="00487719"/>
    <w:rPr>
      <w:rFonts w:ascii="Arial" w:eastAsiaTheme="majorEastAsia" w:hAnsi="Arial" w:cstheme="majorBidi"/>
      <w:b/>
      <w:bCs/>
      <w:sz w:val="28"/>
      <w:szCs w:val="26"/>
    </w:rPr>
  </w:style>
  <w:style w:type="paragraph" w:customStyle="1" w:styleId="Figureheading">
    <w:name w:val="Figure heading"/>
    <w:basedOn w:val="Normal"/>
    <w:link w:val="FigureheadingChar"/>
    <w:qFormat/>
    <w:rsid w:val="00487719"/>
    <w:pPr>
      <w:suppressAutoHyphens/>
      <w:autoSpaceDE w:val="0"/>
      <w:autoSpaceDN w:val="0"/>
      <w:adjustRightInd w:val="0"/>
      <w:spacing w:before="0" w:after="57" w:line="220" w:lineRule="atLeast"/>
      <w:textAlignment w:val="center"/>
    </w:pPr>
    <w:rPr>
      <w:rFonts w:ascii="Arial" w:hAnsi="Arial" w:cs="Arial"/>
      <w:b/>
      <w:color w:val="000000"/>
      <w:lang w:val="en-GB"/>
    </w:rPr>
  </w:style>
  <w:style w:type="character" w:customStyle="1" w:styleId="FigureheadingChar">
    <w:name w:val="Figure heading Char"/>
    <w:basedOn w:val="DefaultParagraphFont"/>
    <w:link w:val="Figureheading"/>
    <w:rsid w:val="00487719"/>
    <w:rPr>
      <w:rFonts w:ascii="Arial" w:hAnsi="Arial" w:cs="Arial"/>
      <w:b/>
      <w:color w:val="000000"/>
      <w:lang w:val="en-GB"/>
    </w:rPr>
  </w:style>
  <w:style w:type="paragraph" w:customStyle="1" w:styleId="Headerrow">
    <w:name w:val="Header row"/>
    <w:basedOn w:val="Normal"/>
    <w:link w:val="HeaderrowChar"/>
    <w:qFormat/>
    <w:rsid w:val="00487719"/>
    <w:pPr>
      <w:spacing w:before="0" w:after="0"/>
    </w:pPr>
    <w:rPr>
      <w:rFonts w:ascii="Arial" w:hAnsi="Arial" w:cs="Arial"/>
      <w:b/>
      <w:bCs/>
      <w:color w:val="000000"/>
      <w:sz w:val="16"/>
      <w:szCs w:val="16"/>
    </w:rPr>
  </w:style>
  <w:style w:type="paragraph" w:customStyle="1" w:styleId="FactSheetTableRowHeadings">
    <w:name w:val="Fact Sheet Table Row Headings"/>
    <w:basedOn w:val="Normal"/>
    <w:link w:val="FactSheetTableRowHeadingsChar"/>
    <w:qFormat/>
    <w:rsid w:val="00487719"/>
    <w:pPr>
      <w:spacing w:before="0" w:after="0"/>
    </w:pPr>
    <w:rPr>
      <w:rFonts w:ascii="Arial" w:hAnsi="Arial" w:cs="Arial"/>
      <w:b/>
      <w:bCs/>
      <w:color w:val="000000"/>
      <w:sz w:val="16"/>
      <w:szCs w:val="16"/>
    </w:rPr>
  </w:style>
  <w:style w:type="character" w:customStyle="1" w:styleId="HeaderrowChar">
    <w:name w:val="Header row Char"/>
    <w:basedOn w:val="DefaultParagraphFont"/>
    <w:link w:val="Headerrow"/>
    <w:rsid w:val="00487719"/>
    <w:rPr>
      <w:rFonts w:ascii="Arial" w:hAnsi="Arial" w:cs="Arial"/>
      <w:b/>
      <w:bCs/>
      <w:color w:val="000000"/>
      <w:sz w:val="16"/>
      <w:szCs w:val="16"/>
    </w:rPr>
  </w:style>
  <w:style w:type="paragraph" w:customStyle="1" w:styleId="FactSheetNotes">
    <w:name w:val="Fact Sheet Notes"/>
    <w:basedOn w:val="Normal"/>
    <w:link w:val="FactSheetNotesChar"/>
    <w:qFormat/>
    <w:rsid w:val="00487719"/>
    <w:pPr>
      <w:spacing w:before="0" w:after="0"/>
    </w:pPr>
    <w:rPr>
      <w:rFonts w:ascii="Arial" w:hAnsi="Arial" w:cs="Arial"/>
      <w:sz w:val="16"/>
      <w:szCs w:val="16"/>
    </w:rPr>
  </w:style>
  <w:style w:type="character" w:customStyle="1" w:styleId="FactSheetTableRowHeadingsChar">
    <w:name w:val="Fact Sheet Table Row Headings Char"/>
    <w:basedOn w:val="DefaultParagraphFont"/>
    <w:link w:val="FactSheetTableRowHeadings"/>
    <w:rsid w:val="00487719"/>
    <w:rPr>
      <w:rFonts w:ascii="Arial" w:hAnsi="Arial" w:cs="Arial"/>
      <w:b/>
      <w:bCs/>
      <w:color w:val="000000"/>
      <w:sz w:val="16"/>
      <w:szCs w:val="16"/>
    </w:rPr>
  </w:style>
  <w:style w:type="paragraph" w:customStyle="1" w:styleId="Tableheading">
    <w:name w:val="Table heading"/>
    <w:basedOn w:val="Normal"/>
    <w:link w:val="TableheadingChar"/>
    <w:qFormat/>
    <w:rsid w:val="00487719"/>
    <w:pPr>
      <w:spacing w:after="60"/>
    </w:pPr>
    <w:rPr>
      <w:rFonts w:ascii="Arial" w:hAnsi="Arial" w:cs="Arial"/>
      <w:b/>
    </w:rPr>
  </w:style>
  <w:style w:type="character" w:customStyle="1" w:styleId="FactSheetNotesChar">
    <w:name w:val="Fact Sheet Notes Char"/>
    <w:basedOn w:val="DefaultParagraphFont"/>
    <w:link w:val="FactSheetNotes"/>
    <w:rsid w:val="00487719"/>
    <w:rPr>
      <w:rFonts w:ascii="Arial" w:hAnsi="Arial" w:cs="Arial"/>
      <w:sz w:val="16"/>
      <w:szCs w:val="16"/>
    </w:rPr>
  </w:style>
  <w:style w:type="character" w:customStyle="1" w:styleId="TableheadingChar">
    <w:name w:val="Table heading Char"/>
    <w:basedOn w:val="DefaultParagraphFont"/>
    <w:link w:val="Tableheading"/>
    <w:rsid w:val="00487719"/>
    <w:rPr>
      <w:rFonts w:ascii="Arial" w:hAnsi="Arial" w:cs="Arial"/>
      <w:b/>
    </w:rPr>
  </w:style>
  <w:style w:type="character" w:styleId="Hyperlink">
    <w:name w:val="Hyperlink"/>
    <w:basedOn w:val="DefaultParagraphFont"/>
    <w:rsid w:val="000330A1"/>
    <w:rPr>
      <w:color w:val="0000FF" w:themeColor="hyperlink"/>
      <w:u w:val="single"/>
    </w:rPr>
  </w:style>
  <w:style w:type="character" w:styleId="CommentReference">
    <w:name w:val="annotation reference"/>
    <w:basedOn w:val="DefaultParagraphFont"/>
    <w:rsid w:val="00B82799"/>
    <w:rPr>
      <w:sz w:val="16"/>
      <w:szCs w:val="16"/>
    </w:rPr>
  </w:style>
  <w:style w:type="paragraph" w:styleId="CommentText">
    <w:name w:val="annotation text"/>
    <w:basedOn w:val="Normal"/>
    <w:link w:val="CommentTextChar"/>
    <w:rsid w:val="00B82799"/>
  </w:style>
  <w:style w:type="character" w:customStyle="1" w:styleId="CommentTextChar">
    <w:name w:val="Comment Text Char"/>
    <w:basedOn w:val="DefaultParagraphFont"/>
    <w:link w:val="CommentText"/>
    <w:rsid w:val="00B82799"/>
    <w:rPr>
      <w:rFonts w:ascii="Myriad Pro" w:hAnsi="Myriad Pro"/>
    </w:rPr>
  </w:style>
  <w:style w:type="paragraph" w:styleId="CommentSubject">
    <w:name w:val="annotation subject"/>
    <w:basedOn w:val="CommentText"/>
    <w:next w:val="CommentText"/>
    <w:link w:val="CommentSubjectChar"/>
    <w:rsid w:val="00B82799"/>
    <w:rPr>
      <w:b/>
      <w:bCs/>
    </w:rPr>
  </w:style>
  <w:style w:type="character" w:customStyle="1" w:styleId="CommentSubjectChar">
    <w:name w:val="Comment Subject Char"/>
    <w:basedOn w:val="CommentTextChar"/>
    <w:link w:val="CommentSubject"/>
    <w:rsid w:val="00B82799"/>
    <w:rPr>
      <w:rFonts w:ascii="Myriad Pro" w:hAnsi="Myriad Pro"/>
      <w:b/>
      <w:bCs/>
    </w:rPr>
  </w:style>
  <w:style w:type="paragraph" w:styleId="Revision">
    <w:name w:val="Revision"/>
    <w:hidden/>
    <w:uiPriority w:val="99"/>
    <w:semiHidden/>
    <w:rsid w:val="00D6138C"/>
    <w:rPr>
      <w:rFonts w:ascii="Myriad Pro" w:hAnsi="Myriad Pro"/>
    </w:rPr>
  </w:style>
  <w:style w:type="paragraph" w:styleId="Header">
    <w:name w:val="header"/>
    <w:basedOn w:val="Normal"/>
    <w:link w:val="HeaderChar"/>
    <w:rsid w:val="00046BC1"/>
    <w:pPr>
      <w:tabs>
        <w:tab w:val="center" w:pos="4513"/>
        <w:tab w:val="right" w:pos="9026"/>
      </w:tabs>
      <w:spacing w:before="0" w:after="0"/>
    </w:pPr>
  </w:style>
  <w:style w:type="character" w:customStyle="1" w:styleId="HeaderChar">
    <w:name w:val="Header Char"/>
    <w:basedOn w:val="DefaultParagraphFont"/>
    <w:link w:val="Header"/>
    <w:rsid w:val="00046BC1"/>
    <w:rPr>
      <w:rFonts w:ascii="Myriad Pro" w:hAnsi="Myriad Pro"/>
    </w:rPr>
  </w:style>
  <w:style w:type="paragraph" w:styleId="Footer">
    <w:name w:val="footer"/>
    <w:basedOn w:val="Normal"/>
    <w:link w:val="FooterChar"/>
    <w:uiPriority w:val="99"/>
    <w:rsid w:val="00046BC1"/>
    <w:pPr>
      <w:tabs>
        <w:tab w:val="center" w:pos="4513"/>
        <w:tab w:val="right" w:pos="9026"/>
      </w:tabs>
      <w:spacing w:before="0" w:after="0"/>
    </w:pPr>
  </w:style>
  <w:style w:type="character" w:customStyle="1" w:styleId="FooterChar">
    <w:name w:val="Footer Char"/>
    <w:basedOn w:val="DefaultParagraphFont"/>
    <w:link w:val="Footer"/>
    <w:uiPriority w:val="99"/>
    <w:rsid w:val="00046BC1"/>
    <w:rPr>
      <w:rFonts w:ascii="Myriad Pro" w:hAnsi="Myriad Pro"/>
    </w:rPr>
  </w:style>
  <w:style w:type="paragraph" w:customStyle="1" w:styleId="SWACoverHeader">
    <w:name w:val="SWA Cover Header"/>
    <w:basedOn w:val="Title"/>
    <w:link w:val="SWACoverHeaderChar"/>
    <w:qFormat/>
    <w:rsid w:val="00FE2192"/>
    <w:pPr>
      <w:overflowPunct w:val="0"/>
      <w:autoSpaceDE w:val="0"/>
      <w:autoSpaceDN w:val="0"/>
      <w:adjustRightInd w:val="0"/>
      <w:spacing w:before="5000" w:after="60"/>
      <w:textAlignment w:val="baseline"/>
      <w:outlineLvl w:val="0"/>
    </w:pPr>
    <w:rPr>
      <w:rFonts w:ascii="Arial Bold" w:eastAsiaTheme="majorEastAsia" w:hAnsi="Arial Bold" w:cs="Arial"/>
      <w:b/>
      <w:bCs/>
      <w:color w:val="FFFFFF" w:themeColor="background1"/>
      <w:kern w:val="28"/>
      <w:sz w:val="96"/>
      <w:szCs w:val="96"/>
      <w:lang w:eastAsia="en-US"/>
    </w:rPr>
  </w:style>
  <w:style w:type="character" w:customStyle="1" w:styleId="SWACoverHeaderChar">
    <w:name w:val="SWA Cover Header Char"/>
    <w:basedOn w:val="DefaultParagraphFont"/>
    <w:link w:val="SWACoverHeader"/>
    <w:rsid w:val="00FE2192"/>
    <w:rPr>
      <w:rFonts w:ascii="Arial Bold" w:eastAsiaTheme="majorEastAsia" w:hAnsi="Arial Bold" w:cs="Arial"/>
      <w:b/>
      <w:bCs/>
      <w:color w:val="FFFFFF" w:themeColor="background1"/>
      <w:kern w:val="28"/>
      <w:sz w:val="96"/>
      <w:szCs w:val="96"/>
      <w:lang w:eastAsia="en-US"/>
    </w:rPr>
  </w:style>
  <w:style w:type="character" w:styleId="FollowedHyperlink">
    <w:name w:val="FollowedHyperlink"/>
    <w:basedOn w:val="DefaultParagraphFont"/>
    <w:rsid w:val="003F2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13">
      <w:bodyDiv w:val="1"/>
      <w:marLeft w:val="0"/>
      <w:marRight w:val="0"/>
      <w:marTop w:val="0"/>
      <w:marBottom w:val="0"/>
      <w:divBdr>
        <w:top w:val="none" w:sz="0" w:space="0" w:color="auto"/>
        <w:left w:val="none" w:sz="0" w:space="0" w:color="auto"/>
        <w:bottom w:val="none" w:sz="0" w:space="0" w:color="auto"/>
        <w:right w:val="none" w:sz="0" w:space="0" w:color="auto"/>
      </w:divBdr>
    </w:div>
    <w:div w:id="29260914">
      <w:bodyDiv w:val="1"/>
      <w:marLeft w:val="0"/>
      <w:marRight w:val="0"/>
      <w:marTop w:val="0"/>
      <w:marBottom w:val="0"/>
      <w:divBdr>
        <w:top w:val="none" w:sz="0" w:space="0" w:color="auto"/>
        <w:left w:val="none" w:sz="0" w:space="0" w:color="auto"/>
        <w:bottom w:val="none" w:sz="0" w:space="0" w:color="auto"/>
        <w:right w:val="none" w:sz="0" w:space="0" w:color="auto"/>
      </w:divBdr>
    </w:div>
    <w:div w:id="60249301">
      <w:bodyDiv w:val="1"/>
      <w:marLeft w:val="0"/>
      <w:marRight w:val="0"/>
      <w:marTop w:val="0"/>
      <w:marBottom w:val="0"/>
      <w:divBdr>
        <w:top w:val="none" w:sz="0" w:space="0" w:color="auto"/>
        <w:left w:val="none" w:sz="0" w:space="0" w:color="auto"/>
        <w:bottom w:val="none" w:sz="0" w:space="0" w:color="auto"/>
        <w:right w:val="none" w:sz="0" w:space="0" w:color="auto"/>
      </w:divBdr>
    </w:div>
    <w:div w:id="131337309">
      <w:bodyDiv w:val="1"/>
      <w:marLeft w:val="0"/>
      <w:marRight w:val="0"/>
      <w:marTop w:val="0"/>
      <w:marBottom w:val="0"/>
      <w:divBdr>
        <w:top w:val="none" w:sz="0" w:space="0" w:color="auto"/>
        <w:left w:val="none" w:sz="0" w:space="0" w:color="auto"/>
        <w:bottom w:val="none" w:sz="0" w:space="0" w:color="auto"/>
        <w:right w:val="none" w:sz="0" w:space="0" w:color="auto"/>
      </w:divBdr>
    </w:div>
    <w:div w:id="295188398">
      <w:bodyDiv w:val="1"/>
      <w:marLeft w:val="0"/>
      <w:marRight w:val="0"/>
      <w:marTop w:val="0"/>
      <w:marBottom w:val="0"/>
      <w:divBdr>
        <w:top w:val="none" w:sz="0" w:space="0" w:color="auto"/>
        <w:left w:val="none" w:sz="0" w:space="0" w:color="auto"/>
        <w:bottom w:val="none" w:sz="0" w:space="0" w:color="auto"/>
        <w:right w:val="none" w:sz="0" w:space="0" w:color="auto"/>
      </w:divBdr>
    </w:div>
    <w:div w:id="376242516">
      <w:bodyDiv w:val="1"/>
      <w:marLeft w:val="0"/>
      <w:marRight w:val="0"/>
      <w:marTop w:val="0"/>
      <w:marBottom w:val="0"/>
      <w:divBdr>
        <w:top w:val="none" w:sz="0" w:space="0" w:color="auto"/>
        <w:left w:val="none" w:sz="0" w:space="0" w:color="auto"/>
        <w:bottom w:val="none" w:sz="0" w:space="0" w:color="auto"/>
        <w:right w:val="none" w:sz="0" w:space="0" w:color="auto"/>
      </w:divBdr>
    </w:div>
    <w:div w:id="450561679">
      <w:bodyDiv w:val="1"/>
      <w:marLeft w:val="0"/>
      <w:marRight w:val="0"/>
      <w:marTop w:val="0"/>
      <w:marBottom w:val="0"/>
      <w:divBdr>
        <w:top w:val="none" w:sz="0" w:space="0" w:color="auto"/>
        <w:left w:val="none" w:sz="0" w:space="0" w:color="auto"/>
        <w:bottom w:val="none" w:sz="0" w:space="0" w:color="auto"/>
        <w:right w:val="none" w:sz="0" w:space="0" w:color="auto"/>
      </w:divBdr>
    </w:div>
    <w:div w:id="467479492">
      <w:bodyDiv w:val="1"/>
      <w:marLeft w:val="0"/>
      <w:marRight w:val="0"/>
      <w:marTop w:val="0"/>
      <w:marBottom w:val="0"/>
      <w:divBdr>
        <w:top w:val="none" w:sz="0" w:space="0" w:color="auto"/>
        <w:left w:val="none" w:sz="0" w:space="0" w:color="auto"/>
        <w:bottom w:val="none" w:sz="0" w:space="0" w:color="auto"/>
        <w:right w:val="none" w:sz="0" w:space="0" w:color="auto"/>
      </w:divBdr>
    </w:div>
    <w:div w:id="556235832">
      <w:bodyDiv w:val="1"/>
      <w:marLeft w:val="0"/>
      <w:marRight w:val="0"/>
      <w:marTop w:val="0"/>
      <w:marBottom w:val="0"/>
      <w:divBdr>
        <w:top w:val="none" w:sz="0" w:space="0" w:color="auto"/>
        <w:left w:val="none" w:sz="0" w:space="0" w:color="auto"/>
        <w:bottom w:val="none" w:sz="0" w:space="0" w:color="auto"/>
        <w:right w:val="none" w:sz="0" w:space="0" w:color="auto"/>
      </w:divBdr>
    </w:div>
    <w:div w:id="699211309">
      <w:bodyDiv w:val="1"/>
      <w:marLeft w:val="0"/>
      <w:marRight w:val="0"/>
      <w:marTop w:val="0"/>
      <w:marBottom w:val="0"/>
      <w:divBdr>
        <w:top w:val="none" w:sz="0" w:space="0" w:color="auto"/>
        <w:left w:val="none" w:sz="0" w:space="0" w:color="auto"/>
        <w:bottom w:val="none" w:sz="0" w:space="0" w:color="auto"/>
        <w:right w:val="none" w:sz="0" w:space="0" w:color="auto"/>
      </w:divBdr>
      <w:divsChild>
        <w:div w:id="1448813551">
          <w:marLeft w:val="0"/>
          <w:marRight w:val="0"/>
          <w:marTop w:val="0"/>
          <w:marBottom w:val="0"/>
          <w:divBdr>
            <w:top w:val="none" w:sz="0" w:space="0" w:color="auto"/>
            <w:left w:val="none" w:sz="0" w:space="0" w:color="auto"/>
            <w:bottom w:val="none" w:sz="0" w:space="0" w:color="auto"/>
            <w:right w:val="none" w:sz="0" w:space="0" w:color="auto"/>
          </w:divBdr>
          <w:divsChild>
            <w:div w:id="1412121096">
              <w:marLeft w:val="0"/>
              <w:marRight w:val="0"/>
              <w:marTop w:val="0"/>
              <w:marBottom w:val="0"/>
              <w:divBdr>
                <w:top w:val="none" w:sz="0" w:space="0" w:color="auto"/>
                <w:left w:val="none" w:sz="0" w:space="0" w:color="auto"/>
                <w:bottom w:val="none" w:sz="0" w:space="0" w:color="auto"/>
                <w:right w:val="none" w:sz="0" w:space="0" w:color="auto"/>
              </w:divBdr>
              <w:divsChild>
                <w:div w:id="1754929659">
                  <w:marLeft w:val="0"/>
                  <w:marRight w:val="0"/>
                  <w:marTop w:val="195"/>
                  <w:marBottom w:val="0"/>
                  <w:divBdr>
                    <w:top w:val="none" w:sz="0" w:space="0" w:color="auto"/>
                    <w:left w:val="none" w:sz="0" w:space="0" w:color="auto"/>
                    <w:bottom w:val="none" w:sz="0" w:space="0" w:color="auto"/>
                    <w:right w:val="none" w:sz="0" w:space="0" w:color="auto"/>
                  </w:divBdr>
                  <w:divsChild>
                    <w:div w:id="1169831515">
                      <w:marLeft w:val="0"/>
                      <w:marRight w:val="0"/>
                      <w:marTop w:val="0"/>
                      <w:marBottom w:val="0"/>
                      <w:divBdr>
                        <w:top w:val="none" w:sz="0" w:space="0" w:color="auto"/>
                        <w:left w:val="none" w:sz="0" w:space="0" w:color="auto"/>
                        <w:bottom w:val="none" w:sz="0" w:space="0" w:color="auto"/>
                        <w:right w:val="none" w:sz="0" w:space="0" w:color="auto"/>
                      </w:divBdr>
                      <w:divsChild>
                        <w:div w:id="212163102">
                          <w:marLeft w:val="0"/>
                          <w:marRight w:val="0"/>
                          <w:marTop w:val="0"/>
                          <w:marBottom w:val="0"/>
                          <w:divBdr>
                            <w:top w:val="none" w:sz="0" w:space="0" w:color="auto"/>
                            <w:left w:val="none" w:sz="0" w:space="0" w:color="auto"/>
                            <w:bottom w:val="none" w:sz="0" w:space="0" w:color="auto"/>
                            <w:right w:val="none" w:sz="0" w:space="0" w:color="auto"/>
                          </w:divBdr>
                          <w:divsChild>
                            <w:div w:id="1581022357">
                              <w:marLeft w:val="0"/>
                              <w:marRight w:val="0"/>
                              <w:marTop w:val="0"/>
                              <w:marBottom w:val="0"/>
                              <w:divBdr>
                                <w:top w:val="none" w:sz="0" w:space="0" w:color="auto"/>
                                <w:left w:val="none" w:sz="0" w:space="0" w:color="auto"/>
                                <w:bottom w:val="none" w:sz="0" w:space="0" w:color="auto"/>
                                <w:right w:val="none" w:sz="0" w:space="0" w:color="auto"/>
                              </w:divBdr>
                              <w:divsChild>
                                <w:div w:id="249781420">
                                  <w:marLeft w:val="0"/>
                                  <w:marRight w:val="0"/>
                                  <w:marTop w:val="0"/>
                                  <w:marBottom w:val="0"/>
                                  <w:divBdr>
                                    <w:top w:val="none" w:sz="0" w:space="0" w:color="auto"/>
                                    <w:left w:val="none" w:sz="0" w:space="0" w:color="auto"/>
                                    <w:bottom w:val="none" w:sz="0" w:space="0" w:color="auto"/>
                                    <w:right w:val="none" w:sz="0" w:space="0" w:color="auto"/>
                                  </w:divBdr>
                                  <w:divsChild>
                                    <w:div w:id="237639755">
                                      <w:marLeft w:val="0"/>
                                      <w:marRight w:val="0"/>
                                      <w:marTop w:val="0"/>
                                      <w:marBottom w:val="0"/>
                                      <w:divBdr>
                                        <w:top w:val="none" w:sz="0" w:space="0" w:color="auto"/>
                                        <w:left w:val="none" w:sz="0" w:space="0" w:color="auto"/>
                                        <w:bottom w:val="none" w:sz="0" w:space="0" w:color="auto"/>
                                        <w:right w:val="none" w:sz="0" w:space="0" w:color="auto"/>
                                      </w:divBdr>
                                      <w:divsChild>
                                        <w:div w:id="637537655">
                                          <w:marLeft w:val="0"/>
                                          <w:marRight w:val="0"/>
                                          <w:marTop w:val="90"/>
                                          <w:marBottom w:val="0"/>
                                          <w:divBdr>
                                            <w:top w:val="none" w:sz="0" w:space="0" w:color="auto"/>
                                            <w:left w:val="none" w:sz="0" w:space="0" w:color="auto"/>
                                            <w:bottom w:val="none" w:sz="0" w:space="0" w:color="auto"/>
                                            <w:right w:val="none" w:sz="0" w:space="0" w:color="auto"/>
                                          </w:divBdr>
                                          <w:divsChild>
                                            <w:div w:id="154153935">
                                              <w:marLeft w:val="0"/>
                                              <w:marRight w:val="0"/>
                                              <w:marTop w:val="0"/>
                                              <w:marBottom w:val="0"/>
                                              <w:divBdr>
                                                <w:top w:val="none" w:sz="0" w:space="0" w:color="auto"/>
                                                <w:left w:val="none" w:sz="0" w:space="0" w:color="auto"/>
                                                <w:bottom w:val="none" w:sz="0" w:space="0" w:color="auto"/>
                                                <w:right w:val="none" w:sz="0" w:space="0" w:color="auto"/>
                                              </w:divBdr>
                                              <w:divsChild>
                                                <w:div w:id="614943206">
                                                  <w:marLeft w:val="0"/>
                                                  <w:marRight w:val="0"/>
                                                  <w:marTop w:val="0"/>
                                                  <w:marBottom w:val="0"/>
                                                  <w:divBdr>
                                                    <w:top w:val="none" w:sz="0" w:space="0" w:color="auto"/>
                                                    <w:left w:val="none" w:sz="0" w:space="0" w:color="auto"/>
                                                    <w:bottom w:val="none" w:sz="0" w:space="0" w:color="auto"/>
                                                    <w:right w:val="none" w:sz="0" w:space="0" w:color="auto"/>
                                                  </w:divBdr>
                                                  <w:divsChild>
                                                    <w:div w:id="1914781371">
                                                      <w:marLeft w:val="0"/>
                                                      <w:marRight w:val="0"/>
                                                      <w:marTop w:val="0"/>
                                                      <w:marBottom w:val="180"/>
                                                      <w:divBdr>
                                                        <w:top w:val="none" w:sz="0" w:space="0" w:color="auto"/>
                                                        <w:left w:val="none" w:sz="0" w:space="0" w:color="auto"/>
                                                        <w:bottom w:val="none" w:sz="0" w:space="0" w:color="auto"/>
                                                        <w:right w:val="none" w:sz="0" w:space="0" w:color="auto"/>
                                                      </w:divBdr>
                                                      <w:divsChild>
                                                        <w:div w:id="392312845">
                                                          <w:marLeft w:val="0"/>
                                                          <w:marRight w:val="0"/>
                                                          <w:marTop w:val="0"/>
                                                          <w:marBottom w:val="0"/>
                                                          <w:divBdr>
                                                            <w:top w:val="none" w:sz="0" w:space="0" w:color="auto"/>
                                                            <w:left w:val="none" w:sz="0" w:space="0" w:color="auto"/>
                                                            <w:bottom w:val="none" w:sz="0" w:space="0" w:color="auto"/>
                                                            <w:right w:val="none" w:sz="0" w:space="0" w:color="auto"/>
                                                          </w:divBdr>
                                                          <w:divsChild>
                                                            <w:div w:id="402870311">
                                                              <w:marLeft w:val="0"/>
                                                              <w:marRight w:val="0"/>
                                                              <w:marTop w:val="0"/>
                                                              <w:marBottom w:val="0"/>
                                                              <w:divBdr>
                                                                <w:top w:val="none" w:sz="0" w:space="0" w:color="auto"/>
                                                                <w:left w:val="none" w:sz="0" w:space="0" w:color="auto"/>
                                                                <w:bottom w:val="none" w:sz="0" w:space="0" w:color="auto"/>
                                                                <w:right w:val="none" w:sz="0" w:space="0" w:color="auto"/>
                                                              </w:divBdr>
                                                              <w:divsChild>
                                                                <w:div w:id="1805152138">
                                                                  <w:marLeft w:val="0"/>
                                                                  <w:marRight w:val="0"/>
                                                                  <w:marTop w:val="0"/>
                                                                  <w:marBottom w:val="0"/>
                                                                  <w:divBdr>
                                                                    <w:top w:val="none" w:sz="0" w:space="0" w:color="auto"/>
                                                                    <w:left w:val="none" w:sz="0" w:space="0" w:color="auto"/>
                                                                    <w:bottom w:val="none" w:sz="0" w:space="0" w:color="auto"/>
                                                                    <w:right w:val="none" w:sz="0" w:space="0" w:color="auto"/>
                                                                  </w:divBdr>
                                                                  <w:divsChild>
                                                                    <w:div w:id="1392458145">
                                                                      <w:marLeft w:val="0"/>
                                                                      <w:marRight w:val="0"/>
                                                                      <w:marTop w:val="0"/>
                                                                      <w:marBottom w:val="0"/>
                                                                      <w:divBdr>
                                                                        <w:top w:val="none" w:sz="0" w:space="0" w:color="auto"/>
                                                                        <w:left w:val="none" w:sz="0" w:space="0" w:color="auto"/>
                                                                        <w:bottom w:val="none" w:sz="0" w:space="0" w:color="auto"/>
                                                                        <w:right w:val="none" w:sz="0" w:space="0" w:color="auto"/>
                                                                      </w:divBdr>
                                                                      <w:divsChild>
                                                                        <w:div w:id="806046657">
                                                                          <w:marLeft w:val="0"/>
                                                                          <w:marRight w:val="0"/>
                                                                          <w:marTop w:val="0"/>
                                                                          <w:marBottom w:val="0"/>
                                                                          <w:divBdr>
                                                                            <w:top w:val="none" w:sz="0" w:space="0" w:color="auto"/>
                                                                            <w:left w:val="none" w:sz="0" w:space="0" w:color="auto"/>
                                                                            <w:bottom w:val="none" w:sz="0" w:space="0" w:color="auto"/>
                                                                            <w:right w:val="none" w:sz="0" w:space="0" w:color="auto"/>
                                                                          </w:divBdr>
                                                                          <w:divsChild>
                                                                            <w:div w:id="5679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684168">
      <w:bodyDiv w:val="1"/>
      <w:marLeft w:val="0"/>
      <w:marRight w:val="0"/>
      <w:marTop w:val="0"/>
      <w:marBottom w:val="0"/>
      <w:divBdr>
        <w:top w:val="none" w:sz="0" w:space="0" w:color="auto"/>
        <w:left w:val="none" w:sz="0" w:space="0" w:color="auto"/>
        <w:bottom w:val="none" w:sz="0" w:space="0" w:color="auto"/>
        <w:right w:val="none" w:sz="0" w:space="0" w:color="auto"/>
      </w:divBdr>
    </w:div>
    <w:div w:id="845098202">
      <w:bodyDiv w:val="1"/>
      <w:marLeft w:val="0"/>
      <w:marRight w:val="0"/>
      <w:marTop w:val="0"/>
      <w:marBottom w:val="0"/>
      <w:divBdr>
        <w:top w:val="none" w:sz="0" w:space="0" w:color="auto"/>
        <w:left w:val="none" w:sz="0" w:space="0" w:color="auto"/>
        <w:bottom w:val="none" w:sz="0" w:space="0" w:color="auto"/>
        <w:right w:val="none" w:sz="0" w:space="0" w:color="auto"/>
      </w:divBdr>
    </w:div>
    <w:div w:id="860900787">
      <w:bodyDiv w:val="1"/>
      <w:marLeft w:val="0"/>
      <w:marRight w:val="0"/>
      <w:marTop w:val="0"/>
      <w:marBottom w:val="0"/>
      <w:divBdr>
        <w:top w:val="none" w:sz="0" w:space="0" w:color="auto"/>
        <w:left w:val="none" w:sz="0" w:space="0" w:color="auto"/>
        <w:bottom w:val="none" w:sz="0" w:space="0" w:color="auto"/>
        <w:right w:val="none" w:sz="0" w:space="0" w:color="auto"/>
      </w:divBdr>
    </w:div>
    <w:div w:id="965239029">
      <w:bodyDiv w:val="1"/>
      <w:marLeft w:val="0"/>
      <w:marRight w:val="0"/>
      <w:marTop w:val="0"/>
      <w:marBottom w:val="0"/>
      <w:divBdr>
        <w:top w:val="none" w:sz="0" w:space="0" w:color="auto"/>
        <w:left w:val="none" w:sz="0" w:space="0" w:color="auto"/>
        <w:bottom w:val="none" w:sz="0" w:space="0" w:color="auto"/>
        <w:right w:val="none" w:sz="0" w:space="0" w:color="auto"/>
      </w:divBdr>
    </w:div>
    <w:div w:id="1210267993">
      <w:bodyDiv w:val="1"/>
      <w:marLeft w:val="0"/>
      <w:marRight w:val="0"/>
      <w:marTop w:val="0"/>
      <w:marBottom w:val="0"/>
      <w:divBdr>
        <w:top w:val="none" w:sz="0" w:space="0" w:color="auto"/>
        <w:left w:val="none" w:sz="0" w:space="0" w:color="auto"/>
        <w:bottom w:val="none" w:sz="0" w:space="0" w:color="auto"/>
        <w:right w:val="none" w:sz="0" w:space="0" w:color="auto"/>
      </w:divBdr>
    </w:div>
    <w:div w:id="1358312846">
      <w:bodyDiv w:val="1"/>
      <w:marLeft w:val="0"/>
      <w:marRight w:val="0"/>
      <w:marTop w:val="0"/>
      <w:marBottom w:val="0"/>
      <w:divBdr>
        <w:top w:val="none" w:sz="0" w:space="0" w:color="auto"/>
        <w:left w:val="none" w:sz="0" w:space="0" w:color="auto"/>
        <w:bottom w:val="none" w:sz="0" w:space="0" w:color="auto"/>
        <w:right w:val="none" w:sz="0" w:space="0" w:color="auto"/>
      </w:divBdr>
    </w:div>
    <w:div w:id="1605111660">
      <w:bodyDiv w:val="1"/>
      <w:marLeft w:val="0"/>
      <w:marRight w:val="0"/>
      <w:marTop w:val="0"/>
      <w:marBottom w:val="0"/>
      <w:divBdr>
        <w:top w:val="none" w:sz="0" w:space="0" w:color="auto"/>
        <w:left w:val="none" w:sz="0" w:space="0" w:color="auto"/>
        <w:bottom w:val="none" w:sz="0" w:space="0" w:color="auto"/>
        <w:right w:val="none" w:sz="0" w:space="0" w:color="auto"/>
      </w:divBdr>
    </w:div>
    <w:div w:id="1630748662">
      <w:bodyDiv w:val="1"/>
      <w:marLeft w:val="0"/>
      <w:marRight w:val="0"/>
      <w:marTop w:val="0"/>
      <w:marBottom w:val="0"/>
      <w:divBdr>
        <w:top w:val="none" w:sz="0" w:space="0" w:color="auto"/>
        <w:left w:val="none" w:sz="0" w:space="0" w:color="auto"/>
        <w:bottom w:val="none" w:sz="0" w:space="0" w:color="auto"/>
        <w:right w:val="none" w:sz="0" w:space="0" w:color="auto"/>
      </w:divBdr>
    </w:div>
    <w:div w:id="1669745597">
      <w:bodyDiv w:val="1"/>
      <w:marLeft w:val="0"/>
      <w:marRight w:val="0"/>
      <w:marTop w:val="0"/>
      <w:marBottom w:val="0"/>
      <w:divBdr>
        <w:top w:val="none" w:sz="0" w:space="0" w:color="auto"/>
        <w:left w:val="none" w:sz="0" w:space="0" w:color="auto"/>
        <w:bottom w:val="none" w:sz="0" w:space="0" w:color="auto"/>
        <w:right w:val="none" w:sz="0" w:space="0" w:color="auto"/>
      </w:divBdr>
    </w:div>
    <w:div w:id="1803763852">
      <w:bodyDiv w:val="1"/>
      <w:marLeft w:val="0"/>
      <w:marRight w:val="0"/>
      <w:marTop w:val="0"/>
      <w:marBottom w:val="0"/>
      <w:divBdr>
        <w:top w:val="none" w:sz="0" w:space="0" w:color="auto"/>
        <w:left w:val="none" w:sz="0" w:space="0" w:color="auto"/>
        <w:bottom w:val="none" w:sz="0" w:space="0" w:color="auto"/>
        <w:right w:val="none" w:sz="0" w:space="0" w:color="auto"/>
      </w:divBdr>
    </w:div>
    <w:div w:id="1871529454">
      <w:bodyDiv w:val="1"/>
      <w:marLeft w:val="0"/>
      <w:marRight w:val="0"/>
      <w:marTop w:val="0"/>
      <w:marBottom w:val="0"/>
      <w:divBdr>
        <w:top w:val="none" w:sz="0" w:space="0" w:color="auto"/>
        <w:left w:val="none" w:sz="0" w:space="0" w:color="auto"/>
        <w:bottom w:val="none" w:sz="0" w:space="0" w:color="auto"/>
        <w:right w:val="none" w:sz="0" w:space="0" w:color="auto"/>
      </w:divBdr>
    </w:div>
    <w:div w:id="1905984657">
      <w:bodyDiv w:val="1"/>
      <w:marLeft w:val="0"/>
      <w:marRight w:val="0"/>
      <w:marTop w:val="0"/>
      <w:marBottom w:val="0"/>
      <w:divBdr>
        <w:top w:val="none" w:sz="0" w:space="0" w:color="auto"/>
        <w:left w:val="none" w:sz="0" w:space="0" w:color="auto"/>
        <w:bottom w:val="none" w:sz="0" w:space="0" w:color="auto"/>
        <w:right w:val="none" w:sz="0" w:space="0" w:color="auto"/>
      </w:divBdr>
    </w:div>
    <w:div w:id="1907720110">
      <w:bodyDiv w:val="1"/>
      <w:marLeft w:val="0"/>
      <w:marRight w:val="0"/>
      <w:marTop w:val="0"/>
      <w:marBottom w:val="0"/>
      <w:divBdr>
        <w:top w:val="none" w:sz="0" w:space="0" w:color="auto"/>
        <w:left w:val="none" w:sz="0" w:space="0" w:color="auto"/>
        <w:bottom w:val="none" w:sz="0" w:space="0" w:color="auto"/>
        <w:right w:val="none" w:sz="0" w:space="0" w:color="auto"/>
      </w:divBdr>
    </w:div>
    <w:div w:id="1921985897">
      <w:bodyDiv w:val="1"/>
      <w:marLeft w:val="0"/>
      <w:marRight w:val="0"/>
      <w:marTop w:val="0"/>
      <w:marBottom w:val="0"/>
      <w:divBdr>
        <w:top w:val="none" w:sz="0" w:space="0" w:color="auto"/>
        <w:left w:val="none" w:sz="0" w:space="0" w:color="auto"/>
        <w:bottom w:val="none" w:sz="0" w:space="0" w:color="auto"/>
        <w:right w:val="none" w:sz="0" w:space="0" w:color="auto"/>
      </w:divBdr>
    </w:div>
    <w:div w:id="1922982742">
      <w:bodyDiv w:val="1"/>
      <w:marLeft w:val="0"/>
      <w:marRight w:val="0"/>
      <w:marTop w:val="0"/>
      <w:marBottom w:val="0"/>
      <w:divBdr>
        <w:top w:val="none" w:sz="0" w:space="0" w:color="auto"/>
        <w:left w:val="none" w:sz="0" w:space="0" w:color="auto"/>
        <w:bottom w:val="none" w:sz="0" w:space="0" w:color="auto"/>
        <w:right w:val="none" w:sz="0" w:space="0" w:color="auto"/>
      </w:divBdr>
    </w:div>
    <w:div w:id="2025083674">
      <w:bodyDiv w:val="1"/>
      <w:marLeft w:val="0"/>
      <w:marRight w:val="0"/>
      <w:marTop w:val="0"/>
      <w:marBottom w:val="0"/>
      <w:divBdr>
        <w:top w:val="none" w:sz="0" w:space="0" w:color="auto"/>
        <w:left w:val="none" w:sz="0" w:space="0" w:color="auto"/>
        <w:bottom w:val="none" w:sz="0" w:space="0" w:color="auto"/>
        <w:right w:val="none" w:sz="0" w:space="0" w:color="auto"/>
      </w:divBdr>
    </w:div>
    <w:div w:id="20736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bitre.gov.au/publications/2016/files/is_07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afeworkaustralia.gov.au/doc/explanatory-notes-safe-work-australia-dataset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RODAPP\STATS_DATA\Data%20and%20Analysis\Publications\Australian%20Strategy%20Publications\Priority%20industries\Road%20Transport\nds,%20subdivision,%20all%20yea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RODAPP\STATS_DATA\Data%20and%20Analysis\Publications\Australian%20Strategy%20Publications\Priority%20industries\Road%20Transport\age_%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RODAPP\STATS_DATA\Data%20and%20Analysis\Publications\Australian%20Strategy%20Publications\Priority%20industries\Road%20Transport\road%20transport%20fatals\all%20fatal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RODAPP\STATS_DATA\Data%20and%20Analysis\Publications\Australian%20Strategy%20Publications\Priority%20industries\Road%20Transport\road%20transport%20fatals\TIFdata_roadtrans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41943065327226"/>
          <c:y val="4.3521266073194856E-2"/>
          <c:w val="0.79445418104007048"/>
          <c:h val="0.67773730986329417"/>
        </c:manualLayout>
      </c:layout>
      <c:lineChart>
        <c:grouping val="standard"/>
        <c:varyColors val="0"/>
        <c:ser>
          <c:idx val="0"/>
          <c:order val="0"/>
          <c:tx>
            <c:strRef>
              <c:f>'frequency rates trend'!$B$6</c:f>
              <c:strCache>
                <c:ptCount val="1"/>
                <c:pt idx="0">
                  <c:v>Road Transport</c:v>
                </c:pt>
              </c:strCache>
            </c:strRef>
          </c:tx>
          <c:spPr>
            <a:ln>
              <a:solidFill>
                <a:srgbClr val="5F5E5E"/>
              </a:solidFill>
              <a:prstDash val="solid"/>
            </a:ln>
          </c:spPr>
          <c:marker>
            <c:symbol val="none"/>
          </c:marker>
          <c:cat>
            <c:strRef>
              <c:f>'frequency rates trend'!$C$5:$P$5</c:f>
              <c:strCache>
                <c:ptCount val="14"/>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2014-15p</c:v>
                </c:pt>
              </c:strCache>
            </c:strRef>
          </c:cat>
          <c:val>
            <c:numRef>
              <c:f>'frequency rates trend'!$C$6:$P$6</c:f>
              <c:numCache>
                <c:formatCode>0.0</c:formatCode>
                <c:ptCount val="14"/>
                <c:pt idx="0">
                  <c:v>15.5</c:v>
                </c:pt>
                <c:pt idx="1">
                  <c:v>14.9</c:v>
                </c:pt>
                <c:pt idx="2">
                  <c:v>14</c:v>
                </c:pt>
                <c:pt idx="3">
                  <c:v>13.6</c:v>
                </c:pt>
                <c:pt idx="4">
                  <c:v>13.9</c:v>
                </c:pt>
                <c:pt idx="5">
                  <c:v>13.2</c:v>
                </c:pt>
                <c:pt idx="6">
                  <c:v>15.2</c:v>
                </c:pt>
                <c:pt idx="7">
                  <c:v>14.4</c:v>
                </c:pt>
                <c:pt idx="8">
                  <c:v>14.7</c:v>
                </c:pt>
                <c:pt idx="9">
                  <c:v>15</c:v>
                </c:pt>
                <c:pt idx="10">
                  <c:v>15.1</c:v>
                </c:pt>
                <c:pt idx="11">
                  <c:v>12.9</c:v>
                </c:pt>
                <c:pt idx="12">
                  <c:v>12.5</c:v>
                </c:pt>
                <c:pt idx="13">
                  <c:v>11.3</c:v>
                </c:pt>
              </c:numCache>
            </c:numRef>
          </c:val>
          <c:smooth val="0"/>
          <c:extLst xmlns:c16r2="http://schemas.microsoft.com/office/drawing/2015/06/chart">
            <c:ext xmlns:c16="http://schemas.microsoft.com/office/drawing/2014/chart" uri="{C3380CC4-5D6E-409C-BE32-E72D297353CC}">
              <c16:uniqueId val="{00000000-5A1D-4B8A-BD4E-777A3D4BB828}"/>
            </c:ext>
          </c:extLst>
        </c:ser>
        <c:ser>
          <c:idx val="1"/>
          <c:order val="1"/>
          <c:tx>
            <c:strRef>
              <c:f>'frequency rates trend'!$B$7</c:f>
              <c:strCache>
                <c:ptCount val="1"/>
                <c:pt idx="0">
                  <c:v>All industries</c:v>
                </c:pt>
              </c:strCache>
            </c:strRef>
          </c:tx>
          <c:spPr>
            <a:ln>
              <a:solidFill>
                <a:srgbClr val="C10A27"/>
              </a:solidFill>
            </a:ln>
          </c:spPr>
          <c:marker>
            <c:symbol val="none"/>
          </c:marker>
          <c:cat>
            <c:strRef>
              <c:f>'frequency rates trend'!$C$5:$P$5</c:f>
              <c:strCache>
                <c:ptCount val="14"/>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2014-15p</c:v>
                </c:pt>
              </c:strCache>
            </c:strRef>
          </c:cat>
          <c:val>
            <c:numRef>
              <c:f>'frequency rates trend'!$C$7:$P$7</c:f>
              <c:numCache>
                <c:formatCode>0.0</c:formatCode>
                <c:ptCount val="14"/>
                <c:pt idx="0">
                  <c:v>9.1999999999999993</c:v>
                </c:pt>
                <c:pt idx="1">
                  <c:v>9.1999999999999993</c:v>
                </c:pt>
                <c:pt idx="2">
                  <c:v>9.1999999999999993</c:v>
                </c:pt>
                <c:pt idx="3">
                  <c:v>8.9</c:v>
                </c:pt>
                <c:pt idx="4">
                  <c:v>8.5</c:v>
                </c:pt>
                <c:pt idx="5">
                  <c:v>8.1</c:v>
                </c:pt>
                <c:pt idx="6">
                  <c:v>7.9</c:v>
                </c:pt>
                <c:pt idx="7">
                  <c:v>7.6</c:v>
                </c:pt>
                <c:pt idx="8">
                  <c:v>7.6</c:v>
                </c:pt>
                <c:pt idx="9">
                  <c:v>7.6</c:v>
                </c:pt>
                <c:pt idx="10">
                  <c:v>7.4</c:v>
                </c:pt>
                <c:pt idx="11">
                  <c:v>6.7</c:v>
                </c:pt>
                <c:pt idx="12">
                  <c:v>6.2</c:v>
                </c:pt>
                <c:pt idx="13">
                  <c:v>6.5</c:v>
                </c:pt>
              </c:numCache>
            </c:numRef>
          </c:val>
          <c:smooth val="0"/>
          <c:extLst xmlns:c16r2="http://schemas.microsoft.com/office/drawing/2015/06/chart">
            <c:ext xmlns:c16="http://schemas.microsoft.com/office/drawing/2014/chart" uri="{C3380CC4-5D6E-409C-BE32-E72D297353CC}">
              <c16:uniqueId val="{00000001-5A1D-4B8A-BD4E-777A3D4BB828}"/>
            </c:ext>
          </c:extLst>
        </c:ser>
        <c:dLbls>
          <c:showLegendKey val="0"/>
          <c:showVal val="0"/>
          <c:showCatName val="0"/>
          <c:showSerName val="0"/>
          <c:showPercent val="0"/>
          <c:showBubbleSize val="0"/>
        </c:dLbls>
        <c:marker val="1"/>
        <c:smooth val="0"/>
        <c:axId val="96671616"/>
        <c:axId val="96673152"/>
      </c:lineChart>
      <c:catAx>
        <c:axId val="96671616"/>
        <c:scaling>
          <c:orientation val="minMax"/>
        </c:scaling>
        <c:delete val="0"/>
        <c:axPos val="b"/>
        <c:numFmt formatCode="General" sourceLinked="0"/>
        <c:majorTickMark val="in"/>
        <c:minorTickMark val="none"/>
        <c:tickLblPos val="nextTo"/>
        <c:txPr>
          <a:bodyPr rot="-5400000" vert="horz"/>
          <a:lstStyle/>
          <a:p>
            <a:pPr>
              <a:defRPr/>
            </a:pPr>
            <a:endParaRPr lang="en-US"/>
          </a:p>
        </c:txPr>
        <c:crossAx val="96673152"/>
        <c:crosses val="autoZero"/>
        <c:auto val="1"/>
        <c:lblAlgn val="ctr"/>
        <c:lblOffset val="100"/>
        <c:noMultiLvlLbl val="0"/>
      </c:catAx>
      <c:valAx>
        <c:axId val="96673152"/>
        <c:scaling>
          <c:orientation val="minMax"/>
        </c:scaling>
        <c:delete val="0"/>
        <c:axPos val="l"/>
        <c:majorGridlines/>
        <c:title>
          <c:tx>
            <c:rich>
              <a:bodyPr/>
              <a:lstStyle/>
              <a:p>
                <a:pPr>
                  <a:defRPr/>
                </a:pPr>
                <a:r>
                  <a:rPr lang="en-AU"/>
                  <a:t>Frequency rate (serious claims </a:t>
                </a:r>
              </a:p>
              <a:p>
                <a:pPr>
                  <a:defRPr/>
                </a:pPr>
                <a:r>
                  <a:rPr lang="en-AU"/>
                  <a:t>per million hours worked)</a:t>
                </a:r>
              </a:p>
            </c:rich>
          </c:tx>
          <c:layout>
            <c:manualLayout>
              <c:xMode val="edge"/>
              <c:yMode val="edge"/>
              <c:x val="1.0184986177915793E-2"/>
              <c:y val="0.14197025172650232"/>
            </c:manualLayout>
          </c:layout>
          <c:overlay val="0"/>
        </c:title>
        <c:numFmt formatCode="0.0" sourceLinked="1"/>
        <c:majorTickMark val="none"/>
        <c:minorTickMark val="none"/>
        <c:tickLblPos val="nextTo"/>
        <c:crossAx val="96671616"/>
        <c:crosses val="autoZero"/>
        <c:crossBetween val="between"/>
      </c:valAx>
    </c:plotArea>
    <c:legend>
      <c:legendPos val="r"/>
      <c:layout>
        <c:manualLayout>
          <c:xMode val="edge"/>
          <c:yMode val="edge"/>
          <c:x val="0.20420015509840528"/>
          <c:y val="0.50828322135408754"/>
          <c:w val="0.25209975751556879"/>
          <c:h val="0.13353209187130538"/>
        </c:manualLayout>
      </c:layout>
      <c:overlay val="0"/>
    </c:legend>
    <c:plotVisOnly val="1"/>
    <c:dispBlanksAs val="gap"/>
    <c:showDLblsOverMax val="0"/>
  </c:chart>
  <c:spPr>
    <a:ln>
      <a:solidFill>
        <a:srgbClr val="C10A27"/>
      </a:solidFill>
    </a:ln>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v>Males</c:v>
          </c:tx>
          <c:spPr>
            <a:solidFill>
              <a:srgbClr val="C10A27"/>
            </a:solidFill>
          </c:spPr>
          <c:invertIfNegative val="0"/>
          <c:cat>
            <c:strRef>
              <c:f>'x age'!$A$25:$A$35</c:f>
              <c:strCache>
                <c:ptCount val="11"/>
                <c:pt idx="0">
                  <c:v>Less than 20 years</c:v>
                </c:pt>
                <c:pt idx="1">
                  <c:v>20-24 years</c:v>
                </c:pt>
                <c:pt idx="2">
                  <c:v>25-29 years</c:v>
                </c:pt>
                <c:pt idx="3">
                  <c:v>30-34 years</c:v>
                </c:pt>
                <c:pt idx="4">
                  <c:v>35-39 years</c:v>
                </c:pt>
                <c:pt idx="5">
                  <c:v>40-44 years</c:v>
                </c:pt>
                <c:pt idx="6">
                  <c:v>45-49 years</c:v>
                </c:pt>
                <c:pt idx="7">
                  <c:v>50-54 years</c:v>
                </c:pt>
                <c:pt idx="8">
                  <c:v>55-59 years</c:v>
                </c:pt>
                <c:pt idx="9">
                  <c:v>60-64 years</c:v>
                </c:pt>
                <c:pt idx="10">
                  <c:v>65 years and over</c:v>
                </c:pt>
              </c:strCache>
            </c:strRef>
          </c:cat>
          <c:val>
            <c:numRef>
              <c:f>'x age'!$B$25:$B$35</c:f>
              <c:numCache>
                <c:formatCode>General</c:formatCode>
                <c:ptCount val="11"/>
                <c:pt idx="0">
                  <c:v>16.399999999999999</c:v>
                </c:pt>
                <c:pt idx="1">
                  <c:v>14.4</c:v>
                </c:pt>
                <c:pt idx="2">
                  <c:v>11.5</c:v>
                </c:pt>
                <c:pt idx="3">
                  <c:v>13.4</c:v>
                </c:pt>
                <c:pt idx="4">
                  <c:v>13.6</c:v>
                </c:pt>
                <c:pt idx="5">
                  <c:v>14.4</c:v>
                </c:pt>
                <c:pt idx="6">
                  <c:v>14.1</c:v>
                </c:pt>
                <c:pt idx="7">
                  <c:v>14.8</c:v>
                </c:pt>
                <c:pt idx="8">
                  <c:v>14</c:v>
                </c:pt>
                <c:pt idx="9">
                  <c:v>16</c:v>
                </c:pt>
                <c:pt idx="10">
                  <c:v>11.9</c:v>
                </c:pt>
              </c:numCache>
            </c:numRef>
          </c:val>
          <c:extLst xmlns:c16r2="http://schemas.microsoft.com/office/drawing/2015/06/chart">
            <c:ext xmlns:c16="http://schemas.microsoft.com/office/drawing/2014/chart" uri="{C3380CC4-5D6E-409C-BE32-E72D297353CC}">
              <c16:uniqueId val="{00000000-9EE1-4794-9EFB-01498DDC8A13}"/>
            </c:ext>
          </c:extLst>
        </c:ser>
        <c:ser>
          <c:idx val="1"/>
          <c:order val="1"/>
          <c:tx>
            <c:v>Females</c:v>
          </c:tx>
          <c:spPr>
            <a:solidFill>
              <a:srgbClr val="5F5E5E"/>
            </a:solidFill>
          </c:spPr>
          <c:invertIfNegative val="0"/>
          <c:cat>
            <c:strRef>
              <c:f>'x age'!$A$25:$A$35</c:f>
              <c:strCache>
                <c:ptCount val="11"/>
                <c:pt idx="0">
                  <c:v>Less than 20 years</c:v>
                </c:pt>
                <c:pt idx="1">
                  <c:v>20-24 years</c:v>
                </c:pt>
                <c:pt idx="2">
                  <c:v>25-29 years</c:v>
                </c:pt>
                <c:pt idx="3">
                  <c:v>30-34 years</c:v>
                </c:pt>
                <c:pt idx="4">
                  <c:v>35-39 years</c:v>
                </c:pt>
                <c:pt idx="5">
                  <c:v>40-44 years</c:v>
                </c:pt>
                <c:pt idx="6">
                  <c:v>45-49 years</c:v>
                </c:pt>
                <c:pt idx="7">
                  <c:v>50-54 years</c:v>
                </c:pt>
                <c:pt idx="8">
                  <c:v>55-59 years</c:v>
                </c:pt>
                <c:pt idx="9">
                  <c:v>60-64 years</c:v>
                </c:pt>
                <c:pt idx="10">
                  <c:v>65 years and over</c:v>
                </c:pt>
              </c:strCache>
            </c:strRef>
          </c:cat>
          <c:val>
            <c:numRef>
              <c:f>'x age'!$C$25:$C$35</c:f>
              <c:numCache>
                <c:formatCode>General</c:formatCode>
                <c:ptCount val="11"/>
                <c:pt idx="0">
                  <c:v>3.1</c:v>
                </c:pt>
                <c:pt idx="1">
                  <c:v>3.6</c:v>
                </c:pt>
                <c:pt idx="2">
                  <c:v>3.4</c:v>
                </c:pt>
                <c:pt idx="3">
                  <c:v>5.9</c:v>
                </c:pt>
                <c:pt idx="4">
                  <c:v>6.9</c:v>
                </c:pt>
                <c:pt idx="5">
                  <c:v>7.6</c:v>
                </c:pt>
                <c:pt idx="6">
                  <c:v>9.6</c:v>
                </c:pt>
                <c:pt idx="7">
                  <c:v>7.8</c:v>
                </c:pt>
                <c:pt idx="8">
                  <c:v>8.5</c:v>
                </c:pt>
                <c:pt idx="9">
                  <c:v>9.3000000000000007</c:v>
                </c:pt>
                <c:pt idx="10">
                  <c:v>7.3</c:v>
                </c:pt>
              </c:numCache>
            </c:numRef>
          </c:val>
          <c:extLst xmlns:c16r2="http://schemas.microsoft.com/office/drawing/2015/06/chart">
            <c:ext xmlns:c16="http://schemas.microsoft.com/office/drawing/2014/chart" uri="{C3380CC4-5D6E-409C-BE32-E72D297353CC}">
              <c16:uniqueId val="{00000001-9EE1-4794-9EFB-01498DDC8A13}"/>
            </c:ext>
          </c:extLst>
        </c:ser>
        <c:dLbls>
          <c:showLegendKey val="0"/>
          <c:showVal val="0"/>
          <c:showCatName val="0"/>
          <c:showSerName val="0"/>
          <c:showPercent val="0"/>
          <c:showBubbleSize val="0"/>
        </c:dLbls>
        <c:gapWidth val="150"/>
        <c:axId val="96706944"/>
        <c:axId val="96708864"/>
      </c:barChart>
      <c:catAx>
        <c:axId val="96706944"/>
        <c:scaling>
          <c:orientation val="maxMin"/>
        </c:scaling>
        <c:delete val="0"/>
        <c:axPos val="l"/>
        <c:title>
          <c:tx>
            <c:rich>
              <a:bodyPr rot="-5400000" vert="horz"/>
              <a:lstStyle/>
              <a:p>
                <a:pPr>
                  <a:defRPr/>
                </a:pPr>
                <a:r>
                  <a:rPr lang="en-AU"/>
                  <a:t>Age group (years)</a:t>
                </a:r>
              </a:p>
            </c:rich>
          </c:tx>
          <c:overlay val="0"/>
        </c:title>
        <c:numFmt formatCode="General" sourceLinked="0"/>
        <c:majorTickMark val="none"/>
        <c:minorTickMark val="none"/>
        <c:tickLblPos val="nextTo"/>
        <c:crossAx val="96708864"/>
        <c:crosses val="autoZero"/>
        <c:auto val="1"/>
        <c:lblAlgn val="ctr"/>
        <c:lblOffset val="100"/>
        <c:noMultiLvlLbl val="0"/>
      </c:catAx>
      <c:valAx>
        <c:axId val="96708864"/>
        <c:scaling>
          <c:orientation val="minMax"/>
        </c:scaling>
        <c:delete val="0"/>
        <c:axPos val="b"/>
        <c:majorGridlines/>
        <c:title>
          <c:tx>
            <c:rich>
              <a:bodyPr/>
              <a:lstStyle/>
              <a:p>
                <a:pPr>
                  <a:defRPr/>
                </a:pPr>
                <a:r>
                  <a:rPr lang="en-AU"/>
                  <a:t>Frequency rate (serious claims per million hours worked)</a:t>
                </a:r>
              </a:p>
            </c:rich>
          </c:tx>
          <c:overlay val="0"/>
        </c:title>
        <c:numFmt formatCode="General" sourceLinked="1"/>
        <c:majorTickMark val="out"/>
        <c:minorTickMark val="none"/>
        <c:tickLblPos val="nextTo"/>
        <c:crossAx val="96706944"/>
        <c:crosses val="max"/>
        <c:crossBetween val="between"/>
      </c:valAx>
      <c:spPr>
        <a:ln>
          <a:solidFill>
            <a:schemeClr val="bg1">
              <a:lumMod val="65000"/>
            </a:schemeClr>
          </a:solidFill>
        </a:ln>
      </c:spPr>
    </c:plotArea>
    <c:legend>
      <c:legendPos val="r"/>
      <c:layout>
        <c:manualLayout>
          <c:xMode val="edge"/>
          <c:yMode val="edge"/>
          <c:x val="0.81417096349833173"/>
          <c:y val="0.19841963714792829"/>
          <c:w val="0.14053551427918479"/>
          <c:h val="0.15931844154171892"/>
        </c:manualLayout>
      </c:layout>
      <c:overlay val="1"/>
      <c:spPr>
        <a:solidFill>
          <a:schemeClr val="bg1"/>
        </a:solidFill>
      </c:spPr>
    </c:legend>
    <c:plotVisOnly val="1"/>
    <c:dispBlanksAs val="gap"/>
    <c:showDLblsOverMax val="0"/>
  </c:chart>
  <c:spPr>
    <a:ln>
      <a:solidFill>
        <a:srgbClr val="C10A27"/>
      </a:solid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01830313177547"/>
          <c:y val="5.6007735875120875E-2"/>
          <c:w val="0.86436074867481105"/>
          <c:h val="0.81658317971159311"/>
        </c:manualLayout>
      </c:layout>
      <c:lineChart>
        <c:grouping val="standard"/>
        <c:varyColors val="0"/>
        <c:ser>
          <c:idx val="0"/>
          <c:order val="0"/>
          <c:tx>
            <c:strRef>
              <c:f>Sheet1!$B$5</c:f>
              <c:strCache>
                <c:ptCount val="1"/>
                <c:pt idx="0">
                  <c:v>Road transport</c:v>
                </c:pt>
              </c:strCache>
            </c:strRef>
          </c:tx>
          <c:spPr>
            <a:ln>
              <a:solidFill>
                <a:srgbClr val="C10A27"/>
              </a:solidFill>
              <a:prstDash val="solid"/>
            </a:ln>
          </c:spPr>
          <c:marker>
            <c:symbol val="none"/>
          </c:marker>
          <c:cat>
            <c:numRef>
              <c:f>Sheet1!$C$4:$O$4</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Sheet1!$C$5:$O$5</c:f>
              <c:numCache>
                <c:formatCode>0.0</c:formatCode>
                <c:ptCount val="13"/>
                <c:pt idx="0">
                  <c:v>20.179372197309419</c:v>
                </c:pt>
                <c:pt idx="1">
                  <c:v>22.44165170556553</c:v>
                </c:pt>
                <c:pt idx="2">
                  <c:v>19.465875370919882</c:v>
                </c:pt>
                <c:pt idx="3">
                  <c:v>23.248016094780372</c:v>
                </c:pt>
                <c:pt idx="4">
                  <c:v>26.39421030225628</c:v>
                </c:pt>
                <c:pt idx="5">
                  <c:v>22.087713709249229</c:v>
                </c:pt>
                <c:pt idx="6">
                  <c:v>23.384486898423631</c:v>
                </c:pt>
                <c:pt idx="7">
                  <c:v>14.799398774424787</c:v>
                </c:pt>
                <c:pt idx="8">
                  <c:v>12.666521074470408</c:v>
                </c:pt>
                <c:pt idx="9">
                  <c:v>23.052199933503267</c:v>
                </c:pt>
                <c:pt idx="10">
                  <c:v>16.576346828179791</c:v>
                </c:pt>
                <c:pt idx="11">
                  <c:v>16.171389080856944</c:v>
                </c:pt>
                <c:pt idx="12">
                  <c:v>13.303335615768365</c:v>
                </c:pt>
              </c:numCache>
            </c:numRef>
          </c:val>
          <c:smooth val="0"/>
          <c:extLst xmlns:c16r2="http://schemas.microsoft.com/office/drawing/2015/06/chart">
            <c:ext xmlns:c16="http://schemas.microsoft.com/office/drawing/2014/chart" uri="{C3380CC4-5D6E-409C-BE32-E72D297353CC}">
              <c16:uniqueId val="{00000000-205C-4259-AB2E-0901906441C1}"/>
            </c:ext>
          </c:extLst>
        </c:ser>
        <c:ser>
          <c:idx val="1"/>
          <c:order val="1"/>
          <c:tx>
            <c:strRef>
              <c:f>Sheet1!$B$6</c:f>
              <c:strCache>
                <c:ptCount val="1"/>
                <c:pt idx="0">
                  <c:v>All industries</c:v>
                </c:pt>
              </c:strCache>
            </c:strRef>
          </c:tx>
          <c:spPr>
            <a:ln>
              <a:solidFill>
                <a:srgbClr val="5F5E5E"/>
              </a:solidFill>
            </a:ln>
          </c:spPr>
          <c:marker>
            <c:symbol val="none"/>
          </c:marker>
          <c:cat>
            <c:numRef>
              <c:f>Sheet1!$C$4:$O$4</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Sheet1!$C$6:$O$6</c:f>
              <c:numCache>
                <c:formatCode>#,##0.0</c:formatCode>
                <c:ptCount val="13"/>
                <c:pt idx="0">
                  <c:v>2.7472944916984106</c:v>
                </c:pt>
                <c:pt idx="1">
                  <c:v>2.9671227390283126</c:v>
                </c:pt>
                <c:pt idx="2">
                  <c:v>2.605170637667011</c:v>
                </c:pt>
                <c:pt idx="3">
                  <c:v>2.8013411420717667</c:v>
                </c:pt>
                <c:pt idx="4">
                  <c:v>2.964101574597688</c:v>
                </c:pt>
                <c:pt idx="5">
                  <c:v>2.6331468621844896</c:v>
                </c:pt>
                <c:pt idx="6">
                  <c:v>2.3823783232013382</c:v>
                </c:pt>
                <c:pt idx="7">
                  <c:v>2.0636864966950808</c:v>
                </c:pt>
                <c:pt idx="8">
                  <c:v>1.9935055771099637</c:v>
                </c:pt>
                <c:pt idx="9">
                  <c:v>2.0136661542443215</c:v>
                </c:pt>
                <c:pt idx="10">
                  <c:v>1.7483233329166206</c:v>
                </c:pt>
                <c:pt idx="11">
                  <c:v>1.6659997658153936</c:v>
                </c:pt>
                <c:pt idx="12">
                  <c:v>1.6492631346047375</c:v>
                </c:pt>
              </c:numCache>
            </c:numRef>
          </c:val>
          <c:smooth val="0"/>
          <c:extLst xmlns:c16r2="http://schemas.microsoft.com/office/drawing/2015/06/chart">
            <c:ext xmlns:c16="http://schemas.microsoft.com/office/drawing/2014/chart" uri="{C3380CC4-5D6E-409C-BE32-E72D297353CC}">
              <c16:uniqueId val="{00000001-205C-4259-AB2E-0901906441C1}"/>
            </c:ext>
          </c:extLst>
        </c:ser>
        <c:dLbls>
          <c:showLegendKey val="0"/>
          <c:showVal val="0"/>
          <c:showCatName val="0"/>
          <c:showSerName val="0"/>
          <c:showPercent val="0"/>
          <c:showBubbleSize val="0"/>
        </c:dLbls>
        <c:marker val="1"/>
        <c:smooth val="0"/>
        <c:axId val="98130176"/>
        <c:axId val="98148352"/>
      </c:lineChart>
      <c:catAx>
        <c:axId val="98130176"/>
        <c:scaling>
          <c:orientation val="minMax"/>
        </c:scaling>
        <c:delete val="0"/>
        <c:axPos val="b"/>
        <c:numFmt formatCode="General" sourceLinked="1"/>
        <c:majorTickMark val="in"/>
        <c:minorTickMark val="none"/>
        <c:tickLblPos val="nextTo"/>
        <c:crossAx val="98148352"/>
        <c:crosses val="autoZero"/>
        <c:auto val="1"/>
        <c:lblAlgn val="ctr"/>
        <c:lblOffset val="100"/>
        <c:noMultiLvlLbl val="0"/>
      </c:catAx>
      <c:valAx>
        <c:axId val="98148352"/>
        <c:scaling>
          <c:orientation val="minMax"/>
        </c:scaling>
        <c:delete val="0"/>
        <c:axPos val="l"/>
        <c:majorGridlines/>
        <c:title>
          <c:tx>
            <c:rich>
              <a:bodyPr/>
              <a:lstStyle/>
              <a:p>
                <a:pPr>
                  <a:defRPr/>
                </a:pPr>
                <a:r>
                  <a:rPr lang="en-US"/>
                  <a:t>Fatalities per 100 000 workers</a:t>
                </a:r>
              </a:p>
            </c:rich>
          </c:tx>
          <c:layout>
            <c:manualLayout>
              <c:xMode val="edge"/>
              <c:yMode val="edge"/>
              <c:x val="1.0134697629801346E-2"/>
              <c:y val="0.12870989324006915"/>
            </c:manualLayout>
          </c:layout>
          <c:overlay val="0"/>
        </c:title>
        <c:numFmt formatCode="0.0" sourceLinked="1"/>
        <c:majorTickMark val="none"/>
        <c:minorTickMark val="none"/>
        <c:tickLblPos val="nextTo"/>
        <c:crossAx val="98130176"/>
        <c:crosses val="autoZero"/>
        <c:crossBetween val="between"/>
      </c:valAx>
    </c:plotArea>
    <c:legend>
      <c:legendPos val="b"/>
      <c:layout>
        <c:manualLayout>
          <c:xMode val="edge"/>
          <c:yMode val="edge"/>
          <c:x val="0.76113695432383954"/>
          <c:y val="9.5865769815210347E-2"/>
          <c:w val="0.22256791714573301"/>
          <c:h val="0.19183084092827732"/>
        </c:manualLayout>
      </c:layout>
      <c:overlay val="0"/>
    </c:legend>
    <c:plotVisOnly val="1"/>
    <c:dispBlanksAs val="gap"/>
    <c:showDLblsOverMax val="0"/>
  </c:chart>
  <c:spPr>
    <a:ln>
      <a:solidFill>
        <a:srgbClr val="C10A27"/>
      </a:solid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Sheet3!$W$4</c:f>
              <c:strCache>
                <c:ptCount val="1"/>
                <c:pt idx="0">
                  <c:v>% of fatalities</c:v>
                </c:pt>
              </c:strCache>
            </c:strRef>
          </c:tx>
          <c:spPr>
            <a:solidFill>
              <a:srgbClr val="C10A27"/>
            </a:solidFill>
          </c:spPr>
          <c:invertIfNegative val="0"/>
          <c:cat>
            <c:strRef>
              <c:f>Sheet3!$V$5:$V$10</c:f>
              <c:strCache>
                <c:ptCount val="6"/>
                <c:pt idx="0">
                  <c:v>15-24 years</c:v>
                </c:pt>
                <c:pt idx="1">
                  <c:v>25-34 years</c:v>
                </c:pt>
                <c:pt idx="2">
                  <c:v>35-44 years</c:v>
                </c:pt>
                <c:pt idx="3">
                  <c:v>45-54 years</c:v>
                </c:pt>
                <c:pt idx="4">
                  <c:v>55-64 years</c:v>
                </c:pt>
                <c:pt idx="5">
                  <c:v>65 years and over</c:v>
                </c:pt>
              </c:strCache>
            </c:strRef>
          </c:cat>
          <c:val>
            <c:numRef>
              <c:f>Sheet3!$W$5:$W$10</c:f>
              <c:numCache>
                <c:formatCode>0%</c:formatCode>
                <c:ptCount val="6"/>
                <c:pt idx="0">
                  <c:v>3.7735849056603772E-2</c:v>
                </c:pt>
                <c:pt idx="1">
                  <c:v>0.137221269296741</c:v>
                </c:pt>
                <c:pt idx="2">
                  <c:v>0.25728987993138935</c:v>
                </c:pt>
                <c:pt idx="3">
                  <c:v>0.27101200686106347</c:v>
                </c:pt>
                <c:pt idx="4">
                  <c:v>0.23842195540308747</c:v>
                </c:pt>
                <c:pt idx="5">
                  <c:v>5.4888507718696397E-2</c:v>
                </c:pt>
              </c:numCache>
            </c:numRef>
          </c:val>
          <c:extLst xmlns:c16r2="http://schemas.microsoft.com/office/drawing/2015/06/chart">
            <c:ext xmlns:c16="http://schemas.microsoft.com/office/drawing/2014/chart" uri="{C3380CC4-5D6E-409C-BE32-E72D297353CC}">
              <c16:uniqueId val="{00000000-97A6-48D5-9E8D-74112F2AFE3C}"/>
            </c:ext>
          </c:extLst>
        </c:ser>
        <c:ser>
          <c:idx val="1"/>
          <c:order val="1"/>
          <c:tx>
            <c:strRef>
              <c:f>Sheet3!$X$4</c:f>
              <c:strCache>
                <c:ptCount val="1"/>
                <c:pt idx="0">
                  <c:v>% of employees</c:v>
                </c:pt>
              </c:strCache>
            </c:strRef>
          </c:tx>
          <c:spPr>
            <a:solidFill>
              <a:srgbClr val="5F5E5E"/>
            </a:solidFill>
          </c:spPr>
          <c:invertIfNegative val="0"/>
          <c:cat>
            <c:strRef>
              <c:f>Sheet3!$V$5:$V$10</c:f>
              <c:strCache>
                <c:ptCount val="6"/>
                <c:pt idx="0">
                  <c:v>15-24 years</c:v>
                </c:pt>
                <c:pt idx="1">
                  <c:v>25-34 years</c:v>
                </c:pt>
                <c:pt idx="2">
                  <c:v>35-44 years</c:v>
                </c:pt>
                <c:pt idx="3">
                  <c:v>45-54 years</c:v>
                </c:pt>
                <c:pt idx="4">
                  <c:v>55-64 years</c:v>
                </c:pt>
                <c:pt idx="5">
                  <c:v>65 years and over</c:v>
                </c:pt>
              </c:strCache>
            </c:strRef>
          </c:cat>
          <c:val>
            <c:numRef>
              <c:f>Sheet3!$X$5:$X$10</c:f>
              <c:numCache>
                <c:formatCode>0%</c:formatCode>
                <c:ptCount val="6"/>
                <c:pt idx="0">
                  <c:v>0.16660957204292093</c:v>
                </c:pt>
                <c:pt idx="1">
                  <c:v>0.22417376172593928</c:v>
                </c:pt>
                <c:pt idx="2">
                  <c:v>0.22877252464618403</c:v>
                </c:pt>
                <c:pt idx="3">
                  <c:v>0.21775299943759663</c:v>
                </c:pt>
                <c:pt idx="4">
                  <c:v>0.13066182343351912</c:v>
                </c:pt>
                <c:pt idx="5">
                  <c:v>2.6995984153370369E-2</c:v>
                </c:pt>
              </c:numCache>
            </c:numRef>
          </c:val>
          <c:extLst xmlns:c16r2="http://schemas.microsoft.com/office/drawing/2015/06/chart">
            <c:ext xmlns:c16="http://schemas.microsoft.com/office/drawing/2014/chart" uri="{C3380CC4-5D6E-409C-BE32-E72D297353CC}">
              <c16:uniqueId val="{00000001-97A6-48D5-9E8D-74112F2AFE3C}"/>
            </c:ext>
          </c:extLst>
        </c:ser>
        <c:dLbls>
          <c:showLegendKey val="0"/>
          <c:showVal val="0"/>
          <c:showCatName val="0"/>
          <c:showSerName val="0"/>
          <c:showPercent val="0"/>
          <c:showBubbleSize val="0"/>
        </c:dLbls>
        <c:gapWidth val="150"/>
        <c:axId val="98169984"/>
        <c:axId val="98171904"/>
      </c:barChart>
      <c:catAx>
        <c:axId val="98169984"/>
        <c:scaling>
          <c:orientation val="maxMin"/>
        </c:scaling>
        <c:delete val="0"/>
        <c:axPos val="l"/>
        <c:title>
          <c:tx>
            <c:rich>
              <a:bodyPr rot="-5400000" vert="horz"/>
              <a:lstStyle/>
              <a:p>
                <a:pPr>
                  <a:defRPr/>
                </a:pPr>
                <a:r>
                  <a:rPr lang="en-AU"/>
                  <a:t>Age group (years)</a:t>
                </a:r>
              </a:p>
            </c:rich>
          </c:tx>
          <c:overlay val="0"/>
        </c:title>
        <c:numFmt formatCode="General" sourceLinked="0"/>
        <c:majorTickMark val="none"/>
        <c:minorTickMark val="none"/>
        <c:tickLblPos val="nextTo"/>
        <c:crossAx val="98171904"/>
        <c:crosses val="autoZero"/>
        <c:auto val="1"/>
        <c:lblAlgn val="ctr"/>
        <c:lblOffset val="100"/>
        <c:noMultiLvlLbl val="0"/>
      </c:catAx>
      <c:valAx>
        <c:axId val="98171904"/>
        <c:scaling>
          <c:orientation val="minMax"/>
        </c:scaling>
        <c:delete val="0"/>
        <c:axPos val="b"/>
        <c:majorGridlines/>
        <c:numFmt formatCode="0%" sourceLinked="1"/>
        <c:majorTickMark val="out"/>
        <c:minorTickMark val="none"/>
        <c:tickLblPos val="nextTo"/>
        <c:crossAx val="98169984"/>
        <c:crosses val="max"/>
        <c:crossBetween val="between"/>
      </c:valAx>
      <c:spPr>
        <a:ln>
          <a:solidFill>
            <a:schemeClr val="bg1">
              <a:lumMod val="50000"/>
            </a:schemeClr>
          </a:solidFill>
        </a:ln>
      </c:spPr>
    </c:plotArea>
    <c:legend>
      <c:legendPos val="b"/>
      <c:overlay val="0"/>
    </c:legend>
    <c:plotVisOnly val="1"/>
    <c:dispBlanksAs val="gap"/>
    <c:showDLblsOverMax val="0"/>
  </c:chart>
  <c:spPr>
    <a:ln>
      <a:solidFill>
        <a:srgbClr val="C10A27"/>
      </a:solid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4AAB-A152-494A-B646-8F2F3611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543AB039.dotm</Template>
  <TotalTime>1</TotalTime>
  <Pages>13</Pages>
  <Words>4152</Words>
  <Characters>20742</Characters>
  <Application>Microsoft Office Word</Application>
  <DocSecurity>4</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Markey</dc:creator>
  <cp:lastModifiedBy>Lyndall Philbey</cp:lastModifiedBy>
  <cp:revision>2</cp:revision>
  <cp:lastPrinted>2017-05-11T06:22:00Z</cp:lastPrinted>
  <dcterms:created xsi:type="dcterms:W3CDTF">2017-05-11T23:02:00Z</dcterms:created>
  <dcterms:modified xsi:type="dcterms:W3CDTF">2017-05-11T23:02:00Z</dcterms:modified>
</cp:coreProperties>
</file>