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03111" w14:textId="77777777" w:rsidR="00220887" w:rsidRPr="00220887" w:rsidRDefault="00220887" w:rsidP="002001EA">
      <w:pPr>
        <w:jc w:val="center"/>
        <w:rPr>
          <w:b/>
          <w:szCs w:val="10"/>
        </w:rPr>
      </w:pPr>
      <w:r w:rsidRPr="00220887">
        <w:rPr>
          <w:b/>
          <w:szCs w:val="10"/>
        </w:rPr>
        <w:t>TECHNICAL AMENDMENTS TO THE MODEL WORK HEALTH AND SAFETY (</w:t>
      </w:r>
      <w:proofErr w:type="spellStart"/>
      <w:r w:rsidRPr="00220887">
        <w:rPr>
          <w:b/>
          <w:szCs w:val="10"/>
        </w:rPr>
        <w:t>WHS</w:t>
      </w:r>
      <w:proofErr w:type="spellEnd"/>
      <w:r w:rsidRPr="00220887">
        <w:rPr>
          <w:b/>
          <w:szCs w:val="10"/>
        </w:rPr>
        <w:t xml:space="preserve">) REGULATIONS </w:t>
      </w:r>
    </w:p>
    <w:p w14:paraId="65403112" w14:textId="77777777" w:rsidR="00D811BA" w:rsidRDefault="00D811BA" w:rsidP="0002626C">
      <w:pPr>
        <w:rPr>
          <w:color w:val="0000FF"/>
          <w:szCs w:val="10"/>
        </w:rPr>
      </w:pPr>
    </w:p>
    <w:p w14:paraId="65403113" w14:textId="77777777" w:rsidR="00A25389" w:rsidRPr="000E1212" w:rsidRDefault="00220887" w:rsidP="000E1212">
      <w:pPr>
        <w:pStyle w:val="Quote-1Dot"/>
        <w:spacing w:after="240"/>
        <w:jc w:val="left"/>
        <w:rPr>
          <w:rFonts w:ascii="Arial" w:hAnsi="Arial" w:cs="Arial"/>
          <w:color w:val="000000"/>
          <w:sz w:val="22"/>
          <w:szCs w:val="22"/>
        </w:rPr>
      </w:pPr>
      <w:r>
        <w:rPr>
          <w:rFonts w:ascii="Arial" w:hAnsi="Arial" w:cs="Arial"/>
          <w:color w:val="000000"/>
          <w:sz w:val="22"/>
          <w:szCs w:val="22"/>
        </w:rPr>
        <w:t xml:space="preserve">This </w:t>
      </w:r>
      <w:r w:rsidR="001642A0">
        <w:rPr>
          <w:rFonts w:ascii="Arial" w:hAnsi="Arial" w:cs="Arial"/>
          <w:color w:val="000000"/>
          <w:sz w:val="22"/>
          <w:szCs w:val="22"/>
        </w:rPr>
        <w:t>list</w:t>
      </w:r>
      <w:r>
        <w:rPr>
          <w:rFonts w:ascii="Arial" w:hAnsi="Arial" w:cs="Arial"/>
          <w:color w:val="000000"/>
          <w:sz w:val="22"/>
          <w:szCs w:val="22"/>
        </w:rPr>
        <w:t xml:space="preserve"> </w:t>
      </w:r>
      <w:r w:rsidR="005975E6">
        <w:rPr>
          <w:rFonts w:ascii="Arial" w:hAnsi="Arial" w:cs="Arial"/>
          <w:color w:val="000000"/>
          <w:sz w:val="22"/>
          <w:szCs w:val="22"/>
        </w:rPr>
        <w:t>summarises</w:t>
      </w:r>
      <w:r>
        <w:rPr>
          <w:rFonts w:ascii="Arial" w:hAnsi="Arial" w:cs="Arial"/>
          <w:color w:val="000000"/>
          <w:sz w:val="22"/>
          <w:szCs w:val="22"/>
        </w:rPr>
        <w:t xml:space="preserve"> key technical amendments to the model Work Health and Safety (</w:t>
      </w:r>
      <w:proofErr w:type="spellStart"/>
      <w:r>
        <w:rPr>
          <w:rFonts w:ascii="Arial" w:hAnsi="Arial" w:cs="Arial"/>
          <w:color w:val="000000"/>
          <w:sz w:val="22"/>
          <w:szCs w:val="22"/>
        </w:rPr>
        <w:t>WHS</w:t>
      </w:r>
      <w:proofErr w:type="spellEnd"/>
      <w:r>
        <w:rPr>
          <w:rFonts w:ascii="Arial" w:hAnsi="Arial" w:cs="Arial"/>
          <w:color w:val="000000"/>
          <w:sz w:val="22"/>
          <w:szCs w:val="22"/>
        </w:rPr>
        <w:t>)</w:t>
      </w:r>
      <w:r w:rsidR="0057225F">
        <w:rPr>
          <w:rFonts w:ascii="Arial" w:hAnsi="Arial" w:cs="Arial"/>
          <w:color w:val="000000"/>
          <w:sz w:val="22"/>
          <w:szCs w:val="22"/>
        </w:rPr>
        <w:t xml:space="preserve"> Regulations</w:t>
      </w:r>
      <w:r>
        <w:rPr>
          <w:rFonts w:ascii="Arial" w:hAnsi="Arial" w:cs="Arial"/>
          <w:color w:val="000000"/>
          <w:sz w:val="22"/>
          <w:szCs w:val="22"/>
        </w:rPr>
        <w:t xml:space="preserve"> </w:t>
      </w:r>
      <w:r w:rsidR="001642A0">
        <w:rPr>
          <w:rFonts w:ascii="Arial" w:hAnsi="Arial" w:cs="Arial"/>
          <w:color w:val="000000"/>
          <w:sz w:val="22"/>
          <w:szCs w:val="22"/>
        </w:rPr>
        <w:t xml:space="preserve">made on 4 November 2011 and published in a revised version dated 9 January 2014. The amendments correct inadvertent errors, clarify policy intent and address workability issues. </w:t>
      </w:r>
      <w:r w:rsidRPr="000E1212">
        <w:rPr>
          <w:rFonts w:ascii="Arial" w:hAnsi="Arial" w:cs="Arial"/>
          <w:color w:val="000000"/>
          <w:sz w:val="22"/>
          <w:szCs w:val="22"/>
        </w:rPr>
        <w:t xml:space="preserve">This register does not </w:t>
      </w:r>
      <w:r w:rsidR="0057225F">
        <w:rPr>
          <w:rFonts w:ascii="Arial" w:hAnsi="Arial" w:cs="Arial"/>
          <w:color w:val="000000"/>
          <w:sz w:val="22"/>
          <w:szCs w:val="22"/>
        </w:rPr>
        <w:t>include simple typographical or</w:t>
      </w:r>
      <w:r w:rsidRPr="000E1212">
        <w:rPr>
          <w:rFonts w:ascii="Arial" w:hAnsi="Arial" w:cs="Arial"/>
          <w:color w:val="000000"/>
          <w:sz w:val="22"/>
          <w:szCs w:val="22"/>
        </w:rPr>
        <w:t xml:space="preserve"> cross-referencing errors.</w:t>
      </w:r>
      <w:r w:rsidR="000E1212">
        <w:rPr>
          <w:rFonts w:ascii="Arial" w:hAnsi="Arial" w:cs="Arial"/>
          <w:color w:val="000000"/>
          <w:sz w:val="22"/>
          <w:szCs w:val="22"/>
        </w:rPr>
        <w:t xml:space="preserve"> </w:t>
      </w:r>
    </w:p>
    <w:p w14:paraId="65403114" w14:textId="77777777" w:rsidR="00A93521" w:rsidRPr="00A93521" w:rsidRDefault="0057225F" w:rsidP="00220887">
      <w:pPr>
        <w:rPr>
          <w:lang w:val="en-GB" w:eastAsia="en-US"/>
        </w:rPr>
      </w:pPr>
      <w:r>
        <w:rPr>
          <w:b/>
          <w:lang w:val="en-GB" w:eastAsia="en-US"/>
        </w:rPr>
        <w:t>Note:</w:t>
      </w:r>
      <w:r w:rsidR="00A93521">
        <w:rPr>
          <w:b/>
          <w:lang w:val="en-GB" w:eastAsia="en-US"/>
        </w:rPr>
        <w:t xml:space="preserve"> </w:t>
      </w:r>
      <w:r w:rsidRPr="0057225F">
        <w:rPr>
          <w:lang w:val="en-GB" w:eastAsia="en-US"/>
        </w:rPr>
        <w:t>T</w:t>
      </w:r>
      <w:r w:rsidR="00A93521">
        <w:rPr>
          <w:lang w:val="en-GB" w:eastAsia="en-US"/>
        </w:rPr>
        <w:t xml:space="preserve">hese amendments do not automatically apply. Each participating jurisdiction makes the amendments through their </w:t>
      </w:r>
      <w:r w:rsidR="001642A0">
        <w:rPr>
          <w:lang w:val="en-GB" w:eastAsia="en-US"/>
        </w:rPr>
        <w:t xml:space="preserve">own law-making processes. </w:t>
      </w:r>
      <w:r w:rsidR="00A93521">
        <w:rPr>
          <w:lang w:val="en-GB" w:eastAsia="en-US"/>
        </w:rPr>
        <w:t xml:space="preserve">Check details about implementation with your local </w:t>
      </w:r>
      <w:proofErr w:type="spellStart"/>
      <w:r>
        <w:rPr>
          <w:lang w:val="en-GB" w:eastAsia="en-US"/>
        </w:rPr>
        <w:t>WHS</w:t>
      </w:r>
      <w:proofErr w:type="spellEnd"/>
      <w:r>
        <w:rPr>
          <w:lang w:val="en-GB" w:eastAsia="en-US"/>
        </w:rPr>
        <w:t xml:space="preserve"> </w:t>
      </w:r>
      <w:r w:rsidR="00A93521">
        <w:rPr>
          <w:lang w:val="en-GB" w:eastAsia="en-US"/>
        </w:rPr>
        <w:t>regulator.</w:t>
      </w:r>
    </w:p>
    <w:p w14:paraId="65403115" w14:textId="77777777" w:rsidR="00220887" w:rsidRDefault="00220887" w:rsidP="0002626C">
      <w:pPr>
        <w:rPr>
          <w:color w:val="0000FF"/>
          <w:szCs w:val="10"/>
        </w:rPr>
      </w:pPr>
    </w:p>
    <w:tbl>
      <w:tblPr>
        <w:tblStyle w:val="TableGrid"/>
        <w:tblW w:w="10173" w:type="dxa"/>
        <w:tblLayout w:type="fixed"/>
        <w:tblLook w:val="04A0" w:firstRow="1" w:lastRow="0" w:firstColumn="1" w:lastColumn="0" w:noHBand="0" w:noVBand="1"/>
        <w:tblCaption w:val="Table of technical amendments"/>
      </w:tblPr>
      <w:tblGrid>
        <w:gridCol w:w="675"/>
        <w:gridCol w:w="993"/>
        <w:gridCol w:w="583"/>
        <w:gridCol w:w="2819"/>
        <w:gridCol w:w="5103"/>
      </w:tblGrid>
      <w:tr w:rsidR="00220887" w:rsidRPr="004F6214" w14:paraId="6540311A" w14:textId="77777777" w:rsidTr="004D2651">
        <w:trPr>
          <w:tblHeader/>
        </w:trPr>
        <w:tc>
          <w:tcPr>
            <w:tcW w:w="675" w:type="dxa"/>
            <w:tcBorders>
              <w:top w:val="single" w:sz="4" w:space="0" w:color="auto"/>
              <w:left w:val="single" w:sz="4" w:space="0" w:color="auto"/>
              <w:bottom w:val="single" w:sz="4" w:space="0" w:color="auto"/>
              <w:right w:val="single" w:sz="4" w:space="0" w:color="auto"/>
            </w:tcBorders>
            <w:shd w:val="clear" w:color="auto" w:fill="auto"/>
          </w:tcPr>
          <w:p w14:paraId="65403116" w14:textId="77777777" w:rsidR="00220887" w:rsidRPr="004F6214" w:rsidRDefault="00220887" w:rsidP="00D51995">
            <w:pPr>
              <w:spacing w:after="120"/>
              <w:rPr>
                <w:rFonts w:asciiTheme="minorHAnsi" w:hAnsiTheme="minorHAnsi" w:cstheme="minorHAnsi"/>
                <w:b/>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17" w14:textId="77777777" w:rsidR="00220887" w:rsidRPr="004F6214" w:rsidRDefault="00220887" w:rsidP="00D51995">
            <w:pPr>
              <w:spacing w:after="120"/>
              <w:rPr>
                <w:rFonts w:asciiTheme="minorHAnsi" w:hAnsiTheme="minorHAnsi" w:cstheme="minorHAnsi"/>
                <w:b/>
                <w:sz w:val="20"/>
                <w:szCs w:val="20"/>
                <w:lang w:val="en-GB" w:eastAsia="en-US"/>
              </w:rPr>
            </w:pPr>
            <w:r w:rsidRPr="004F6214">
              <w:rPr>
                <w:rFonts w:asciiTheme="minorHAnsi" w:hAnsiTheme="minorHAnsi" w:cstheme="minorHAnsi"/>
                <w:b/>
                <w:sz w:val="20"/>
                <w:szCs w:val="20"/>
                <w:lang w:val="en-GB" w:eastAsia="en-US"/>
              </w:rPr>
              <w:t>Provision</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18" w14:textId="77777777" w:rsidR="00220887" w:rsidRPr="004F6214" w:rsidRDefault="00220887" w:rsidP="00D51995">
            <w:pPr>
              <w:spacing w:after="120"/>
              <w:rPr>
                <w:rFonts w:asciiTheme="minorHAnsi" w:hAnsiTheme="minorHAnsi" w:cstheme="minorHAnsi"/>
                <w:b/>
                <w:sz w:val="20"/>
                <w:szCs w:val="20"/>
                <w:lang w:val="en-GB" w:eastAsia="en-US"/>
              </w:rPr>
            </w:pPr>
            <w:r w:rsidRPr="004F6214">
              <w:rPr>
                <w:rFonts w:asciiTheme="minorHAnsi" w:hAnsiTheme="minorHAnsi" w:cstheme="minorHAnsi"/>
                <w:b/>
                <w:sz w:val="20"/>
                <w:szCs w:val="20"/>
                <w:lang w:val="en-GB" w:eastAsia="en-US"/>
              </w:rPr>
              <w:t>Technical amendment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19" w14:textId="77777777" w:rsidR="00220887" w:rsidRPr="004F6214" w:rsidRDefault="00220887" w:rsidP="00D51995">
            <w:pPr>
              <w:spacing w:after="120"/>
              <w:rPr>
                <w:rFonts w:asciiTheme="minorHAnsi" w:hAnsiTheme="minorHAnsi" w:cstheme="minorHAnsi"/>
                <w:b/>
                <w:sz w:val="20"/>
                <w:szCs w:val="20"/>
                <w:lang w:val="en-GB" w:eastAsia="en-US"/>
              </w:rPr>
            </w:pPr>
            <w:r w:rsidRPr="004F6214">
              <w:rPr>
                <w:rFonts w:asciiTheme="minorHAnsi" w:hAnsiTheme="minorHAnsi" w:cstheme="minorHAnsi"/>
                <w:b/>
                <w:sz w:val="20"/>
                <w:szCs w:val="20"/>
                <w:lang w:val="en-GB" w:eastAsia="en-US"/>
              </w:rPr>
              <w:t>Reason</w:t>
            </w:r>
            <w:r>
              <w:rPr>
                <w:rFonts w:asciiTheme="minorHAnsi" w:hAnsiTheme="minorHAnsi" w:cstheme="minorHAnsi"/>
                <w:b/>
                <w:sz w:val="20"/>
                <w:szCs w:val="20"/>
                <w:lang w:val="en-GB" w:eastAsia="en-US"/>
              </w:rPr>
              <w:t xml:space="preserve"> for technical amendment</w:t>
            </w:r>
          </w:p>
        </w:tc>
      </w:tr>
      <w:tr w:rsidR="00220887" w:rsidRPr="004F6214" w14:paraId="65403120"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1B"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1C"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1D"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‘amusement device’</w:t>
            </w:r>
          </w:p>
          <w:p w14:paraId="6540311E"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Insert words ‘…or when </w:t>
            </w:r>
            <w:r w:rsidRPr="004F6214">
              <w:rPr>
                <w:rFonts w:asciiTheme="minorHAnsi" w:hAnsiTheme="minorHAnsi" w:cstheme="minorHAnsi"/>
                <w:i/>
                <w:sz w:val="20"/>
                <w:szCs w:val="20"/>
                <w:lang w:val="en-GB" w:eastAsia="en-US"/>
              </w:rPr>
              <w:t>passengers or other users</w:t>
            </w:r>
            <w:r w:rsidRPr="004F6214">
              <w:rPr>
                <w:rFonts w:asciiTheme="minorHAnsi" w:hAnsiTheme="minorHAnsi" w:cstheme="minorHAnsi"/>
                <w:sz w:val="20"/>
                <w:szCs w:val="20"/>
                <w:lang w:val="en-GB" w:eastAsia="en-US"/>
              </w:rPr>
              <w:t xml:space="preserve"> travel </w:t>
            </w:r>
            <w:r w:rsidRPr="004F6214">
              <w:rPr>
                <w:rFonts w:asciiTheme="minorHAnsi" w:hAnsiTheme="minorHAnsi" w:cstheme="minorHAnsi"/>
                <w:i/>
                <w:sz w:val="20"/>
                <w:szCs w:val="20"/>
                <w:lang w:val="en-GB" w:eastAsia="en-US"/>
              </w:rPr>
              <w:t>or move on</w:t>
            </w:r>
            <w:r w:rsidRPr="004F6214">
              <w:rPr>
                <w:rFonts w:asciiTheme="minorHAnsi" w:hAnsiTheme="minorHAnsi" w:cstheme="minorHAnsi"/>
                <w:sz w:val="20"/>
                <w:szCs w:val="20"/>
                <w:lang w:val="en-GB" w:eastAsia="en-US"/>
              </w:rPr>
              <w:t>, around or along…’.</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1F" w14:textId="77777777" w:rsidR="00220887" w:rsidRPr="004F6214" w:rsidRDefault="00143378" w:rsidP="00143378">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Clarification.</w:t>
            </w:r>
          </w:p>
        </w:tc>
      </w:tr>
      <w:tr w:rsidR="00220887" w:rsidRPr="004F6214" w14:paraId="65403127"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21"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22"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23"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‘appropriate training in underwater medicine’</w:t>
            </w:r>
          </w:p>
          <w:p w14:paraId="65403124"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w:t>
            </w:r>
          </w:p>
          <w:p w14:paraId="65403125"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 the word ‘appropriate’ appearing in related para 169(a).</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26" w14:textId="77777777" w:rsidR="00220887" w:rsidRPr="004F6214" w:rsidRDefault="00D51995"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w:t>
            </w:r>
            <w:r w:rsidR="00220887">
              <w:rPr>
                <w:rFonts w:asciiTheme="minorHAnsi" w:hAnsiTheme="minorHAnsi" w:cstheme="minorHAnsi"/>
                <w:sz w:val="20"/>
                <w:szCs w:val="20"/>
                <w:lang w:val="en-GB" w:eastAsia="en-US"/>
              </w:rPr>
              <w:t xml:space="preserve"> remove </w:t>
            </w:r>
            <w:r>
              <w:rPr>
                <w:rFonts w:asciiTheme="minorHAnsi" w:hAnsiTheme="minorHAnsi" w:cstheme="minorHAnsi"/>
                <w:sz w:val="20"/>
                <w:szCs w:val="20"/>
                <w:lang w:val="en-GB" w:eastAsia="en-US"/>
              </w:rPr>
              <w:t>an unnecessary</w:t>
            </w:r>
            <w:r w:rsidR="00220887">
              <w:rPr>
                <w:rFonts w:asciiTheme="minorHAnsi" w:hAnsiTheme="minorHAnsi" w:cstheme="minorHAnsi"/>
                <w:sz w:val="20"/>
                <w:szCs w:val="20"/>
                <w:lang w:val="en-GB" w:eastAsia="en-US"/>
              </w:rPr>
              <w:t xml:space="preserve"> reference to a technical standard and allow more detailed guidance to be developed around standards for courses and also available courses in each jurisdiction.</w:t>
            </w:r>
          </w:p>
        </w:tc>
      </w:tr>
      <w:tr w:rsidR="00220887" w:rsidRPr="004F6214" w14:paraId="6540312F"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28"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29"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2A"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‘boiler’</w:t>
            </w:r>
          </w:p>
          <w:p w14:paraId="6540312B"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Amend the paragraph (d) exclusion</w:t>
            </w:r>
            <w:r w:rsidR="005975E6">
              <w:rPr>
                <w:rFonts w:asciiTheme="minorHAnsi" w:hAnsiTheme="minorHAnsi" w:cstheme="minorHAnsi"/>
                <w:sz w:val="20"/>
                <w:szCs w:val="20"/>
                <w:lang w:val="en-GB" w:eastAsia="en-US"/>
              </w:rPr>
              <w:t xml:space="preserve"> to</w:t>
            </w:r>
            <w:r w:rsidRPr="004F6214">
              <w:rPr>
                <w:rFonts w:asciiTheme="minorHAnsi" w:hAnsiTheme="minorHAnsi" w:cstheme="minorHAnsi"/>
                <w:sz w:val="20"/>
                <w:szCs w:val="20"/>
                <w:lang w:val="en-GB" w:eastAsia="en-US"/>
              </w:rPr>
              <w:t xml:space="preserve"> additionally exclude:</w:t>
            </w:r>
          </w:p>
          <w:p w14:paraId="6540312C" w14:textId="77777777" w:rsidR="00220887" w:rsidRPr="004F6214" w:rsidRDefault="00220887" w:rsidP="00D51995">
            <w:pPr>
              <w:spacing w:after="120"/>
              <w:rPr>
                <w:rFonts w:asciiTheme="minorHAnsi" w:hAnsiTheme="minorHAnsi" w:cstheme="minorHAnsi"/>
                <w:sz w:val="20"/>
                <w:szCs w:val="20"/>
              </w:rPr>
            </w:pPr>
            <w:r w:rsidRPr="004F6214">
              <w:rPr>
                <w:rFonts w:asciiTheme="minorHAnsi" w:hAnsiTheme="minorHAnsi" w:cstheme="minorHAnsi"/>
                <w:sz w:val="20"/>
                <w:szCs w:val="20"/>
              </w:rPr>
              <w:t>(iii)  AMBSC Part 3—</w:t>
            </w:r>
            <w:r w:rsidRPr="004F6214">
              <w:rPr>
                <w:rFonts w:asciiTheme="minorHAnsi" w:hAnsiTheme="minorHAnsi" w:cstheme="minorHAnsi"/>
                <w:i/>
                <w:sz w:val="20"/>
                <w:szCs w:val="20"/>
              </w:rPr>
              <w:t>Australian Miniature Boiler Safety Committee Code for Sub-miniature Boilers</w:t>
            </w:r>
            <w:r w:rsidRPr="004F6214">
              <w:rPr>
                <w:rFonts w:asciiTheme="minorHAnsi" w:hAnsiTheme="minorHAnsi" w:cstheme="minorHAnsi"/>
                <w:sz w:val="20"/>
                <w:szCs w:val="20"/>
              </w:rPr>
              <w:t>, and</w:t>
            </w:r>
          </w:p>
          <w:p w14:paraId="6540312D"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rPr>
              <w:t>(iv) AMBSC Part 4—</w:t>
            </w:r>
            <w:r w:rsidRPr="004F6214">
              <w:rPr>
                <w:rFonts w:asciiTheme="minorHAnsi" w:hAnsiTheme="minorHAnsi" w:cstheme="minorHAnsi"/>
                <w:i/>
                <w:sz w:val="20"/>
                <w:szCs w:val="20"/>
              </w:rPr>
              <w:t>Australian Miniature Boiler Safety Committee Code for duplex boilers</w:t>
            </w:r>
            <w:r w:rsidRPr="004F6214">
              <w:rPr>
                <w:rFonts w:asciiTheme="minorHAnsi" w:hAnsiTheme="minorHAnsi" w:cstheme="minorHAnsi"/>
                <w:sz w:val="20"/>
                <w:szCs w:val="20"/>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2E" w14:textId="77777777" w:rsidR="00220887" w:rsidRPr="004F6214" w:rsidRDefault="008E731B"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Corrects i</w:t>
            </w:r>
            <w:r w:rsidRPr="004F6214">
              <w:rPr>
                <w:rFonts w:asciiTheme="minorHAnsi" w:hAnsiTheme="minorHAnsi" w:cstheme="minorHAnsi"/>
                <w:sz w:val="20"/>
                <w:szCs w:val="20"/>
                <w:lang w:val="en-GB" w:eastAsia="en-US"/>
              </w:rPr>
              <w:t>nadvertent omission.</w:t>
            </w:r>
          </w:p>
        </w:tc>
      </w:tr>
      <w:tr w:rsidR="00220887" w:rsidRPr="004F6214" w14:paraId="65403136"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30"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31" w14:textId="77777777" w:rsidR="00220887" w:rsidRPr="004F6214" w:rsidRDefault="00D144E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32"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New definition of ‘combustible dust’</w:t>
            </w:r>
          </w:p>
          <w:p w14:paraId="65403133"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definition.</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34" w14:textId="77777777" w:rsidR="00220887" w:rsidRDefault="00D51995"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Consequential upon omitting the</w:t>
            </w:r>
            <w:r w:rsidR="00220887">
              <w:rPr>
                <w:rFonts w:asciiTheme="minorHAnsi" w:hAnsiTheme="minorHAnsi" w:cstheme="minorHAnsi"/>
                <w:sz w:val="20"/>
                <w:szCs w:val="20"/>
                <w:lang w:val="en-GB" w:eastAsia="en-US"/>
              </w:rPr>
              <w:t xml:space="preserve"> definition of ‘hazardous area’</w:t>
            </w:r>
            <w:r>
              <w:rPr>
                <w:rFonts w:asciiTheme="minorHAnsi" w:hAnsiTheme="minorHAnsi" w:cstheme="minorHAnsi"/>
                <w:sz w:val="20"/>
                <w:szCs w:val="20"/>
                <w:lang w:val="en-GB" w:eastAsia="en-US"/>
              </w:rPr>
              <w:t>.</w:t>
            </w:r>
          </w:p>
          <w:p w14:paraId="65403135" w14:textId="77777777" w:rsidR="00220887" w:rsidRPr="004F6214"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This approach </w:t>
            </w:r>
            <w:r w:rsidR="00187FC0">
              <w:rPr>
                <w:rFonts w:asciiTheme="minorHAnsi" w:hAnsiTheme="minorHAnsi" w:cstheme="minorHAnsi"/>
                <w:sz w:val="20"/>
                <w:szCs w:val="20"/>
                <w:lang w:val="en-GB" w:eastAsia="en-US"/>
              </w:rPr>
              <w:t>omits</w:t>
            </w:r>
            <w:r>
              <w:rPr>
                <w:rFonts w:asciiTheme="minorHAnsi" w:hAnsiTheme="minorHAnsi" w:cstheme="minorHAnsi"/>
                <w:sz w:val="20"/>
                <w:szCs w:val="20"/>
                <w:lang w:val="en-GB" w:eastAsia="en-US"/>
              </w:rPr>
              <w:t xml:space="preserve"> out-of-date references to technical standards in the original d</w:t>
            </w:r>
            <w:r w:rsidR="00143378">
              <w:rPr>
                <w:rFonts w:asciiTheme="minorHAnsi" w:hAnsiTheme="minorHAnsi" w:cstheme="minorHAnsi"/>
                <w:sz w:val="20"/>
                <w:szCs w:val="20"/>
                <w:lang w:val="en-GB" w:eastAsia="en-US"/>
              </w:rPr>
              <w:t>rafting and instead uses a</w:t>
            </w:r>
            <w:r>
              <w:rPr>
                <w:rFonts w:asciiTheme="minorHAnsi" w:hAnsiTheme="minorHAnsi" w:cstheme="minorHAnsi"/>
                <w:sz w:val="20"/>
                <w:szCs w:val="20"/>
                <w:lang w:val="en-GB" w:eastAsia="en-US"/>
              </w:rPr>
              <w:t xml:space="preserve"> simpler, substantive and self-contained definition.</w:t>
            </w:r>
          </w:p>
        </w:tc>
      </w:tr>
      <w:tr w:rsidR="00220887" w:rsidRPr="004F6214" w14:paraId="6540313E"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37"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38"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39"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‘combustible liquid’</w:t>
            </w:r>
          </w:p>
          <w:p w14:paraId="6540313A" w14:textId="77777777" w:rsidR="00143378"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w:t>
            </w:r>
            <w:r w:rsidR="00143378">
              <w:rPr>
                <w:rFonts w:asciiTheme="minorHAnsi" w:hAnsiTheme="minorHAnsi" w:cstheme="minorHAnsi"/>
                <w:sz w:val="20"/>
                <w:szCs w:val="20"/>
                <w:lang w:val="en-GB" w:eastAsia="en-US"/>
              </w:rPr>
              <w:t>.</w:t>
            </w:r>
          </w:p>
          <w:p w14:paraId="6540313B" w14:textId="77777777" w:rsidR="00220887" w:rsidRPr="004F6214" w:rsidRDefault="00143378" w:rsidP="00143378">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I</w:t>
            </w:r>
            <w:r w:rsidR="00220887" w:rsidRPr="004F6214">
              <w:rPr>
                <w:rFonts w:asciiTheme="minorHAnsi" w:hAnsiTheme="minorHAnsi" w:cstheme="minorHAnsi"/>
                <w:sz w:val="20"/>
                <w:szCs w:val="20"/>
                <w:lang w:val="en-GB" w:eastAsia="en-US"/>
              </w:rPr>
              <w:t>nclude jurisdictional note to allow for local definitions to be inserted.</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3C" w14:textId="77777777" w:rsidR="00220887" w:rsidRDefault="00D51995"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w:t>
            </w:r>
            <w:r w:rsidR="00220887">
              <w:rPr>
                <w:rFonts w:asciiTheme="minorHAnsi" w:hAnsiTheme="minorHAnsi" w:cstheme="minorHAnsi"/>
                <w:sz w:val="20"/>
                <w:szCs w:val="20"/>
                <w:lang w:val="en-GB" w:eastAsia="en-US"/>
              </w:rPr>
              <w:t xml:space="preserve"> correct a confusing reference to ‘flammable liquids’ in th</w:t>
            </w:r>
            <w:r w:rsidR="00143378">
              <w:rPr>
                <w:rFonts w:asciiTheme="minorHAnsi" w:hAnsiTheme="minorHAnsi" w:cstheme="minorHAnsi"/>
                <w:sz w:val="20"/>
                <w:szCs w:val="20"/>
                <w:lang w:val="en-GB" w:eastAsia="en-US"/>
              </w:rPr>
              <w:t>e original</w:t>
            </w:r>
            <w:r w:rsidR="00220887">
              <w:rPr>
                <w:rFonts w:asciiTheme="minorHAnsi" w:hAnsiTheme="minorHAnsi" w:cstheme="minorHAnsi"/>
                <w:sz w:val="20"/>
                <w:szCs w:val="20"/>
                <w:lang w:val="en-GB" w:eastAsia="en-US"/>
              </w:rPr>
              <w:t xml:space="preserve"> definition.</w:t>
            </w:r>
          </w:p>
          <w:p w14:paraId="6540313D" w14:textId="77777777" w:rsidR="00220887" w:rsidRPr="004F6214" w:rsidRDefault="00220887" w:rsidP="0057225F">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The original definition is i</w:t>
            </w:r>
            <w:r w:rsidRPr="004F6214">
              <w:rPr>
                <w:rFonts w:asciiTheme="minorHAnsi" w:hAnsiTheme="minorHAnsi" w:cstheme="minorHAnsi"/>
                <w:sz w:val="20"/>
                <w:szCs w:val="20"/>
                <w:lang w:val="en-GB" w:eastAsia="en-US"/>
              </w:rPr>
              <w:t>nco</w:t>
            </w:r>
            <w:r w:rsidR="00143378">
              <w:rPr>
                <w:rFonts w:asciiTheme="minorHAnsi" w:hAnsiTheme="minorHAnsi" w:cstheme="minorHAnsi"/>
                <w:sz w:val="20"/>
                <w:szCs w:val="20"/>
                <w:lang w:val="en-GB" w:eastAsia="en-US"/>
              </w:rPr>
              <w:t>nsistent with how the term is used in the</w:t>
            </w:r>
            <w:r>
              <w:rPr>
                <w:rFonts w:asciiTheme="minorHAnsi" w:hAnsiTheme="minorHAnsi" w:cstheme="minorHAnsi"/>
                <w:sz w:val="20"/>
                <w:szCs w:val="20"/>
                <w:lang w:val="en-GB" w:eastAsia="en-US"/>
              </w:rPr>
              <w:t xml:space="preserve"> Globally Harmonised System of Classification and Labelling of Chemicals or GHS. This includes </w:t>
            </w:r>
            <w:r w:rsidRPr="004F6214">
              <w:rPr>
                <w:rFonts w:asciiTheme="minorHAnsi" w:hAnsiTheme="minorHAnsi" w:cstheme="minorHAnsi"/>
                <w:sz w:val="20"/>
                <w:szCs w:val="20"/>
                <w:lang w:val="en-GB" w:eastAsia="en-US"/>
              </w:rPr>
              <w:t xml:space="preserve">‘flammable liquid IV’ as a </w:t>
            </w:r>
            <w:r>
              <w:rPr>
                <w:rFonts w:asciiTheme="minorHAnsi" w:hAnsiTheme="minorHAnsi" w:cstheme="minorHAnsi"/>
                <w:sz w:val="20"/>
                <w:szCs w:val="20"/>
                <w:lang w:val="en-GB" w:eastAsia="en-US"/>
              </w:rPr>
              <w:t xml:space="preserve">kind of </w:t>
            </w:r>
            <w:r w:rsidRPr="004F6214">
              <w:rPr>
                <w:rFonts w:asciiTheme="minorHAnsi" w:hAnsiTheme="minorHAnsi" w:cstheme="minorHAnsi"/>
                <w:sz w:val="20"/>
                <w:szCs w:val="20"/>
                <w:lang w:val="en-GB" w:eastAsia="en-US"/>
              </w:rPr>
              <w:t>‘combustible liquid’.</w:t>
            </w:r>
          </w:p>
        </w:tc>
      </w:tr>
      <w:tr w:rsidR="00220887" w:rsidRPr="004F6214" w14:paraId="65403144"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3F"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40"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41"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‘competent person’</w:t>
            </w:r>
          </w:p>
          <w:p w14:paraId="65403142" w14:textId="77777777" w:rsidR="00220887" w:rsidRPr="004F6214" w:rsidRDefault="00220887" w:rsidP="00D51995">
            <w:pPr>
              <w:spacing w:after="120"/>
              <w:rPr>
                <w:rFonts w:asciiTheme="minorHAnsi" w:hAnsiTheme="minorHAnsi" w:cstheme="minorHAnsi"/>
                <w:i/>
                <w:sz w:val="20"/>
                <w:szCs w:val="20"/>
                <w:lang w:val="en-GB" w:eastAsia="en-US"/>
              </w:rPr>
            </w:pPr>
            <w:r w:rsidRPr="004F6214">
              <w:rPr>
                <w:rFonts w:asciiTheme="minorHAnsi" w:hAnsiTheme="minorHAnsi" w:cstheme="minorHAnsi"/>
                <w:sz w:val="20"/>
                <w:szCs w:val="20"/>
                <w:lang w:val="en-GB" w:eastAsia="en-US"/>
              </w:rPr>
              <w:t>Para (c)—add the words ‘…for a major inspection…’.</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43" w14:textId="77777777" w:rsidR="00220887" w:rsidRPr="004F6214" w:rsidRDefault="00143378" w:rsidP="00143378">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 better align with the requirements for major inspections in regulation 235.</w:t>
            </w:r>
          </w:p>
        </w:tc>
      </w:tr>
      <w:tr w:rsidR="00220887" w:rsidRPr="004F6214" w14:paraId="65403149"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45"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46" w14:textId="77777777" w:rsidR="00220887" w:rsidRPr="004F6214" w:rsidRDefault="00220887" w:rsidP="00D51995">
            <w:pPr>
              <w:spacing w:after="120"/>
              <w:rPr>
                <w:rFonts w:asciiTheme="minorHAnsi" w:hAnsiTheme="minorHAnsi" w:cstheme="minorHAnsi"/>
                <w:sz w:val="20"/>
                <w:szCs w:val="20"/>
                <w:lang w:val="en-GB" w:eastAsia="en-US"/>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47"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Para (d)—add the words ‘…for inspection of amusement devices and </w:t>
            </w:r>
            <w:r w:rsidRPr="004F6214">
              <w:rPr>
                <w:rFonts w:asciiTheme="minorHAnsi" w:hAnsiTheme="minorHAnsi" w:cstheme="minorHAnsi"/>
                <w:i/>
                <w:sz w:val="20"/>
                <w:szCs w:val="20"/>
                <w:lang w:val="en-GB" w:eastAsia="en-US"/>
              </w:rPr>
              <w:lastRenderedPageBreak/>
              <w:t>passenger ropeways</w:t>
            </w:r>
            <w:r w:rsidRPr="004F6214">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48"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lastRenderedPageBreak/>
              <w:t>Consequential</w:t>
            </w:r>
            <w:r>
              <w:rPr>
                <w:rFonts w:asciiTheme="minorHAnsi" w:hAnsiTheme="minorHAnsi" w:cstheme="minorHAnsi"/>
                <w:sz w:val="20"/>
                <w:szCs w:val="20"/>
                <w:lang w:val="en-GB" w:eastAsia="en-US"/>
              </w:rPr>
              <w:t xml:space="preserve">—to reflect proposed requirements for </w:t>
            </w:r>
            <w:r>
              <w:rPr>
                <w:rFonts w:asciiTheme="minorHAnsi" w:hAnsiTheme="minorHAnsi" w:cstheme="minorHAnsi"/>
                <w:sz w:val="20"/>
                <w:szCs w:val="20"/>
                <w:lang w:val="en-GB" w:eastAsia="en-US"/>
              </w:rPr>
              <w:lastRenderedPageBreak/>
              <w:t>passenger ropeways.</w:t>
            </w:r>
          </w:p>
        </w:tc>
      </w:tr>
      <w:tr w:rsidR="00220887" w:rsidRPr="004F6214" w14:paraId="65403153"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4A"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4B"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4C"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‘concrete placement units with delivery boom’</w:t>
            </w:r>
          </w:p>
          <w:p w14:paraId="6540314D"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4E" w14:textId="77777777" w:rsidR="00E267E1" w:rsidRDefault="00E267E1"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 correct a drafting error.</w:t>
            </w:r>
          </w:p>
          <w:p w14:paraId="6540314F" w14:textId="77777777" w:rsidR="00220887" w:rsidRDefault="00D51995"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w:t>
            </w:r>
            <w:r w:rsidR="00E267E1">
              <w:rPr>
                <w:rFonts w:asciiTheme="minorHAnsi" w:hAnsiTheme="minorHAnsi" w:cstheme="minorHAnsi"/>
                <w:sz w:val="20"/>
                <w:szCs w:val="20"/>
                <w:lang w:val="en-GB" w:eastAsia="en-US"/>
              </w:rPr>
              <w:t>he amendment</w:t>
            </w:r>
            <w:r w:rsidR="00220887">
              <w:rPr>
                <w:rFonts w:asciiTheme="minorHAnsi" w:hAnsiTheme="minorHAnsi" w:cstheme="minorHAnsi"/>
                <w:sz w:val="20"/>
                <w:szCs w:val="20"/>
                <w:lang w:val="en-GB" w:eastAsia="en-US"/>
              </w:rPr>
              <w:t xml:space="preserve"> give</w:t>
            </w:r>
            <w:r w:rsidR="00E267E1">
              <w:rPr>
                <w:rFonts w:asciiTheme="minorHAnsi" w:hAnsiTheme="minorHAnsi" w:cstheme="minorHAnsi"/>
                <w:sz w:val="20"/>
                <w:szCs w:val="20"/>
                <w:lang w:val="en-GB" w:eastAsia="en-US"/>
              </w:rPr>
              <w:t>s</w:t>
            </w:r>
            <w:r w:rsidR="00220887">
              <w:rPr>
                <w:rFonts w:asciiTheme="minorHAnsi" w:hAnsiTheme="minorHAnsi" w:cstheme="minorHAnsi"/>
                <w:sz w:val="20"/>
                <w:szCs w:val="20"/>
                <w:lang w:val="en-GB" w:eastAsia="en-US"/>
              </w:rPr>
              <w:t xml:space="preserve"> effect to the agreed policy position that all concrete placing booms—not just those that are mobile—are registrable.</w:t>
            </w:r>
          </w:p>
          <w:p w14:paraId="65403150"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The term ‘concrete placement units with delivery boom’ </w:t>
            </w:r>
            <w:r>
              <w:rPr>
                <w:rFonts w:asciiTheme="minorHAnsi" w:hAnsiTheme="minorHAnsi" w:cstheme="minorHAnsi"/>
                <w:sz w:val="20"/>
                <w:szCs w:val="20"/>
                <w:lang w:val="en-GB" w:eastAsia="en-US"/>
              </w:rPr>
              <w:t>is</w:t>
            </w:r>
            <w:r w:rsidRPr="004F6214">
              <w:rPr>
                <w:rFonts w:asciiTheme="minorHAnsi" w:hAnsiTheme="minorHAnsi" w:cstheme="minorHAnsi"/>
                <w:sz w:val="20"/>
                <w:szCs w:val="20"/>
                <w:lang w:val="en-GB" w:eastAsia="en-US"/>
              </w:rPr>
              <w:t xml:space="preserve"> too narrowly expressed </w:t>
            </w:r>
            <w:r>
              <w:rPr>
                <w:rFonts w:asciiTheme="minorHAnsi" w:hAnsiTheme="minorHAnsi" w:cstheme="minorHAnsi"/>
                <w:sz w:val="20"/>
                <w:szCs w:val="20"/>
                <w:lang w:val="en-GB" w:eastAsia="en-US"/>
              </w:rPr>
              <w:t xml:space="preserve">for the registration requirements </w:t>
            </w:r>
            <w:r w:rsidRPr="004F6214">
              <w:rPr>
                <w:rFonts w:asciiTheme="minorHAnsi" w:hAnsiTheme="minorHAnsi" w:cstheme="minorHAnsi"/>
                <w:sz w:val="20"/>
                <w:szCs w:val="20"/>
                <w:lang w:val="en-GB" w:eastAsia="en-US"/>
              </w:rPr>
              <w:t>a</w:t>
            </w:r>
            <w:r>
              <w:rPr>
                <w:rFonts w:asciiTheme="minorHAnsi" w:hAnsiTheme="minorHAnsi" w:cstheme="minorHAnsi"/>
                <w:sz w:val="20"/>
                <w:szCs w:val="20"/>
                <w:lang w:val="en-GB" w:eastAsia="en-US"/>
              </w:rPr>
              <w:t xml:space="preserve">s it appears to </w:t>
            </w:r>
            <w:r w:rsidRPr="004F6214">
              <w:rPr>
                <w:rFonts w:asciiTheme="minorHAnsi" w:hAnsiTheme="minorHAnsi" w:cstheme="minorHAnsi"/>
                <w:sz w:val="20"/>
                <w:szCs w:val="20"/>
                <w:lang w:val="en-GB" w:eastAsia="en-US"/>
              </w:rPr>
              <w:t>inadvertently exclude fixed units. This was not intended.</w:t>
            </w:r>
          </w:p>
          <w:p w14:paraId="65403151" w14:textId="77777777" w:rsidR="00220887" w:rsidRPr="004F6214"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The proposed amendment fixes this anomaly by removing one of the </w:t>
            </w:r>
            <w:r w:rsidRPr="004F6214">
              <w:rPr>
                <w:rFonts w:asciiTheme="minorHAnsi" w:hAnsiTheme="minorHAnsi" w:cstheme="minorHAnsi"/>
                <w:sz w:val="20"/>
                <w:szCs w:val="20"/>
                <w:lang w:val="en-GB" w:eastAsia="en-US"/>
              </w:rPr>
              <w:t>two overlapping terms:  ‘concrete placement units with delivery boom’ and ‘concrete placing boom’.</w:t>
            </w:r>
          </w:p>
          <w:p w14:paraId="65403152"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The amendment ensure</w:t>
            </w:r>
            <w:r w:rsidR="00D51995">
              <w:rPr>
                <w:rFonts w:asciiTheme="minorHAnsi" w:hAnsiTheme="minorHAnsi" w:cstheme="minorHAnsi"/>
                <w:sz w:val="20"/>
                <w:szCs w:val="20"/>
                <w:lang w:val="en-GB" w:eastAsia="en-US"/>
              </w:rPr>
              <w:t>s</w:t>
            </w:r>
            <w:r w:rsidRPr="004F6214">
              <w:rPr>
                <w:rFonts w:asciiTheme="minorHAnsi" w:hAnsiTheme="minorHAnsi" w:cstheme="minorHAnsi"/>
                <w:sz w:val="20"/>
                <w:szCs w:val="20"/>
                <w:lang w:val="en-GB" w:eastAsia="en-US"/>
              </w:rPr>
              <w:t xml:space="preserve"> that the broader definition </w:t>
            </w:r>
            <w:r>
              <w:rPr>
                <w:rFonts w:asciiTheme="minorHAnsi" w:hAnsiTheme="minorHAnsi" w:cstheme="minorHAnsi"/>
                <w:sz w:val="20"/>
                <w:szCs w:val="20"/>
                <w:lang w:val="en-GB" w:eastAsia="en-US"/>
              </w:rPr>
              <w:t xml:space="preserve">of ‘concrete placing boom’ </w:t>
            </w:r>
            <w:r w:rsidRPr="004F6214">
              <w:rPr>
                <w:rFonts w:asciiTheme="minorHAnsi" w:hAnsiTheme="minorHAnsi" w:cstheme="minorHAnsi"/>
                <w:sz w:val="20"/>
                <w:szCs w:val="20"/>
                <w:lang w:val="en-GB" w:eastAsia="en-US"/>
              </w:rPr>
              <w:t>is used consistently across the regulations.</w:t>
            </w:r>
          </w:p>
        </w:tc>
      </w:tr>
      <w:tr w:rsidR="00220887" w:rsidRPr="004F6214" w14:paraId="6540315A"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54"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55"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56"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‘gantry crane’</w:t>
            </w:r>
          </w:p>
          <w:p w14:paraId="65403157"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lang w:val="en-GB" w:eastAsia="en-US"/>
              </w:rPr>
              <w:t xml:space="preserve">Amend paragraph (a) of the definition so that it refers to a crane that ‘…consists of a bridge beam </w:t>
            </w:r>
            <w:r w:rsidRPr="004F6214">
              <w:rPr>
                <w:rFonts w:asciiTheme="minorHAnsi" w:hAnsiTheme="minorHAnsi" w:cstheme="minorHAnsi"/>
                <w:i/>
                <w:sz w:val="20"/>
                <w:szCs w:val="20"/>
                <w:lang w:val="en-GB" w:eastAsia="en-US"/>
              </w:rPr>
              <w:t>or beams</w:t>
            </w:r>
            <w:r w:rsidRPr="004F6214">
              <w:rPr>
                <w:rFonts w:asciiTheme="minorHAnsi" w:hAnsiTheme="minorHAnsi" w:cstheme="minorHAnsi"/>
                <w:sz w:val="20"/>
                <w:szCs w:val="20"/>
                <w:lang w:val="en-GB" w:eastAsia="en-US"/>
              </w:rPr>
              <w:t xml:space="preserve"> that are supported </w:t>
            </w:r>
            <w:r w:rsidRPr="004F6214">
              <w:rPr>
                <w:rFonts w:asciiTheme="minorHAnsi" w:hAnsiTheme="minorHAnsi" w:cstheme="minorHAnsi"/>
                <w:i/>
                <w:sz w:val="20"/>
                <w:szCs w:val="20"/>
                <w:lang w:val="en-GB" w:eastAsia="en-US"/>
              </w:rPr>
              <w:t>at one or both ends</w:t>
            </w:r>
            <w:r w:rsidRPr="004F6214">
              <w:rPr>
                <w:rFonts w:asciiTheme="minorHAnsi" w:hAnsiTheme="minorHAnsi" w:cstheme="minorHAnsi"/>
                <w:sz w:val="20"/>
                <w:szCs w:val="20"/>
                <w:lang w:val="en-GB" w:eastAsia="en-US"/>
              </w:rPr>
              <w:t xml:space="preserve"> by legs mounted to end carriages…’.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58" w14:textId="77777777" w:rsidR="00143378" w:rsidRDefault="00187FC0" w:rsidP="00187FC0">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w:t>
            </w:r>
            <w:r w:rsidR="00E267E1">
              <w:rPr>
                <w:rFonts w:asciiTheme="minorHAnsi" w:hAnsiTheme="minorHAnsi" w:cstheme="minorHAnsi"/>
                <w:sz w:val="20"/>
                <w:szCs w:val="20"/>
                <w:lang w:val="en-GB" w:eastAsia="en-US"/>
              </w:rPr>
              <w:t xml:space="preserve"> correct a drafting error.</w:t>
            </w:r>
          </w:p>
          <w:p w14:paraId="65403159" w14:textId="77777777" w:rsidR="00220887" w:rsidRPr="004F6214" w:rsidRDefault="00143378" w:rsidP="00E267E1">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w:t>
            </w:r>
            <w:r w:rsidR="00220887" w:rsidRPr="004F6214">
              <w:rPr>
                <w:rFonts w:asciiTheme="minorHAnsi" w:hAnsiTheme="minorHAnsi" w:cstheme="minorHAnsi"/>
                <w:sz w:val="20"/>
                <w:szCs w:val="20"/>
                <w:lang w:val="en-GB" w:eastAsia="en-US"/>
              </w:rPr>
              <w:t xml:space="preserve">he </w:t>
            </w:r>
            <w:r w:rsidR="00E267E1">
              <w:rPr>
                <w:rFonts w:asciiTheme="minorHAnsi" w:hAnsiTheme="minorHAnsi" w:cstheme="minorHAnsi"/>
                <w:sz w:val="20"/>
                <w:szCs w:val="20"/>
                <w:lang w:val="en-GB" w:eastAsia="en-US"/>
              </w:rPr>
              <w:t xml:space="preserve">amended </w:t>
            </w:r>
            <w:r w:rsidR="00220887" w:rsidRPr="004F6214">
              <w:rPr>
                <w:rFonts w:asciiTheme="minorHAnsi" w:hAnsiTheme="minorHAnsi" w:cstheme="minorHAnsi"/>
                <w:sz w:val="20"/>
                <w:szCs w:val="20"/>
                <w:lang w:val="en-GB" w:eastAsia="en-US"/>
              </w:rPr>
              <w:t>definition of ‘gantry crane’</w:t>
            </w:r>
            <w:r w:rsidR="00220887">
              <w:rPr>
                <w:rFonts w:asciiTheme="minorHAnsi" w:hAnsiTheme="minorHAnsi" w:cstheme="minorHAnsi"/>
                <w:sz w:val="20"/>
                <w:szCs w:val="20"/>
                <w:lang w:val="en-GB" w:eastAsia="en-US"/>
              </w:rPr>
              <w:t xml:space="preserve"> co</w:t>
            </w:r>
            <w:r w:rsidR="00187FC0">
              <w:rPr>
                <w:rFonts w:asciiTheme="minorHAnsi" w:hAnsiTheme="minorHAnsi" w:cstheme="minorHAnsi"/>
                <w:sz w:val="20"/>
                <w:szCs w:val="20"/>
                <w:lang w:val="en-GB" w:eastAsia="en-US"/>
              </w:rPr>
              <w:t>ver</w:t>
            </w:r>
            <w:r w:rsidR="00E267E1">
              <w:rPr>
                <w:rFonts w:asciiTheme="minorHAnsi" w:hAnsiTheme="minorHAnsi" w:cstheme="minorHAnsi"/>
                <w:sz w:val="20"/>
                <w:szCs w:val="20"/>
                <w:lang w:val="en-GB" w:eastAsia="en-US"/>
              </w:rPr>
              <w:t>s</w:t>
            </w:r>
            <w:r w:rsidR="00220887">
              <w:rPr>
                <w:rFonts w:asciiTheme="minorHAnsi" w:hAnsiTheme="minorHAnsi" w:cstheme="minorHAnsi"/>
                <w:sz w:val="20"/>
                <w:szCs w:val="20"/>
                <w:lang w:val="en-GB" w:eastAsia="en-US"/>
              </w:rPr>
              <w:t xml:space="preserve"> both </w:t>
            </w:r>
            <w:r w:rsidR="00220887" w:rsidRPr="004F6214">
              <w:rPr>
                <w:rFonts w:asciiTheme="minorHAnsi" w:hAnsiTheme="minorHAnsi" w:cstheme="minorHAnsi"/>
                <w:sz w:val="20"/>
                <w:szCs w:val="20"/>
                <w:lang w:val="en-GB" w:eastAsia="en-US"/>
              </w:rPr>
              <w:t xml:space="preserve">the traditional ‘two legged’ gantry cranes </w:t>
            </w:r>
            <w:r w:rsidR="00220887">
              <w:rPr>
                <w:rFonts w:asciiTheme="minorHAnsi" w:hAnsiTheme="minorHAnsi" w:cstheme="minorHAnsi"/>
                <w:sz w:val="20"/>
                <w:szCs w:val="20"/>
                <w:lang w:val="en-GB" w:eastAsia="en-US"/>
              </w:rPr>
              <w:t xml:space="preserve">and also </w:t>
            </w:r>
            <w:r w:rsidR="00220887" w:rsidRPr="004F6214">
              <w:rPr>
                <w:rFonts w:asciiTheme="minorHAnsi" w:hAnsiTheme="minorHAnsi" w:cstheme="minorHAnsi"/>
                <w:sz w:val="20"/>
                <w:szCs w:val="20"/>
                <w:lang w:val="en-GB" w:eastAsia="en-US"/>
              </w:rPr>
              <w:t>the ‘one legged’ or semi-gantry cranes.</w:t>
            </w:r>
          </w:p>
        </w:tc>
      </w:tr>
      <w:tr w:rsidR="00220887" w:rsidRPr="004F6214" w14:paraId="65403160"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5B"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5C"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5D"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‘hazardous area’</w:t>
            </w:r>
          </w:p>
          <w:p w14:paraId="6540315E"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 and replace.</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5F" w14:textId="77777777" w:rsidR="00220887" w:rsidRPr="004F6214" w:rsidRDefault="00220887" w:rsidP="00E267E1">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w:t>
            </w:r>
            <w:r w:rsidR="00187FC0">
              <w:rPr>
                <w:rFonts w:asciiTheme="minorHAnsi" w:hAnsiTheme="minorHAnsi" w:cstheme="minorHAnsi"/>
                <w:sz w:val="20"/>
                <w:szCs w:val="20"/>
                <w:lang w:val="en-GB" w:eastAsia="en-US"/>
              </w:rPr>
              <w:t>o</w:t>
            </w:r>
            <w:r>
              <w:rPr>
                <w:rFonts w:asciiTheme="minorHAnsi" w:hAnsiTheme="minorHAnsi" w:cstheme="minorHAnsi"/>
                <w:sz w:val="20"/>
                <w:szCs w:val="20"/>
                <w:lang w:val="en-GB" w:eastAsia="en-US"/>
              </w:rPr>
              <w:t xml:space="preserve"> replace</w:t>
            </w:r>
            <w:r w:rsidR="00187FC0">
              <w:rPr>
                <w:rFonts w:asciiTheme="minorHAnsi" w:hAnsiTheme="minorHAnsi" w:cstheme="minorHAnsi"/>
                <w:sz w:val="20"/>
                <w:szCs w:val="20"/>
                <w:lang w:val="en-GB" w:eastAsia="en-US"/>
              </w:rPr>
              <w:t xml:space="preserve"> the definition with</w:t>
            </w:r>
            <w:r>
              <w:rPr>
                <w:rFonts w:asciiTheme="minorHAnsi" w:hAnsiTheme="minorHAnsi" w:cstheme="minorHAnsi"/>
                <w:sz w:val="20"/>
                <w:szCs w:val="20"/>
                <w:lang w:val="en-GB" w:eastAsia="en-US"/>
              </w:rPr>
              <w:t xml:space="preserve"> a </w:t>
            </w:r>
            <w:r w:rsidR="00E267E1">
              <w:rPr>
                <w:rFonts w:asciiTheme="minorHAnsi" w:hAnsiTheme="minorHAnsi" w:cstheme="minorHAnsi"/>
                <w:sz w:val="20"/>
                <w:szCs w:val="20"/>
                <w:lang w:val="en-GB" w:eastAsia="en-US"/>
              </w:rPr>
              <w:t xml:space="preserve">more </w:t>
            </w:r>
            <w:r>
              <w:rPr>
                <w:rFonts w:asciiTheme="minorHAnsi" w:hAnsiTheme="minorHAnsi" w:cstheme="minorHAnsi"/>
                <w:sz w:val="20"/>
                <w:szCs w:val="20"/>
                <w:lang w:val="en-GB" w:eastAsia="en-US"/>
              </w:rPr>
              <w:t xml:space="preserve">self-contained definition that does not </w:t>
            </w:r>
            <w:r w:rsidR="00E267E1">
              <w:rPr>
                <w:rFonts w:asciiTheme="minorHAnsi" w:hAnsiTheme="minorHAnsi" w:cstheme="minorHAnsi"/>
                <w:sz w:val="20"/>
                <w:szCs w:val="20"/>
                <w:lang w:val="en-GB" w:eastAsia="en-US"/>
              </w:rPr>
              <w:t>rely on external</w:t>
            </w:r>
            <w:r>
              <w:rPr>
                <w:rFonts w:asciiTheme="minorHAnsi" w:hAnsiTheme="minorHAnsi" w:cstheme="minorHAnsi"/>
                <w:sz w:val="20"/>
                <w:szCs w:val="20"/>
                <w:lang w:val="en-GB" w:eastAsia="en-US"/>
              </w:rPr>
              <w:t xml:space="preserve"> technical standards.</w:t>
            </w:r>
          </w:p>
        </w:tc>
      </w:tr>
      <w:tr w:rsidR="003722C3" w:rsidRPr="004F6214" w14:paraId="65403166"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61" w14:textId="77777777" w:rsidR="003722C3" w:rsidRPr="004F6214" w:rsidRDefault="003722C3"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62" w14:textId="77777777" w:rsidR="003722C3" w:rsidRPr="004F6214" w:rsidRDefault="003722C3"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63" w14:textId="77777777" w:rsidR="003722C3" w:rsidRDefault="003722C3" w:rsidP="00D51995">
            <w:pPr>
              <w:spacing w:after="120"/>
              <w:rPr>
                <w:rFonts w:asciiTheme="minorHAnsi" w:hAnsiTheme="minorHAnsi" w:cstheme="minorHAnsi"/>
                <w:sz w:val="20"/>
                <w:szCs w:val="20"/>
                <w:u w:val="single"/>
                <w:lang w:val="en-GB" w:eastAsia="en-US"/>
              </w:rPr>
            </w:pPr>
            <w:r>
              <w:rPr>
                <w:rFonts w:asciiTheme="minorHAnsi" w:hAnsiTheme="minorHAnsi" w:cstheme="minorHAnsi"/>
                <w:sz w:val="20"/>
                <w:szCs w:val="20"/>
                <w:u w:val="single"/>
                <w:lang w:val="en-GB" w:eastAsia="en-US"/>
              </w:rPr>
              <w:t>Definition of ‘incidental diving work’</w:t>
            </w:r>
          </w:p>
          <w:p w14:paraId="65403164" w14:textId="77777777" w:rsidR="003722C3" w:rsidRPr="003722C3" w:rsidRDefault="003722C3"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Omit paragraph (c) of the definition</w:t>
            </w:r>
            <w:r w:rsidR="00A25389">
              <w:rPr>
                <w:rFonts w:asciiTheme="minorHAnsi" w:hAnsiTheme="minorHAnsi" w:cstheme="minorHAnsi"/>
                <w:sz w:val="20"/>
                <w:szCs w:val="20"/>
                <w:lang w:val="en-GB" w:eastAsia="en-US"/>
              </w:rPr>
              <w:t xml:space="preserve"> and move to paragraph 172(1)(c)</w:t>
            </w:r>
            <w:r>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65" w14:textId="77777777" w:rsidR="003722C3" w:rsidRDefault="00A25389"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 move requirement into a substantive provision to co-locate related provisions and improve readability.</w:t>
            </w:r>
          </w:p>
        </w:tc>
      </w:tr>
      <w:tr w:rsidR="00220887" w:rsidRPr="004F6214" w14:paraId="65403171"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67"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68"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69"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New definition of ‘inflatable device (continuously blown)</w:t>
            </w:r>
            <w:r w:rsidR="000A0928">
              <w:rPr>
                <w:rFonts w:asciiTheme="minorHAnsi" w:hAnsiTheme="minorHAnsi" w:cstheme="minorHAnsi"/>
                <w:sz w:val="20"/>
                <w:szCs w:val="20"/>
                <w:u w:val="single"/>
                <w:lang w:val="en-GB" w:eastAsia="en-US"/>
              </w:rPr>
              <w:t>’</w:t>
            </w:r>
          </w:p>
          <w:p w14:paraId="6540316A"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definition.</w:t>
            </w:r>
          </w:p>
          <w:p w14:paraId="6540316B" w14:textId="77777777" w:rsidR="00DE535C" w:rsidRPr="004F6214" w:rsidRDefault="00DE535C"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Insert new related definition of ‘platform height’.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6C" w14:textId="77777777" w:rsidR="00220887" w:rsidRPr="004F6214"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Consequential—</w:t>
            </w:r>
            <w:r w:rsidR="00D421D6">
              <w:rPr>
                <w:rFonts w:asciiTheme="minorHAnsi" w:hAnsiTheme="minorHAnsi" w:cstheme="minorHAnsi"/>
                <w:sz w:val="20"/>
                <w:szCs w:val="20"/>
                <w:lang w:val="en-GB" w:eastAsia="en-US"/>
              </w:rPr>
              <w:t xml:space="preserve">to </w:t>
            </w:r>
            <w:r>
              <w:rPr>
                <w:rFonts w:asciiTheme="minorHAnsi" w:hAnsiTheme="minorHAnsi" w:cstheme="minorHAnsi"/>
                <w:sz w:val="20"/>
                <w:szCs w:val="20"/>
                <w:lang w:val="en-GB" w:eastAsia="en-US"/>
              </w:rPr>
              <w:t>s</w:t>
            </w:r>
            <w:r w:rsidRPr="004F6214">
              <w:rPr>
                <w:rFonts w:asciiTheme="minorHAnsi" w:hAnsiTheme="minorHAnsi" w:cstheme="minorHAnsi"/>
                <w:sz w:val="20"/>
                <w:szCs w:val="20"/>
                <w:lang w:val="en-GB" w:eastAsia="en-US"/>
              </w:rPr>
              <w:t xml:space="preserve">upport </w:t>
            </w:r>
            <w:r w:rsidR="00D421D6">
              <w:rPr>
                <w:rFonts w:asciiTheme="minorHAnsi" w:hAnsiTheme="minorHAnsi" w:cstheme="minorHAnsi"/>
                <w:sz w:val="20"/>
                <w:szCs w:val="20"/>
                <w:lang w:val="en-GB" w:eastAsia="en-US"/>
              </w:rPr>
              <w:t xml:space="preserve">the </w:t>
            </w:r>
            <w:r w:rsidRPr="004F6214">
              <w:rPr>
                <w:rFonts w:asciiTheme="minorHAnsi" w:hAnsiTheme="minorHAnsi" w:cstheme="minorHAnsi"/>
                <w:sz w:val="20"/>
                <w:szCs w:val="20"/>
                <w:lang w:val="en-GB" w:eastAsia="en-US"/>
              </w:rPr>
              <w:t>amendment to narrow the class of inflatable devices subject to design and item registration requirements</w:t>
            </w:r>
            <w:r>
              <w:rPr>
                <w:rFonts w:asciiTheme="minorHAnsi" w:hAnsiTheme="minorHAnsi" w:cstheme="minorHAnsi"/>
                <w:sz w:val="20"/>
                <w:szCs w:val="20"/>
                <w:lang w:val="en-GB" w:eastAsia="en-US"/>
              </w:rPr>
              <w:t xml:space="preserve"> (see below)</w:t>
            </w:r>
            <w:r w:rsidRPr="004F6214">
              <w:rPr>
                <w:rFonts w:asciiTheme="minorHAnsi" w:hAnsiTheme="minorHAnsi" w:cstheme="minorHAnsi"/>
                <w:sz w:val="20"/>
                <w:szCs w:val="20"/>
                <w:lang w:val="en-GB" w:eastAsia="en-US"/>
              </w:rPr>
              <w:t>.</w:t>
            </w:r>
          </w:p>
          <w:p w14:paraId="6540316D" w14:textId="77777777" w:rsidR="00220887"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Before harmonisation many jurisdictions registered amusement devices depending on their safety rating under </w:t>
            </w:r>
            <w:r w:rsidRPr="004F6214">
              <w:rPr>
                <w:rFonts w:asciiTheme="minorHAnsi" w:hAnsiTheme="minorHAnsi" w:cstheme="minorHAnsi"/>
                <w:sz w:val="20"/>
                <w:szCs w:val="20"/>
                <w:lang w:val="en-GB" w:eastAsia="en-US"/>
              </w:rPr>
              <w:t xml:space="preserve">a technical standard—AS 3533.1. </w:t>
            </w:r>
          </w:p>
          <w:p w14:paraId="6540316E" w14:textId="77777777" w:rsidR="00220887"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Up-dates to the technical standard in 2009 meant that more devices were caught by the registration requirements than was previously the case.</w:t>
            </w:r>
          </w:p>
          <w:p w14:paraId="6540316F" w14:textId="77777777" w:rsidR="00220887" w:rsidRPr="004F6214"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Some but not all jurisdictions picked up the 2009 revisions, meaning that a</w:t>
            </w:r>
            <w:r w:rsidRPr="004F6214">
              <w:rPr>
                <w:rFonts w:asciiTheme="minorHAnsi" w:hAnsiTheme="minorHAnsi" w:cstheme="minorHAnsi"/>
                <w:sz w:val="20"/>
                <w:szCs w:val="20"/>
                <w:lang w:val="en-GB" w:eastAsia="en-US"/>
              </w:rPr>
              <w:t xml:space="preserve">musement devices were not being consistently design and item registered at the time the new </w:t>
            </w:r>
            <w:r>
              <w:rPr>
                <w:rFonts w:asciiTheme="minorHAnsi" w:hAnsiTheme="minorHAnsi" w:cstheme="minorHAnsi"/>
                <w:sz w:val="20"/>
                <w:szCs w:val="20"/>
                <w:lang w:val="en-GB" w:eastAsia="en-US"/>
              </w:rPr>
              <w:t xml:space="preserve">model WHS </w:t>
            </w:r>
            <w:r w:rsidRPr="004F6214">
              <w:rPr>
                <w:rFonts w:asciiTheme="minorHAnsi" w:hAnsiTheme="minorHAnsi" w:cstheme="minorHAnsi"/>
                <w:sz w:val="20"/>
                <w:szCs w:val="20"/>
                <w:lang w:val="en-GB" w:eastAsia="en-US"/>
              </w:rPr>
              <w:t>laws were introduced.</w:t>
            </w:r>
          </w:p>
          <w:p w14:paraId="65403170"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The amendment is intended to restore the status quo </w:t>
            </w:r>
            <w:r>
              <w:rPr>
                <w:rFonts w:asciiTheme="minorHAnsi" w:hAnsiTheme="minorHAnsi" w:cstheme="minorHAnsi"/>
                <w:sz w:val="20"/>
                <w:szCs w:val="20"/>
                <w:lang w:val="en-GB" w:eastAsia="en-US"/>
              </w:rPr>
              <w:t xml:space="preserve">for many jurisdictions, </w:t>
            </w:r>
            <w:r w:rsidRPr="004F6214">
              <w:rPr>
                <w:rFonts w:asciiTheme="minorHAnsi" w:hAnsiTheme="minorHAnsi" w:cstheme="minorHAnsi"/>
                <w:sz w:val="20"/>
                <w:szCs w:val="20"/>
                <w:lang w:val="en-GB" w:eastAsia="en-US"/>
              </w:rPr>
              <w:t xml:space="preserve">consistent with the </w:t>
            </w:r>
            <w:r>
              <w:rPr>
                <w:rFonts w:asciiTheme="minorHAnsi" w:hAnsiTheme="minorHAnsi" w:cstheme="minorHAnsi"/>
                <w:sz w:val="20"/>
                <w:szCs w:val="20"/>
                <w:lang w:val="en-GB" w:eastAsia="en-US"/>
              </w:rPr>
              <w:t xml:space="preserve">now-superseded </w:t>
            </w:r>
            <w:r w:rsidRPr="004F6214">
              <w:rPr>
                <w:rFonts w:asciiTheme="minorHAnsi" w:hAnsiTheme="minorHAnsi" w:cstheme="minorHAnsi"/>
                <w:sz w:val="20"/>
                <w:szCs w:val="20"/>
                <w:lang w:val="en-GB" w:eastAsia="en-US"/>
              </w:rPr>
              <w:t>national plant standard.</w:t>
            </w:r>
          </w:p>
        </w:tc>
      </w:tr>
      <w:tr w:rsidR="00220887" w:rsidRPr="004F6214" w14:paraId="6540317C"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72"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73"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74"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New definition of ‘passenger ropeway’</w:t>
            </w:r>
          </w:p>
          <w:p w14:paraId="65403175" w14:textId="77777777" w:rsidR="00220887" w:rsidRPr="004F6214" w:rsidRDefault="000A0928"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definition.</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76" w14:textId="77777777" w:rsidR="00220887" w:rsidRPr="004F6214"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Consequential—</w:t>
            </w:r>
            <w:r w:rsidR="00D421D6">
              <w:rPr>
                <w:rFonts w:asciiTheme="minorHAnsi" w:hAnsiTheme="minorHAnsi" w:cstheme="minorHAnsi"/>
                <w:sz w:val="20"/>
                <w:szCs w:val="20"/>
                <w:lang w:val="en-GB" w:eastAsia="en-US"/>
              </w:rPr>
              <w:t xml:space="preserve">to </w:t>
            </w:r>
            <w:r>
              <w:rPr>
                <w:rFonts w:asciiTheme="minorHAnsi" w:hAnsiTheme="minorHAnsi" w:cstheme="minorHAnsi"/>
                <w:sz w:val="20"/>
                <w:szCs w:val="20"/>
                <w:lang w:val="en-GB" w:eastAsia="en-US"/>
              </w:rPr>
              <w:t>s</w:t>
            </w:r>
            <w:r w:rsidRPr="004F6214">
              <w:rPr>
                <w:rFonts w:asciiTheme="minorHAnsi" w:hAnsiTheme="minorHAnsi" w:cstheme="minorHAnsi"/>
                <w:sz w:val="20"/>
                <w:szCs w:val="20"/>
                <w:lang w:val="en-GB" w:eastAsia="en-US"/>
              </w:rPr>
              <w:t xml:space="preserve">upport </w:t>
            </w:r>
            <w:r w:rsidR="00D421D6">
              <w:rPr>
                <w:rFonts w:asciiTheme="minorHAnsi" w:hAnsiTheme="minorHAnsi" w:cstheme="minorHAnsi"/>
                <w:sz w:val="20"/>
                <w:szCs w:val="20"/>
                <w:lang w:val="en-GB" w:eastAsia="en-US"/>
              </w:rPr>
              <w:t xml:space="preserve">the </w:t>
            </w:r>
            <w:r w:rsidRPr="004F6214">
              <w:rPr>
                <w:rFonts w:asciiTheme="minorHAnsi" w:hAnsiTheme="minorHAnsi" w:cstheme="minorHAnsi"/>
                <w:sz w:val="20"/>
                <w:szCs w:val="20"/>
                <w:lang w:val="en-GB" w:eastAsia="en-US"/>
              </w:rPr>
              <w:t xml:space="preserve">amendment to </w:t>
            </w:r>
            <w:r w:rsidR="000A0928">
              <w:rPr>
                <w:rFonts w:asciiTheme="minorHAnsi" w:hAnsiTheme="minorHAnsi" w:cstheme="minorHAnsi"/>
                <w:sz w:val="20"/>
                <w:szCs w:val="20"/>
                <w:lang w:val="en-GB" w:eastAsia="en-US"/>
              </w:rPr>
              <w:t>restore</w:t>
            </w:r>
            <w:r w:rsidRPr="004F6214">
              <w:rPr>
                <w:rFonts w:asciiTheme="minorHAnsi" w:hAnsiTheme="minorHAnsi" w:cstheme="minorHAnsi"/>
                <w:sz w:val="20"/>
                <w:szCs w:val="20"/>
                <w:lang w:val="en-GB" w:eastAsia="en-US"/>
              </w:rPr>
              <w:t xml:space="preserve"> a design registration requirement and related maintenance </w:t>
            </w:r>
            <w:r w:rsidRPr="004F6214">
              <w:rPr>
                <w:rFonts w:asciiTheme="minorHAnsi" w:hAnsiTheme="minorHAnsi" w:cstheme="minorHAnsi"/>
                <w:sz w:val="20"/>
                <w:szCs w:val="20"/>
                <w:lang w:val="en-GB" w:eastAsia="en-US"/>
              </w:rPr>
              <w:lastRenderedPageBreak/>
              <w:t>etc. requirement for certain passenger ropeways.</w:t>
            </w:r>
          </w:p>
          <w:p w14:paraId="65403177"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Historically </w:t>
            </w:r>
            <w:r w:rsidR="000A0928">
              <w:rPr>
                <w:rFonts w:asciiTheme="minorHAnsi" w:hAnsiTheme="minorHAnsi" w:cstheme="minorHAnsi"/>
                <w:sz w:val="20"/>
                <w:szCs w:val="20"/>
                <w:lang w:val="en-GB" w:eastAsia="en-US"/>
              </w:rPr>
              <w:t xml:space="preserve">many jurisdictions registered </w:t>
            </w:r>
            <w:r w:rsidRPr="004F6214">
              <w:rPr>
                <w:rFonts w:asciiTheme="minorHAnsi" w:hAnsiTheme="minorHAnsi" w:cstheme="minorHAnsi"/>
                <w:sz w:val="20"/>
                <w:szCs w:val="20"/>
                <w:lang w:val="en-GB" w:eastAsia="en-US"/>
              </w:rPr>
              <w:t>certain ‘passenger ropeways’ like ski lifts as a kind of ‘amusement device’</w:t>
            </w:r>
            <w:r w:rsidR="000A0928">
              <w:rPr>
                <w:rFonts w:asciiTheme="minorHAnsi" w:hAnsiTheme="minorHAnsi" w:cstheme="minorHAnsi"/>
                <w:sz w:val="20"/>
                <w:szCs w:val="20"/>
                <w:lang w:val="en-GB" w:eastAsia="en-US"/>
              </w:rPr>
              <w:t>. These registration requirements relied on the definition</w:t>
            </w:r>
            <w:r w:rsidR="00DE535C">
              <w:rPr>
                <w:rFonts w:asciiTheme="minorHAnsi" w:hAnsiTheme="minorHAnsi" w:cstheme="minorHAnsi"/>
                <w:sz w:val="20"/>
                <w:szCs w:val="20"/>
                <w:lang w:val="en-GB" w:eastAsia="en-US"/>
              </w:rPr>
              <w:t>s</w:t>
            </w:r>
            <w:r w:rsidR="000A0928">
              <w:rPr>
                <w:rFonts w:asciiTheme="minorHAnsi" w:hAnsiTheme="minorHAnsi" w:cstheme="minorHAnsi"/>
                <w:sz w:val="20"/>
                <w:szCs w:val="20"/>
                <w:lang w:val="en-GB" w:eastAsia="en-US"/>
              </w:rPr>
              <w:t xml:space="preserve"> in</w:t>
            </w:r>
            <w:r>
              <w:rPr>
                <w:rFonts w:asciiTheme="minorHAnsi" w:hAnsiTheme="minorHAnsi" w:cstheme="minorHAnsi"/>
                <w:sz w:val="20"/>
                <w:szCs w:val="20"/>
                <w:lang w:val="en-GB" w:eastAsia="en-US"/>
              </w:rPr>
              <w:t xml:space="preserve"> a technical standard—AS 3533.1</w:t>
            </w:r>
            <w:r w:rsidRPr="004F6214">
              <w:rPr>
                <w:rFonts w:asciiTheme="minorHAnsi" w:hAnsiTheme="minorHAnsi" w:cstheme="minorHAnsi"/>
                <w:sz w:val="20"/>
                <w:szCs w:val="20"/>
                <w:lang w:val="en-GB" w:eastAsia="en-US"/>
              </w:rPr>
              <w:t>.</w:t>
            </w:r>
          </w:p>
          <w:p w14:paraId="65403178"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When this was up-dated in 2009 ‘passenger ropeways’ were excluded from scope and a stand-alone technical standard was created.</w:t>
            </w:r>
          </w:p>
          <w:p w14:paraId="65403179" w14:textId="77777777" w:rsidR="00220887"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Some but not all jurisdictions picked up the 2009 revisions, meaning that some (a minority) but not all jurisdictions ceased registering passenger ropeways at the time the new model WHS laws were introduced.</w:t>
            </w:r>
          </w:p>
          <w:p w14:paraId="6540317A"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The amendment is intended to restore the status quo </w:t>
            </w:r>
            <w:r>
              <w:rPr>
                <w:rFonts w:asciiTheme="minorHAnsi" w:hAnsiTheme="minorHAnsi" w:cstheme="minorHAnsi"/>
                <w:sz w:val="20"/>
                <w:szCs w:val="20"/>
                <w:lang w:val="en-GB" w:eastAsia="en-US"/>
              </w:rPr>
              <w:t xml:space="preserve">for many jurisdictions </w:t>
            </w:r>
            <w:r w:rsidRPr="004F6214">
              <w:rPr>
                <w:rFonts w:asciiTheme="minorHAnsi" w:hAnsiTheme="minorHAnsi" w:cstheme="minorHAnsi"/>
                <w:sz w:val="20"/>
                <w:szCs w:val="20"/>
                <w:lang w:val="en-GB" w:eastAsia="en-US"/>
              </w:rPr>
              <w:t xml:space="preserve">in relation to design registration requirements only. </w:t>
            </w:r>
          </w:p>
          <w:p w14:paraId="6540317B"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Item registration requirements are not supported due to the well-known location of these </w:t>
            </w:r>
            <w:r>
              <w:rPr>
                <w:rFonts w:asciiTheme="minorHAnsi" w:hAnsiTheme="minorHAnsi" w:cstheme="minorHAnsi"/>
                <w:sz w:val="20"/>
                <w:szCs w:val="20"/>
                <w:lang w:val="en-GB" w:eastAsia="en-US"/>
              </w:rPr>
              <w:t>kinds of ropeways.</w:t>
            </w:r>
          </w:p>
        </w:tc>
      </w:tr>
      <w:tr w:rsidR="00220887" w:rsidRPr="004F6214" w14:paraId="65403184"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7D"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7E"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7F" w14:textId="77777777" w:rsidR="00220887" w:rsidRPr="004F6214" w:rsidRDefault="00220887" w:rsidP="00D51995">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‘specified VET course’</w:t>
            </w:r>
          </w:p>
          <w:p w14:paraId="65403180"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u w:val="single"/>
                <w:lang w:val="en-GB" w:eastAsia="en-US"/>
              </w:rPr>
              <w:t>Para (b):</w:t>
            </w:r>
            <w:r w:rsidRPr="004F6214">
              <w:rPr>
                <w:rFonts w:asciiTheme="minorHAnsi" w:hAnsiTheme="minorHAnsi" w:cstheme="minorHAnsi"/>
                <w:sz w:val="20"/>
                <w:szCs w:val="20"/>
                <w:lang w:val="en-GB" w:eastAsia="en-US"/>
              </w:rPr>
              <w:t xml:space="preserve">  Omit subparagraphs (i) and (ii) and replace with a reference to the one VET course.</w:t>
            </w:r>
          </w:p>
          <w:p w14:paraId="65403181" w14:textId="77777777" w:rsidR="00E532EA" w:rsidRPr="004F6214" w:rsidRDefault="000563AA" w:rsidP="000563AA">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Consequential amendment to paragraph </w:t>
            </w:r>
            <w:r w:rsidRPr="004F6214">
              <w:rPr>
                <w:rFonts w:asciiTheme="minorHAnsi" w:hAnsiTheme="minorHAnsi" w:cstheme="minorHAnsi"/>
                <w:sz w:val="20"/>
                <w:szCs w:val="20"/>
                <w:lang w:val="en-GB" w:eastAsia="en-US"/>
              </w:rPr>
              <w:t>498(a)</w:t>
            </w:r>
            <w:r>
              <w:rPr>
                <w:rFonts w:asciiTheme="minorHAnsi" w:hAnsiTheme="minorHAnsi" w:cstheme="minorHAnsi"/>
                <w:sz w:val="20"/>
                <w:szCs w:val="20"/>
                <w:lang w:val="en-GB" w:eastAsia="en-US"/>
              </w:rPr>
              <w:t>(ii)</w:t>
            </w:r>
            <w:r w:rsidRPr="004F6214">
              <w:rPr>
                <w:rFonts w:asciiTheme="minorHAnsi" w:hAnsiTheme="minorHAnsi" w:cstheme="minorHAnsi"/>
                <w:sz w:val="20"/>
                <w:szCs w:val="20"/>
                <w:lang w:val="en-GB" w:eastAsia="en-US"/>
              </w:rPr>
              <w:t>(B)</w:t>
            </w:r>
            <w:r>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82" w14:textId="77777777" w:rsidR="00DE535C" w:rsidRDefault="00DE535C"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Correction.</w:t>
            </w:r>
          </w:p>
          <w:p w14:paraId="65403183" w14:textId="77777777" w:rsidR="00220887" w:rsidRPr="004F6214" w:rsidRDefault="00DE535C" w:rsidP="00D421D6">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Only the VET course </w:t>
            </w:r>
            <w:r>
              <w:rPr>
                <w:rFonts w:asciiTheme="minorHAnsi" w:hAnsiTheme="minorHAnsi" w:cstheme="minorHAnsi"/>
                <w:i/>
                <w:sz w:val="20"/>
                <w:szCs w:val="20"/>
                <w:lang w:val="en-GB" w:eastAsia="en-US"/>
              </w:rPr>
              <w:t xml:space="preserve">Remove friable asbestos </w:t>
            </w:r>
            <w:r>
              <w:rPr>
                <w:rFonts w:asciiTheme="minorHAnsi" w:hAnsiTheme="minorHAnsi" w:cstheme="minorHAnsi"/>
                <w:sz w:val="20"/>
                <w:szCs w:val="20"/>
                <w:lang w:val="en-GB" w:eastAsia="en-US"/>
              </w:rPr>
              <w:t>needs to be cited as it automa</w:t>
            </w:r>
            <w:r w:rsidR="003965B8">
              <w:rPr>
                <w:rFonts w:asciiTheme="minorHAnsi" w:hAnsiTheme="minorHAnsi" w:cstheme="minorHAnsi"/>
                <w:sz w:val="20"/>
                <w:szCs w:val="20"/>
                <w:lang w:val="en-GB" w:eastAsia="en-US"/>
              </w:rPr>
              <w:t>tically covers course material in relation to both friable and non-friable asbestos.</w:t>
            </w:r>
          </w:p>
        </w:tc>
      </w:tr>
      <w:tr w:rsidR="00220887" w:rsidRPr="004F6214" w14:paraId="6540318A"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85"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86" w14:textId="77777777" w:rsidR="00220887" w:rsidRPr="004F6214" w:rsidRDefault="00E532EA"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87" w14:textId="77777777" w:rsidR="003965B8" w:rsidRPr="004F6214" w:rsidRDefault="003965B8" w:rsidP="003965B8">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‘specified VET course’</w:t>
            </w:r>
          </w:p>
          <w:p w14:paraId="65403188"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u w:val="single"/>
                <w:lang w:val="en-GB" w:eastAsia="en-US"/>
              </w:rPr>
              <w:t>Para (f):</w:t>
            </w:r>
            <w:r w:rsidRPr="004F6214">
              <w:rPr>
                <w:rFonts w:asciiTheme="minorHAnsi" w:hAnsiTheme="minorHAnsi" w:cstheme="minorHAnsi"/>
                <w:sz w:val="20"/>
                <w:szCs w:val="20"/>
                <w:lang w:val="en-GB" w:eastAsia="en-US"/>
              </w:rPr>
              <w:t xml:space="preserve">  Insert new paragraph (f) in relation to high risk work.</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89" w14:textId="77777777" w:rsidR="00220887" w:rsidRPr="004F6214" w:rsidRDefault="00DE535C" w:rsidP="003965B8">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w:t>
            </w:r>
            <w:r w:rsidR="003965B8">
              <w:rPr>
                <w:rFonts w:asciiTheme="minorHAnsi" w:hAnsiTheme="minorHAnsi" w:cstheme="minorHAnsi"/>
                <w:sz w:val="20"/>
                <w:szCs w:val="20"/>
                <w:lang w:val="en-GB" w:eastAsia="en-US"/>
              </w:rPr>
              <w:t>s inadvertent omission.</w:t>
            </w:r>
          </w:p>
        </w:tc>
      </w:tr>
      <w:tr w:rsidR="00E532EA" w:rsidRPr="004F6214" w14:paraId="65403191"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8B" w14:textId="77777777" w:rsidR="00E532EA" w:rsidRPr="004F6214" w:rsidRDefault="00E532EA"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8C" w14:textId="77777777" w:rsidR="00E532EA" w:rsidRDefault="00E532EA"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5</w:t>
            </w:r>
          </w:p>
          <w:p w14:paraId="6540318D" w14:textId="77777777" w:rsidR="00E532EA" w:rsidRDefault="00E532EA"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171(a)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8E" w14:textId="77777777" w:rsidR="003965B8" w:rsidRPr="004F6214" w:rsidRDefault="003965B8" w:rsidP="003965B8">
            <w:pPr>
              <w:spacing w:after="120"/>
              <w:rPr>
                <w:rFonts w:asciiTheme="minorHAnsi" w:hAnsiTheme="minorHAnsi" w:cstheme="minorHAnsi"/>
                <w:sz w:val="20"/>
                <w:szCs w:val="20"/>
                <w:u w:val="single"/>
                <w:lang w:val="en-GB" w:eastAsia="en-US"/>
              </w:rPr>
            </w:pPr>
            <w:r w:rsidRPr="004F6214">
              <w:rPr>
                <w:rFonts w:asciiTheme="minorHAnsi" w:hAnsiTheme="minorHAnsi" w:cstheme="minorHAnsi"/>
                <w:sz w:val="20"/>
                <w:szCs w:val="20"/>
                <w:u w:val="single"/>
                <w:lang w:val="en-GB" w:eastAsia="en-US"/>
              </w:rPr>
              <w:t>Definition of ‘specified VET course’</w:t>
            </w:r>
          </w:p>
          <w:p w14:paraId="6540318F" w14:textId="77777777" w:rsidR="00E532EA" w:rsidRPr="00E532EA" w:rsidRDefault="0001285D" w:rsidP="0001285D">
            <w:pPr>
              <w:pStyle w:val="Default"/>
              <w:rPr>
                <w:sz w:val="20"/>
                <w:szCs w:val="20"/>
              </w:rPr>
            </w:pPr>
            <w:r>
              <w:rPr>
                <w:rFonts w:asciiTheme="minorHAnsi" w:hAnsiTheme="minorHAnsi"/>
                <w:sz w:val="20"/>
                <w:szCs w:val="20"/>
              </w:rPr>
              <w:t xml:space="preserve">Insert </w:t>
            </w:r>
            <w:r w:rsidR="00E532EA" w:rsidRPr="00E532EA">
              <w:rPr>
                <w:rFonts w:asciiTheme="minorHAnsi" w:hAnsiTheme="minorHAnsi"/>
                <w:sz w:val="20"/>
                <w:szCs w:val="20"/>
              </w:rPr>
              <w:t xml:space="preserve">jurisdictional </w:t>
            </w:r>
            <w:r>
              <w:rPr>
                <w:rFonts w:asciiTheme="minorHAnsi" w:hAnsiTheme="minorHAnsi"/>
                <w:sz w:val="20"/>
                <w:szCs w:val="20"/>
              </w:rPr>
              <w:t>note.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90" w14:textId="77777777" w:rsidR="00E532EA" w:rsidRDefault="0001285D" w:rsidP="003965B8">
            <w:pPr>
              <w:spacing w:after="120"/>
              <w:rPr>
                <w:rFonts w:asciiTheme="minorHAnsi" w:hAnsiTheme="minorHAnsi" w:cstheme="minorHAnsi"/>
                <w:sz w:val="20"/>
                <w:szCs w:val="20"/>
                <w:lang w:val="en-GB" w:eastAsia="en-US"/>
              </w:rPr>
            </w:pPr>
            <w:r>
              <w:rPr>
                <w:rFonts w:asciiTheme="minorHAnsi" w:hAnsiTheme="minorHAnsi"/>
                <w:sz w:val="20"/>
                <w:szCs w:val="20"/>
              </w:rPr>
              <w:t>T</w:t>
            </w:r>
            <w:r w:rsidRPr="00E532EA">
              <w:rPr>
                <w:rFonts w:asciiTheme="minorHAnsi" w:hAnsiTheme="minorHAnsi"/>
                <w:sz w:val="20"/>
                <w:szCs w:val="20"/>
              </w:rPr>
              <w:t xml:space="preserve">o allow jurisdictions </w:t>
            </w:r>
            <w:r w:rsidR="003965B8">
              <w:rPr>
                <w:rFonts w:asciiTheme="minorHAnsi" w:hAnsiTheme="minorHAnsi"/>
                <w:sz w:val="20"/>
                <w:szCs w:val="20"/>
              </w:rPr>
              <w:t>to prescribe</w:t>
            </w:r>
            <w:r w:rsidRPr="00E532EA">
              <w:rPr>
                <w:rFonts w:asciiTheme="minorHAnsi" w:hAnsiTheme="minorHAnsi"/>
                <w:sz w:val="20"/>
                <w:szCs w:val="20"/>
              </w:rPr>
              <w:t xml:space="preserve"> a specified VET course </w:t>
            </w:r>
            <w:r w:rsidR="003965B8">
              <w:rPr>
                <w:rFonts w:asciiTheme="minorHAnsi" w:hAnsiTheme="minorHAnsi"/>
                <w:sz w:val="20"/>
                <w:szCs w:val="20"/>
              </w:rPr>
              <w:t xml:space="preserve">or courses </w:t>
            </w:r>
            <w:r w:rsidRPr="00E532EA">
              <w:rPr>
                <w:rFonts w:asciiTheme="minorHAnsi" w:hAnsiTheme="minorHAnsi"/>
                <w:sz w:val="20"/>
                <w:szCs w:val="20"/>
              </w:rPr>
              <w:t xml:space="preserve">for general diving work </w:t>
            </w:r>
            <w:r w:rsidR="003965B8">
              <w:rPr>
                <w:rFonts w:asciiTheme="minorHAnsi" w:hAnsiTheme="minorHAnsi"/>
                <w:sz w:val="20"/>
                <w:szCs w:val="20"/>
              </w:rPr>
              <w:t>(if any).</w:t>
            </w:r>
          </w:p>
        </w:tc>
      </w:tr>
      <w:tr w:rsidR="00220887" w:rsidRPr="004F6214" w14:paraId="65403197"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92"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93"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21(2)</w:t>
            </w:r>
          </w:p>
          <w:p w14:paraId="65403194" w14:textId="77777777" w:rsidR="00C243F0" w:rsidRPr="004F6214" w:rsidRDefault="00C243F0"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25(3)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95"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Amend the requirement from something the regulator </w:t>
            </w:r>
            <w:r w:rsidRPr="004F6214">
              <w:rPr>
                <w:rFonts w:asciiTheme="minorHAnsi" w:hAnsiTheme="minorHAnsi" w:cstheme="minorHAnsi"/>
                <w:sz w:val="20"/>
                <w:szCs w:val="20"/>
                <w:u w:val="single"/>
                <w:lang w:val="en-GB" w:eastAsia="en-US"/>
              </w:rPr>
              <w:t>must</w:t>
            </w:r>
            <w:r w:rsidRPr="004F6214">
              <w:rPr>
                <w:rFonts w:asciiTheme="minorHAnsi" w:hAnsiTheme="minorHAnsi" w:cstheme="minorHAnsi"/>
                <w:sz w:val="20"/>
                <w:szCs w:val="20"/>
                <w:lang w:val="en-GB" w:eastAsia="en-US"/>
              </w:rPr>
              <w:t xml:space="preserve"> do to something they </w:t>
            </w:r>
            <w:r w:rsidRPr="004F6214">
              <w:rPr>
                <w:rFonts w:asciiTheme="minorHAnsi" w:hAnsiTheme="minorHAnsi" w:cstheme="minorHAnsi"/>
                <w:sz w:val="20"/>
                <w:szCs w:val="20"/>
                <w:u w:val="single"/>
                <w:lang w:val="en-GB" w:eastAsia="en-US"/>
              </w:rPr>
              <w:t>may</w:t>
            </w:r>
            <w:r w:rsidRPr="004F6214">
              <w:rPr>
                <w:rFonts w:asciiTheme="minorHAnsi" w:hAnsiTheme="minorHAnsi" w:cstheme="minorHAnsi"/>
                <w:sz w:val="20"/>
                <w:szCs w:val="20"/>
                <w:lang w:val="en-GB" w:eastAsia="en-US"/>
              </w:rPr>
              <w:t xml:space="preserve"> do.</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96"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Correction to align with agreed policy.</w:t>
            </w:r>
          </w:p>
        </w:tc>
      </w:tr>
      <w:tr w:rsidR="00220887" w:rsidRPr="004F6214" w14:paraId="6540319E"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98"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99"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82(1A), (1B)</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9A"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subregulations (1A) and (1B) plus consequential amendments including omitting paragraph (1)(b).</w:t>
            </w:r>
          </w:p>
          <w:p w14:paraId="6540319B"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Consequential amendments to </w:t>
            </w:r>
            <w:r>
              <w:rPr>
                <w:rFonts w:asciiTheme="minorHAnsi" w:hAnsiTheme="minorHAnsi" w:cstheme="minorHAnsi"/>
                <w:sz w:val="20"/>
                <w:szCs w:val="20"/>
                <w:lang w:val="en-GB" w:eastAsia="en-US"/>
              </w:rPr>
              <w:t xml:space="preserve">regulation </w:t>
            </w:r>
            <w:r w:rsidRPr="004F6214">
              <w:rPr>
                <w:rFonts w:asciiTheme="minorHAnsi" w:hAnsiTheme="minorHAnsi" w:cstheme="minorHAnsi"/>
                <w:sz w:val="20"/>
                <w:szCs w:val="20"/>
                <w:lang w:val="en-GB" w:eastAsia="en-US"/>
              </w:rPr>
              <w:t>85.</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9C" w14:textId="77777777" w:rsidR="003E521B" w:rsidRDefault="003E521B" w:rsidP="00D51995">
            <w:pPr>
              <w:tabs>
                <w:tab w:val="left" w:pos="1215"/>
              </w:tabs>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Clarifies licensing requirements for ‘high risk work’ do not apply for a limited time after the relevant qualifications have been attained and during formal assessments by an accredited assessor.</w:t>
            </w:r>
          </w:p>
          <w:p w14:paraId="6540319D" w14:textId="77777777" w:rsidR="00220887" w:rsidRPr="004F6214" w:rsidRDefault="003E521B" w:rsidP="00D51995">
            <w:pPr>
              <w:tabs>
                <w:tab w:val="left" w:pos="1215"/>
              </w:tabs>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The exemption previously operated from when an application was made, which isn’t always readily ascertainable.</w:t>
            </w:r>
          </w:p>
        </w:tc>
      </w:tr>
      <w:tr w:rsidR="00220887" w:rsidRPr="004F6214" w14:paraId="654031A3"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9F"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A0" w14:textId="77777777" w:rsidR="00220887" w:rsidRPr="004F6214" w:rsidRDefault="00220887" w:rsidP="00A25389">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82(3)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A1" w14:textId="77777777" w:rsidR="00220887" w:rsidRPr="004F6214" w:rsidRDefault="00A25389" w:rsidP="00DB6FF4">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Re-draft for clarity.</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A2" w14:textId="77777777" w:rsidR="00220887" w:rsidRPr="004F6214" w:rsidRDefault="00A25389" w:rsidP="00A25389">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Re-draft to clarify </w:t>
            </w:r>
            <w:r w:rsidR="00DB6FF4">
              <w:rPr>
                <w:rFonts w:asciiTheme="minorHAnsi" w:hAnsiTheme="minorHAnsi" w:cstheme="minorHAnsi"/>
                <w:sz w:val="20"/>
                <w:szCs w:val="20"/>
                <w:lang w:val="en-GB" w:eastAsia="en-US"/>
              </w:rPr>
              <w:t xml:space="preserve">that operating plant to </w:t>
            </w:r>
            <w:r w:rsidR="005B1F5F">
              <w:rPr>
                <w:rFonts w:asciiTheme="minorHAnsi" w:hAnsiTheme="minorHAnsi" w:cstheme="minorHAnsi"/>
                <w:sz w:val="20"/>
                <w:szCs w:val="20"/>
                <w:lang w:val="en-GB" w:eastAsia="en-US"/>
              </w:rPr>
              <w:t xml:space="preserve">only </w:t>
            </w:r>
            <w:r w:rsidR="00DB6FF4">
              <w:rPr>
                <w:rFonts w:asciiTheme="minorHAnsi" w:hAnsiTheme="minorHAnsi" w:cstheme="minorHAnsi"/>
                <w:sz w:val="20"/>
                <w:szCs w:val="20"/>
                <w:lang w:val="en-GB" w:eastAsia="en-US"/>
              </w:rPr>
              <w:t xml:space="preserve">load or unload it </w:t>
            </w:r>
            <w:r>
              <w:rPr>
                <w:rFonts w:asciiTheme="minorHAnsi" w:hAnsiTheme="minorHAnsi" w:cstheme="minorHAnsi"/>
                <w:sz w:val="20"/>
                <w:szCs w:val="20"/>
                <w:lang w:val="en-GB" w:eastAsia="en-US"/>
              </w:rPr>
              <w:t>does</w:t>
            </w:r>
            <w:r w:rsidR="00DB6FF4">
              <w:rPr>
                <w:rFonts w:asciiTheme="minorHAnsi" w:hAnsiTheme="minorHAnsi" w:cstheme="minorHAnsi"/>
                <w:sz w:val="20"/>
                <w:szCs w:val="20"/>
                <w:lang w:val="en-GB" w:eastAsia="en-US"/>
              </w:rPr>
              <w:t xml:space="preserve"> not require a high risk work licence.</w:t>
            </w:r>
          </w:p>
        </w:tc>
      </w:tr>
      <w:tr w:rsidR="00220887" w:rsidRPr="004F6214" w14:paraId="654031A8"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A4"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A5"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85(4)</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A6" w14:textId="77777777" w:rsidR="00220887" w:rsidRPr="004F6214" w:rsidRDefault="005B1F5F"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Re-draft for clarity.</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A7" w14:textId="77777777" w:rsidR="00220887" w:rsidRPr="004F6214" w:rsidRDefault="005B1F5F" w:rsidP="005B1F5F">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To clarify only a record of the written evidence provided under the regulation must be kept—not the </w:t>
            </w:r>
            <w:r w:rsidR="00B101B3">
              <w:rPr>
                <w:rFonts w:asciiTheme="minorHAnsi" w:hAnsiTheme="minorHAnsi" w:cstheme="minorHAnsi"/>
                <w:sz w:val="20"/>
                <w:szCs w:val="20"/>
                <w:lang w:val="en-GB" w:eastAsia="en-US"/>
              </w:rPr>
              <w:t xml:space="preserve">original </w:t>
            </w:r>
            <w:r>
              <w:rPr>
                <w:rFonts w:asciiTheme="minorHAnsi" w:hAnsiTheme="minorHAnsi" w:cstheme="minorHAnsi"/>
                <w:sz w:val="20"/>
                <w:szCs w:val="20"/>
                <w:lang w:val="en-GB" w:eastAsia="en-US"/>
              </w:rPr>
              <w:t>licence document or other acceptable form of evidence.</w:t>
            </w:r>
          </w:p>
        </w:tc>
      </w:tr>
      <w:tr w:rsidR="00220887" w:rsidRPr="004F6214" w14:paraId="654031B3"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A9"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AA"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87(2)(b)</w:t>
            </w:r>
          </w:p>
          <w:p w14:paraId="654031AB" w14:textId="77777777" w:rsidR="003E1BA6" w:rsidRDefault="003E1BA6"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lastRenderedPageBreak/>
              <w:t>93(2)(b)</w:t>
            </w:r>
          </w:p>
          <w:p w14:paraId="654031AC" w14:textId="77777777" w:rsidR="00A3540E" w:rsidRDefault="003E1BA6"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101(2)(b)</w:t>
            </w:r>
          </w:p>
          <w:p w14:paraId="654031AD" w14:textId="77777777" w:rsidR="003E1BA6" w:rsidRPr="004F6214" w:rsidRDefault="003E1BA6"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516(2)(b), (c)</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AE" w14:textId="77777777" w:rsidR="00220887" w:rsidRPr="004F6214" w:rsidRDefault="00220887" w:rsidP="00E72E2B">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lastRenderedPageBreak/>
              <w:t xml:space="preserve">Omit the word ‘recent’ plus </w:t>
            </w:r>
            <w:r w:rsidRPr="004F6214">
              <w:rPr>
                <w:rFonts w:asciiTheme="minorHAnsi" w:hAnsiTheme="minorHAnsi" w:cstheme="minorHAnsi"/>
                <w:sz w:val="20"/>
                <w:szCs w:val="20"/>
                <w:lang w:val="en-GB" w:eastAsia="en-US"/>
              </w:rPr>
              <w:lastRenderedPageBreak/>
              <w:t>consequential amendments.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AF" w14:textId="77777777" w:rsidR="00B101B3" w:rsidRDefault="00B101B3"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lastRenderedPageBreak/>
              <w:t>Clarification.</w:t>
            </w:r>
          </w:p>
          <w:p w14:paraId="654031B0" w14:textId="77777777" w:rsidR="00B101B3" w:rsidRDefault="00B101B3"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lastRenderedPageBreak/>
              <w:t xml:space="preserve">Applications for a high risk work licence </w:t>
            </w:r>
            <w:r w:rsidR="003E1BA6">
              <w:rPr>
                <w:rFonts w:asciiTheme="minorHAnsi" w:hAnsiTheme="minorHAnsi" w:cstheme="minorHAnsi"/>
                <w:sz w:val="20"/>
                <w:szCs w:val="20"/>
                <w:lang w:val="en-GB" w:eastAsia="en-US"/>
              </w:rPr>
              <w:t xml:space="preserve">and similar licences </w:t>
            </w:r>
            <w:r>
              <w:rPr>
                <w:rFonts w:asciiTheme="minorHAnsi" w:hAnsiTheme="minorHAnsi" w:cstheme="minorHAnsi"/>
                <w:sz w:val="20"/>
                <w:szCs w:val="20"/>
                <w:lang w:val="en-GB" w:eastAsia="en-US"/>
              </w:rPr>
              <w:t>must be made in the manner and form required by the regulator.</w:t>
            </w:r>
          </w:p>
          <w:p w14:paraId="654031B1" w14:textId="77777777" w:rsidR="00B101B3" w:rsidRDefault="00B101B3"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The reference to a ‘recent’ photograph </w:t>
            </w:r>
            <w:r w:rsidR="003E1BA6">
              <w:rPr>
                <w:rFonts w:asciiTheme="minorHAnsi" w:hAnsiTheme="minorHAnsi" w:cstheme="minorHAnsi"/>
                <w:sz w:val="20"/>
                <w:szCs w:val="20"/>
                <w:lang w:val="en-GB" w:eastAsia="en-US"/>
              </w:rPr>
              <w:t>in paragraph 87(2)(b) and elsewhere is considered</w:t>
            </w:r>
            <w:r>
              <w:rPr>
                <w:rFonts w:asciiTheme="minorHAnsi" w:hAnsiTheme="minorHAnsi" w:cstheme="minorHAnsi"/>
                <w:sz w:val="20"/>
                <w:szCs w:val="20"/>
                <w:lang w:val="en-GB" w:eastAsia="en-US"/>
              </w:rPr>
              <w:t xml:space="preserve"> ambiguous.</w:t>
            </w:r>
          </w:p>
          <w:p w14:paraId="654031B2" w14:textId="77777777" w:rsidR="00220887" w:rsidRPr="004F6214" w:rsidRDefault="00B101B3" w:rsidP="003E1BA6">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The proposed amendment remove</w:t>
            </w:r>
            <w:r w:rsidR="003E1BA6">
              <w:rPr>
                <w:rFonts w:asciiTheme="minorHAnsi" w:hAnsiTheme="minorHAnsi" w:cstheme="minorHAnsi"/>
                <w:sz w:val="20"/>
                <w:szCs w:val="20"/>
                <w:lang w:val="en-GB" w:eastAsia="en-US"/>
              </w:rPr>
              <w:t>s</w:t>
            </w:r>
            <w:r>
              <w:rPr>
                <w:rFonts w:asciiTheme="minorHAnsi" w:hAnsiTheme="minorHAnsi" w:cstheme="minorHAnsi"/>
                <w:sz w:val="20"/>
                <w:szCs w:val="20"/>
                <w:lang w:val="en-GB" w:eastAsia="en-US"/>
              </w:rPr>
              <w:t xml:space="preserve"> th</w:t>
            </w:r>
            <w:r w:rsidR="003E1BA6">
              <w:rPr>
                <w:rFonts w:asciiTheme="minorHAnsi" w:hAnsiTheme="minorHAnsi" w:cstheme="minorHAnsi"/>
                <w:sz w:val="20"/>
                <w:szCs w:val="20"/>
                <w:lang w:val="en-GB" w:eastAsia="en-US"/>
              </w:rPr>
              <w:t>is</w:t>
            </w:r>
            <w:r>
              <w:rPr>
                <w:rFonts w:asciiTheme="minorHAnsi" w:hAnsiTheme="minorHAnsi" w:cstheme="minorHAnsi"/>
                <w:sz w:val="20"/>
                <w:szCs w:val="20"/>
                <w:lang w:val="en-GB" w:eastAsia="en-US"/>
              </w:rPr>
              <w:t xml:space="preserve"> </w:t>
            </w:r>
            <w:r w:rsidR="003E1BA6">
              <w:rPr>
                <w:rFonts w:asciiTheme="minorHAnsi" w:hAnsiTheme="minorHAnsi" w:cstheme="minorHAnsi"/>
                <w:sz w:val="20"/>
                <w:szCs w:val="20"/>
                <w:lang w:val="en-GB" w:eastAsia="en-US"/>
              </w:rPr>
              <w:t>reference</w:t>
            </w:r>
            <w:r>
              <w:rPr>
                <w:rFonts w:asciiTheme="minorHAnsi" w:hAnsiTheme="minorHAnsi" w:cstheme="minorHAnsi"/>
                <w:sz w:val="20"/>
                <w:szCs w:val="20"/>
                <w:lang w:val="en-GB" w:eastAsia="en-US"/>
              </w:rPr>
              <w:t xml:space="preserve"> while still allowing the regulator to specify requirements for photographs in more </w:t>
            </w:r>
            <w:r w:rsidR="003E1BA6">
              <w:rPr>
                <w:rFonts w:asciiTheme="minorHAnsi" w:hAnsiTheme="minorHAnsi" w:cstheme="minorHAnsi"/>
                <w:sz w:val="20"/>
                <w:szCs w:val="20"/>
                <w:lang w:val="en-GB" w:eastAsia="en-US"/>
              </w:rPr>
              <w:t xml:space="preserve">practical </w:t>
            </w:r>
            <w:r>
              <w:rPr>
                <w:rFonts w:asciiTheme="minorHAnsi" w:hAnsiTheme="minorHAnsi" w:cstheme="minorHAnsi"/>
                <w:sz w:val="20"/>
                <w:szCs w:val="20"/>
                <w:lang w:val="en-GB" w:eastAsia="en-US"/>
              </w:rPr>
              <w:t>detail (for example on a form).</w:t>
            </w:r>
          </w:p>
        </w:tc>
      </w:tr>
      <w:tr w:rsidR="00220887" w:rsidRPr="004F6214" w14:paraId="654031BA"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B4"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B5"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91A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B6"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91A—</w:t>
            </w:r>
            <w:r w:rsidR="002D43AC">
              <w:rPr>
                <w:rFonts w:asciiTheme="minorHAnsi" w:hAnsiTheme="minorHAnsi" w:cstheme="minorHAnsi"/>
                <w:sz w:val="20"/>
                <w:szCs w:val="20"/>
                <w:lang w:val="en-GB" w:eastAsia="en-US"/>
              </w:rPr>
              <w:t>Clarify how conditions of licence may be added</w:t>
            </w:r>
            <w:r w:rsidRPr="004F6214">
              <w:rPr>
                <w:rFonts w:asciiTheme="minorHAnsi" w:hAnsiTheme="minorHAnsi" w:cstheme="minorHAnsi"/>
                <w:sz w:val="20"/>
                <w:szCs w:val="20"/>
                <w:lang w:val="en-GB" w:eastAsia="en-US"/>
              </w:rPr>
              <w:t xml:space="preserve"> to a high risk work licence.</w:t>
            </w:r>
          </w:p>
          <w:p w14:paraId="654031B7" w14:textId="77777777" w:rsidR="00220887" w:rsidRPr="004F6214" w:rsidRDefault="00220887" w:rsidP="006769E9">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Consequential amendments to:  104(1)(b), 106(1)(a</w:t>
            </w:r>
            <w:r w:rsidR="00A3540E">
              <w:rPr>
                <w:rFonts w:asciiTheme="minorHAnsi" w:hAnsiTheme="minorHAnsi" w:cstheme="minorHAnsi"/>
                <w:sz w:val="20"/>
                <w:szCs w:val="20"/>
                <w:lang w:val="en-GB" w:eastAsia="en-US"/>
              </w:rPr>
              <w:t>b</w:t>
            </w:r>
            <w:r w:rsidRPr="004F6214">
              <w:rPr>
                <w:rFonts w:asciiTheme="minorHAnsi" w:hAnsiTheme="minorHAnsi" w:cstheme="minorHAnsi"/>
                <w:sz w:val="20"/>
                <w:szCs w:val="20"/>
                <w:lang w:val="en-GB" w:eastAsia="en-US"/>
              </w:rPr>
              <w:t>), 106(3)</w:t>
            </w:r>
            <w:r w:rsidR="005F3A31">
              <w:rPr>
                <w:rFonts w:asciiTheme="minorHAnsi" w:hAnsiTheme="minorHAnsi" w:cstheme="minorHAnsi"/>
                <w:sz w:val="20"/>
                <w:szCs w:val="20"/>
                <w:lang w:val="en-GB" w:eastAsia="en-US"/>
              </w:rPr>
              <w:t xml:space="preserve"> and (4)</w:t>
            </w:r>
            <w:r w:rsidRPr="004F6214">
              <w:rPr>
                <w:rFonts w:asciiTheme="minorHAnsi" w:hAnsiTheme="minorHAnsi" w:cstheme="minorHAnsi"/>
                <w:sz w:val="20"/>
                <w:szCs w:val="20"/>
                <w:lang w:val="en-GB" w:eastAsia="en-US"/>
              </w:rPr>
              <w:t>, 108</w:t>
            </w:r>
            <w:r w:rsidR="005F3A31">
              <w:rPr>
                <w:rFonts w:asciiTheme="minorHAnsi" w:hAnsiTheme="minorHAnsi" w:cstheme="minorHAnsi"/>
                <w:sz w:val="20"/>
                <w:szCs w:val="20"/>
                <w:lang w:val="en-GB" w:eastAsia="en-US"/>
              </w:rPr>
              <w:t xml:space="preserve">(1) and </w:t>
            </w:r>
            <w:r w:rsidRPr="004F6214">
              <w:rPr>
                <w:rFonts w:asciiTheme="minorHAnsi" w:hAnsiTheme="minorHAnsi" w:cstheme="minorHAnsi"/>
                <w:sz w:val="20"/>
                <w:szCs w:val="20"/>
                <w:lang w:val="en-GB" w:eastAsia="en-US"/>
              </w:rPr>
              <w:t>(2), 109(2)(v)</w:t>
            </w:r>
            <w:r w:rsidR="006769E9">
              <w:rPr>
                <w:rFonts w:asciiTheme="minorHAnsi" w:hAnsiTheme="minorHAnsi" w:cstheme="minorHAnsi"/>
                <w:sz w:val="20"/>
                <w:szCs w:val="20"/>
                <w:lang w:val="en-GB" w:eastAsia="en-US"/>
              </w:rPr>
              <w:t xml:space="preserve"> and</w:t>
            </w:r>
            <w:r w:rsidRPr="004F6214">
              <w:rPr>
                <w:rFonts w:asciiTheme="minorHAnsi" w:hAnsiTheme="minorHAnsi" w:cstheme="minorHAnsi"/>
                <w:sz w:val="20"/>
                <w:szCs w:val="20"/>
                <w:lang w:val="en-GB" w:eastAsia="en-US"/>
              </w:rPr>
              <w:t xml:space="preserve"> (vi)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B8" w14:textId="77777777" w:rsidR="00220887" w:rsidRPr="004F6214"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New regulation 91A makes explicit the regulator’s power to impose conditions on high risk work licences</w:t>
            </w:r>
            <w:r w:rsidR="00C00F20">
              <w:rPr>
                <w:rFonts w:asciiTheme="minorHAnsi" w:hAnsiTheme="minorHAnsi" w:cstheme="minorHAnsi"/>
                <w:sz w:val="20"/>
                <w:szCs w:val="20"/>
                <w:lang w:val="en-GB" w:eastAsia="en-US"/>
              </w:rPr>
              <w:t>. This ensures consistency with the drafting of similar provisions elsewhere.</w:t>
            </w:r>
          </w:p>
          <w:p w14:paraId="654031B9" w14:textId="77777777" w:rsidR="00220887" w:rsidRPr="004F6214" w:rsidRDefault="00220887" w:rsidP="00C00F20">
            <w:pPr>
              <w:spacing w:after="120"/>
              <w:rPr>
                <w:rFonts w:asciiTheme="minorHAnsi" w:hAnsiTheme="minorHAnsi" w:cstheme="minorHAnsi"/>
                <w:b/>
                <w:sz w:val="20"/>
                <w:szCs w:val="20"/>
                <w:lang w:val="en-GB" w:eastAsia="en-US"/>
              </w:rPr>
            </w:pPr>
            <w:r>
              <w:rPr>
                <w:rFonts w:asciiTheme="minorHAnsi" w:hAnsiTheme="minorHAnsi" w:cstheme="minorHAnsi"/>
                <w:sz w:val="20"/>
                <w:szCs w:val="20"/>
                <w:lang w:val="en-GB" w:eastAsia="en-US"/>
              </w:rPr>
              <w:t xml:space="preserve">The amendments clarify how conditions may be imposed </w:t>
            </w:r>
            <w:r w:rsidR="00C00F20">
              <w:rPr>
                <w:rFonts w:asciiTheme="minorHAnsi" w:hAnsiTheme="minorHAnsi" w:cstheme="minorHAnsi"/>
                <w:sz w:val="20"/>
                <w:szCs w:val="20"/>
                <w:lang w:val="en-GB" w:eastAsia="en-US"/>
              </w:rPr>
              <w:t>and build in requirements for procedural fairness.</w:t>
            </w:r>
          </w:p>
        </w:tc>
      </w:tr>
      <w:tr w:rsidR="00220887" w:rsidRPr="004F6214" w14:paraId="654031BF"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BB"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BC" w14:textId="77777777" w:rsidR="00220887" w:rsidRPr="004F6214" w:rsidRDefault="00220887" w:rsidP="00C00F20">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93(2)(f)</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BD" w14:textId="77777777" w:rsidR="00220887" w:rsidRPr="004F6214" w:rsidRDefault="00220887" w:rsidP="00C00F20">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 paragraph (2)(f).</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BE" w14:textId="77777777" w:rsidR="00220887" w:rsidRPr="004F6214" w:rsidRDefault="00C00F20" w:rsidP="00AF700D">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Correction. The amendment removes a requirement for licence documents to specify licence conditions. </w:t>
            </w:r>
            <w:r w:rsidR="00AF700D">
              <w:rPr>
                <w:rFonts w:asciiTheme="minorHAnsi" w:hAnsiTheme="minorHAnsi" w:cstheme="minorHAnsi"/>
                <w:sz w:val="20"/>
                <w:szCs w:val="20"/>
                <w:lang w:val="en-GB" w:eastAsia="en-US"/>
              </w:rPr>
              <w:t>This level of detail is not usually provided on licences.</w:t>
            </w:r>
          </w:p>
        </w:tc>
      </w:tr>
      <w:tr w:rsidR="00220887" w:rsidRPr="004F6214" w14:paraId="654031C5"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C0"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C1"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106(1)(ab), (3), (4)</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C2"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Add new paragraph 106(1)(ab) to </w:t>
            </w:r>
            <w:r w:rsidR="00C00F20">
              <w:rPr>
                <w:rFonts w:asciiTheme="minorHAnsi" w:hAnsiTheme="minorHAnsi" w:cstheme="minorHAnsi"/>
                <w:sz w:val="20"/>
                <w:szCs w:val="20"/>
                <w:lang w:val="en-GB" w:eastAsia="en-US"/>
              </w:rPr>
              <w:t>deal with</w:t>
            </w:r>
            <w:r w:rsidRPr="004F6214">
              <w:rPr>
                <w:rFonts w:asciiTheme="minorHAnsi" w:hAnsiTheme="minorHAnsi" w:cstheme="minorHAnsi"/>
                <w:sz w:val="20"/>
                <w:szCs w:val="20"/>
                <w:lang w:val="en-GB" w:eastAsia="en-US"/>
              </w:rPr>
              <w:t xml:space="preserve"> suspension</w:t>
            </w:r>
            <w:r w:rsidR="00C00F20">
              <w:rPr>
                <w:rFonts w:asciiTheme="minorHAnsi" w:hAnsiTheme="minorHAnsi" w:cstheme="minorHAnsi"/>
                <w:sz w:val="20"/>
                <w:szCs w:val="20"/>
                <w:lang w:val="en-GB" w:eastAsia="en-US"/>
              </w:rPr>
              <w:t>s</w:t>
            </w:r>
            <w:r w:rsidRPr="004F6214">
              <w:rPr>
                <w:rFonts w:asciiTheme="minorHAnsi" w:hAnsiTheme="minorHAnsi" w:cstheme="minorHAnsi"/>
                <w:sz w:val="20"/>
                <w:szCs w:val="20"/>
                <w:lang w:val="en-GB" w:eastAsia="en-US"/>
              </w:rPr>
              <w:t xml:space="preserve"> or cancellation</w:t>
            </w:r>
            <w:r w:rsidR="00C00F20">
              <w:rPr>
                <w:rFonts w:asciiTheme="minorHAnsi" w:hAnsiTheme="minorHAnsi" w:cstheme="minorHAnsi"/>
                <w:sz w:val="20"/>
                <w:szCs w:val="20"/>
                <w:lang w:val="en-GB" w:eastAsia="en-US"/>
              </w:rPr>
              <w:t>s</w:t>
            </w:r>
            <w:r w:rsidRPr="004F6214">
              <w:rPr>
                <w:rFonts w:asciiTheme="minorHAnsi" w:hAnsiTheme="minorHAnsi" w:cstheme="minorHAnsi"/>
                <w:sz w:val="20"/>
                <w:szCs w:val="20"/>
                <w:lang w:val="en-GB" w:eastAsia="en-US"/>
              </w:rPr>
              <w:t xml:space="preserve"> </w:t>
            </w:r>
            <w:r w:rsidR="00C00F20">
              <w:rPr>
                <w:rFonts w:asciiTheme="minorHAnsi" w:hAnsiTheme="minorHAnsi" w:cstheme="minorHAnsi"/>
                <w:sz w:val="20"/>
                <w:szCs w:val="20"/>
                <w:lang w:val="en-GB" w:eastAsia="en-US"/>
              </w:rPr>
              <w:t xml:space="preserve">of a licence </w:t>
            </w:r>
            <w:r w:rsidRPr="004F6214">
              <w:rPr>
                <w:rFonts w:asciiTheme="minorHAnsi" w:hAnsiTheme="minorHAnsi" w:cstheme="minorHAnsi"/>
                <w:sz w:val="20"/>
                <w:szCs w:val="20"/>
                <w:lang w:val="en-GB" w:eastAsia="en-US"/>
              </w:rPr>
              <w:t>if there has been a breach of licence conditions.</w:t>
            </w:r>
          </w:p>
          <w:p w14:paraId="654031C3"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Add new subregulations 106(3), (4)</w:t>
            </w:r>
            <w:r w:rsidR="00C00F20">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C4" w14:textId="77777777" w:rsidR="00220887" w:rsidRPr="004F6214" w:rsidRDefault="00C00F20" w:rsidP="0057225F">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Consequential </w:t>
            </w:r>
            <w:r w:rsidR="0057225F">
              <w:rPr>
                <w:rFonts w:asciiTheme="minorHAnsi" w:hAnsiTheme="minorHAnsi" w:cstheme="minorHAnsi"/>
                <w:sz w:val="20"/>
                <w:szCs w:val="20"/>
                <w:lang w:val="en-GB" w:eastAsia="en-US"/>
              </w:rPr>
              <w:t xml:space="preserve">to reflect </w:t>
            </w:r>
            <w:r>
              <w:rPr>
                <w:rFonts w:asciiTheme="minorHAnsi" w:hAnsiTheme="minorHAnsi" w:cstheme="minorHAnsi"/>
                <w:sz w:val="20"/>
                <w:szCs w:val="20"/>
                <w:lang w:val="en-GB" w:eastAsia="en-US"/>
              </w:rPr>
              <w:t>new</w:t>
            </w:r>
            <w:r w:rsidRPr="004F6214">
              <w:rPr>
                <w:rFonts w:asciiTheme="minorHAnsi" w:hAnsiTheme="minorHAnsi" w:cstheme="minorHAnsi"/>
                <w:sz w:val="20"/>
                <w:szCs w:val="20"/>
                <w:lang w:val="en-GB" w:eastAsia="en-US"/>
              </w:rPr>
              <w:t xml:space="preserve"> regulation </w:t>
            </w:r>
            <w:proofErr w:type="spellStart"/>
            <w:r w:rsidRPr="004F6214">
              <w:rPr>
                <w:rFonts w:asciiTheme="minorHAnsi" w:hAnsiTheme="minorHAnsi" w:cstheme="minorHAnsi"/>
                <w:sz w:val="20"/>
                <w:szCs w:val="20"/>
                <w:lang w:val="en-GB" w:eastAsia="en-US"/>
              </w:rPr>
              <w:t>91A</w:t>
            </w:r>
            <w:proofErr w:type="spellEnd"/>
            <w:r w:rsidRPr="004F6214">
              <w:rPr>
                <w:rFonts w:asciiTheme="minorHAnsi" w:hAnsiTheme="minorHAnsi" w:cstheme="minorHAnsi"/>
                <w:sz w:val="20"/>
                <w:szCs w:val="20"/>
                <w:lang w:val="en-GB" w:eastAsia="en-US"/>
              </w:rPr>
              <w:t>.</w:t>
            </w:r>
          </w:p>
        </w:tc>
      </w:tr>
      <w:tr w:rsidR="00220887" w:rsidRPr="004F6214" w14:paraId="654031CA"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C6"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C7"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108</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C8" w14:textId="77777777" w:rsidR="00220887" w:rsidRPr="004F6214" w:rsidRDefault="00C00F20"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Add new paragraph 108(1)(c) with consequential amendments.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C9"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Consequential </w:t>
            </w:r>
            <w:r w:rsidR="0057225F">
              <w:rPr>
                <w:rFonts w:asciiTheme="minorHAnsi" w:hAnsiTheme="minorHAnsi" w:cstheme="minorHAnsi"/>
                <w:sz w:val="20"/>
                <w:szCs w:val="20"/>
                <w:lang w:val="en-GB" w:eastAsia="en-US"/>
              </w:rPr>
              <w:t>to reflect</w:t>
            </w:r>
            <w:r>
              <w:rPr>
                <w:rFonts w:asciiTheme="minorHAnsi" w:hAnsiTheme="minorHAnsi" w:cstheme="minorHAnsi"/>
                <w:sz w:val="20"/>
                <w:szCs w:val="20"/>
                <w:lang w:val="en-GB" w:eastAsia="en-US"/>
              </w:rPr>
              <w:t xml:space="preserve"> new</w:t>
            </w:r>
            <w:r w:rsidRPr="004F6214">
              <w:rPr>
                <w:rFonts w:asciiTheme="minorHAnsi" w:hAnsiTheme="minorHAnsi" w:cstheme="minorHAnsi"/>
                <w:sz w:val="20"/>
                <w:szCs w:val="20"/>
                <w:lang w:val="en-GB" w:eastAsia="en-US"/>
              </w:rPr>
              <w:t xml:space="preserve"> regulation </w:t>
            </w:r>
            <w:proofErr w:type="spellStart"/>
            <w:r w:rsidRPr="004F6214">
              <w:rPr>
                <w:rFonts w:asciiTheme="minorHAnsi" w:hAnsiTheme="minorHAnsi" w:cstheme="minorHAnsi"/>
                <w:sz w:val="20"/>
                <w:szCs w:val="20"/>
                <w:lang w:val="en-GB" w:eastAsia="en-US"/>
              </w:rPr>
              <w:t>91A</w:t>
            </w:r>
            <w:proofErr w:type="spellEnd"/>
            <w:r w:rsidRPr="004F6214">
              <w:rPr>
                <w:rFonts w:asciiTheme="minorHAnsi" w:hAnsiTheme="minorHAnsi" w:cstheme="minorHAnsi"/>
                <w:sz w:val="20"/>
                <w:szCs w:val="20"/>
                <w:lang w:val="en-GB" w:eastAsia="en-US"/>
              </w:rPr>
              <w:t>.</w:t>
            </w:r>
          </w:p>
        </w:tc>
      </w:tr>
      <w:tr w:rsidR="00220887" w:rsidRPr="004F6214" w14:paraId="654031CF"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CB"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CC"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109(2)</w:t>
            </w:r>
            <w:r w:rsidR="00AF700D">
              <w:rPr>
                <w:rFonts w:asciiTheme="minorHAnsi" w:hAnsiTheme="minorHAnsi" w:cstheme="minorHAnsi"/>
                <w:sz w:val="20"/>
                <w:szCs w:val="20"/>
                <w:lang w:val="en-GB" w:eastAsia="en-US"/>
              </w:rPr>
              <w:t>(b)</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CD" w14:textId="77777777" w:rsidR="00220887" w:rsidRPr="004F6214" w:rsidRDefault="00AF700D"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Add new subp</w:t>
            </w:r>
            <w:r w:rsidR="00E417E2">
              <w:rPr>
                <w:rFonts w:asciiTheme="minorHAnsi" w:hAnsiTheme="minorHAnsi" w:cstheme="minorHAnsi"/>
                <w:sz w:val="20"/>
                <w:szCs w:val="20"/>
                <w:lang w:val="en-GB" w:eastAsia="en-US"/>
              </w:rPr>
              <w:t>a</w:t>
            </w:r>
            <w:r>
              <w:rPr>
                <w:rFonts w:asciiTheme="minorHAnsi" w:hAnsiTheme="minorHAnsi" w:cstheme="minorHAnsi"/>
                <w:sz w:val="20"/>
                <w:szCs w:val="20"/>
                <w:lang w:val="en-GB" w:eastAsia="en-US"/>
              </w:rPr>
              <w:t>ragraphs 109(2)(b)(v), (vi).</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CE"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Consequential </w:t>
            </w:r>
            <w:r w:rsidR="0057225F">
              <w:rPr>
                <w:rFonts w:asciiTheme="minorHAnsi" w:hAnsiTheme="minorHAnsi" w:cstheme="minorHAnsi"/>
                <w:sz w:val="20"/>
                <w:szCs w:val="20"/>
                <w:lang w:val="en-GB" w:eastAsia="en-US"/>
              </w:rPr>
              <w:t>to reflect</w:t>
            </w:r>
            <w:r>
              <w:rPr>
                <w:rFonts w:asciiTheme="minorHAnsi" w:hAnsiTheme="minorHAnsi" w:cstheme="minorHAnsi"/>
                <w:sz w:val="20"/>
                <w:szCs w:val="20"/>
                <w:lang w:val="en-GB" w:eastAsia="en-US"/>
              </w:rPr>
              <w:t xml:space="preserve"> </w:t>
            </w:r>
            <w:r w:rsidRPr="004F6214">
              <w:rPr>
                <w:rFonts w:asciiTheme="minorHAnsi" w:hAnsiTheme="minorHAnsi" w:cstheme="minorHAnsi"/>
                <w:sz w:val="20"/>
                <w:szCs w:val="20"/>
                <w:lang w:val="en-GB" w:eastAsia="en-US"/>
              </w:rPr>
              <w:t>new regulation 91A.</w:t>
            </w:r>
          </w:p>
        </w:tc>
      </w:tr>
      <w:tr w:rsidR="00220887" w:rsidRPr="004F6214" w14:paraId="654031D6"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D0"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D1"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152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D2"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 the word ‘generate’.</w:t>
            </w:r>
          </w:p>
          <w:p w14:paraId="654031D3"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Amend jurisdictional note.</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D4" w14:textId="77777777" w:rsidR="00220887" w:rsidRDefault="00202F12"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w:t>
            </w:r>
            <w:r w:rsidR="00220887">
              <w:rPr>
                <w:rFonts w:asciiTheme="minorHAnsi" w:hAnsiTheme="minorHAnsi" w:cstheme="minorHAnsi"/>
                <w:sz w:val="20"/>
                <w:szCs w:val="20"/>
                <w:lang w:val="en-GB" w:eastAsia="en-US"/>
              </w:rPr>
              <w:t xml:space="preserve"> clarif</w:t>
            </w:r>
            <w:r>
              <w:rPr>
                <w:rFonts w:asciiTheme="minorHAnsi" w:hAnsiTheme="minorHAnsi" w:cstheme="minorHAnsi"/>
                <w:sz w:val="20"/>
                <w:szCs w:val="20"/>
                <w:lang w:val="en-GB" w:eastAsia="en-US"/>
              </w:rPr>
              <w:t>y</w:t>
            </w:r>
            <w:r w:rsidR="00220887">
              <w:rPr>
                <w:rFonts w:asciiTheme="minorHAnsi" w:hAnsiTheme="minorHAnsi" w:cstheme="minorHAnsi"/>
                <w:sz w:val="20"/>
                <w:szCs w:val="20"/>
                <w:lang w:val="en-GB" w:eastAsia="en-US"/>
              </w:rPr>
              <w:t xml:space="preserve"> the </w:t>
            </w:r>
            <w:r w:rsidR="00220887" w:rsidRPr="004F6214">
              <w:rPr>
                <w:rFonts w:asciiTheme="minorHAnsi" w:hAnsiTheme="minorHAnsi" w:cstheme="minorHAnsi"/>
                <w:sz w:val="20"/>
                <w:szCs w:val="20"/>
                <w:lang w:val="en-GB" w:eastAsia="en-US"/>
              </w:rPr>
              <w:t>exception at regulation 152 applies in relation to electricity supply</w:t>
            </w:r>
            <w:r w:rsidR="008E731B">
              <w:rPr>
                <w:rFonts w:asciiTheme="minorHAnsi" w:hAnsiTheme="minorHAnsi" w:cstheme="minorHAnsi"/>
                <w:sz w:val="20"/>
                <w:szCs w:val="20"/>
                <w:lang w:val="en-GB" w:eastAsia="en-US"/>
              </w:rPr>
              <w:t>—</w:t>
            </w:r>
            <w:r w:rsidR="00220887" w:rsidRPr="004F6214">
              <w:rPr>
                <w:rFonts w:asciiTheme="minorHAnsi" w:hAnsiTheme="minorHAnsi" w:cstheme="minorHAnsi"/>
                <w:sz w:val="20"/>
                <w:szCs w:val="20"/>
                <w:lang w:val="en-GB" w:eastAsia="en-US"/>
              </w:rPr>
              <w:t>not generation.</w:t>
            </w:r>
            <w:r w:rsidR="00220887">
              <w:rPr>
                <w:rFonts w:asciiTheme="minorHAnsi" w:hAnsiTheme="minorHAnsi" w:cstheme="minorHAnsi"/>
                <w:sz w:val="20"/>
                <w:szCs w:val="20"/>
                <w:lang w:val="en-GB" w:eastAsia="en-US"/>
              </w:rPr>
              <w:t xml:space="preserve"> </w:t>
            </w:r>
          </w:p>
          <w:p w14:paraId="654031D5" w14:textId="77777777" w:rsidR="00220887" w:rsidRPr="004F6214" w:rsidRDefault="00AF700D" w:rsidP="00CE306F">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The jurisdictional note allows </w:t>
            </w:r>
            <w:r w:rsidR="00CE306F">
              <w:rPr>
                <w:rFonts w:asciiTheme="minorHAnsi" w:hAnsiTheme="minorHAnsi" w:cstheme="minorHAnsi"/>
                <w:sz w:val="20"/>
                <w:szCs w:val="20"/>
                <w:lang w:val="en-GB" w:eastAsia="en-US"/>
              </w:rPr>
              <w:t xml:space="preserve">jurisdictions to amend </w:t>
            </w:r>
            <w:r>
              <w:rPr>
                <w:rFonts w:asciiTheme="minorHAnsi" w:hAnsiTheme="minorHAnsi" w:cstheme="minorHAnsi"/>
                <w:sz w:val="20"/>
                <w:szCs w:val="20"/>
                <w:lang w:val="en-GB" w:eastAsia="en-US"/>
              </w:rPr>
              <w:t>the model provision to give effect to the intended policy. This flexibility is necessary as jurisdictions regulate the electricity supply sector differently—for example under competition laws. This means a</w:t>
            </w:r>
            <w:r w:rsidR="008E731B">
              <w:rPr>
                <w:rFonts w:asciiTheme="minorHAnsi" w:hAnsiTheme="minorHAnsi" w:cstheme="minorHAnsi"/>
                <w:sz w:val="20"/>
                <w:szCs w:val="20"/>
                <w:lang w:val="en-GB" w:eastAsia="en-US"/>
              </w:rPr>
              <w:t xml:space="preserve">dditional local provision may need to be made </w:t>
            </w:r>
            <w:r w:rsidR="00CE306F">
              <w:rPr>
                <w:rFonts w:asciiTheme="minorHAnsi" w:hAnsiTheme="minorHAnsi" w:cstheme="minorHAnsi"/>
                <w:sz w:val="20"/>
                <w:szCs w:val="20"/>
                <w:lang w:val="en-GB" w:eastAsia="en-US"/>
              </w:rPr>
              <w:t>to clarify the scope of the exception.</w:t>
            </w:r>
          </w:p>
        </w:tc>
      </w:tr>
      <w:tr w:rsidR="00220887" w:rsidRPr="004F6214" w14:paraId="654031DB"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D7"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D8"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161(4)(a)(ii)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D9"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Insert the words ‘…to rescue </w:t>
            </w:r>
            <w:r w:rsidRPr="004F6214">
              <w:rPr>
                <w:rFonts w:asciiTheme="minorHAnsi" w:hAnsiTheme="minorHAnsi" w:cstheme="minorHAnsi"/>
                <w:i/>
                <w:sz w:val="20"/>
                <w:szCs w:val="20"/>
                <w:lang w:val="en-GB" w:eastAsia="en-US"/>
              </w:rPr>
              <w:t>and resuscitate</w:t>
            </w:r>
            <w:r w:rsidRPr="004F6214">
              <w:rPr>
                <w:rFonts w:asciiTheme="minorHAnsi" w:hAnsiTheme="minorHAnsi" w:cstheme="minorHAnsi"/>
                <w:sz w:val="20"/>
                <w:szCs w:val="20"/>
                <w:lang w:val="en-GB" w:eastAsia="en-US"/>
              </w:rPr>
              <w:t xml:space="preserve"> the worker…’</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DA" w14:textId="77777777" w:rsidR="00220887" w:rsidRPr="004F6214" w:rsidRDefault="00220887" w:rsidP="00AF700D">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w:t>
            </w:r>
            <w:r w:rsidR="00AF700D">
              <w:rPr>
                <w:rFonts w:asciiTheme="minorHAnsi" w:hAnsiTheme="minorHAnsi" w:cstheme="minorHAnsi"/>
                <w:sz w:val="20"/>
                <w:szCs w:val="20"/>
                <w:lang w:val="en-GB" w:eastAsia="en-US"/>
              </w:rPr>
              <w:t>s</w:t>
            </w:r>
            <w:r>
              <w:rPr>
                <w:rFonts w:asciiTheme="minorHAnsi" w:hAnsiTheme="minorHAnsi" w:cstheme="minorHAnsi"/>
                <w:sz w:val="20"/>
                <w:szCs w:val="20"/>
                <w:lang w:val="en-GB" w:eastAsia="en-US"/>
              </w:rPr>
              <w:t xml:space="preserve"> i</w:t>
            </w:r>
            <w:r w:rsidRPr="004F6214">
              <w:rPr>
                <w:rFonts w:asciiTheme="minorHAnsi" w:hAnsiTheme="minorHAnsi" w:cstheme="minorHAnsi"/>
                <w:sz w:val="20"/>
                <w:szCs w:val="20"/>
                <w:lang w:val="en-GB" w:eastAsia="en-US"/>
              </w:rPr>
              <w:t>nadvertent omission.</w:t>
            </w:r>
          </w:p>
        </w:tc>
      </w:tr>
      <w:tr w:rsidR="00220887" w:rsidRPr="004F6214" w14:paraId="654031E0"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DC"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DD"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169(a)</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DE" w14:textId="77777777" w:rsidR="00220887" w:rsidRPr="004F6214" w:rsidRDefault="00220887" w:rsidP="00510C20">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Omit the word ‘appropriate’.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DF" w14:textId="77777777" w:rsidR="00220887" w:rsidRPr="004F6214" w:rsidRDefault="00510C20" w:rsidP="00AF700D">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Consequential upon omitting the definition of ‘appropriate training in underwater medicine’.</w:t>
            </w:r>
          </w:p>
        </w:tc>
      </w:tr>
      <w:tr w:rsidR="002D0857" w:rsidRPr="004F6214" w14:paraId="654031E5"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E1" w14:textId="77777777" w:rsidR="002D0857" w:rsidRPr="004F6214" w:rsidRDefault="002D085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E2" w14:textId="77777777" w:rsidR="002D0857" w:rsidRPr="004F6214" w:rsidRDefault="002D085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171(a), (b)</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E3" w14:textId="77777777" w:rsidR="002D0857" w:rsidRPr="004F6214" w:rsidRDefault="008E731B" w:rsidP="008E731B">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Restructure by s</w:t>
            </w:r>
            <w:r w:rsidR="002D0857">
              <w:rPr>
                <w:rFonts w:asciiTheme="minorHAnsi" w:hAnsiTheme="minorHAnsi" w:cstheme="minorHAnsi"/>
                <w:sz w:val="20"/>
                <w:szCs w:val="20"/>
                <w:lang w:val="en-GB" w:eastAsia="en-US"/>
              </w:rPr>
              <w:t>plit</w:t>
            </w:r>
            <w:r>
              <w:rPr>
                <w:rFonts w:asciiTheme="minorHAnsi" w:hAnsiTheme="minorHAnsi" w:cstheme="minorHAnsi"/>
                <w:sz w:val="20"/>
                <w:szCs w:val="20"/>
                <w:lang w:val="en-GB" w:eastAsia="en-US"/>
              </w:rPr>
              <w:t>ting</w:t>
            </w:r>
            <w:r w:rsidR="002D0857">
              <w:rPr>
                <w:rFonts w:asciiTheme="minorHAnsi" w:hAnsiTheme="minorHAnsi" w:cstheme="minorHAnsi"/>
                <w:sz w:val="20"/>
                <w:szCs w:val="20"/>
                <w:lang w:val="en-GB" w:eastAsia="en-US"/>
              </w:rPr>
              <w:t xml:space="preserve"> into two regulations</w:t>
            </w:r>
            <w:r>
              <w:rPr>
                <w:rFonts w:asciiTheme="minorHAnsi" w:hAnsiTheme="minorHAnsi" w:cstheme="minorHAnsi"/>
                <w:sz w:val="20"/>
                <w:szCs w:val="20"/>
                <w:lang w:val="en-GB" w:eastAsia="en-US"/>
              </w:rPr>
              <w:t xml:space="preserve"> and moving</w:t>
            </w:r>
            <w:r w:rsidR="002D0857">
              <w:rPr>
                <w:rFonts w:asciiTheme="minorHAnsi" w:hAnsiTheme="minorHAnsi" w:cstheme="minorHAnsi"/>
                <w:sz w:val="20"/>
                <w:szCs w:val="20"/>
                <w:lang w:val="en-GB" w:eastAsia="en-US"/>
              </w:rPr>
              <w:t xml:space="preserve"> paragraph 171(b) into new regulation 171A.</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E4" w14:textId="77777777" w:rsidR="002D0857" w:rsidRDefault="00202F12" w:rsidP="00202F12">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w:t>
            </w:r>
            <w:r w:rsidR="002D0857">
              <w:rPr>
                <w:rFonts w:asciiTheme="minorHAnsi" w:hAnsiTheme="minorHAnsi" w:cstheme="minorHAnsi"/>
                <w:sz w:val="20"/>
                <w:szCs w:val="20"/>
                <w:lang w:val="en-GB" w:eastAsia="en-US"/>
              </w:rPr>
              <w:t xml:space="preserve"> clari</w:t>
            </w:r>
            <w:r>
              <w:rPr>
                <w:rFonts w:asciiTheme="minorHAnsi" w:hAnsiTheme="minorHAnsi" w:cstheme="minorHAnsi"/>
                <w:sz w:val="20"/>
                <w:szCs w:val="20"/>
                <w:lang w:val="en-GB" w:eastAsia="en-US"/>
              </w:rPr>
              <w:t>fy policy intent and</w:t>
            </w:r>
            <w:r w:rsidR="002D0857">
              <w:rPr>
                <w:rFonts w:asciiTheme="minorHAnsi" w:hAnsiTheme="minorHAnsi" w:cstheme="minorHAnsi"/>
                <w:sz w:val="20"/>
                <w:szCs w:val="20"/>
                <w:lang w:val="en-GB" w:eastAsia="en-US"/>
              </w:rPr>
              <w:t xml:space="preserve"> improve readability. </w:t>
            </w:r>
          </w:p>
        </w:tc>
      </w:tr>
      <w:tr w:rsidR="00220887" w:rsidRPr="004F6214" w14:paraId="654031EF"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E6"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E7" w14:textId="77777777" w:rsidR="00220887" w:rsidRPr="004F6214" w:rsidRDefault="009717D9"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Old </w:t>
            </w:r>
            <w:r w:rsidR="00220887" w:rsidRPr="004F6214">
              <w:rPr>
                <w:rFonts w:asciiTheme="minorHAnsi" w:hAnsiTheme="minorHAnsi" w:cstheme="minorHAnsi"/>
                <w:sz w:val="20"/>
                <w:szCs w:val="20"/>
                <w:lang w:val="en-GB" w:eastAsia="en-US"/>
              </w:rPr>
              <w:t>171</w:t>
            </w:r>
            <w:r w:rsidR="002D0857">
              <w:rPr>
                <w:rFonts w:asciiTheme="minorHAnsi" w:hAnsiTheme="minorHAnsi" w:cstheme="minorHAnsi"/>
                <w:sz w:val="20"/>
                <w:szCs w:val="20"/>
                <w:lang w:val="en-GB" w:eastAsia="en-US"/>
              </w:rPr>
              <w:t>(a)(ii)</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E8" w14:textId="77777777" w:rsidR="002D0857" w:rsidRDefault="00220887" w:rsidP="00E417E2">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Amend </w:t>
            </w:r>
            <w:r w:rsidR="00CB27A3">
              <w:rPr>
                <w:rFonts w:asciiTheme="minorHAnsi" w:hAnsiTheme="minorHAnsi" w:cstheme="minorHAnsi"/>
                <w:sz w:val="20"/>
                <w:szCs w:val="20"/>
                <w:lang w:val="en-GB" w:eastAsia="en-US"/>
              </w:rPr>
              <w:t xml:space="preserve">old </w:t>
            </w:r>
            <w:r w:rsidRPr="004F6214">
              <w:rPr>
                <w:rFonts w:asciiTheme="minorHAnsi" w:hAnsiTheme="minorHAnsi" w:cstheme="minorHAnsi"/>
                <w:sz w:val="20"/>
                <w:szCs w:val="20"/>
                <w:lang w:val="en-GB" w:eastAsia="en-US"/>
              </w:rPr>
              <w:t>subparagraph 171(a</w:t>
            </w:r>
            <w:proofErr w:type="gramStart"/>
            <w:r w:rsidRPr="004F6214">
              <w:rPr>
                <w:rFonts w:asciiTheme="minorHAnsi" w:hAnsiTheme="minorHAnsi" w:cstheme="minorHAnsi"/>
                <w:sz w:val="20"/>
                <w:szCs w:val="20"/>
                <w:lang w:val="en-GB" w:eastAsia="en-US"/>
              </w:rPr>
              <w:t>)(</w:t>
            </w:r>
            <w:proofErr w:type="gramEnd"/>
            <w:r w:rsidRPr="004F6214">
              <w:rPr>
                <w:rFonts w:asciiTheme="minorHAnsi" w:hAnsiTheme="minorHAnsi" w:cstheme="minorHAnsi"/>
                <w:sz w:val="20"/>
                <w:szCs w:val="20"/>
                <w:lang w:val="en-GB" w:eastAsia="en-US"/>
              </w:rPr>
              <w:t xml:space="preserve">ii) so it </w:t>
            </w:r>
            <w:r w:rsidR="002D0857">
              <w:rPr>
                <w:rFonts w:asciiTheme="minorHAnsi" w:hAnsiTheme="minorHAnsi" w:cstheme="minorHAnsi"/>
                <w:sz w:val="20"/>
                <w:szCs w:val="20"/>
                <w:lang w:val="en-GB" w:eastAsia="en-US"/>
              </w:rPr>
              <w:t>references both AS/NZS 4005</w:t>
            </w:r>
            <w:r w:rsidR="00E417E2">
              <w:rPr>
                <w:rFonts w:asciiTheme="minorHAnsi" w:hAnsiTheme="minorHAnsi" w:cstheme="minorHAnsi"/>
                <w:sz w:val="20"/>
                <w:szCs w:val="20"/>
                <w:lang w:val="en-GB" w:eastAsia="en-US"/>
              </w:rPr>
              <w:t>.2</w:t>
            </w:r>
            <w:r w:rsidR="002D0857">
              <w:rPr>
                <w:rFonts w:asciiTheme="minorHAnsi" w:hAnsiTheme="minorHAnsi" w:cstheme="minorHAnsi"/>
                <w:sz w:val="20"/>
                <w:szCs w:val="20"/>
                <w:lang w:val="en-GB" w:eastAsia="en-US"/>
              </w:rPr>
              <w:t xml:space="preserve"> and </w:t>
            </w:r>
            <w:r w:rsidR="002D0857">
              <w:rPr>
                <w:rFonts w:asciiTheme="minorHAnsi" w:hAnsiTheme="minorHAnsi" w:cstheme="minorHAnsi"/>
                <w:sz w:val="20"/>
                <w:szCs w:val="20"/>
                <w:lang w:val="en-GB" w:eastAsia="en-US"/>
              </w:rPr>
              <w:lastRenderedPageBreak/>
              <w:t>AS</w:t>
            </w:r>
            <w:r w:rsidR="00E417E2">
              <w:rPr>
                <w:rFonts w:asciiTheme="minorHAnsi" w:hAnsiTheme="minorHAnsi" w:cstheme="minorHAnsi"/>
                <w:sz w:val="20"/>
                <w:szCs w:val="20"/>
                <w:lang w:val="en-GB" w:eastAsia="en-US"/>
              </w:rPr>
              <w:t>/NZS 2815</w:t>
            </w:r>
            <w:r w:rsidR="002D0857">
              <w:rPr>
                <w:rFonts w:asciiTheme="minorHAnsi" w:hAnsiTheme="minorHAnsi" w:cstheme="minorHAnsi"/>
                <w:sz w:val="20"/>
                <w:szCs w:val="20"/>
                <w:lang w:val="en-GB" w:eastAsia="en-US"/>
              </w:rPr>
              <w:t>.</w:t>
            </w:r>
            <w:r w:rsidR="00E91784">
              <w:rPr>
                <w:rFonts w:asciiTheme="minorHAnsi" w:hAnsiTheme="minorHAnsi" w:cstheme="minorHAnsi"/>
                <w:sz w:val="20"/>
                <w:szCs w:val="20"/>
                <w:lang w:val="en-GB" w:eastAsia="en-US"/>
              </w:rPr>
              <w:t xml:space="preserve"> </w:t>
            </w:r>
          </w:p>
          <w:p w14:paraId="654031EA" w14:textId="77777777" w:rsidR="001642A0" w:rsidRPr="004F6214" w:rsidRDefault="001642A0" w:rsidP="00FD5040">
            <w:pPr>
              <w:spacing w:after="120"/>
              <w:rPr>
                <w:rFonts w:asciiTheme="minorHAnsi" w:hAnsiTheme="minorHAnsi" w:cstheme="minorHAnsi"/>
                <w:b/>
                <w:sz w:val="20"/>
                <w:szCs w:val="20"/>
                <w:lang w:val="en-GB"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EB" w14:textId="77777777" w:rsidR="00E417E2" w:rsidRDefault="00E417E2" w:rsidP="002D0857">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lastRenderedPageBreak/>
              <w:t xml:space="preserve">To recognise competency requirements listed in either technical standard </w:t>
            </w:r>
            <w:r w:rsidR="00804F11">
              <w:rPr>
                <w:rFonts w:asciiTheme="minorHAnsi" w:hAnsiTheme="minorHAnsi" w:cstheme="minorHAnsi"/>
                <w:sz w:val="20"/>
                <w:szCs w:val="20"/>
                <w:lang w:val="en-GB" w:eastAsia="en-US"/>
              </w:rPr>
              <w:t xml:space="preserve">(or part of the standard) </w:t>
            </w:r>
            <w:r>
              <w:rPr>
                <w:rFonts w:asciiTheme="minorHAnsi" w:hAnsiTheme="minorHAnsi" w:cstheme="minorHAnsi"/>
                <w:sz w:val="20"/>
                <w:szCs w:val="20"/>
                <w:lang w:val="en-GB" w:eastAsia="en-US"/>
              </w:rPr>
              <w:t xml:space="preserve">may be relevant </w:t>
            </w:r>
            <w:r>
              <w:rPr>
                <w:rFonts w:asciiTheme="minorHAnsi" w:hAnsiTheme="minorHAnsi" w:cstheme="minorHAnsi"/>
                <w:sz w:val="20"/>
                <w:szCs w:val="20"/>
                <w:lang w:val="en-GB" w:eastAsia="en-US"/>
              </w:rPr>
              <w:lastRenderedPageBreak/>
              <w:t>to a person’s general diving work.</w:t>
            </w:r>
          </w:p>
          <w:p w14:paraId="654031EC" w14:textId="77777777" w:rsidR="00804F11" w:rsidRDefault="00804F11" w:rsidP="00804F11">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AS/NZS 2815 is the leading technical standard prescribing competencies for different classes of occupational diving. AS/NZS 4005.2 is a carve-out, and prescribes competency requirements for the recreational diving sector only.</w:t>
            </w:r>
          </w:p>
          <w:p w14:paraId="654031ED" w14:textId="77777777" w:rsidR="00E417E2" w:rsidRDefault="00E417E2" w:rsidP="002D0857">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Which </w:t>
            </w:r>
            <w:r w:rsidR="00804F11">
              <w:rPr>
                <w:rFonts w:asciiTheme="minorHAnsi" w:hAnsiTheme="minorHAnsi" w:cstheme="minorHAnsi"/>
                <w:sz w:val="20"/>
                <w:szCs w:val="20"/>
                <w:lang w:val="en-GB" w:eastAsia="en-US"/>
              </w:rPr>
              <w:t>part</w:t>
            </w:r>
            <w:r>
              <w:rPr>
                <w:rFonts w:asciiTheme="minorHAnsi" w:hAnsiTheme="minorHAnsi" w:cstheme="minorHAnsi"/>
                <w:sz w:val="20"/>
                <w:szCs w:val="20"/>
                <w:lang w:val="en-GB" w:eastAsia="en-US"/>
              </w:rPr>
              <w:t xml:space="preserve"> applies</w:t>
            </w:r>
            <w:r w:rsidR="00804F11">
              <w:rPr>
                <w:rFonts w:asciiTheme="minorHAnsi" w:hAnsiTheme="minorHAnsi" w:cstheme="minorHAnsi"/>
                <w:sz w:val="20"/>
                <w:szCs w:val="20"/>
                <w:lang w:val="en-GB" w:eastAsia="en-US"/>
              </w:rPr>
              <w:t xml:space="preserve"> </w:t>
            </w:r>
            <w:r>
              <w:rPr>
                <w:rFonts w:asciiTheme="minorHAnsi" w:hAnsiTheme="minorHAnsi" w:cstheme="minorHAnsi"/>
                <w:sz w:val="20"/>
                <w:szCs w:val="20"/>
                <w:lang w:val="en-GB" w:eastAsia="en-US"/>
              </w:rPr>
              <w:t xml:space="preserve">is ultimately determined by the kind of general diving work </w:t>
            </w:r>
            <w:r w:rsidR="00804F11">
              <w:rPr>
                <w:rFonts w:asciiTheme="minorHAnsi" w:hAnsiTheme="minorHAnsi" w:cstheme="minorHAnsi"/>
                <w:sz w:val="20"/>
                <w:szCs w:val="20"/>
                <w:lang w:val="en-GB" w:eastAsia="en-US"/>
              </w:rPr>
              <w:t>an occupational diver</w:t>
            </w:r>
            <w:r>
              <w:rPr>
                <w:rFonts w:asciiTheme="minorHAnsi" w:hAnsiTheme="minorHAnsi" w:cstheme="minorHAnsi"/>
                <w:sz w:val="20"/>
                <w:szCs w:val="20"/>
                <w:lang w:val="en-GB" w:eastAsia="en-US"/>
              </w:rPr>
              <w:t xml:space="preserve"> undertakes.</w:t>
            </w:r>
          </w:p>
          <w:p w14:paraId="654031EE" w14:textId="77777777" w:rsidR="00DF10A5" w:rsidRPr="004F6214" w:rsidRDefault="00804F11" w:rsidP="00804F11">
            <w:pPr>
              <w:spacing w:after="120"/>
              <w:rPr>
                <w:rFonts w:asciiTheme="minorHAnsi" w:hAnsiTheme="minorHAnsi" w:cstheme="minorHAnsi"/>
                <w:b/>
                <w:sz w:val="20"/>
                <w:szCs w:val="20"/>
                <w:lang w:val="en-GB" w:eastAsia="en-US"/>
              </w:rPr>
            </w:pPr>
            <w:r>
              <w:rPr>
                <w:rFonts w:asciiTheme="minorHAnsi" w:hAnsiTheme="minorHAnsi" w:cstheme="minorHAnsi"/>
                <w:sz w:val="20"/>
                <w:szCs w:val="20"/>
                <w:lang w:val="en-GB" w:eastAsia="en-US"/>
              </w:rPr>
              <w:t>The amendment avoids any suggestion that a person only needs to achieve competencies relevant to the recreational diving sector to undertake any kind of general diving work.</w:t>
            </w:r>
          </w:p>
        </w:tc>
      </w:tr>
      <w:tr w:rsidR="00DF10A5" w:rsidRPr="004F6214" w14:paraId="654031F4"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F0" w14:textId="77777777" w:rsidR="00DF10A5" w:rsidRPr="004F6214" w:rsidRDefault="00DF10A5"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F1" w14:textId="77777777" w:rsidR="00DF10A5" w:rsidRPr="004F6214" w:rsidRDefault="00DF10A5"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171A (previously 171(b))</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F2" w14:textId="77777777" w:rsidR="00DF10A5" w:rsidRPr="004F6214" w:rsidRDefault="00DF10A5" w:rsidP="00FB0DB3">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Add ‘emergency procedures’ to the list of requirements at </w:t>
            </w:r>
            <w:r w:rsidR="00B63918">
              <w:rPr>
                <w:rFonts w:asciiTheme="minorHAnsi" w:hAnsiTheme="minorHAnsi" w:cstheme="minorHAnsi"/>
                <w:sz w:val="20"/>
                <w:szCs w:val="20"/>
                <w:lang w:val="en-GB" w:eastAsia="en-US"/>
              </w:rPr>
              <w:t>re-numbered paragraph 171A</w:t>
            </w:r>
            <w:r w:rsidR="009717D9">
              <w:rPr>
                <w:rFonts w:asciiTheme="minorHAnsi" w:hAnsiTheme="minorHAnsi" w:cstheme="minorHAnsi"/>
                <w:sz w:val="20"/>
                <w:szCs w:val="20"/>
                <w:lang w:val="en-GB" w:eastAsia="en-US"/>
              </w:rPr>
              <w:t>(1)</w:t>
            </w:r>
            <w:r w:rsidR="00B63918">
              <w:rPr>
                <w:rFonts w:asciiTheme="minorHAnsi" w:hAnsiTheme="minorHAnsi" w:cstheme="minorHAnsi"/>
                <w:sz w:val="20"/>
                <w:szCs w:val="20"/>
                <w:lang w:val="en-GB" w:eastAsia="en-US"/>
              </w:rPr>
              <w:t>(g)</w:t>
            </w:r>
            <w:r w:rsidR="00FB0DB3">
              <w:rPr>
                <w:rFonts w:asciiTheme="minorHAnsi" w:hAnsiTheme="minorHAnsi" w:cstheme="minorHAnsi"/>
                <w:sz w:val="20"/>
                <w:szCs w:val="20"/>
                <w:lang w:val="en-GB" w:eastAsia="en-US"/>
              </w:rPr>
              <w:t>.(</w:t>
            </w:r>
            <w:r>
              <w:rPr>
                <w:rFonts w:asciiTheme="minorHAnsi" w:hAnsiTheme="minorHAnsi" w:cstheme="minorHAnsi"/>
                <w:sz w:val="20"/>
                <w:szCs w:val="20"/>
                <w:lang w:val="en-GB" w:eastAsia="en-US"/>
              </w:rPr>
              <w:t>old subparagraph 171(b)(vii)</w:t>
            </w:r>
            <w:r w:rsidR="00FB0DB3">
              <w:rPr>
                <w:rFonts w:asciiTheme="minorHAnsi" w:hAnsiTheme="minorHAnsi" w:cstheme="minorHAnsi"/>
                <w:sz w:val="20"/>
                <w:szCs w:val="20"/>
                <w:lang w:val="en-GB" w:eastAsia="en-US"/>
              </w:rPr>
              <w:t>)</w:t>
            </w:r>
            <w:r>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F3" w14:textId="77777777" w:rsidR="00DF10A5" w:rsidRDefault="008E731B" w:rsidP="00A25389">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Corrects i</w:t>
            </w:r>
            <w:r w:rsidRPr="004F6214">
              <w:rPr>
                <w:rFonts w:asciiTheme="minorHAnsi" w:hAnsiTheme="minorHAnsi" w:cstheme="minorHAnsi"/>
                <w:sz w:val="20"/>
                <w:szCs w:val="20"/>
                <w:lang w:val="en-GB" w:eastAsia="en-US"/>
              </w:rPr>
              <w:t>nadvertent omission.</w:t>
            </w:r>
          </w:p>
        </w:tc>
      </w:tr>
      <w:tr w:rsidR="009717D9" w:rsidRPr="004F6214" w14:paraId="654031F9"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F5" w14:textId="77777777" w:rsidR="009717D9" w:rsidRPr="004F6214" w:rsidRDefault="009717D9"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1F6" w14:textId="77777777" w:rsidR="009717D9" w:rsidRDefault="009717D9" w:rsidP="009717D9">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172</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1F7" w14:textId="77777777" w:rsidR="009717D9" w:rsidRDefault="009717D9" w:rsidP="009717D9">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Add paragraph (1)(c), previously included in the definition of ‘incidental diving work’ in regulation 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1F8" w14:textId="77777777" w:rsidR="009717D9" w:rsidRDefault="009717D9" w:rsidP="00A25389">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Corrects drafting error by co-locating all related, substantive requirements.</w:t>
            </w:r>
          </w:p>
        </w:tc>
      </w:tr>
      <w:tr w:rsidR="00220887" w:rsidRPr="004F6214" w14:paraId="65403200"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1FA"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1FB"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217</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1FC"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 regulation.</w:t>
            </w:r>
          </w:p>
          <w:p w14:paraId="654031FD" w14:textId="19EF5305" w:rsidR="001642A0" w:rsidRPr="004F6214" w:rsidRDefault="001642A0" w:rsidP="00D51995">
            <w:pPr>
              <w:spacing w:after="120"/>
              <w:rPr>
                <w:rFonts w:asciiTheme="minorHAnsi" w:hAnsiTheme="minorHAnsi" w:cstheme="minorHAnsi"/>
                <w:sz w:val="20"/>
                <w:szCs w:val="20"/>
                <w:lang w:val="en-GB" w:eastAsia="en-US"/>
              </w:rPr>
            </w:pP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1FE" w14:textId="77777777" w:rsidR="00220887" w:rsidRPr="004F6214" w:rsidRDefault="00202F12"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 address</w:t>
            </w:r>
            <w:r w:rsidR="00220887" w:rsidRPr="004F6214">
              <w:rPr>
                <w:rFonts w:asciiTheme="minorHAnsi" w:hAnsiTheme="minorHAnsi" w:cstheme="minorHAnsi"/>
                <w:sz w:val="20"/>
                <w:szCs w:val="20"/>
                <w:lang w:val="en-GB" w:eastAsia="en-US"/>
              </w:rPr>
              <w:t xml:space="preserve"> </w:t>
            </w:r>
            <w:r w:rsidR="00220887">
              <w:rPr>
                <w:rFonts w:asciiTheme="minorHAnsi" w:hAnsiTheme="minorHAnsi" w:cstheme="minorHAnsi"/>
                <w:sz w:val="20"/>
                <w:szCs w:val="20"/>
                <w:lang w:val="en-GB" w:eastAsia="en-US"/>
              </w:rPr>
              <w:t>unintended</w:t>
            </w:r>
            <w:r w:rsidR="00220887" w:rsidRPr="004F6214">
              <w:rPr>
                <w:rFonts w:asciiTheme="minorHAnsi" w:hAnsiTheme="minorHAnsi" w:cstheme="minorHAnsi"/>
                <w:sz w:val="20"/>
                <w:szCs w:val="20"/>
                <w:lang w:val="en-GB" w:eastAsia="en-US"/>
              </w:rPr>
              <w:t xml:space="preserve"> consequences</w:t>
            </w:r>
            <w:r>
              <w:rPr>
                <w:rFonts w:asciiTheme="minorHAnsi" w:hAnsiTheme="minorHAnsi" w:cstheme="minorHAnsi"/>
                <w:sz w:val="20"/>
                <w:szCs w:val="20"/>
                <w:lang w:val="en-GB" w:eastAsia="en-US"/>
              </w:rPr>
              <w:t xml:space="preserve"> and workability issues</w:t>
            </w:r>
            <w:r w:rsidR="00220887" w:rsidRPr="004F6214">
              <w:rPr>
                <w:rFonts w:asciiTheme="minorHAnsi" w:hAnsiTheme="minorHAnsi" w:cstheme="minorHAnsi"/>
                <w:sz w:val="20"/>
                <w:szCs w:val="20"/>
                <w:lang w:val="en-GB" w:eastAsia="en-US"/>
              </w:rPr>
              <w:t xml:space="preserve">—particularly where there may be little or no </w:t>
            </w:r>
            <w:r w:rsidR="00804F11">
              <w:rPr>
                <w:rFonts w:asciiTheme="minorHAnsi" w:hAnsiTheme="minorHAnsi" w:cstheme="minorHAnsi"/>
                <w:sz w:val="20"/>
                <w:szCs w:val="20"/>
                <w:lang w:val="en-GB" w:eastAsia="en-US"/>
              </w:rPr>
              <w:t xml:space="preserve">relevant </w:t>
            </w:r>
            <w:r w:rsidR="00220887" w:rsidRPr="004F6214">
              <w:rPr>
                <w:rFonts w:asciiTheme="minorHAnsi" w:hAnsiTheme="minorHAnsi" w:cstheme="minorHAnsi"/>
                <w:sz w:val="20"/>
                <w:szCs w:val="20"/>
                <w:lang w:val="en-GB" w:eastAsia="en-US"/>
              </w:rPr>
              <w:t>risk</w:t>
            </w:r>
            <w:r w:rsidR="00804F11">
              <w:rPr>
                <w:rFonts w:asciiTheme="minorHAnsi" w:hAnsiTheme="minorHAnsi" w:cstheme="minorHAnsi"/>
                <w:sz w:val="20"/>
                <w:szCs w:val="20"/>
                <w:lang w:val="en-GB" w:eastAsia="en-US"/>
              </w:rPr>
              <w:t>s</w:t>
            </w:r>
            <w:r w:rsidR="00220887" w:rsidRPr="004F6214">
              <w:rPr>
                <w:rFonts w:asciiTheme="minorHAnsi" w:hAnsiTheme="minorHAnsi" w:cstheme="minorHAnsi"/>
                <w:sz w:val="20"/>
                <w:szCs w:val="20"/>
                <w:lang w:val="en-GB" w:eastAsia="en-US"/>
              </w:rPr>
              <w:t xml:space="preserve"> posed to operators of certain kinds of earthmoving machinery e.g. pavers.</w:t>
            </w:r>
          </w:p>
          <w:p w14:paraId="654031FF"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This will allow the relevant Code(s) or guidance material to better explain when protective structures should be fitted to earthmoving machinery and minimum acceptable standards for those structures.</w:t>
            </w:r>
          </w:p>
        </w:tc>
      </w:tr>
      <w:tr w:rsidR="00220887" w:rsidRPr="004F6214" w14:paraId="65403208"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01"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02" w14:textId="77777777" w:rsidR="00220887" w:rsidRPr="004F6214" w:rsidRDefault="00220887" w:rsidP="002833C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235(2), (3), (</w:t>
            </w:r>
            <w:r w:rsidR="002833C5">
              <w:rPr>
                <w:rFonts w:asciiTheme="minorHAnsi" w:hAnsiTheme="minorHAnsi" w:cstheme="minorHAnsi"/>
                <w:sz w:val="20"/>
                <w:szCs w:val="20"/>
                <w:lang w:val="en-GB" w:eastAsia="en-US"/>
              </w:rPr>
              <w:t>6</w:t>
            </w:r>
            <w:r w:rsidRPr="004F6214">
              <w:rPr>
                <w:rFonts w:asciiTheme="minorHAnsi" w:hAnsiTheme="minorHAnsi" w:cstheme="minorHAnsi"/>
                <w:sz w:val="20"/>
                <w:szCs w:val="20"/>
                <w:lang w:val="en-GB" w:eastAsia="en-US"/>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03" w14:textId="77777777" w:rsidR="00220887" w:rsidRPr="004F6214" w:rsidRDefault="00A93521"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Simplify and streamline</w:t>
            </w:r>
            <w:r w:rsidR="00220887" w:rsidRPr="004F6214">
              <w:rPr>
                <w:rFonts w:asciiTheme="minorHAnsi" w:hAnsiTheme="minorHAnsi" w:cstheme="minorHAnsi"/>
                <w:sz w:val="20"/>
                <w:szCs w:val="20"/>
                <w:lang w:val="en-GB" w:eastAsia="en-US"/>
              </w:rPr>
              <w:t xml:space="preserve"> subregulations (2) and (3).</w:t>
            </w:r>
          </w:p>
          <w:p w14:paraId="65403204" w14:textId="77777777" w:rsidR="00220887" w:rsidRPr="004F6214" w:rsidRDefault="00220887" w:rsidP="002833C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definition of ‘major inspection’ at subregulation (</w:t>
            </w:r>
            <w:r w:rsidR="002833C5">
              <w:rPr>
                <w:rFonts w:asciiTheme="minorHAnsi" w:hAnsiTheme="minorHAnsi" w:cstheme="minorHAnsi"/>
                <w:sz w:val="20"/>
                <w:szCs w:val="20"/>
                <w:lang w:val="en-GB" w:eastAsia="en-US"/>
              </w:rPr>
              <w:t>6</w:t>
            </w:r>
            <w:r w:rsidRPr="004F6214">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05" w14:textId="77777777" w:rsidR="00220887" w:rsidRDefault="00202F12"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w:t>
            </w:r>
            <w:r w:rsidR="00220887">
              <w:rPr>
                <w:rFonts w:asciiTheme="minorHAnsi" w:hAnsiTheme="minorHAnsi" w:cstheme="minorHAnsi"/>
                <w:sz w:val="20"/>
                <w:szCs w:val="20"/>
                <w:lang w:val="en-GB" w:eastAsia="en-US"/>
              </w:rPr>
              <w:t xml:space="preserve"> clarify </w:t>
            </w:r>
            <w:r w:rsidR="00220887" w:rsidRPr="004F6214">
              <w:rPr>
                <w:rFonts w:asciiTheme="minorHAnsi" w:hAnsiTheme="minorHAnsi" w:cstheme="minorHAnsi"/>
                <w:sz w:val="20"/>
                <w:szCs w:val="20"/>
                <w:lang w:val="en-GB" w:eastAsia="en-US"/>
              </w:rPr>
              <w:t xml:space="preserve">the requirements </w:t>
            </w:r>
            <w:r w:rsidR="00220887">
              <w:rPr>
                <w:rFonts w:asciiTheme="minorHAnsi" w:hAnsiTheme="minorHAnsi" w:cstheme="minorHAnsi"/>
                <w:sz w:val="20"/>
                <w:szCs w:val="20"/>
                <w:lang w:val="en-GB" w:eastAsia="en-US"/>
              </w:rPr>
              <w:t>prescribed by the regulation a</w:t>
            </w:r>
            <w:r w:rsidR="00220887" w:rsidRPr="004F6214">
              <w:rPr>
                <w:rFonts w:asciiTheme="minorHAnsi" w:hAnsiTheme="minorHAnsi" w:cstheme="minorHAnsi"/>
                <w:sz w:val="20"/>
                <w:szCs w:val="20"/>
                <w:lang w:val="en-GB" w:eastAsia="en-US"/>
              </w:rPr>
              <w:t>pply in relation to ‘major inspections’ only.</w:t>
            </w:r>
            <w:r w:rsidR="00220887">
              <w:rPr>
                <w:rFonts w:asciiTheme="minorHAnsi" w:hAnsiTheme="minorHAnsi" w:cstheme="minorHAnsi"/>
                <w:sz w:val="20"/>
                <w:szCs w:val="20"/>
                <w:lang w:val="en-GB" w:eastAsia="en-US"/>
              </w:rPr>
              <w:t xml:space="preserve"> </w:t>
            </w:r>
          </w:p>
          <w:p w14:paraId="65403206" w14:textId="77777777" w:rsidR="00220887" w:rsidRDefault="00202F12" w:rsidP="00202F12">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The </w:t>
            </w:r>
            <w:r w:rsidR="00A93521">
              <w:rPr>
                <w:rFonts w:asciiTheme="minorHAnsi" w:hAnsiTheme="minorHAnsi" w:cstheme="minorHAnsi"/>
                <w:sz w:val="20"/>
                <w:szCs w:val="20"/>
                <w:lang w:val="en-GB" w:eastAsia="en-US"/>
              </w:rPr>
              <w:t>new wording</w:t>
            </w:r>
            <w:r w:rsidR="00220887" w:rsidRPr="004F6214">
              <w:rPr>
                <w:rFonts w:asciiTheme="minorHAnsi" w:hAnsiTheme="minorHAnsi" w:cstheme="minorHAnsi"/>
                <w:sz w:val="20"/>
                <w:szCs w:val="20"/>
                <w:lang w:val="en-GB" w:eastAsia="en-US"/>
              </w:rPr>
              <w:t xml:space="preserve"> </w:t>
            </w:r>
            <w:r w:rsidR="00A93521">
              <w:rPr>
                <w:rFonts w:asciiTheme="minorHAnsi" w:hAnsiTheme="minorHAnsi" w:cstheme="minorHAnsi"/>
                <w:sz w:val="20"/>
                <w:szCs w:val="20"/>
                <w:lang w:val="en-GB" w:eastAsia="en-US"/>
              </w:rPr>
              <w:t>allows</w:t>
            </w:r>
            <w:r w:rsidR="00220887" w:rsidRPr="004F6214">
              <w:rPr>
                <w:rFonts w:asciiTheme="minorHAnsi" w:hAnsiTheme="minorHAnsi" w:cstheme="minorHAnsi"/>
                <w:sz w:val="20"/>
                <w:szCs w:val="20"/>
                <w:lang w:val="en-GB" w:eastAsia="en-US"/>
              </w:rPr>
              <w:t xml:space="preserve"> </w:t>
            </w:r>
            <w:r w:rsidR="00220887">
              <w:rPr>
                <w:rFonts w:asciiTheme="minorHAnsi" w:hAnsiTheme="minorHAnsi" w:cstheme="minorHAnsi"/>
                <w:sz w:val="20"/>
                <w:szCs w:val="20"/>
                <w:lang w:val="en-GB" w:eastAsia="en-US"/>
              </w:rPr>
              <w:t>a</w:t>
            </w:r>
            <w:r w:rsidR="00220887" w:rsidRPr="004F6214">
              <w:rPr>
                <w:rFonts w:asciiTheme="minorHAnsi" w:hAnsiTheme="minorHAnsi" w:cstheme="minorHAnsi"/>
                <w:sz w:val="20"/>
                <w:szCs w:val="20"/>
                <w:lang w:val="en-GB" w:eastAsia="en-US"/>
              </w:rPr>
              <w:t xml:space="preserve"> </w:t>
            </w:r>
            <w:r w:rsidR="00220887">
              <w:rPr>
                <w:rFonts w:asciiTheme="minorHAnsi" w:hAnsiTheme="minorHAnsi" w:cstheme="minorHAnsi"/>
                <w:sz w:val="20"/>
                <w:szCs w:val="20"/>
                <w:lang w:val="en-GB" w:eastAsia="en-US"/>
              </w:rPr>
              <w:t>‘</w:t>
            </w:r>
            <w:r w:rsidR="00220887" w:rsidRPr="004F6214">
              <w:rPr>
                <w:rFonts w:asciiTheme="minorHAnsi" w:hAnsiTheme="minorHAnsi" w:cstheme="minorHAnsi"/>
                <w:sz w:val="20"/>
                <w:szCs w:val="20"/>
                <w:lang w:val="en-GB" w:eastAsia="en-US"/>
              </w:rPr>
              <w:t>major inspection</w:t>
            </w:r>
            <w:r w:rsidR="00220887">
              <w:rPr>
                <w:rFonts w:asciiTheme="minorHAnsi" w:hAnsiTheme="minorHAnsi" w:cstheme="minorHAnsi"/>
                <w:sz w:val="20"/>
                <w:szCs w:val="20"/>
                <w:lang w:val="en-GB" w:eastAsia="en-US"/>
              </w:rPr>
              <w:t>’</w:t>
            </w:r>
            <w:r w:rsidR="00220887" w:rsidRPr="004F6214">
              <w:rPr>
                <w:rFonts w:asciiTheme="minorHAnsi" w:hAnsiTheme="minorHAnsi" w:cstheme="minorHAnsi"/>
                <w:sz w:val="20"/>
                <w:szCs w:val="20"/>
                <w:lang w:val="en-GB" w:eastAsia="en-US"/>
              </w:rPr>
              <w:t xml:space="preserve"> </w:t>
            </w:r>
            <w:r w:rsidR="00A93521">
              <w:rPr>
                <w:rFonts w:asciiTheme="minorHAnsi" w:hAnsiTheme="minorHAnsi" w:cstheme="minorHAnsi"/>
                <w:sz w:val="20"/>
                <w:szCs w:val="20"/>
                <w:lang w:val="en-GB" w:eastAsia="en-US"/>
              </w:rPr>
              <w:t>to</w:t>
            </w:r>
            <w:r w:rsidR="00220887" w:rsidRPr="004F6214">
              <w:rPr>
                <w:rFonts w:asciiTheme="minorHAnsi" w:hAnsiTheme="minorHAnsi" w:cstheme="minorHAnsi"/>
                <w:sz w:val="20"/>
                <w:szCs w:val="20"/>
                <w:lang w:val="en-GB" w:eastAsia="en-US"/>
              </w:rPr>
              <w:t xml:space="preserve"> be carried out </w:t>
            </w:r>
            <w:r w:rsidR="00220887">
              <w:rPr>
                <w:rFonts w:asciiTheme="minorHAnsi" w:hAnsiTheme="minorHAnsi" w:cstheme="minorHAnsi"/>
                <w:sz w:val="20"/>
                <w:szCs w:val="20"/>
                <w:lang w:val="en-GB" w:eastAsia="en-US"/>
              </w:rPr>
              <w:t xml:space="preserve">by </w:t>
            </w:r>
            <w:r w:rsidR="00220887" w:rsidRPr="00C70543">
              <w:rPr>
                <w:rFonts w:asciiTheme="minorHAnsi" w:hAnsiTheme="minorHAnsi" w:cstheme="minorHAnsi"/>
                <w:i/>
                <w:sz w:val="20"/>
                <w:szCs w:val="20"/>
                <w:lang w:val="en-GB" w:eastAsia="en-US"/>
              </w:rPr>
              <w:t>or under the supervision of</w:t>
            </w:r>
            <w:r w:rsidR="00220887" w:rsidRPr="004F6214">
              <w:rPr>
                <w:rFonts w:asciiTheme="minorHAnsi" w:hAnsiTheme="minorHAnsi" w:cstheme="minorHAnsi"/>
                <w:sz w:val="20"/>
                <w:szCs w:val="20"/>
                <w:lang w:val="en-GB" w:eastAsia="en-US"/>
              </w:rPr>
              <w:t xml:space="preserve"> a ‘competent person’ as defined</w:t>
            </w:r>
            <w:r w:rsidR="00A93521">
              <w:rPr>
                <w:rFonts w:asciiTheme="minorHAnsi" w:hAnsiTheme="minorHAnsi" w:cstheme="minorHAnsi"/>
                <w:sz w:val="20"/>
                <w:szCs w:val="20"/>
                <w:lang w:val="en-GB" w:eastAsia="en-US"/>
              </w:rPr>
              <w:t>. This aligns better with the applicable model Code of Practice.</w:t>
            </w:r>
          </w:p>
          <w:p w14:paraId="65403207" w14:textId="77777777" w:rsidR="00A93521" w:rsidRPr="004F6214" w:rsidRDefault="00A93521" w:rsidP="001C679D">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The new definition of ‘major inspection’ is provided for clari</w:t>
            </w:r>
            <w:r w:rsidR="001C679D">
              <w:rPr>
                <w:rFonts w:asciiTheme="minorHAnsi" w:hAnsiTheme="minorHAnsi" w:cstheme="minorHAnsi"/>
                <w:sz w:val="20"/>
                <w:szCs w:val="20"/>
                <w:lang w:val="en-GB" w:eastAsia="en-US"/>
              </w:rPr>
              <w:t>ty.</w:t>
            </w:r>
          </w:p>
        </w:tc>
      </w:tr>
      <w:tr w:rsidR="00220887" w:rsidRPr="004F6214" w14:paraId="6540320E"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09"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0A" w14:textId="77777777" w:rsidR="00220887" w:rsidRPr="004F6214" w:rsidRDefault="00220887" w:rsidP="002833C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235(</w:t>
            </w:r>
            <w:r w:rsidR="002833C5">
              <w:rPr>
                <w:rFonts w:asciiTheme="minorHAnsi" w:hAnsiTheme="minorHAnsi" w:cstheme="minorHAnsi"/>
                <w:sz w:val="20"/>
                <w:szCs w:val="20"/>
                <w:lang w:val="en-GB" w:eastAsia="en-US"/>
              </w:rPr>
              <w:t>3</w:t>
            </w:r>
            <w:r w:rsidRPr="004F6214">
              <w:rPr>
                <w:rFonts w:asciiTheme="minorHAnsi" w:hAnsiTheme="minorHAnsi" w:cstheme="minorHAnsi"/>
                <w:sz w:val="20"/>
                <w:szCs w:val="20"/>
                <w:lang w:val="en-GB" w:eastAsia="en-US"/>
              </w:rPr>
              <w:t>)</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0B" w14:textId="77777777" w:rsidR="00220887" w:rsidRPr="004F6214" w:rsidRDefault="00220887" w:rsidP="002833C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subregulation (</w:t>
            </w:r>
            <w:r w:rsidR="002833C5">
              <w:rPr>
                <w:rFonts w:asciiTheme="minorHAnsi" w:hAnsiTheme="minorHAnsi" w:cstheme="minorHAnsi"/>
                <w:sz w:val="20"/>
                <w:szCs w:val="20"/>
                <w:lang w:val="en-GB" w:eastAsia="en-US"/>
              </w:rPr>
              <w:t>3</w:t>
            </w:r>
            <w:r w:rsidRPr="004F6214">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0C"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New subregulation (</w:t>
            </w:r>
            <w:r w:rsidR="002833C5">
              <w:rPr>
                <w:rFonts w:asciiTheme="minorHAnsi" w:hAnsiTheme="minorHAnsi" w:cstheme="minorHAnsi"/>
                <w:sz w:val="20"/>
                <w:szCs w:val="20"/>
                <w:lang w:val="en-GB" w:eastAsia="en-US"/>
              </w:rPr>
              <w:t>3</w:t>
            </w:r>
            <w:r w:rsidRPr="004F6214">
              <w:rPr>
                <w:rFonts w:asciiTheme="minorHAnsi" w:hAnsiTheme="minorHAnsi" w:cstheme="minorHAnsi"/>
                <w:sz w:val="20"/>
                <w:szCs w:val="20"/>
                <w:lang w:val="en-GB" w:eastAsia="en-US"/>
              </w:rPr>
              <w:t>) allow</w:t>
            </w:r>
            <w:r>
              <w:rPr>
                <w:rFonts w:asciiTheme="minorHAnsi" w:hAnsiTheme="minorHAnsi" w:cstheme="minorHAnsi"/>
                <w:sz w:val="20"/>
                <w:szCs w:val="20"/>
                <w:lang w:val="en-GB" w:eastAsia="en-US"/>
              </w:rPr>
              <w:t>s</w:t>
            </w:r>
            <w:r w:rsidRPr="004F6214">
              <w:rPr>
                <w:rFonts w:asciiTheme="minorHAnsi" w:hAnsiTheme="minorHAnsi" w:cstheme="minorHAnsi"/>
                <w:sz w:val="20"/>
                <w:szCs w:val="20"/>
                <w:lang w:val="en-GB" w:eastAsia="en-US"/>
              </w:rPr>
              <w:t xml:space="preserve"> for the automatic recognition of ‘major inspections’ carried out interstate, provid</w:t>
            </w:r>
            <w:r>
              <w:rPr>
                <w:rFonts w:asciiTheme="minorHAnsi" w:hAnsiTheme="minorHAnsi" w:cstheme="minorHAnsi"/>
                <w:sz w:val="20"/>
                <w:szCs w:val="20"/>
                <w:lang w:val="en-GB" w:eastAsia="en-US"/>
              </w:rPr>
              <w:t xml:space="preserve">ing they were carried out </w:t>
            </w:r>
            <w:r w:rsidRPr="004F6214">
              <w:rPr>
                <w:rFonts w:asciiTheme="minorHAnsi" w:hAnsiTheme="minorHAnsi" w:cstheme="minorHAnsi"/>
                <w:sz w:val="20"/>
                <w:szCs w:val="20"/>
                <w:lang w:val="en-GB" w:eastAsia="en-US"/>
              </w:rPr>
              <w:t xml:space="preserve">under </w:t>
            </w:r>
            <w:r>
              <w:rPr>
                <w:rFonts w:asciiTheme="minorHAnsi" w:hAnsiTheme="minorHAnsi" w:cstheme="minorHAnsi"/>
                <w:sz w:val="20"/>
                <w:szCs w:val="20"/>
                <w:lang w:val="en-GB" w:eastAsia="en-US"/>
              </w:rPr>
              <w:t xml:space="preserve">and in accordance with </w:t>
            </w:r>
            <w:r w:rsidRPr="004F6214">
              <w:rPr>
                <w:rFonts w:asciiTheme="minorHAnsi" w:hAnsiTheme="minorHAnsi" w:cstheme="minorHAnsi"/>
                <w:sz w:val="20"/>
                <w:szCs w:val="20"/>
                <w:lang w:val="en-GB" w:eastAsia="en-US"/>
              </w:rPr>
              <w:t>corresponding WHS laws.</w:t>
            </w:r>
          </w:p>
          <w:p w14:paraId="6540320D" w14:textId="77777777" w:rsidR="00220887" w:rsidRPr="004F6214" w:rsidRDefault="00A93521" w:rsidP="001C679D">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This means</w:t>
            </w:r>
            <w:r w:rsidR="001C679D">
              <w:rPr>
                <w:rFonts w:asciiTheme="minorHAnsi" w:hAnsiTheme="minorHAnsi" w:cstheme="minorHAnsi"/>
                <w:sz w:val="20"/>
                <w:szCs w:val="20"/>
                <w:lang w:val="en-GB" w:eastAsia="en-US"/>
              </w:rPr>
              <w:t>, providing these conditions are met,</w:t>
            </w:r>
            <w:r>
              <w:rPr>
                <w:rFonts w:asciiTheme="minorHAnsi" w:hAnsiTheme="minorHAnsi" w:cstheme="minorHAnsi"/>
                <w:sz w:val="20"/>
                <w:szCs w:val="20"/>
                <w:lang w:val="en-GB" w:eastAsia="en-US"/>
              </w:rPr>
              <w:t xml:space="preserve"> there is no need to ‘re-do’ a major inspection </w:t>
            </w:r>
            <w:r w:rsidR="001C679D">
              <w:rPr>
                <w:rFonts w:asciiTheme="minorHAnsi" w:hAnsiTheme="minorHAnsi" w:cstheme="minorHAnsi"/>
                <w:sz w:val="20"/>
                <w:szCs w:val="20"/>
                <w:lang w:val="en-GB" w:eastAsia="en-US"/>
              </w:rPr>
              <w:t>if equipment is moved interstate—</w:t>
            </w:r>
            <w:r>
              <w:rPr>
                <w:rFonts w:asciiTheme="minorHAnsi" w:hAnsiTheme="minorHAnsi" w:cstheme="minorHAnsi"/>
                <w:sz w:val="20"/>
                <w:szCs w:val="20"/>
                <w:lang w:val="en-GB" w:eastAsia="en-US"/>
              </w:rPr>
              <w:t>for example by an engineer registered in a particular state or territory.</w:t>
            </w:r>
          </w:p>
        </w:tc>
      </w:tr>
      <w:tr w:rsidR="00220887" w:rsidRPr="004F6214" w14:paraId="65403214"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0F"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10"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Part 5.2, Divn 4, Subdn 2, reg</w:t>
            </w:r>
            <w:r>
              <w:rPr>
                <w:rFonts w:asciiTheme="minorHAnsi" w:hAnsiTheme="minorHAnsi" w:cstheme="minorHAnsi"/>
                <w:sz w:val="20"/>
                <w:szCs w:val="20"/>
                <w:lang w:val="en-GB" w:eastAsia="en-US"/>
              </w:rPr>
              <w:t>s</w:t>
            </w:r>
            <w:r w:rsidRPr="004F6214">
              <w:rPr>
                <w:rFonts w:asciiTheme="minorHAnsi" w:hAnsiTheme="minorHAnsi" w:cstheme="minorHAnsi"/>
                <w:sz w:val="20"/>
                <w:szCs w:val="20"/>
                <w:lang w:val="en-GB" w:eastAsia="en-US"/>
              </w:rPr>
              <w:t xml:space="preserve"> 238</w:t>
            </w:r>
            <w:r>
              <w:rPr>
                <w:rFonts w:asciiTheme="minorHAnsi" w:hAnsiTheme="minorHAnsi" w:cstheme="minorHAnsi"/>
                <w:sz w:val="20"/>
                <w:szCs w:val="20"/>
                <w:lang w:val="en-GB" w:eastAsia="en-US"/>
              </w:rPr>
              <w:t xml:space="preserve">, 239, </w:t>
            </w:r>
            <w:r w:rsidR="00D421D6">
              <w:rPr>
                <w:rFonts w:asciiTheme="minorHAnsi" w:hAnsiTheme="minorHAnsi" w:cstheme="minorHAnsi"/>
                <w:sz w:val="20"/>
                <w:szCs w:val="20"/>
                <w:lang w:val="en-GB" w:eastAsia="en-US"/>
              </w:rPr>
              <w:t xml:space="preserve">240, </w:t>
            </w:r>
            <w:r>
              <w:rPr>
                <w:rFonts w:asciiTheme="minorHAnsi" w:hAnsiTheme="minorHAnsi" w:cstheme="minorHAnsi"/>
                <w:sz w:val="20"/>
                <w:szCs w:val="20"/>
                <w:lang w:val="en-GB" w:eastAsia="en-US"/>
              </w:rPr>
              <w:t>241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11"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Amend so that relevant provisions apply to ‘passenger ropeways’</w:t>
            </w:r>
            <w:r w:rsidR="00C70543">
              <w:rPr>
                <w:rFonts w:asciiTheme="minorHAnsi" w:hAnsiTheme="minorHAnsi" w:cstheme="minorHAnsi"/>
                <w:sz w:val="20"/>
                <w:szCs w:val="20"/>
                <w:lang w:val="en-GB" w:eastAsia="en-US"/>
              </w:rPr>
              <w:t xml:space="preserve"> as defined</w:t>
            </w:r>
            <w:r w:rsidRPr="004F6214">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12" w14:textId="77777777" w:rsidR="00220887" w:rsidRDefault="00854140"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 extend relevant</w:t>
            </w:r>
            <w:r w:rsidR="00220887">
              <w:rPr>
                <w:rFonts w:asciiTheme="minorHAnsi" w:hAnsiTheme="minorHAnsi" w:cstheme="minorHAnsi"/>
                <w:sz w:val="20"/>
                <w:szCs w:val="20"/>
                <w:lang w:val="en-GB" w:eastAsia="en-US"/>
              </w:rPr>
              <w:t xml:space="preserve"> requirements under regulations 238, 239</w:t>
            </w:r>
            <w:r>
              <w:rPr>
                <w:rFonts w:asciiTheme="minorHAnsi" w:hAnsiTheme="minorHAnsi" w:cstheme="minorHAnsi"/>
                <w:sz w:val="20"/>
                <w:szCs w:val="20"/>
                <w:lang w:val="en-GB" w:eastAsia="en-US"/>
              </w:rPr>
              <w:t>, 240</w:t>
            </w:r>
            <w:r w:rsidR="00220887">
              <w:rPr>
                <w:rFonts w:asciiTheme="minorHAnsi" w:hAnsiTheme="minorHAnsi" w:cstheme="minorHAnsi"/>
                <w:sz w:val="20"/>
                <w:szCs w:val="20"/>
                <w:lang w:val="en-GB" w:eastAsia="en-US"/>
              </w:rPr>
              <w:t xml:space="preserve"> and 241 to ‘passenger ropeways’ </w:t>
            </w:r>
            <w:r w:rsidR="00C70543">
              <w:rPr>
                <w:rFonts w:asciiTheme="minorHAnsi" w:hAnsiTheme="minorHAnsi" w:cstheme="minorHAnsi"/>
                <w:sz w:val="20"/>
                <w:szCs w:val="20"/>
                <w:lang w:val="en-GB" w:eastAsia="en-US"/>
              </w:rPr>
              <w:t>as defined.</w:t>
            </w:r>
            <w:r w:rsidR="006101A8">
              <w:rPr>
                <w:rFonts w:asciiTheme="minorHAnsi" w:hAnsiTheme="minorHAnsi" w:cstheme="minorHAnsi"/>
                <w:sz w:val="20"/>
                <w:szCs w:val="20"/>
                <w:lang w:val="en-GB" w:eastAsia="en-US"/>
              </w:rPr>
              <w:t xml:space="preserve"> This aligns the requirements for passenger ropeways with most requirements for amusement devices (excepting the regulation 242 logbook requirements).</w:t>
            </w:r>
          </w:p>
          <w:p w14:paraId="65403213" w14:textId="77777777" w:rsidR="00D421D6" w:rsidRPr="004F6214" w:rsidRDefault="00C70543" w:rsidP="007D2FA7">
            <w:pPr>
              <w:spacing w:after="120"/>
              <w:rPr>
                <w:rFonts w:asciiTheme="minorHAnsi" w:hAnsiTheme="minorHAnsi" w:cstheme="minorHAnsi"/>
                <w:sz w:val="20"/>
                <w:szCs w:val="20"/>
                <w:lang w:val="en-GB" w:eastAsia="en-US"/>
              </w:rPr>
            </w:pPr>
            <w:r w:rsidRPr="0057225F">
              <w:rPr>
                <w:rFonts w:asciiTheme="minorHAnsi" w:hAnsiTheme="minorHAnsi" w:cstheme="minorHAnsi"/>
                <w:sz w:val="20"/>
                <w:szCs w:val="20"/>
                <w:lang w:val="en-GB" w:eastAsia="en-US"/>
              </w:rPr>
              <w:lastRenderedPageBreak/>
              <w:t>See item 13</w:t>
            </w:r>
            <w:r>
              <w:rPr>
                <w:rFonts w:asciiTheme="minorHAnsi" w:hAnsiTheme="minorHAnsi" w:cstheme="minorHAnsi"/>
                <w:sz w:val="20"/>
                <w:szCs w:val="20"/>
                <w:lang w:val="en-GB" w:eastAsia="en-US"/>
              </w:rPr>
              <w:t xml:space="preserve"> above for the policy rationale.</w:t>
            </w:r>
          </w:p>
        </w:tc>
      </w:tr>
      <w:tr w:rsidR="00220887" w:rsidRPr="004F6214" w14:paraId="6540321B"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15"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16"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241(5)</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17" w14:textId="77777777" w:rsidR="00220887" w:rsidRPr="004F6214" w:rsidRDefault="00220887" w:rsidP="00940BD0">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Amend ‘competent person’ requirements for the annual inspection of </w:t>
            </w:r>
            <w:r w:rsidR="006101A8">
              <w:rPr>
                <w:rFonts w:asciiTheme="minorHAnsi" w:hAnsiTheme="minorHAnsi" w:cstheme="minorHAnsi"/>
                <w:sz w:val="20"/>
                <w:szCs w:val="20"/>
                <w:lang w:val="en-GB" w:eastAsia="en-US"/>
              </w:rPr>
              <w:t xml:space="preserve">certain </w:t>
            </w:r>
            <w:r w:rsidRPr="004F6214">
              <w:rPr>
                <w:rFonts w:asciiTheme="minorHAnsi" w:hAnsiTheme="minorHAnsi" w:cstheme="minorHAnsi"/>
                <w:sz w:val="20"/>
                <w:szCs w:val="20"/>
                <w:lang w:val="en-GB" w:eastAsia="en-US"/>
              </w:rPr>
              <w:t xml:space="preserve">registrable </w:t>
            </w:r>
            <w:r w:rsidR="006101A8">
              <w:rPr>
                <w:rFonts w:asciiTheme="minorHAnsi" w:hAnsiTheme="minorHAnsi" w:cstheme="minorHAnsi"/>
                <w:sz w:val="20"/>
                <w:szCs w:val="20"/>
                <w:lang w:val="en-GB" w:eastAsia="en-US"/>
              </w:rPr>
              <w:t>inflatable devices</w:t>
            </w:r>
            <w:r w:rsidR="00FB2891">
              <w:rPr>
                <w:rFonts w:asciiTheme="minorHAnsi" w:hAnsiTheme="minorHAnsi" w:cstheme="minorHAnsi"/>
                <w:sz w:val="20"/>
                <w:szCs w:val="20"/>
                <w:lang w:val="en-GB" w:eastAsia="en-US"/>
              </w:rPr>
              <w:t>.</w:t>
            </w:r>
            <w:r w:rsidR="006101A8">
              <w:rPr>
                <w:rFonts w:asciiTheme="minorHAnsi" w:hAnsiTheme="minorHAnsi" w:cstheme="minorHAnsi"/>
                <w:sz w:val="20"/>
                <w:szCs w:val="20"/>
                <w:lang w:val="en-GB" w:eastAsia="en-US"/>
              </w:rPr>
              <w:t xml:space="preserve"> </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18" w14:textId="77777777" w:rsidR="00940BD0" w:rsidRDefault="00854140" w:rsidP="006101A8">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To </w:t>
            </w:r>
            <w:r w:rsidR="006101A8">
              <w:rPr>
                <w:rFonts w:asciiTheme="minorHAnsi" w:hAnsiTheme="minorHAnsi" w:cstheme="minorHAnsi"/>
                <w:sz w:val="20"/>
                <w:szCs w:val="20"/>
                <w:lang w:val="en-GB" w:eastAsia="en-US"/>
              </w:rPr>
              <w:t>apply</w:t>
            </w:r>
            <w:r w:rsidR="00220887">
              <w:rPr>
                <w:rFonts w:asciiTheme="minorHAnsi" w:hAnsiTheme="minorHAnsi" w:cstheme="minorHAnsi"/>
                <w:sz w:val="20"/>
                <w:szCs w:val="20"/>
                <w:lang w:val="en-GB" w:eastAsia="en-US"/>
              </w:rPr>
              <w:t xml:space="preserve"> </w:t>
            </w:r>
            <w:r w:rsidR="00940BD0">
              <w:rPr>
                <w:rFonts w:asciiTheme="minorHAnsi" w:hAnsiTheme="minorHAnsi" w:cstheme="minorHAnsi"/>
                <w:sz w:val="20"/>
                <w:szCs w:val="20"/>
                <w:lang w:val="en-GB" w:eastAsia="en-US"/>
              </w:rPr>
              <w:t>a risk-based approach to annual inspection requirements for registrable inflatable devices.</w:t>
            </w:r>
          </w:p>
          <w:p w14:paraId="65403219" w14:textId="77777777" w:rsidR="00940BD0" w:rsidRDefault="00940BD0" w:rsidP="00940BD0">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The proposed amendment ensure the </w:t>
            </w:r>
            <w:r w:rsidR="00220887">
              <w:rPr>
                <w:rFonts w:asciiTheme="minorHAnsi" w:hAnsiTheme="minorHAnsi" w:cstheme="minorHAnsi"/>
                <w:sz w:val="20"/>
                <w:szCs w:val="20"/>
                <w:lang w:val="en-GB" w:eastAsia="en-US"/>
              </w:rPr>
              <w:t>m</w:t>
            </w:r>
            <w:r w:rsidR="00220887" w:rsidRPr="004F6214">
              <w:rPr>
                <w:rFonts w:asciiTheme="minorHAnsi" w:hAnsiTheme="minorHAnsi" w:cstheme="minorHAnsi"/>
                <w:sz w:val="20"/>
                <w:szCs w:val="20"/>
                <w:lang w:val="en-GB" w:eastAsia="en-US"/>
              </w:rPr>
              <w:t xml:space="preserve">ore stringent </w:t>
            </w:r>
            <w:r>
              <w:rPr>
                <w:rFonts w:asciiTheme="minorHAnsi" w:hAnsiTheme="minorHAnsi" w:cstheme="minorHAnsi"/>
                <w:sz w:val="20"/>
                <w:szCs w:val="20"/>
                <w:lang w:val="en-GB" w:eastAsia="en-US"/>
              </w:rPr>
              <w:t xml:space="preserve">qualification </w:t>
            </w:r>
            <w:r w:rsidR="00220887" w:rsidRPr="004F6214">
              <w:rPr>
                <w:rFonts w:asciiTheme="minorHAnsi" w:hAnsiTheme="minorHAnsi" w:cstheme="minorHAnsi"/>
                <w:sz w:val="20"/>
                <w:szCs w:val="20"/>
                <w:lang w:val="en-GB" w:eastAsia="en-US"/>
              </w:rPr>
              <w:t>requirements</w:t>
            </w:r>
            <w:r>
              <w:rPr>
                <w:rFonts w:asciiTheme="minorHAnsi" w:hAnsiTheme="minorHAnsi" w:cstheme="minorHAnsi"/>
                <w:sz w:val="20"/>
                <w:szCs w:val="20"/>
                <w:lang w:val="en-GB" w:eastAsia="en-US"/>
              </w:rPr>
              <w:t xml:space="preserve"> apply</w:t>
            </w:r>
            <w:r w:rsidR="006101A8">
              <w:rPr>
                <w:rFonts w:asciiTheme="minorHAnsi" w:hAnsiTheme="minorHAnsi" w:cstheme="minorHAnsi"/>
                <w:sz w:val="20"/>
                <w:szCs w:val="20"/>
                <w:lang w:val="en-GB" w:eastAsia="en-US"/>
              </w:rPr>
              <w:t xml:space="preserve"> to higher-risk inflatable devices only</w:t>
            </w:r>
            <w:r w:rsidR="00220887" w:rsidRPr="004F6214">
              <w:rPr>
                <w:rFonts w:asciiTheme="minorHAnsi" w:hAnsiTheme="minorHAnsi" w:cstheme="minorHAnsi"/>
                <w:sz w:val="20"/>
                <w:szCs w:val="20"/>
                <w:lang w:val="en-GB" w:eastAsia="en-US"/>
              </w:rPr>
              <w:t>—that is registrable inflatable devices (continuously blown) with platform heights of nine metres or more.</w:t>
            </w:r>
            <w:r w:rsidR="00220887">
              <w:rPr>
                <w:rFonts w:asciiTheme="minorHAnsi" w:hAnsiTheme="minorHAnsi" w:cstheme="minorHAnsi"/>
                <w:sz w:val="20"/>
                <w:szCs w:val="20"/>
                <w:lang w:val="en-GB" w:eastAsia="en-US"/>
              </w:rPr>
              <w:t xml:space="preserve"> </w:t>
            </w:r>
          </w:p>
          <w:p w14:paraId="6540321A" w14:textId="77777777" w:rsidR="00220887" w:rsidRPr="004F6214" w:rsidRDefault="00220887" w:rsidP="00940BD0">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For </w:t>
            </w:r>
            <w:r w:rsidR="00854140">
              <w:rPr>
                <w:rFonts w:asciiTheme="minorHAnsi" w:hAnsiTheme="minorHAnsi" w:cstheme="minorHAnsi"/>
                <w:sz w:val="20"/>
                <w:szCs w:val="20"/>
                <w:lang w:val="en-GB" w:eastAsia="en-US"/>
              </w:rPr>
              <w:t xml:space="preserve">registrable </w:t>
            </w:r>
            <w:r>
              <w:rPr>
                <w:rFonts w:asciiTheme="minorHAnsi" w:hAnsiTheme="minorHAnsi" w:cstheme="minorHAnsi"/>
                <w:sz w:val="20"/>
                <w:szCs w:val="20"/>
                <w:lang w:val="en-GB" w:eastAsia="en-US"/>
              </w:rPr>
              <w:t xml:space="preserve">inflatables </w:t>
            </w:r>
            <w:r w:rsidR="00854140">
              <w:rPr>
                <w:rFonts w:asciiTheme="minorHAnsi" w:hAnsiTheme="minorHAnsi" w:cstheme="minorHAnsi"/>
                <w:sz w:val="20"/>
                <w:szCs w:val="20"/>
                <w:lang w:val="en-GB" w:eastAsia="en-US"/>
              </w:rPr>
              <w:t xml:space="preserve">devices </w:t>
            </w:r>
            <w:r>
              <w:rPr>
                <w:rFonts w:asciiTheme="minorHAnsi" w:hAnsiTheme="minorHAnsi" w:cstheme="minorHAnsi"/>
                <w:sz w:val="20"/>
                <w:szCs w:val="20"/>
                <w:lang w:val="en-GB" w:eastAsia="en-US"/>
              </w:rPr>
              <w:t xml:space="preserve">under this platform height the general ‘competent person’ requirements </w:t>
            </w:r>
            <w:r w:rsidR="00940BD0">
              <w:rPr>
                <w:rFonts w:asciiTheme="minorHAnsi" w:hAnsiTheme="minorHAnsi" w:cstheme="minorHAnsi"/>
                <w:sz w:val="20"/>
                <w:szCs w:val="20"/>
                <w:lang w:val="en-GB" w:eastAsia="en-US"/>
              </w:rPr>
              <w:t xml:space="preserve">continue to </w:t>
            </w:r>
            <w:r>
              <w:rPr>
                <w:rFonts w:asciiTheme="minorHAnsi" w:hAnsiTheme="minorHAnsi" w:cstheme="minorHAnsi"/>
                <w:sz w:val="20"/>
                <w:szCs w:val="20"/>
                <w:lang w:val="en-GB" w:eastAsia="en-US"/>
              </w:rPr>
              <w:t xml:space="preserve">apply. </w:t>
            </w:r>
            <w:r w:rsidR="00606A67" w:rsidRPr="0057225F">
              <w:rPr>
                <w:rFonts w:asciiTheme="minorHAnsi" w:hAnsiTheme="minorHAnsi" w:cstheme="minorHAnsi"/>
                <w:sz w:val="20"/>
                <w:szCs w:val="20"/>
                <w:lang w:val="en-GB" w:eastAsia="en-US"/>
              </w:rPr>
              <w:t xml:space="preserve">For more </w:t>
            </w:r>
            <w:r w:rsidR="0057225F" w:rsidRPr="0057225F">
              <w:rPr>
                <w:rFonts w:asciiTheme="minorHAnsi" w:hAnsiTheme="minorHAnsi" w:cstheme="minorHAnsi"/>
                <w:sz w:val="20"/>
                <w:szCs w:val="20"/>
                <w:lang w:val="en-GB" w:eastAsia="en-US"/>
              </w:rPr>
              <w:t xml:space="preserve">information </w:t>
            </w:r>
            <w:r w:rsidR="00606A67" w:rsidRPr="0057225F">
              <w:rPr>
                <w:rFonts w:asciiTheme="minorHAnsi" w:hAnsiTheme="minorHAnsi" w:cstheme="minorHAnsi"/>
                <w:sz w:val="20"/>
                <w:szCs w:val="20"/>
                <w:lang w:val="en-GB" w:eastAsia="en-US"/>
              </w:rPr>
              <w:t>see item 55.</w:t>
            </w:r>
          </w:p>
        </w:tc>
      </w:tr>
      <w:tr w:rsidR="00220887" w:rsidRPr="004F6214" w14:paraId="65403220"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1C"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1D"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241(7)</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1E"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subregulation (7).</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1F" w14:textId="77777777" w:rsidR="00220887" w:rsidRPr="004F6214" w:rsidRDefault="00220887" w:rsidP="00940BD0">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As for</w:t>
            </w:r>
            <w:r>
              <w:rPr>
                <w:rFonts w:asciiTheme="minorHAnsi" w:hAnsiTheme="minorHAnsi" w:cstheme="minorHAnsi"/>
                <w:sz w:val="20"/>
                <w:szCs w:val="20"/>
                <w:lang w:val="en-GB" w:eastAsia="en-US"/>
              </w:rPr>
              <w:t xml:space="preserve"> </w:t>
            </w:r>
            <w:r w:rsidRPr="003C21E9">
              <w:rPr>
                <w:rFonts w:asciiTheme="minorHAnsi" w:hAnsiTheme="minorHAnsi" w:cstheme="minorHAnsi"/>
                <w:sz w:val="20"/>
                <w:szCs w:val="20"/>
                <w:lang w:val="en-GB" w:eastAsia="en-US"/>
              </w:rPr>
              <w:t xml:space="preserve">item </w:t>
            </w:r>
            <w:r w:rsidR="00854140">
              <w:rPr>
                <w:rFonts w:asciiTheme="minorHAnsi" w:hAnsiTheme="minorHAnsi" w:cstheme="minorHAnsi"/>
                <w:sz w:val="20"/>
                <w:szCs w:val="20"/>
                <w:lang w:val="en-GB" w:eastAsia="en-US"/>
              </w:rPr>
              <w:t>3</w:t>
            </w:r>
            <w:r w:rsidR="00940BD0">
              <w:rPr>
                <w:rFonts w:asciiTheme="minorHAnsi" w:hAnsiTheme="minorHAnsi" w:cstheme="minorHAnsi"/>
                <w:sz w:val="20"/>
                <w:szCs w:val="20"/>
                <w:lang w:val="en-GB" w:eastAsia="en-US"/>
              </w:rPr>
              <w:t>6</w:t>
            </w:r>
            <w:r w:rsidRPr="00B63918">
              <w:rPr>
                <w:rFonts w:asciiTheme="minorHAnsi" w:hAnsiTheme="minorHAnsi" w:cstheme="minorHAnsi"/>
                <w:sz w:val="20"/>
                <w:szCs w:val="20"/>
                <w:lang w:val="en-GB" w:eastAsia="en-US"/>
              </w:rPr>
              <w:t xml:space="preserve"> above.</w:t>
            </w:r>
          </w:p>
        </w:tc>
      </w:tr>
      <w:tr w:rsidR="00220887" w:rsidRPr="004F6214" w14:paraId="65403226"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21"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222"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244(3)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223"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an exception that removes the requirement to design register a site-specific alteration to a crane foundation or ties.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224" w14:textId="77777777" w:rsidR="00251949" w:rsidRDefault="00251949"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 clarify site-specific design information about crane foundations and ties does not need to be re-registered as an ‘alteration’ each time a crane is re-located, in the circumstances set out in subregulation 244(3).</w:t>
            </w:r>
            <w:r w:rsidR="00BF766F">
              <w:rPr>
                <w:rFonts w:asciiTheme="minorHAnsi" w:hAnsiTheme="minorHAnsi" w:cstheme="minorHAnsi"/>
                <w:sz w:val="20"/>
                <w:szCs w:val="20"/>
                <w:lang w:val="en-GB" w:eastAsia="en-US"/>
              </w:rPr>
              <w:t xml:space="preserve"> This change will assist in the uniform implementation of these registration requirements.</w:t>
            </w:r>
          </w:p>
          <w:p w14:paraId="65403225" w14:textId="77777777" w:rsidR="00220887" w:rsidRPr="004F6214" w:rsidRDefault="00FB2891" w:rsidP="00FB2891">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This does not affect the duty to register the underlying design—which may include generic design information about foundation, ties and similar elements (e.g. static bases).</w:t>
            </w:r>
          </w:p>
        </w:tc>
      </w:tr>
      <w:tr w:rsidR="00DF10A5" w:rsidRPr="004F6214" w14:paraId="6540322C"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27" w14:textId="77777777" w:rsidR="00DF10A5" w:rsidRPr="004F6214" w:rsidRDefault="00DF10A5"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228" w14:textId="77777777" w:rsidR="00DF10A5" w:rsidRPr="004F6214" w:rsidRDefault="00DF10A5" w:rsidP="00940BD0">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252(2)</w:t>
            </w:r>
            <w:r w:rsidR="00566BF0">
              <w:rPr>
                <w:rFonts w:asciiTheme="minorHAnsi" w:hAnsiTheme="minorHAnsi" w:cstheme="minorHAnsi"/>
                <w:sz w:val="20"/>
                <w:szCs w:val="20"/>
                <w:lang w:val="en-GB" w:eastAsia="en-US"/>
              </w:rPr>
              <w:t xml:space="preserve"> and </w:t>
            </w:r>
            <w:r>
              <w:rPr>
                <w:rFonts w:asciiTheme="minorHAnsi" w:hAnsiTheme="minorHAnsi" w:cstheme="minorHAnsi"/>
                <w:sz w:val="20"/>
                <w:szCs w:val="20"/>
                <w:lang w:val="en-GB" w:eastAsia="en-US"/>
              </w:rPr>
              <w:t>(3)</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22A" w14:textId="690537DD" w:rsidR="001642A0" w:rsidRPr="004F6214" w:rsidRDefault="00DF10A5" w:rsidP="00996D0D">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Omit external </w:t>
            </w:r>
            <w:r w:rsidR="00996D0D">
              <w:rPr>
                <w:rFonts w:asciiTheme="minorHAnsi" w:hAnsiTheme="minorHAnsi" w:cstheme="minorHAnsi"/>
                <w:sz w:val="20"/>
                <w:szCs w:val="20"/>
                <w:lang w:val="en-GB" w:eastAsia="en-US"/>
              </w:rPr>
              <w:t xml:space="preserve">verification </w:t>
            </w:r>
            <w:r>
              <w:rPr>
                <w:rFonts w:asciiTheme="minorHAnsi" w:hAnsiTheme="minorHAnsi" w:cstheme="minorHAnsi"/>
                <w:sz w:val="20"/>
                <w:szCs w:val="20"/>
                <w:lang w:val="en-GB" w:eastAsia="en-US"/>
              </w:rPr>
              <w:t>requirements for in-house designs</w:t>
            </w:r>
            <w:r w:rsidR="00566BF0">
              <w:rPr>
                <w:rFonts w:asciiTheme="minorHAnsi" w:hAnsiTheme="minorHAnsi" w:cstheme="minorHAnsi"/>
                <w:sz w:val="20"/>
                <w:szCs w:val="20"/>
                <w:lang w:val="en-GB" w:eastAsia="en-US"/>
              </w:rPr>
              <w:t xml:space="preserve"> in </w:t>
            </w:r>
            <w:proofErr w:type="spellStart"/>
            <w:r w:rsidR="00996D0D">
              <w:rPr>
                <w:rFonts w:asciiTheme="minorHAnsi" w:hAnsiTheme="minorHAnsi" w:cstheme="minorHAnsi"/>
                <w:sz w:val="20"/>
                <w:szCs w:val="20"/>
                <w:lang w:val="en-GB" w:eastAsia="en-US"/>
              </w:rPr>
              <w:t>sub</w:t>
            </w:r>
            <w:r w:rsidR="00566BF0">
              <w:rPr>
                <w:rFonts w:asciiTheme="minorHAnsi" w:hAnsiTheme="minorHAnsi" w:cstheme="minorHAnsi"/>
                <w:sz w:val="20"/>
                <w:szCs w:val="20"/>
                <w:lang w:val="en-GB" w:eastAsia="en-US"/>
              </w:rPr>
              <w:t>regulations</w:t>
            </w:r>
            <w:proofErr w:type="spellEnd"/>
            <w:r w:rsidR="00566BF0">
              <w:rPr>
                <w:rFonts w:asciiTheme="minorHAnsi" w:hAnsiTheme="minorHAnsi" w:cstheme="minorHAnsi"/>
                <w:sz w:val="20"/>
                <w:szCs w:val="20"/>
                <w:lang w:val="en-GB" w:eastAsia="en-US"/>
              </w:rPr>
              <w:t xml:space="preserve"> </w:t>
            </w:r>
            <w:r w:rsidR="00BF766F">
              <w:rPr>
                <w:rFonts w:asciiTheme="minorHAnsi" w:hAnsiTheme="minorHAnsi" w:cstheme="minorHAnsi"/>
                <w:sz w:val="20"/>
                <w:szCs w:val="20"/>
                <w:lang w:val="en-GB" w:eastAsia="en-US"/>
              </w:rPr>
              <w:t>252</w:t>
            </w:r>
            <w:r w:rsidR="00996D0D">
              <w:rPr>
                <w:rFonts w:asciiTheme="minorHAnsi" w:hAnsiTheme="minorHAnsi" w:cstheme="minorHAnsi"/>
                <w:sz w:val="20"/>
                <w:szCs w:val="20"/>
                <w:lang w:val="en-GB" w:eastAsia="en-US"/>
              </w:rPr>
              <w:t>(2) and (3)</w:t>
            </w:r>
            <w:r>
              <w:rPr>
                <w:rFonts w:asciiTheme="minorHAnsi" w:hAnsiTheme="minorHAnsi" w:cstheme="minorHAnsi"/>
                <w:sz w:val="20"/>
                <w:szCs w:val="20"/>
                <w:lang w:val="en-GB" w:eastAsia="en-US"/>
              </w:rPr>
              <w:t>.</w:t>
            </w:r>
            <w:bookmarkStart w:id="0" w:name="_GoBack"/>
            <w:bookmarkEnd w:id="0"/>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22B" w14:textId="77777777" w:rsidR="00DF10A5" w:rsidRDefault="00854140" w:rsidP="00996D0D">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w:t>
            </w:r>
            <w:r w:rsidR="00684482">
              <w:rPr>
                <w:rFonts w:asciiTheme="minorHAnsi" w:hAnsiTheme="minorHAnsi" w:cstheme="minorHAnsi"/>
                <w:sz w:val="20"/>
                <w:szCs w:val="20"/>
                <w:lang w:val="en-GB" w:eastAsia="en-US"/>
              </w:rPr>
              <w:t xml:space="preserve"> </w:t>
            </w:r>
            <w:r>
              <w:rPr>
                <w:rFonts w:asciiTheme="minorHAnsi" w:hAnsiTheme="minorHAnsi" w:cstheme="minorHAnsi"/>
                <w:sz w:val="20"/>
                <w:szCs w:val="20"/>
                <w:lang w:val="en-GB" w:eastAsia="en-US"/>
              </w:rPr>
              <w:t xml:space="preserve">omit third-party </w:t>
            </w:r>
            <w:r w:rsidR="00996D0D">
              <w:rPr>
                <w:rFonts w:asciiTheme="minorHAnsi" w:hAnsiTheme="minorHAnsi" w:cstheme="minorHAnsi"/>
                <w:sz w:val="20"/>
                <w:szCs w:val="20"/>
                <w:lang w:val="en-GB" w:eastAsia="en-US"/>
              </w:rPr>
              <w:t xml:space="preserve">verification </w:t>
            </w:r>
            <w:r w:rsidR="00684482">
              <w:rPr>
                <w:rFonts w:asciiTheme="minorHAnsi" w:hAnsiTheme="minorHAnsi" w:cstheme="minorHAnsi"/>
                <w:sz w:val="20"/>
                <w:szCs w:val="20"/>
                <w:lang w:val="en-GB" w:eastAsia="en-US"/>
              </w:rPr>
              <w:t>requirements</w:t>
            </w:r>
            <w:r>
              <w:rPr>
                <w:rFonts w:asciiTheme="minorHAnsi" w:hAnsiTheme="minorHAnsi" w:cstheme="minorHAnsi"/>
                <w:sz w:val="20"/>
                <w:szCs w:val="20"/>
                <w:lang w:val="en-GB" w:eastAsia="en-US"/>
              </w:rPr>
              <w:t xml:space="preserve"> </w:t>
            </w:r>
            <w:r w:rsidR="00684482">
              <w:rPr>
                <w:rFonts w:asciiTheme="minorHAnsi" w:hAnsiTheme="minorHAnsi" w:cstheme="minorHAnsi"/>
                <w:sz w:val="20"/>
                <w:szCs w:val="20"/>
                <w:lang w:val="en-GB" w:eastAsia="en-US"/>
              </w:rPr>
              <w:t>to address</w:t>
            </w:r>
            <w:r w:rsidR="00DF10A5" w:rsidRPr="00DF10A5">
              <w:rPr>
                <w:rFonts w:asciiTheme="minorHAnsi" w:hAnsiTheme="minorHAnsi" w:cstheme="minorHAnsi"/>
                <w:sz w:val="20"/>
                <w:szCs w:val="20"/>
                <w:lang w:val="en-GB" w:eastAsia="en-US"/>
              </w:rPr>
              <w:t xml:space="preserve"> unintended consequences and </w:t>
            </w:r>
            <w:r w:rsidR="00684482">
              <w:rPr>
                <w:rFonts w:asciiTheme="minorHAnsi" w:hAnsiTheme="minorHAnsi" w:cstheme="minorHAnsi"/>
                <w:sz w:val="20"/>
                <w:szCs w:val="20"/>
                <w:lang w:val="en-GB" w:eastAsia="en-US"/>
              </w:rPr>
              <w:t>workability issues</w:t>
            </w:r>
            <w:r w:rsidR="00DF10A5" w:rsidRPr="00DF10A5">
              <w:rPr>
                <w:rFonts w:asciiTheme="minorHAnsi" w:hAnsiTheme="minorHAnsi" w:cstheme="minorHAnsi"/>
                <w:sz w:val="20"/>
                <w:szCs w:val="20"/>
                <w:lang w:val="en-GB" w:eastAsia="en-US"/>
              </w:rPr>
              <w:t>.</w:t>
            </w:r>
            <w:r w:rsidR="00DF10A5">
              <w:rPr>
                <w:rFonts w:asciiTheme="minorHAnsi" w:hAnsiTheme="minorHAnsi" w:cstheme="minorHAnsi"/>
                <w:sz w:val="20"/>
                <w:szCs w:val="20"/>
                <w:lang w:val="en-GB" w:eastAsia="en-US"/>
              </w:rPr>
              <w:t xml:space="preserve"> </w:t>
            </w:r>
          </w:p>
        </w:tc>
      </w:tr>
      <w:tr w:rsidR="00220887" w:rsidRPr="004F6214" w14:paraId="65403231"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2D"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2E"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266(2)(f)</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2F"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 paragraph (2)(f).</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30" w14:textId="77777777" w:rsidR="00220887" w:rsidRPr="004F6214" w:rsidRDefault="00854140" w:rsidP="00854140">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 r</w:t>
            </w:r>
            <w:r w:rsidR="00220887">
              <w:rPr>
                <w:rFonts w:asciiTheme="minorHAnsi" w:hAnsiTheme="minorHAnsi" w:cstheme="minorHAnsi"/>
                <w:sz w:val="20"/>
                <w:szCs w:val="20"/>
                <w:lang w:val="en-GB" w:eastAsia="en-US"/>
              </w:rPr>
              <w:t>emove duplication—</w:t>
            </w:r>
            <w:r w:rsidR="00220887" w:rsidRPr="004F6214">
              <w:rPr>
                <w:rFonts w:asciiTheme="minorHAnsi" w:hAnsiTheme="minorHAnsi" w:cstheme="minorHAnsi"/>
                <w:sz w:val="20"/>
                <w:szCs w:val="20"/>
                <w:lang w:val="en-GB" w:eastAsia="en-US"/>
              </w:rPr>
              <w:t xml:space="preserve">duplicate provision exists at </w:t>
            </w:r>
            <w:r w:rsidR="00996D0D">
              <w:rPr>
                <w:rFonts w:asciiTheme="minorHAnsi" w:hAnsiTheme="minorHAnsi" w:cstheme="minorHAnsi"/>
                <w:sz w:val="20"/>
                <w:szCs w:val="20"/>
                <w:lang w:val="en-GB" w:eastAsia="en-US"/>
              </w:rPr>
              <w:t>sub</w:t>
            </w:r>
            <w:r w:rsidR="00220887" w:rsidRPr="004F6214">
              <w:rPr>
                <w:rFonts w:asciiTheme="minorHAnsi" w:hAnsiTheme="minorHAnsi" w:cstheme="minorHAnsi"/>
                <w:sz w:val="20"/>
                <w:szCs w:val="20"/>
                <w:lang w:val="en-GB" w:eastAsia="en-US"/>
              </w:rPr>
              <w:t>regulation</w:t>
            </w:r>
            <w:r w:rsidR="00996D0D">
              <w:rPr>
                <w:rFonts w:asciiTheme="minorHAnsi" w:hAnsiTheme="minorHAnsi" w:cstheme="minorHAnsi"/>
                <w:sz w:val="20"/>
                <w:szCs w:val="20"/>
                <w:lang w:val="en-GB" w:eastAsia="en-US"/>
              </w:rPr>
              <w:t xml:space="preserve"> 266</w:t>
            </w:r>
            <w:r w:rsidR="00220887" w:rsidRPr="004F6214">
              <w:rPr>
                <w:rFonts w:asciiTheme="minorHAnsi" w:hAnsiTheme="minorHAnsi" w:cstheme="minorHAnsi"/>
                <w:sz w:val="20"/>
                <w:szCs w:val="20"/>
                <w:lang w:val="en-GB" w:eastAsia="en-US"/>
              </w:rPr>
              <w:t>(2)(i).</w:t>
            </w:r>
          </w:p>
        </w:tc>
      </w:tr>
      <w:tr w:rsidR="00220887" w:rsidRPr="004F6214" w14:paraId="65403238"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32" w14:textId="77777777" w:rsidR="00220887" w:rsidRPr="00D341CD"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33" w14:textId="77777777" w:rsidR="00220887" w:rsidRPr="00D341CD" w:rsidRDefault="00220887" w:rsidP="00D51995">
            <w:pPr>
              <w:spacing w:after="120"/>
              <w:rPr>
                <w:rFonts w:asciiTheme="minorHAnsi" w:hAnsiTheme="minorHAnsi" w:cstheme="minorHAnsi"/>
                <w:sz w:val="20"/>
                <w:szCs w:val="20"/>
                <w:lang w:val="en-GB" w:eastAsia="en-US"/>
              </w:rPr>
            </w:pPr>
            <w:r w:rsidRPr="00D341CD">
              <w:rPr>
                <w:rFonts w:asciiTheme="minorHAnsi" w:hAnsiTheme="minorHAnsi" w:cstheme="minorHAnsi"/>
                <w:sz w:val="20"/>
                <w:szCs w:val="20"/>
                <w:lang w:val="en-GB" w:eastAsia="en-US"/>
              </w:rPr>
              <w:t>Part 5.3, Divn 6</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34" w14:textId="77777777" w:rsidR="00220887" w:rsidRPr="00D341CD" w:rsidRDefault="00220887" w:rsidP="00D51995">
            <w:pPr>
              <w:spacing w:after="120"/>
              <w:rPr>
                <w:rFonts w:asciiTheme="minorHAnsi" w:hAnsiTheme="minorHAnsi" w:cstheme="minorHAnsi"/>
                <w:sz w:val="20"/>
                <w:szCs w:val="20"/>
                <w:lang w:val="en-GB" w:eastAsia="en-US"/>
              </w:rPr>
            </w:pPr>
            <w:r w:rsidRPr="00D341CD">
              <w:rPr>
                <w:rFonts w:asciiTheme="minorHAnsi" w:hAnsiTheme="minorHAnsi" w:cstheme="minorHAnsi"/>
                <w:sz w:val="20"/>
                <w:szCs w:val="20"/>
                <w:lang w:val="en-GB" w:eastAsia="en-US"/>
              </w:rPr>
              <w:t xml:space="preserve">Insert new Division 6—Cancellation of registration (regulations </w:t>
            </w:r>
            <w:r w:rsidR="00996D0D" w:rsidRPr="00D341CD">
              <w:rPr>
                <w:rFonts w:asciiTheme="minorHAnsi" w:hAnsiTheme="minorHAnsi" w:cstheme="minorHAnsi"/>
                <w:sz w:val="20"/>
                <w:szCs w:val="20"/>
                <w:lang w:val="en-GB" w:eastAsia="en-US"/>
              </w:rPr>
              <w:t>2</w:t>
            </w:r>
            <w:r w:rsidRPr="00D341CD">
              <w:rPr>
                <w:rFonts w:asciiTheme="minorHAnsi" w:hAnsiTheme="minorHAnsi" w:cstheme="minorHAnsi"/>
                <w:sz w:val="20"/>
                <w:szCs w:val="20"/>
                <w:lang w:val="en-GB" w:eastAsia="en-US"/>
              </w:rPr>
              <w:t>88A – 288D).</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35" w14:textId="77777777" w:rsidR="00D341CD" w:rsidRPr="00D341CD" w:rsidRDefault="00D341CD" w:rsidP="00D341CD">
            <w:pPr>
              <w:spacing w:after="120"/>
              <w:rPr>
                <w:rFonts w:asciiTheme="minorHAnsi" w:hAnsiTheme="minorHAnsi" w:cstheme="minorHAnsi"/>
                <w:sz w:val="20"/>
                <w:szCs w:val="20"/>
                <w:lang w:val="en-GB" w:eastAsia="en-US"/>
              </w:rPr>
            </w:pPr>
            <w:r w:rsidRPr="00D341CD">
              <w:rPr>
                <w:rFonts w:asciiTheme="minorHAnsi" w:hAnsiTheme="minorHAnsi" w:cstheme="minorHAnsi"/>
                <w:sz w:val="20"/>
                <w:szCs w:val="20"/>
                <w:lang w:val="en-GB" w:eastAsia="en-US"/>
              </w:rPr>
              <w:t>New Division 6 of Part 5.3 makes explicit the regulator’s power to cancel a registration issued (or preserved) under the Part. This ensures consistency with the drafting of similar provisions elsewhere.</w:t>
            </w:r>
          </w:p>
          <w:p w14:paraId="65403236" w14:textId="77777777" w:rsidR="00D341CD" w:rsidRPr="00D341CD" w:rsidRDefault="00220887" w:rsidP="00D51995">
            <w:pPr>
              <w:spacing w:after="120"/>
              <w:rPr>
                <w:rFonts w:asciiTheme="minorHAnsi" w:hAnsiTheme="minorHAnsi" w:cstheme="minorHAnsi"/>
                <w:sz w:val="20"/>
                <w:szCs w:val="20"/>
                <w:lang w:val="en-GB" w:eastAsia="en-US"/>
              </w:rPr>
            </w:pPr>
            <w:r w:rsidRPr="00D341CD">
              <w:rPr>
                <w:rFonts w:asciiTheme="minorHAnsi" w:hAnsiTheme="minorHAnsi" w:cstheme="minorHAnsi"/>
                <w:sz w:val="20"/>
                <w:szCs w:val="20"/>
                <w:lang w:val="en-GB" w:eastAsia="en-US"/>
              </w:rPr>
              <w:t xml:space="preserve">There is </w:t>
            </w:r>
            <w:r w:rsidR="00D341CD" w:rsidRPr="00D341CD">
              <w:rPr>
                <w:rFonts w:asciiTheme="minorHAnsi" w:hAnsiTheme="minorHAnsi" w:cstheme="minorHAnsi"/>
                <w:sz w:val="20"/>
                <w:szCs w:val="20"/>
                <w:lang w:val="en-GB" w:eastAsia="en-US"/>
              </w:rPr>
              <w:t xml:space="preserve">a pre-existing </w:t>
            </w:r>
            <w:r w:rsidRPr="00D341CD">
              <w:rPr>
                <w:rFonts w:asciiTheme="minorHAnsi" w:hAnsiTheme="minorHAnsi" w:cstheme="minorHAnsi"/>
                <w:sz w:val="20"/>
                <w:szCs w:val="20"/>
                <w:lang w:val="en-GB" w:eastAsia="en-US"/>
              </w:rPr>
              <w:t>power to cancel registrations at general law</w:t>
            </w:r>
            <w:r w:rsidR="00D341CD" w:rsidRPr="00D341CD">
              <w:rPr>
                <w:rFonts w:asciiTheme="minorHAnsi" w:hAnsiTheme="minorHAnsi" w:cstheme="minorHAnsi"/>
                <w:sz w:val="20"/>
                <w:szCs w:val="20"/>
                <w:lang w:val="en-GB" w:eastAsia="en-US"/>
              </w:rPr>
              <w:t>—but the amendments build in important requirements of procedural fairness, including certain rights to have a decision reviewed.</w:t>
            </w:r>
          </w:p>
          <w:p w14:paraId="65403237" w14:textId="77777777" w:rsidR="00B63918" w:rsidRPr="00D341CD" w:rsidRDefault="00D341CD" w:rsidP="00EA3E03">
            <w:pPr>
              <w:pStyle w:val="Default"/>
              <w:rPr>
                <w:rFonts w:asciiTheme="minorHAnsi" w:hAnsiTheme="minorHAnsi" w:cstheme="minorHAnsi"/>
                <w:color w:val="auto"/>
                <w:sz w:val="20"/>
                <w:szCs w:val="20"/>
                <w:lang w:val="en-GB" w:eastAsia="en-US"/>
              </w:rPr>
            </w:pPr>
            <w:r w:rsidRPr="00D341CD">
              <w:rPr>
                <w:rFonts w:asciiTheme="minorHAnsi" w:hAnsiTheme="minorHAnsi" w:cstheme="minorHAnsi"/>
                <w:color w:val="auto"/>
                <w:sz w:val="20"/>
                <w:szCs w:val="20"/>
              </w:rPr>
              <w:t>A j</w:t>
            </w:r>
            <w:r w:rsidR="00E72E2B" w:rsidRPr="00D341CD">
              <w:rPr>
                <w:rFonts w:asciiTheme="minorHAnsi" w:hAnsiTheme="minorHAnsi" w:cstheme="minorHAnsi"/>
                <w:color w:val="auto"/>
                <w:sz w:val="20"/>
                <w:szCs w:val="20"/>
              </w:rPr>
              <w:t xml:space="preserve">urisdictional note </w:t>
            </w:r>
            <w:r w:rsidRPr="00D341CD">
              <w:rPr>
                <w:rFonts w:asciiTheme="minorHAnsi" w:hAnsiTheme="minorHAnsi" w:cstheme="minorHAnsi"/>
                <w:color w:val="auto"/>
                <w:sz w:val="20"/>
                <w:szCs w:val="20"/>
              </w:rPr>
              <w:t xml:space="preserve">gives jurisdictions the flexibility to omit the new Division, depending on how it </w:t>
            </w:r>
            <w:r w:rsidR="00EA3E03">
              <w:rPr>
                <w:rFonts w:asciiTheme="minorHAnsi" w:hAnsiTheme="minorHAnsi" w:cstheme="minorHAnsi"/>
                <w:color w:val="auto"/>
                <w:sz w:val="20"/>
                <w:szCs w:val="20"/>
              </w:rPr>
              <w:t xml:space="preserve">would </w:t>
            </w:r>
            <w:r w:rsidRPr="00D341CD">
              <w:rPr>
                <w:rFonts w:asciiTheme="minorHAnsi" w:hAnsiTheme="minorHAnsi" w:cstheme="minorHAnsi"/>
                <w:color w:val="auto"/>
                <w:sz w:val="20"/>
                <w:szCs w:val="20"/>
              </w:rPr>
              <w:t>work with any overlapping local laws.</w:t>
            </w:r>
            <w:r w:rsidRPr="00D341CD" w:rsidDel="00D341CD">
              <w:rPr>
                <w:rFonts w:asciiTheme="minorHAnsi" w:hAnsiTheme="minorHAnsi" w:cstheme="minorHAnsi"/>
                <w:color w:val="auto"/>
                <w:sz w:val="20"/>
                <w:szCs w:val="20"/>
              </w:rPr>
              <w:t xml:space="preserve"> </w:t>
            </w:r>
          </w:p>
        </w:tc>
      </w:tr>
      <w:tr w:rsidR="00220887" w:rsidRPr="004F6214" w14:paraId="6540323D"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39"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3A"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318</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3B"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Amend subregulation </w:t>
            </w:r>
            <w:r w:rsidR="00D341CD">
              <w:rPr>
                <w:rFonts w:asciiTheme="minorHAnsi" w:hAnsiTheme="minorHAnsi" w:cstheme="minorHAnsi"/>
                <w:sz w:val="20"/>
                <w:szCs w:val="20"/>
                <w:lang w:val="en-GB" w:eastAsia="en-US"/>
              </w:rPr>
              <w:t>318</w:t>
            </w:r>
            <w:r w:rsidRPr="004F6214">
              <w:rPr>
                <w:rFonts w:asciiTheme="minorHAnsi" w:hAnsiTheme="minorHAnsi" w:cstheme="minorHAnsi"/>
                <w:sz w:val="20"/>
                <w:szCs w:val="20"/>
                <w:lang w:val="en-GB" w:eastAsia="en-US"/>
              </w:rPr>
              <w:t>(1) by clarifying that the general construction induction training provisions cover the Part (not just the Division) and that the cards are not subject to terms and conditions, suspension or expiry.</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3C"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Correction.</w:t>
            </w:r>
          </w:p>
        </w:tc>
      </w:tr>
      <w:tr w:rsidR="00220887" w:rsidRPr="004F6214" w14:paraId="65403242"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3E"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3F"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348(2)(c)</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40"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 paragraph </w:t>
            </w:r>
            <w:r w:rsidR="00D341CD">
              <w:rPr>
                <w:rFonts w:asciiTheme="minorHAnsi" w:hAnsiTheme="minorHAnsi" w:cstheme="minorHAnsi"/>
                <w:sz w:val="20"/>
                <w:szCs w:val="20"/>
                <w:lang w:val="en-GB" w:eastAsia="en-US"/>
              </w:rPr>
              <w:t>348</w:t>
            </w:r>
            <w:r w:rsidRPr="004F6214">
              <w:rPr>
                <w:rFonts w:asciiTheme="minorHAnsi" w:hAnsiTheme="minorHAnsi" w:cstheme="minorHAnsi"/>
                <w:sz w:val="20"/>
                <w:szCs w:val="20"/>
                <w:lang w:val="en-GB" w:eastAsia="en-US"/>
              </w:rPr>
              <w:t>(2)(c).</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41" w14:textId="77777777" w:rsidR="00220887" w:rsidRPr="004F6214" w:rsidRDefault="00CC19CA" w:rsidP="00485882">
            <w:pPr>
              <w:spacing w:after="120"/>
              <w:rPr>
                <w:rFonts w:asciiTheme="minorHAnsi" w:hAnsiTheme="minorHAnsi" w:cstheme="minorHAnsi"/>
                <w:sz w:val="20"/>
                <w:szCs w:val="20"/>
              </w:rPr>
            </w:pPr>
            <w:r>
              <w:rPr>
                <w:rFonts w:asciiTheme="minorHAnsi" w:hAnsiTheme="minorHAnsi" w:cstheme="minorHAnsi"/>
                <w:sz w:val="20"/>
                <w:szCs w:val="20"/>
                <w:lang w:val="en-GB" w:eastAsia="en-US"/>
              </w:rPr>
              <w:t>To r</w:t>
            </w:r>
            <w:r w:rsidR="00220887">
              <w:rPr>
                <w:rFonts w:asciiTheme="minorHAnsi" w:hAnsiTheme="minorHAnsi" w:cstheme="minorHAnsi"/>
                <w:sz w:val="20"/>
                <w:szCs w:val="20"/>
                <w:lang w:val="en-GB" w:eastAsia="en-US"/>
              </w:rPr>
              <w:t>emove duplication</w:t>
            </w:r>
            <w:r w:rsidR="00485882">
              <w:rPr>
                <w:rFonts w:asciiTheme="minorHAnsi" w:hAnsiTheme="minorHAnsi" w:cstheme="minorHAnsi"/>
                <w:sz w:val="20"/>
                <w:szCs w:val="20"/>
                <w:lang w:val="en-GB" w:eastAsia="en-US"/>
              </w:rPr>
              <w:t xml:space="preserve"> with subregulation (4).</w:t>
            </w:r>
          </w:p>
        </w:tc>
      </w:tr>
      <w:tr w:rsidR="00E47DF9" w:rsidRPr="004F6214" w14:paraId="65403247"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43" w14:textId="77777777" w:rsidR="00E47DF9" w:rsidRPr="004F6214" w:rsidRDefault="00E47DF9"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14:paraId="65403244" w14:textId="77777777" w:rsidR="00E47DF9" w:rsidRPr="004F6214" w:rsidRDefault="00E47DF9"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421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245" w14:textId="77777777" w:rsidR="00E47DF9" w:rsidRPr="004F6214" w:rsidRDefault="00D341CD" w:rsidP="00D341CD">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Dis-apply certain requirements of Part 8.3 so they do not apply to any </w:t>
            </w:r>
            <w:r>
              <w:rPr>
                <w:rFonts w:asciiTheme="minorHAnsi" w:hAnsiTheme="minorHAnsi" w:cstheme="minorHAnsi"/>
                <w:sz w:val="20"/>
                <w:szCs w:val="20"/>
                <w:lang w:val="en-GB" w:eastAsia="en-US"/>
              </w:rPr>
              <w:lastRenderedPageBreak/>
              <w:t>part of residential premises that is used only for residential purposes.</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246" w14:textId="77777777" w:rsidR="00E47DF9" w:rsidRPr="00E47DF9" w:rsidRDefault="00D341CD" w:rsidP="001642A0">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lastRenderedPageBreak/>
              <w:t xml:space="preserve">Correction to give effect to the agreed policy intention about the scope of requirements for asbestos registers and </w:t>
            </w:r>
            <w:r>
              <w:rPr>
                <w:rFonts w:asciiTheme="minorHAnsi" w:hAnsiTheme="minorHAnsi" w:cstheme="minorHAnsi"/>
                <w:sz w:val="20"/>
                <w:szCs w:val="20"/>
                <w:lang w:val="en-GB" w:eastAsia="en-US"/>
              </w:rPr>
              <w:lastRenderedPageBreak/>
              <w:t>management plans</w:t>
            </w:r>
            <w:r w:rsidR="001642A0">
              <w:rPr>
                <w:rFonts w:asciiTheme="minorHAnsi" w:hAnsiTheme="minorHAnsi" w:cstheme="minorHAnsi"/>
                <w:sz w:val="20"/>
                <w:szCs w:val="20"/>
                <w:lang w:val="en-GB" w:eastAsia="en-US"/>
              </w:rPr>
              <w:t>.</w:t>
            </w:r>
            <w:r w:rsidR="00E47DF9">
              <w:rPr>
                <w:rFonts w:asciiTheme="minorHAnsi" w:hAnsiTheme="minorHAnsi" w:cstheme="minorHAnsi"/>
                <w:sz w:val="20"/>
                <w:szCs w:val="20"/>
                <w:lang w:val="en-GB" w:eastAsia="en-US"/>
              </w:rPr>
              <w:t xml:space="preserve"> </w:t>
            </w:r>
          </w:p>
        </w:tc>
      </w:tr>
      <w:tr w:rsidR="00220887" w:rsidRPr="004F6214" w14:paraId="6540324C"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48"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49"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530(1)</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4A" w14:textId="77777777" w:rsidR="00220887" w:rsidRPr="004F6214" w:rsidRDefault="00220887" w:rsidP="000563AA">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Amend the title of the cited authority.</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4B" w14:textId="77777777" w:rsidR="00220887" w:rsidRPr="004F6214" w:rsidRDefault="000563AA"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Up-date.</w:t>
            </w:r>
          </w:p>
        </w:tc>
      </w:tr>
      <w:tr w:rsidR="00220887" w:rsidRPr="004F6214" w14:paraId="65403251"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4D"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4E"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547(1)(c)</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4F"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Clarify the circumstances under which a re-notification must occur</w:t>
            </w:r>
            <w:r w:rsidR="000563AA">
              <w:rPr>
                <w:rFonts w:asciiTheme="minorHAnsi" w:hAnsiTheme="minorHAnsi" w:cstheme="minorHAnsi"/>
                <w:sz w:val="20"/>
                <w:szCs w:val="20"/>
                <w:lang w:val="en-GB" w:eastAsia="en-US"/>
              </w:rPr>
              <w:t xml:space="preserve"> (in relation to major hazard facilities)</w:t>
            </w:r>
            <w:r w:rsidRPr="004F6214">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50" w14:textId="77777777" w:rsidR="00220887" w:rsidRPr="004F6214" w:rsidRDefault="000563AA" w:rsidP="00EA3E03">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 clarify</w:t>
            </w:r>
            <w:r w:rsidR="00EA3E03">
              <w:rPr>
                <w:rFonts w:asciiTheme="minorHAnsi" w:hAnsiTheme="minorHAnsi" w:cstheme="minorHAnsi"/>
                <w:sz w:val="20"/>
                <w:szCs w:val="20"/>
                <w:lang w:val="en-GB" w:eastAsia="en-US"/>
              </w:rPr>
              <w:t xml:space="preserve"> the triggers for re-notification under Part 9.2 (Determinations about Major Hazard Facilities) apply in the prescribed circumstances, whether or not an inquiry was previously conducted.</w:t>
            </w:r>
            <w:r w:rsidR="00E91784">
              <w:rPr>
                <w:rFonts w:asciiTheme="minorHAnsi" w:hAnsiTheme="minorHAnsi" w:cstheme="minorHAnsi"/>
                <w:sz w:val="20"/>
                <w:szCs w:val="20"/>
                <w:lang w:val="en-GB" w:eastAsia="en-US"/>
              </w:rPr>
              <w:t xml:space="preserve"> </w:t>
            </w:r>
          </w:p>
        </w:tc>
      </w:tr>
      <w:tr w:rsidR="00220887" w:rsidRPr="004F6214" w14:paraId="65403257"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52"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53"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676(1), table</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tcPr>
          <w:p w14:paraId="65403254" w14:textId="77777777" w:rsidR="00220887" w:rsidRPr="004F6214" w:rsidRDefault="00220887" w:rsidP="007710D6">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items</w:t>
            </w:r>
            <w:r w:rsidR="007710D6">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55" w14:textId="77777777" w:rsidR="007710D6" w:rsidRDefault="007710D6" w:rsidP="007710D6">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Consequential upon</w:t>
            </w:r>
            <w:r w:rsidR="00220887">
              <w:rPr>
                <w:rFonts w:asciiTheme="minorHAnsi" w:hAnsiTheme="minorHAnsi" w:cstheme="minorHAnsi"/>
                <w:sz w:val="20"/>
                <w:szCs w:val="20"/>
                <w:lang w:val="en-GB" w:eastAsia="en-US"/>
              </w:rPr>
              <w:t xml:space="preserve"> the insertion of several new provisions including regulation 91A and regulations 288A – 288D</w:t>
            </w:r>
            <w:r>
              <w:rPr>
                <w:rFonts w:asciiTheme="minorHAnsi" w:hAnsiTheme="minorHAnsi" w:cstheme="minorHAnsi"/>
                <w:sz w:val="20"/>
                <w:szCs w:val="20"/>
                <w:lang w:val="en-GB" w:eastAsia="en-US"/>
              </w:rPr>
              <w:t>.</w:t>
            </w:r>
          </w:p>
          <w:p w14:paraId="65403256" w14:textId="77777777" w:rsidR="00220887" w:rsidRPr="004F6214" w:rsidRDefault="007710D6" w:rsidP="007710D6">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Corrects several i</w:t>
            </w:r>
            <w:r w:rsidRPr="004F6214">
              <w:rPr>
                <w:rFonts w:asciiTheme="minorHAnsi" w:hAnsiTheme="minorHAnsi" w:cstheme="minorHAnsi"/>
                <w:sz w:val="20"/>
                <w:szCs w:val="20"/>
                <w:lang w:val="en-GB" w:eastAsia="en-US"/>
              </w:rPr>
              <w:t>nadvertent omission</w:t>
            </w:r>
            <w:r>
              <w:rPr>
                <w:rFonts w:asciiTheme="minorHAnsi" w:hAnsiTheme="minorHAnsi" w:cstheme="minorHAnsi"/>
                <w:sz w:val="20"/>
                <w:szCs w:val="20"/>
                <w:lang w:val="en-GB" w:eastAsia="en-US"/>
              </w:rPr>
              <w:t>s</w:t>
            </w:r>
            <w:r w:rsidRPr="004F6214">
              <w:rPr>
                <w:rFonts w:asciiTheme="minorHAnsi" w:hAnsiTheme="minorHAnsi" w:cstheme="minorHAnsi"/>
                <w:sz w:val="20"/>
                <w:szCs w:val="20"/>
                <w:lang w:val="en-GB" w:eastAsia="en-US"/>
              </w:rPr>
              <w:t>.</w:t>
            </w:r>
          </w:p>
        </w:tc>
      </w:tr>
      <w:tr w:rsidR="00220887" w:rsidRPr="004F6214" w14:paraId="6540325C"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58"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59"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700</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5A"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 reference to size</w:t>
            </w:r>
            <w:r w:rsidR="000033DD">
              <w:rPr>
                <w:rFonts w:asciiTheme="minorHAnsi" w:hAnsiTheme="minorHAnsi" w:cstheme="minorHAnsi"/>
                <w:sz w:val="20"/>
                <w:szCs w:val="20"/>
                <w:lang w:val="en-GB" w:eastAsia="en-US"/>
              </w:rPr>
              <w:t xml:space="preserve"> of the photograph that must be provided</w:t>
            </w:r>
            <w:r w:rsidRPr="004F6214">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5B" w14:textId="77777777" w:rsidR="00220887" w:rsidRPr="004F6214" w:rsidRDefault="000033DD" w:rsidP="00D421D6">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For consistency with comparable provisions, which allow the regulator to determine specific requirements for photographs (not just size).</w:t>
            </w:r>
          </w:p>
        </w:tc>
      </w:tr>
      <w:tr w:rsidR="000033DD" w:rsidRPr="004F6214" w14:paraId="6540325E" w14:textId="77777777" w:rsidTr="001642A0">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6540325D" w14:textId="77777777" w:rsidR="000033DD" w:rsidRPr="000033DD" w:rsidRDefault="000033DD" w:rsidP="00D51995">
            <w:pPr>
              <w:spacing w:after="120"/>
              <w:rPr>
                <w:rFonts w:asciiTheme="minorHAnsi" w:hAnsiTheme="minorHAnsi" w:cstheme="minorHAnsi"/>
                <w:b/>
                <w:sz w:val="20"/>
                <w:szCs w:val="20"/>
                <w:lang w:val="en-GB" w:eastAsia="en-US"/>
              </w:rPr>
            </w:pPr>
            <w:r w:rsidRPr="000033DD">
              <w:rPr>
                <w:rFonts w:asciiTheme="minorHAnsi" w:hAnsiTheme="minorHAnsi" w:cstheme="minorHAnsi"/>
                <w:b/>
                <w:sz w:val="20"/>
                <w:szCs w:val="20"/>
                <w:lang w:val="en-GB" w:eastAsia="en-US"/>
              </w:rPr>
              <w:t>Schedule 3, High risk work licences and classes of high risk work</w:t>
            </w:r>
          </w:p>
        </w:tc>
      </w:tr>
      <w:tr w:rsidR="00220887" w:rsidRPr="004F6214" w14:paraId="65403269"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5F"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5403260"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Sch 3, items 15 – 18.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61"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licence ‘encompassment’ provisions for these items.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62" w14:textId="77777777" w:rsidR="000033DD" w:rsidRDefault="000033DD"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Corrects inadvertent omission and ensures consistent implementation.</w:t>
            </w:r>
          </w:p>
          <w:p w14:paraId="65403263" w14:textId="77777777" w:rsidR="00220887" w:rsidRDefault="00220887"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Under pre-harmonised WHS laws (or under administrative arrangements) most WHS regulators ‘encompassed’ certain related licence classes. These arrangements allowed holders of a licence ranked ‘higher’ in the class operate plant covered by a ‘lower’ licence class automatically without the need for an additional licence. </w:t>
            </w:r>
            <w:r w:rsidR="000033DD">
              <w:rPr>
                <w:rFonts w:asciiTheme="minorHAnsi" w:hAnsiTheme="minorHAnsi" w:cstheme="minorHAnsi"/>
                <w:sz w:val="20"/>
                <w:szCs w:val="20"/>
                <w:lang w:val="en-GB" w:eastAsia="en-US"/>
              </w:rPr>
              <w:t>In other words</w:t>
            </w:r>
            <w:r>
              <w:rPr>
                <w:rFonts w:asciiTheme="minorHAnsi" w:hAnsiTheme="minorHAnsi" w:cstheme="minorHAnsi"/>
                <w:sz w:val="20"/>
                <w:szCs w:val="20"/>
                <w:lang w:val="en-GB" w:eastAsia="en-US"/>
              </w:rPr>
              <w:t xml:space="preserve"> the ‘higher’ licence already ‘encompassed’ all licences ranked lower in the hierarchy.</w:t>
            </w:r>
          </w:p>
          <w:p w14:paraId="65403264" w14:textId="77777777" w:rsidR="00220887" w:rsidRPr="004F6214" w:rsidRDefault="00CC19CA"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The a</w:t>
            </w:r>
            <w:r w:rsidR="00220887">
              <w:rPr>
                <w:rFonts w:asciiTheme="minorHAnsi" w:hAnsiTheme="minorHAnsi" w:cstheme="minorHAnsi"/>
                <w:sz w:val="20"/>
                <w:szCs w:val="20"/>
                <w:lang w:val="en-GB" w:eastAsia="en-US"/>
              </w:rPr>
              <w:t xml:space="preserve">mendments restore the status quo by </w:t>
            </w:r>
            <w:r w:rsidR="00220887" w:rsidRPr="004F6214">
              <w:rPr>
                <w:rFonts w:asciiTheme="minorHAnsi" w:hAnsiTheme="minorHAnsi" w:cstheme="minorHAnsi"/>
                <w:sz w:val="20"/>
                <w:szCs w:val="20"/>
                <w:lang w:val="en-GB" w:eastAsia="en-US"/>
              </w:rPr>
              <w:t>allow</w:t>
            </w:r>
            <w:r w:rsidR="00220887">
              <w:rPr>
                <w:rFonts w:asciiTheme="minorHAnsi" w:hAnsiTheme="minorHAnsi" w:cstheme="minorHAnsi"/>
                <w:sz w:val="20"/>
                <w:szCs w:val="20"/>
                <w:lang w:val="en-GB" w:eastAsia="en-US"/>
              </w:rPr>
              <w:t>ing</w:t>
            </w:r>
            <w:r w:rsidR="00220887" w:rsidRPr="004F6214">
              <w:rPr>
                <w:rFonts w:asciiTheme="minorHAnsi" w:hAnsiTheme="minorHAnsi" w:cstheme="minorHAnsi"/>
                <w:sz w:val="20"/>
                <w:szCs w:val="20"/>
                <w:lang w:val="en-GB" w:eastAsia="en-US"/>
              </w:rPr>
              <w:t xml:space="preserve"> licence holders </w:t>
            </w:r>
            <w:r w:rsidR="00220887">
              <w:rPr>
                <w:rFonts w:asciiTheme="minorHAnsi" w:hAnsiTheme="minorHAnsi" w:cstheme="minorHAnsi"/>
                <w:sz w:val="20"/>
                <w:szCs w:val="20"/>
                <w:lang w:val="en-GB" w:eastAsia="en-US"/>
              </w:rPr>
              <w:t xml:space="preserve">of </w:t>
            </w:r>
            <w:r w:rsidR="00220887" w:rsidRPr="004F6214">
              <w:rPr>
                <w:rFonts w:asciiTheme="minorHAnsi" w:hAnsiTheme="minorHAnsi" w:cstheme="minorHAnsi"/>
                <w:sz w:val="20"/>
                <w:szCs w:val="20"/>
                <w:lang w:val="en-GB" w:eastAsia="en-US"/>
              </w:rPr>
              <w:t>slewing mobile cranes to operate:</w:t>
            </w:r>
          </w:p>
          <w:p w14:paraId="65403265"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 non-slewing crane</w:t>
            </w:r>
          </w:p>
          <w:p w14:paraId="65403266"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 vehicle loading crane (</w:t>
            </w:r>
            <w:r w:rsidR="00E16EF8">
              <w:rPr>
                <w:rFonts w:asciiTheme="minorHAnsi" w:hAnsiTheme="minorHAnsi" w:cstheme="minorHAnsi"/>
                <w:sz w:val="20"/>
                <w:szCs w:val="20"/>
                <w:lang w:val="en-GB" w:eastAsia="en-US"/>
              </w:rPr>
              <w:t>excluding</w:t>
            </w:r>
            <w:r w:rsidRPr="004F6214">
              <w:rPr>
                <w:rFonts w:asciiTheme="minorHAnsi" w:hAnsiTheme="minorHAnsi" w:cstheme="minorHAnsi"/>
                <w:sz w:val="20"/>
                <w:szCs w:val="20"/>
                <w:lang w:val="en-GB" w:eastAsia="en-US"/>
              </w:rPr>
              <w:t xml:space="preserve"> ‘dogging’ work)</w:t>
            </w:r>
            <w:r>
              <w:rPr>
                <w:rFonts w:asciiTheme="minorHAnsi" w:hAnsiTheme="minorHAnsi" w:cstheme="minorHAnsi"/>
                <w:sz w:val="20"/>
                <w:szCs w:val="20"/>
                <w:lang w:val="en-GB" w:eastAsia="en-US"/>
              </w:rPr>
              <w:t>, and</w:t>
            </w:r>
          </w:p>
          <w:p w14:paraId="65403267"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 reach stacker.</w:t>
            </w:r>
          </w:p>
          <w:p w14:paraId="65403268" w14:textId="77777777" w:rsidR="00220887" w:rsidRPr="004F6214" w:rsidRDefault="00220887" w:rsidP="00E16EF8">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The </w:t>
            </w:r>
            <w:r w:rsidR="00E16EF8">
              <w:rPr>
                <w:rFonts w:asciiTheme="minorHAnsi" w:hAnsiTheme="minorHAnsi" w:cstheme="minorHAnsi"/>
                <w:sz w:val="20"/>
                <w:szCs w:val="20"/>
                <w:lang w:val="en-GB" w:eastAsia="en-US"/>
              </w:rPr>
              <w:t>amendments clarify</w:t>
            </w:r>
            <w:r>
              <w:rPr>
                <w:rFonts w:asciiTheme="minorHAnsi" w:hAnsiTheme="minorHAnsi" w:cstheme="minorHAnsi"/>
                <w:sz w:val="20"/>
                <w:szCs w:val="20"/>
                <w:lang w:val="en-GB" w:eastAsia="en-US"/>
              </w:rPr>
              <w:t xml:space="preserve"> these arrangements do not allow the holder of a slewing crane class licence to apply load estimation and slinging techniques to move a load.</w:t>
            </w:r>
          </w:p>
        </w:tc>
      </w:tr>
      <w:tr w:rsidR="00220887" w:rsidRPr="004F6214" w14:paraId="6540326B" w14:textId="77777777" w:rsidTr="001642A0">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6540326A" w14:textId="77777777" w:rsidR="00220887" w:rsidRPr="004F6214" w:rsidRDefault="00220887" w:rsidP="009C2D1A">
            <w:pPr>
              <w:spacing w:after="120"/>
              <w:rPr>
                <w:rFonts w:asciiTheme="minorHAnsi" w:hAnsiTheme="minorHAnsi" w:cstheme="minorHAnsi"/>
                <w:sz w:val="20"/>
                <w:szCs w:val="20"/>
                <w:lang w:val="en-GB" w:eastAsia="en-US"/>
              </w:rPr>
            </w:pPr>
            <w:r w:rsidRPr="004F6214">
              <w:rPr>
                <w:rFonts w:asciiTheme="minorHAnsi" w:hAnsiTheme="minorHAnsi" w:cstheme="minorHAnsi"/>
                <w:b/>
                <w:sz w:val="20"/>
                <w:szCs w:val="20"/>
                <w:lang w:val="en-GB" w:eastAsia="en-US"/>
              </w:rPr>
              <w:t xml:space="preserve">Schedule 5, </w:t>
            </w:r>
            <w:r w:rsidR="009C2D1A">
              <w:rPr>
                <w:rFonts w:asciiTheme="minorHAnsi" w:hAnsiTheme="minorHAnsi" w:cstheme="minorHAnsi"/>
                <w:b/>
                <w:sz w:val="20"/>
                <w:szCs w:val="20"/>
                <w:lang w:val="en-GB" w:eastAsia="en-US"/>
              </w:rPr>
              <w:t>Registration of plant and plant designs</w:t>
            </w:r>
          </w:p>
        </w:tc>
      </w:tr>
      <w:tr w:rsidR="00220887" w:rsidRPr="004F6214" w14:paraId="65403270"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6C"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6D"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5, Pt 1, new item 1.8A</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540326E"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Insert new item 1.8A.</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6F" w14:textId="77777777" w:rsidR="00220887" w:rsidRPr="004F6214" w:rsidRDefault="009C2D1A" w:rsidP="009C2D1A">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Corrects i</w:t>
            </w:r>
            <w:r w:rsidRPr="004F6214">
              <w:rPr>
                <w:rFonts w:asciiTheme="minorHAnsi" w:hAnsiTheme="minorHAnsi" w:cstheme="minorHAnsi"/>
                <w:sz w:val="20"/>
                <w:szCs w:val="20"/>
                <w:lang w:val="en-GB" w:eastAsia="en-US"/>
              </w:rPr>
              <w:t>nadvertent omission</w:t>
            </w:r>
            <w:r>
              <w:rPr>
                <w:rFonts w:asciiTheme="minorHAnsi" w:hAnsiTheme="minorHAnsi" w:cstheme="minorHAnsi"/>
                <w:sz w:val="20"/>
                <w:szCs w:val="20"/>
                <w:lang w:val="en-GB" w:eastAsia="en-US"/>
              </w:rPr>
              <w:t>—</w:t>
            </w:r>
            <w:r w:rsidRPr="0057225F">
              <w:rPr>
                <w:rFonts w:asciiTheme="minorHAnsi" w:hAnsiTheme="minorHAnsi" w:cstheme="minorHAnsi"/>
                <w:sz w:val="20"/>
                <w:szCs w:val="20"/>
                <w:lang w:val="en-GB" w:eastAsia="en-US"/>
              </w:rPr>
              <w:t>see item 13</w:t>
            </w:r>
            <w:r>
              <w:rPr>
                <w:rFonts w:asciiTheme="minorHAnsi" w:hAnsiTheme="minorHAnsi" w:cstheme="minorHAnsi"/>
                <w:sz w:val="20"/>
                <w:szCs w:val="20"/>
                <w:lang w:val="en-GB" w:eastAsia="en-US"/>
              </w:rPr>
              <w:t xml:space="preserve"> above.</w:t>
            </w:r>
          </w:p>
        </w:tc>
      </w:tr>
      <w:tr w:rsidR="00220887" w:rsidRPr="004F6214" w14:paraId="65403276"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71"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5403272"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5, Pt 1, item 1.9</w:t>
            </w:r>
          </w:p>
          <w:p w14:paraId="65403273" w14:textId="77777777" w:rsidR="009C2D1A" w:rsidRPr="004F6214" w:rsidRDefault="009C2D1A"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5, Pt 2, item 3.7</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5403274"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Replace the term ‘concrete placement units with delivery booms’ with ‘concrete placing boom’.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275" w14:textId="77777777" w:rsidR="00220887" w:rsidRPr="004F6214" w:rsidRDefault="009C2D1A" w:rsidP="009C2D1A">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Corrects i</w:t>
            </w:r>
            <w:r w:rsidRPr="004F6214">
              <w:rPr>
                <w:rFonts w:asciiTheme="minorHAnsi" w:hAnsiTheme="minorHAnsi" w:cstheme="minorHAnsi"/>
                <w:sz w:val="20"/>
                <w:szCs w:val="20"/>
                <w:lang w:val="en-GB" w:eastAsia="en-US"/>
              </w:rPr>
              <w:t>nadvertent omission</w:t>
            </w:r>
            <w:r>
              <w:rPr>
                <w:rFonts w:asciiTheme="minorHAnsi" w:hAnsiTheme="minorHAnsi" w:cstheme="minorHAnsi"/>
                <w:sz w:val="20"/>
                <w:szCs w:val="20"/>
                <w:lang w:val="en-GB" w:eastAsia="en-US"/>
              </w:rPr>
              <w:t>—</w:t>
            </w:r>
            <w:r w:rsidRPr="0057225F">
              <w:rPr>
                <w:rFonts w:asciiTheme="minorHAnsi" w:hAnsiTheme="minorHAnsi" w:cstheme="minorHAnsi"/>
                <w:sz w:val="20"/>
                <w:szCs w:val="20"/>
                <w:lang w:val="en-GB" w:eastAsia="en-US"/>
              </w:rPr>
              <w:t>see item 8</w:t>
            </w:r>
            <w:r>
              <w:rPr>
                <w:rFonts w:asciiTheme="minorHAnsi" w:hAnsiTheme="minorHAnsi" w:cstheme="minorHAnsi"/>
                <w:sz w:val="20"/>
                <w:szCs w:val="20"/>
                <w:lang w:val="en-GB" w:eastAsia="en-US"/>
              </w:rPr>
              <w:t xml:space="preserve"> above.</w:t>
            </w:r>
          </w:p>
        </w:tc>
      </w:tr>
      <w:tr w:rsidR="00220887" w:rsidRPr="004F6214" w14:paraId="6540327B"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77"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78"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5, Pt 1, item 1.10</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5403279"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Omit the words ‘and prefabricated formwork’.</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7A" w14:textId="77777777" w:rsidR="00220887" w:rsidRPr="004F6214" w:rsidRDefault="00CC19CA" w:rsidP="000E1212">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w:t>
            </w:r>
            <w:r w:rsidR="00220887">
              <w:rPr>
                <w:rFonts w:asciiTheme="minorHAnsi" w:hAnsiTheme="minorHAnsi" w:cstheme="minorHAnsi"/>
                <w:sz w:val="20"/>
                <w:szCs w:val="20"/>
                <w:lang w:val="en-GB" w:eastAsia="en-US"/>
              </w:rPr>
              <w:t xml:space="preserve"> remove the proposed new </w:t>
            </w:r>
            <w:r w:rsidR="000E1212">
              <w:rPr>
                <w:rFonts w:asciiTheme="minorHAnsi" w:hAnsiTheme="minorHAnsi" w:cstheme="minorHAnsi"/>
                <w:sz w:val="20"/>
                <w:szCs w:val="20"/>
                <w:lang w:val="en-GB" w:eastAsia="en-US"/>
              </w:rPr>
              <w:t xml:space="preserve">design registration </w:t>
            </w:r>
            <w:r w:rsidR="00220887">
              <w:rPr>
                <w:rFonts w:asciiTheme="minorHAnsi" w:hAnsiTheme="minorHAnsi" w:cstheme="minorHAnsi"/>
                <w:sz w:val="20"/>
                <w:szCs w:val="20"/>
                <w:lang w:val="en-GB" w:eastAsia="en-US"/>
              </w:rPr>
              <w:t>requirement for ‘prefabricated formwork’</w:t>
            </w:r>
            <w:r w:rsidR="009C2D1A">
              <w:rPr>
                <w:rFonts w:asciiTheme="minorHAnsi" w:hAnsiTheme="minorHAnsi" w:cstheme="minorHAnsi"/>
                <w:sz w:val="20"/>
                <w:szCs w:val="20"/>
                <w:lang w:val="en-GB" w:eastAsia="en-US"/>
              </w:rPr>
              <w:t xml:space="preserve">, to address </w:t>
            </w:r>
            <w:r w:rsidR="000E1212">
              <w:rPr>
                <w:rFonts w:asciiTheme="minorHAnsi" w:hAnsiTheme="minorHAnsi" w:cstheme="minorHAnsi"/>
                <w:sz w:val="20"/>
                <w:szCs w:val="20"/>
                <w:lang w:val="en-GB" w:eastAsia="en-US"/>
              </w:rPr>
              <w:t xml:space="preserve">unforeseen </w:t>
            </w:r>
            <w:r w:rsidR="009C2D1A">
              <w:rPr>
                <w:rFonts w:asciiTheme="minorHAnsi" w:hAnsiTheme="minorHAnsi" w:cstheme="minorHAnsi"/>
                <w:sz w:val="20"/>
                <w:szCs w:val="20"/>
                <w:lang w:val="en-GB" w:eastAsia="en-US"/>
              </w:rPr>
              <w:t>workability issues.</w:t>
            </w:r>
          </w:p>
        </w:tc>
      </w:tr>
      <w:tr w:rsidR="00220887" w:rsidRPr="004F6214" w14:paraId="65403284"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7C"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7D"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Sch 5, Pt 1, cl </w:t>
            </w:r>
            <w:r w:rsidRPr="004F6214">
              <w:rPr>
                <w:rFonts w:asciiTheme="minorHAnsi" w:hAnsiTheme="minorHAnsi" w:cstheme="minorHAnsi"/>
                <w:sz w:val="20"/>
                <w:szCs w:val="20"/>
                <w:lang w:val="en-GB" w:eastAsia="en-US"/>
              </w:rPr>
              <w:lastRenderedPageBreak/>
              <w:t>2(2)(e), (f)</w:t>
            </w:r>
          </w:p>
          <w:p w14:paraId="6540327E" w14:textId="77777777" w:rsidR="009C2D1A" w:rsidRPr="004F6214" w:rsidRDefault="009C2D1A"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5, Pt 2, cl 4(2)(e), (f)</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540327F" w14:textId="77777777" w:rsidR="00220887" w:rsidRPr="004F6214" w:rsidRDefault="000E1212" w:rsidP="000E1212">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lastRenderedPageBreak/>
              <w:t xml:space="preserve">Re-draft the registration requirement for amusement </w:t>
            </w:r>
            <w:r>
              <w:rPr>
                <w:rFonts w:asciiTheme="minorHAnsi" w:hAnsiTheme="minorHAnsi" w:cstheme="minorHAnsi"/>
                <w:sz w:val="20"/>
                <w:szCs w:val="20"/>
                <w:lang w:val="en-GB" w:eastAsia="en-US"/>
              </w:rPr>
              <w:lastRenderedPageBreak/>
              <w:t>devices that are also inflatable devices.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80" w14:textId="77777777" w:rsidR="000E1212" w:rsidRDefault="000E1212" w:rsidP="000E1212">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lastRenderedPageBreak/>
              <w:t xml:space="preserve">To apply a risk-based approach to determining design and </w:t>
            </w:r>
            <w:r>
              <w:rPr>
                <w:rFonts w:asciiTheme="minorHAnsi" w:hAnsiTheme="minorHAnsi" w:cstheme="minorHAnsi"/>
                <w:sz w:val="20"/>
                <w:szCs w:val="20"/>
                <w:lang w:val="en-GB" w:eastAsia="en-US"/>
              </w:rPr>
              <w:lastRenderedPageBreak/>
              <w:t>item registration requirements inflatable devices.</w:t>
            </w:r>
          </w:p>
          <w:p w14:paraId="65403281" w14:textId="77777777" w:rsidR="00220887" w:rsidRDefault="000E1212"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Previously</w:t>
            </w:r>
            <w:r w:rsidR="00220887">
              <w:rPr>
                <w:rFonts w:asciiTheme="minorHAnsi" w:hAnsiTheme="minorHAnsi" w:cstheme="minorHAnsi"/>
                <w:sz w:val="20"/>
                <w:szCs w:val="20"/>
                <w:lang w:val="en-GB" w:eastAsia="en-US"/>
              </w:rPr>
              <w:t xml:space="preserve"> inflatable</w:t>
            </w:r>
            <w:r>
              <w:rPr>
                <w:rFonts w:asciiTheme="minorHAnsi" w:hAnsiTheme="minorHAnsi" w:cstheme="minorHAnsi"/>
                <w:sz w:val="20"/>
                <w:szCs w:val="20"/>
                <w:lang w:val="en-GB" w:eastAsia="en-US"/>
              </w:rPr>
              <w:t xml:space="preserve"> devices</w:t>
            </w:r>
            <w:r w:rsidR="00220887">
              <w:rPr>
                <w:rFonts w:asciiTheme="minorHAnsi" w:hAnsiTheme="minorHAnsi" w:cstheme="minorHAnsi"/>
                <w:sz w:val="20"/>
                <w:szCs w:val="20"/>
                <w:lang w:val="en-GB" w:eastAsia="en-US"/>
              </w:rPr>
              <w:t xml:space="preserve"> </w:t>
            </w:r>
            <w:r>
              <w:rPr>
                <w:rFonts w:asciiTheme="minorHAnsi" w:hAnsiTheme="minorHAnsi" w:cstheme="minorHAnsi"/>
                <w:sz w:val="20"/>
                <w:szCs w:val="20"/>
                <w:lang w:val="en-GB" w:eastAsia="en-US"/>
              </w:rPr>
              <w:t>were not registrable if they were</w:t>
            </w:r>
            <w:r w:rsidR="00220887">
              <w:rPr>
                <w:rFonts w:asciiTheme="minorHAnsi" w:hAnsiTheme="minorHAnsi" w:cstheme="minorHAnsi"/>
                <w:sz w:val="20"/>
                <w:szCs w:val="20"/>
                <w:lang w:val="en-GB" w:eastAsia="en-US"/>
              </w:rPr>
              <w:t xml:space="preserve"> sealed or d</w:t>
            </w:r>
            <w:r>
              <w:rPr>
                <w:rFonts w:asciiTheme="minorHAnsi" w:hAnsiTheme="minorHAnsi" w:cstheme="minorHAnsi"/>
                <w:sz w:val="20"/>
                <w:szCs w:val="20"/>
                <w:lang w:val="en-GB" w:eastAsia="en-US"/>
              </w:rPr>
              <w:t>id</w:t>
            </w:r>
            <w:r w:rsidR="00220887">
              <w:rPr>
                <w:rFonts w:asciiTheme="minorHAnsi" w:hAnsiTheme="minorHAnsi" w:cstheme="minorHAnsi"/>
                <w:sz w:val="20"/>
                <w:szCs w:val="20"/>
                <w:lang w:val="en-GB" w:eastAsia="en-US"/>
              </w:rPr>
              <w:t xml:space="preserve"> not use a non-return valve</w:t>
            </w:r>
            <w:r>
              <w:rPr>
                <w:rFonts w:asciiTheme="minorHAnsi" w:hAnsiTheme="minorHAnsi" w:cstheme="minorHAnsi"/>
                <w:sz w:val="20"/>
                <w:szCs w:val="20"/>
                <w:lang w:val="en-GB" w:eastAsia="en-US"/>
              </w:rPr>
              <w:t>.</w:t>
            </w:r>
          </w:p>
          <w:p w14:paraId="65403282" w14:textId="77777777" w:rsidR="00220887" w:rsidRDefault="000E1212"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This exception is considered too narrow as is leaves </w:t>
            </w:r>
            <w:r w:rsidR="00220887">
              <w:rPr>
                <w:rFonts w:asciiTheme="minorHAnsi" w:hAnsiTheme="minorHAnsi" w:cstheme="minorHAnsi"/>
                <w:sz w:val="20"/>
                <w:szCs w:val="20"/>
                <w:lang w:val="en-GB" w:eastAsia="en-US"/>
              </w:rPr>
              <w:t>too many lower-risk inflatable devices subject to registration requirements and related inspection and maintenance requirements.</w:t>
            </w:r>
          </w:p>
          <w:p w14:paraId="65403283" w14:textId="77777777" w:rsidR="00220887" w:rsidRPr="004F6214" w:rsidRDefault="000E1212" w:rsidP="00606A67">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The amendments reduce th</w:t>
            </w:r>
            <w:r w:rsidR="00606A67">
              <w:rPr>
                <w:rFonts w:asciiTheme="minorHAnsi" w:hAnsiTheme="minorHAnsi" w:cstheme="minorHAnsi"/>
                <w:sz w:val="20"/>
                <w:szCs w:val="20"/>
                <w:lang w:val="en-GB" w:eastAsia="en-US"/>
              </w:rPr>
              <w:t>e number of registrable inflatable devices, based on risk.</w:t>
            </w:r>
            <w:r>
              <w:rPr>
                <w:rFonts w:asciiTheme="minorHAnsi" w:hAnsiTheme="minorHAnsi" w:cstheme="minorHAnsi"/>
                <w:sz w:val="20"/>
                <w:szCs w:val="20"/>
                <w:lang w:val="en-GB" w:eastAsia="en-US"/>
              </w:rPr>
              <w:t>. Only those</w:t>
            </w:r>
            <w:r w:rsidR="00220887">
              <w:rPr>
                <w:rFonts w:asciiTheme="minorHAnsi" w:hAnsiTheme="minorHAnsi" w:cstheme="minorHAnsi"/>
                <w:sz w:val="20"/>
                <w:szCs w:val="20"/>
                <w:lang w:val="en-GB" w:eastAsia="en-US"/>
              </w:rPr>
              <w:t xml:space="preserve"> inflatable devices (continuously blown) with a platform height of three metres or more are registrable.</w:t>
            </w:r>
          </w:p>
        </w:tc>
      </w:tr>
      <w:tr w:rsidR="00220887" w:rsidRPr="004F6214" w14:paraId="6540328C"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85"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86" w14:textId="77777777" w:rsidR="00606A6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5, Pt 1, cl 2</w:t>
            </w:r>
            <w:r w:rsidR="00190365">
              <w:rPr>
                <w:rFonts w:asciiTheme="minorHAnsi" w:hAnsiTheme="minorHAnsi" w:cstheme="minorHAnsi"/>
                <w:sz w:val="20"/>
                <w:szCs w:val="20"/>
                <w:lang w:val="en-GB" w:eastAsia="en-US"/>
              </w:rPr>
              <w:t>(1)</w:t>
            </w:r>
            <w:r w:rsidR="00E968D1">
              <w:rPr>
                <w:rFonts w:asciiTheme="minorHAnsi" w:hAnsiTheme="minorHAnsi" w:cstheme="minorHAnsi"/>
                <w:sz w:val="20"/>
                <w:szCs w:val="20"/>
                <w:lang w:val="en-GB" w:eastAsia="en-US"/>
              </w:rPr>
              <w:t>(ab)</w:t>
            </w:r>
            <w:r w:rsidR="00606A67" w:rsidRPr="004F6214">
              <w:rPr>
                <w:rFonts w:asciiTheme="minorHAnsi" w:hAnsiTheme="minorHAnsi" w:cstheme="minorHAnsi"/>
                <w:sz w:val="20"/>
                <w:szCs w:val="20"/>
                <w:lang w:val="en-GB" w:eastAsia="en-US"/>
              </w:rPr>
              <w:t xml:space="preserve"> </w:t>
            </w:r>
          </w:p>
          <w:p w14:paraId="65403287" w14:textId="77777777" w:rsidR="00220887" w:rsidRPr="004F6214" w:rsidRDefault="00606A6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5, Pt 2, cl 4</w:t>
            </w:r>
            <w:r>
              <w:rPr>
                <w:rFonts w:asciiTheme="minorHAnsi" w:hAnsiTheme="minorHAnsi" w:cstheme="minorHAnsi"/>
                <w:sz w:val="20"/>
                <w:szCs w:val="20"/>
                <w:lang w:val="en-GB" w:eastAsia="en-US"/>
              </w:rPr>
              <w:t>(1)(a)</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5403288" w14:textId="77777777" w:rsidR="00220887" w:rsidRPr="004F6214" w:rsidRDefault="00220887" w:rsidP="00606A67">
            <w:pPr>
              <w:spacing w:after="120"/>
              <w:rPr>
                <w:rFonts w:asciiTheme="minorHAnsi" w:hAnsiTheme="minorHAnsi" w:cstheme="minorHAnsi"/>
                <w:sz w:val="20"/>
                <w:szCs w:val="20"/>
              </w:rPr>
            </w:pPr>
            <w:r w:rsidRPr="004F6214">
              <w:rPr>
                <w:rFonts w:asciiTheme="minorHAnsi" w:hAnsiTheme="minorHAnsi" w:cstheme="minorHAnsi"/>
                <w:sz w:val="20"/>
                <w:szCs w:val="20"/>
                <w:lang w:val="en-GB" w:eastAsia="en-US"/>
              </w:rPr>
              <w:t>Add an exception</w:t>
            </w:r>
            <w:r w:rsidR="00606A67">
              <w:rPr>
                <w:rFonts w:asciiTheme="minorHAnsi" w:hAnsiTheme="minorHAnsi" w:cstheme="minorHAnsi"/>
                <w:sz w:val="20"/>
                <w:szCs w:val="20"/>
                <w:lang w:val="en-GB" w:eastAsia="en-US"/>
              </w:rPr>
              <w:t xml:space="preserve"> to plant registration requirements</w:t>
            </w:r>
            <w:r w:rsidRPr="004F6214">
              <w:rPr>
                <w:rFonts w:asciiTheme="minorHAnsi" w:hAnsiTheme="minorHAnsi" w:cstheme="minorHAnsi"/>
                <w:sz w:val="20"/>
                <w:szCs w:val="20"/>
                <w:lang w:val="en-GB" w:eastAsia="en-US"/>
              </w:rPr>
              <w:t xml:space="preserve">:  </w:t>
            </w:r>
            <w:r w:rsidRPr="004F6214">
              <w:rPr>
                <w:rFonts w:asciiTheme="minorHAnsi" w:hAnsiTheme="minorHAnsi" w:cstheme="minorHAnsi"/>
                <w:sz w:val="20"/>
                <w:szCs w:val="20"/>
              </w:rPr>
              <w:t>any pressure equipment (other than a gas cylinder) excluded from scope of AS 1200:2000 (Pressure equipment).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89" w14:textId="77777777" w:rsidR="00493366" w:rsidRDefault="00CC19CA" w:rsidP="00CC19CA">
            <w:pPr>
              <w:spacing w:after="120"/>
              <w:rPr>
                <w:rFonts w:asciiTheme="minorHAnsi" w:hAnsiTheme="minorHAnsi" w:cstheme="minorHAnsi"/>
                <w:sz w:val="20"/>
                <w:szCs w:val="20"/>
              </w:rPr>
            </w:pPr>
            <w:r>
              <w:rPr>
                <w:rFonts w:asciiTheme="minorHAnsi" w:hAnsiTheme="minorHAnsi" w:cstheme="minorHAnsi"/>
                <w:sz w:val="20"/>
                <w:szCs w:val="20"/>
                <w:lang w:val="en-GB" w:eastAsia="en-US"/>
              </w:rPr>
              <w:t>To</w:t>
            </w:r>
            <w:r w:rsidR="00220887">
              <w:rPr>
                <w:rFonts w:asciiTheme="minorHAnsi" w:hAnsiTheme="minorHAnsi" w:cstheme="minorHAnsi"/>
                <w:sz w:val="20"/>
                <w:szCs w:val="20"/>
                <w:lang w:val="en-GB" w:eastAsia="en-US"/>
              </w:rPr>
              <w:t xml:space="preserve"> clarif</w:t>
            </w:r>
            <w:r>
              <w:rPr>
                <w:rFonts w:asciiTheme="minorHAnsi" w:hAnsiTheme="minorHAnsi" w:cstheme="minorHAnsi"/>
                <w:sz w:val="20"/>
                <w:szCs w:val="20"/>
                <w:lang w:val="en-GB" w:eastAsia="en-US"/>
              </w:rPr>
              <w:t>y</w:t>
            </w:r>
            <w:r w:rsidR="00220887" w:rsidRPr="004F6214">
              <w:rPr>
                <w:rFonts w:asciiTheme="minorHAnsi" w:hAnsiTheme="minorHAnsi" w:cstheme="minorHAnsi"/>
                <w:sz w:val="20"/>
                <w:szCs w:val="20"/>
                <w:lang w:val="en-GB" w:eastAsia="en-US"/>
              </w:rPr>
              <w:t xml:space="preserve"> </w:t>
            </w:r>
            <w:r w:rsidR="00493366">
              <w:rPr>
                <w:rFonts w:asciiTheme="minorHAnsi" w:hAnsiTheme="minorHAnsi" w:cstheme="minorHAnsi"/>
                <w:sz w:val="20"/>
                <w:szCs w:val="20"/>
                <w:lang w:val="en-GB" w:eastAsia="en-US"/>
              </w:rPr>
              <w:t xml:space="preserve">pressure equipment (other than a gas cylinder) is not registrable if it falls outside scope of </w:t>
            </w:r>
            <w:r w:rsidR="00493366" w:rsidRPr="004F6214">
              <w:rPr>
                <w:rFonts w:asciiTheme="minorHAnsi" w:hAnsiTheme="minorHAnsi" w:cstheme="minorHAnsi"/>
                <w:sz w:val="20"/>
                <w:szCs w:val="20"/>
              </w:rPr>
              <w:t>AS 1200:2000 (Pressure equipment)</w:t>
            </w:r>
            <w:r w:rsidR="00493366">
              <w:rPr>
                <w:rFonts w:asciiTheme="minorHAnsi" w:hAnsiTheme="minorHAnsi" w:cstheme="minorHAnsi"/>
                <w:sz w:val="20"/>
                <w:szCs w:val="20"/>
              </w:rPr>
              <w:t xml:space="preserve">. </w:t>
            </w:r>
          </w:p>
          <w:p w14:paraId="6540328A" w14:textId="77777777" w:rsidR="00606A67" w:rsidRDefault="00493366" w:rsidP="00CC19CA">
            <w:pPr>
              <w:spacing w:after="120"/>
              <w:rPr>
                <w:rFonts w:asciiTheme="minorHAnsi" w:hAnsiTheme="minorHAnsi" w:cstheme="minorHAnsi"/>
                <w:sz w:val="20"/>
                <w:szCs w:val="20"/>
              </w:rPr>
            </w:pPr>
            <w:r>
              <w:rPr>
                <w:rFonts w:asciiTheme="minorHAnsi" w:hAnsiTheme="minorHAnsi" w:cstheme="minorHAnsi"/>
                <w:sz w:val="20"/>
                <w:szCs w:val="20"/>
              </w:rPr>
              <w:t>This clarifies that—for purposes of determining registration requirements under the Schedule—AS 4343:20005 (Pressure equipment—hazard levels) must be read subject to its ‘parent’ standard, AS 200:2000 (Pressure equipment).</w:t>
            </w:r>
          </w:p>
          <w:p w14:paraId="6540328B" w14:textId="77777777" w:rsidR="00220887" w:rsidRPr="004F6214" w:rsidRDefault="00493366" w:rsidP="00493366">
            <w:pPr>
              <w:spacing w:after="120"/>
              <w:rPr>
                <w:rFonts w:asciiTheme="minorHAnsi" w:hAnsiTheme="minorHAnsi" w:cstheme="minorHAnsi"/>
                <w:sz w:val="20"/>
                <w:szCs w:val="20"/>
                <w:lang w:val="en-GB" w:eastAsia="en-US"/>
              </w:rPr>
            </w:pPr>
            <w:r>
              <w:rPr>
                <w:rFonts w:asciiTheme="minorHAnsi" w:hAnsiTheme="minorHAnsi" w:cstheme="minorHAnsi"/>
                <w:sz w:val="20"/>
                <w:szCs w:val="20"/>
              </w:rPr>
              <w:t>Exceptions for gas cylinders are dealt with elsewhere.</w:t>
            </w:r>
          </w:p>
        </w:tc>
      </w:tr>
      <w:tr w:rsidR="00220887" w:rsidRPr="004F6214" w14:paraId="65403292"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8D"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8E"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5, Part 1, cl 2(1)</w:t>
            </w:r>
            <w:r w:rsidR="00493366">
              <w:rPr>
                <w:rFonts w:asciiTheme="minorHAnsi" w:hAnsiTheme="minorHAnsi" w:cstheme="minorHAnsi"/>
                <w:sz w:val="20"/>
                <w:szCs w:val="20"/>
                <w:lang w:val="en-GB" w:eastAsia="en-US"/>
              </w:rPr>
              <w:t>(ba)</w:t>
            </w:r>
          </w:p>
          <w:p w14:paraId="6540328F" w14:textId="77777777" w:rsidR="00493366" w:rsidRPr="004F6214" w:rsidRDefault="00493366"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5, Pt 2, cl 4</w:t>
            </w:r>
            <w:r>
              <w:rPr>
                <w:rFonts w:asciiTheme="minorHAnsi" w:hAnsiTheme="minorHAnsi" w:cstheme="minorHAnsi"/>
                <w:sz w:val="20"/>
                <w:szCs w:val="20"/>
                <w:lang w:val="en-GB" w:eastAsia="en-US"/>
              </w:rPr>
              <w:t>(1)(c)</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5403290" w14:textId="77777777" w:rsidR="00220887" w:rsidRPr="004F6214" w:rsidRDefault="00220887" w:rsidP="00D87093">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Add new paragraph 2(1)(</w:t>
            </w:r>
            <w:r w:rsidR="00D87093">
              <w:rPr>
                <w:rFonts w:asciiTheme="minorHAnsi" w:hAnsiTheme="minorHAnsi" w:cstheme="minorHAnsi"/>
                <w:sz w:val="20"/>
                <w:szCs w:val="20"/>
                <w:lang w:val="en-GB" w:eastAsia="en-US"/>
              </w:rPr>
              <w:t>ba</w:t>
            </w:r>
            <w:r w:rsidRPr="004F6214">
              <w:rPr>
                <w:rFonts w:asciiTheme="minorHAnsi" w:hAnsiTheme="minorHAnsi" w:cstheme="minorHAnsi"/>
                <w:sz w:val="20"/>
                <w:szCs w:val="20"/>
                <w:lang w:val="en-GB" w:eastAsia="en-US"/>
              </w:rPr>
              <w:t>) ‘a reach stacker’.</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91" w14:textId="77777777" w:rsidR="00220887" w:rsidRPr="004F6214" w:rsidRDefault="00CC19CA" w:rsidP="00CC19CA">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 c</w:t>
            </w:r>
            <w:r w:rsidR="00220887" w:rsidRPr="004F6214">
              <w:rPr>
                <w:rFonts w:asciiTheme="minorHAnsi" w:hAnsiTheme="minorHAnsi" w:cstheme="minorHAnsi"/>
                <w:sz w:val="20"/>
                <w:szCs w:val="20"/>
                <w:lang w:val="en-GB" w:eastAsia="en-US"/>
              </w:rPr>
              <w:t>larif</w:t>
            </w:r>
            <w:r>
              <w:rPr>
                <w:rFonts w:asciiTheme="minorHAnsi" w:hAnsiTheme="minorHAnsi" w:cstheme="minorHAnsi"/>
                <w:sz w:val="20"/>
                <w:szCs w:val="20"/>
                <w:lang w:val="en-GB" w:eastAsia="en-US"/>
              </w:rPr>
              <w:t>y</w:t>
            </w:r>
            <w:r w:rsidR="00220887" w:rsidRPr="004F6214">
              <w:rPr>
                <w:rFonts w:asciiTheme="minorHAnsi" w:hAnsiTheme="minorHAnsi" w:cstheme="minorHAnsi"/>
                <w:sz w:val="20"/>
                <w:szCs w:val="20"/>
                <w:lang w:val="en-GB" w:eastAsia="en-US"/>
              </w:rPr>
              <w:t xml:space="preserve"> reach stackers are not design registrable (for example as a kind of non-slewing mobile crane).</w:t>
            </w:r>
          </w:p>
        </w:tc>
      </w:tr>
      <w:tr w:rsidR="009C2D1A" w:rsidRPr="004F6214" w14:paraId="65403294" w14:textId="77777777" w:rsidTr="001642A0">
        <w:tc>
          <w:tcPr>
            <w:tcW w:w="10173" w:type="dxa"/>
            <w:gridSpan w:val="5"/>
            <w:tcBorders>
              <w:top w:val="single" w:sz="4" w:space="0" w:color="auto"/>
              <w:left w:val="single" w:sz="4" w:space="0" w:color="auto"/>
              <w:bottom w:val="single" w:sz="4" w:space="0" w:color="auto"/>
              <w:right w:val="single" w:sz="4" w:space="0" w:color="auto"/>
            </w:tcBorders>
            <w:shd w:val="clear" w:color="auto" w:fill="auto"/>
          </w:tcPr>
          <w:p w14:paraId="65403293" w14:textId="77777777" w:rsidR="009C2D1A" w:rsidRPr="009C2D1A" w:rsidRDefault="009C2D1A" w:rsidP="00CC19CA">
            <w:pPr>
              <w:spacing w:after="120"/>
              <w:rPr>
                <w:rFonts w:asciiTheme="minorHAnsi" w:hAnsiTheme="minorHAnsi" w:cstheme="minorHAnsi"/>
                <w:b/>
                <w:sz w:val="20"/>
                <w:szCs w:val="20"/>
                <w:lang w:val="en-GB" w:eastAsia="en-US"/>
              </w:rPr>
            </w:pPr>
            <w:r w:rsidRPr="009C2D1A">
              <w:rPr>
                <w:rFonts w:asciiTheme="minorHAnsi" w:hAnsiTheme="minorHAnsi" w:cstheme="minorHAnsi"/>
                <w:b/>
                <w:sz w:val="20"/>
                <w:szCs w:val="20"/>
                <w:lang w:val="en-GB" w:eastAsia="en-US"/>
              </w:rPr>
              <w:t xml:space="preserve">Schedules 10 – 16 </w:t>
            </w:r>
          </w:p>
        </w:tc>
      </w:tr>
      <w:tr w:rsidR="00220887" w:rsidRPr="004F6214" w14:paraId="6540329A"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95"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96"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10, Table 10.3, item 10</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5403297"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Replace ‘0.1%’ with ‘1%’.</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98" w14:textId="77777777" w:rsidR="00493366" w:rsidRDefault="00CC19CA" w:rsidP="00493366">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To</w:t>
            </w:r>
            <w:r w:rsidR="00220887">
              <w:rPr>
                <w:rFonts w:asciiTheme="minorHAnsi" w:hAnsiTheme="minorHAnsi" w:cstheme="minorHAnsi"/>
                <w:sz w:val="20"/>
                <w:szCs w:val="20"/>
                <w:lang w:val="en-GB" w:eastAsia="en-US"/>
              </w:rPr>
              <w:t xml:space="preserve"> </w:t>
            </w:r>
            <w:r w:rsidR="00493366">
              <w:rPr>
                <w:rFonts w:asciiTheme="minorHAnsi" w:hAnsiTheme="minorHAnsi" w:cstheme="minorHAnsi"/>
                <w:sz w:val="20"/>
                <w:szCs w:val="20"/>
                <w:lang w:val="en-GB" w:eastAsia="en-US"/>
              </w:rPr>
              <w:t xml:space="preserve">address workability issues. </w:t>
            </w:r>
          </w:p>
          <w:p w14:paraId="65403299" w14:textId="77777777" w:rsidR="00220887" w:rsidRPr="004F6214" w:rsidRDefault="00493366" w:rsidP="0080403B">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The change brings the threshold back into line with</w:t>
            </w:r>
            <w:r w:rsidR="00220887">
              <w:rPr>
                <w:rFonts w:asciiTheme="minorHAnsi" w:hAnsiTheme="minorHAnsi" w:cstheme="minorHAnsi"/>
                <w:sz w:val="20"/>
                <w:szCs w:val="20"/>
                <w:lang w:val="en-GB" w:eastAsia="en-US"/>
              </w:rPr>
              <w:t xml:space="preserve"> ‘best practice’ under pre-harmonised laws, while addressing concerns about the workability of the </w:t>
            </w:r>
            <w:r w:rsidR="0080403B">
              <w:rPr>
                <w:rFonts w:asciiTheme="minorHAnsi" w:hAnsiTheme="minorHAnsi" w:cstheme="minorHAnsi"/>
                <w:sz w:val="20"/>
                <w:szCs w:val="20"/>
                <w:lang w:val="en-GB" w:eastAsia="en-US"/>
              </w:rPr>
              <w:t>‘0.1%’</w:t>
            </w:r>
            <w:r w:rsidR="00220887">
              <w:rPr>
                <w:rFonts w:asciiTheme="minorHAnsi" w:hAnsiTheme="minorHAnsi" w:cstheme="minorHAnsi"/>
                <w:sz w:val="20"/>
                <w:szCs w:val="20"/>
                <w:lang w:val="en-GB" w:eastAsia="en-US"/>
              </w:rPr>
              <w:t xml:space="preserve"> requirement.</w:t>
            </w:r>
          </w:p>
        </w:tc>
      </w:tr>
      <w:tr w:rsidR="00DF10A5" w:rsidRPr="004F6214" w14:paraId="654032A0"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9B" w14:textId="77777777" w:rsidR="00DF10A5" w:rsidRPr="004F6214" w:rsidRDefault="00DF10A5"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540329C" w14:textId="77777777" w:rsidR="00DF10A5" w:rsidRPr="004F6214" w:rsidRDefault="00DF10A5"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10, Table 10.3, item 10</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540329D" w14:textId="77777777" w:rsidR="00DF10A5" w:rsidRPr="004F6214" w:rsidRDefault="00DF10A5"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Omit the words ‘For spray painting’.</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29E" w14:textId="77777777" w:rsidR="00493366" w:rsidRDefault="00493366" w:rsidP="00CC19CA">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Corrects inadvertent inclusion.</w:t>
            </w:r>
          </w:p>
          <w:p w14:paraId="6540329F" w14:textId="77777777" w:rsidR="00DF10A5" w:rsidRDefault="00DF10A5" w:rsidP="00493366">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This entry was </w:t>
            </w:r>
            <w:r w:rsidR="00CC19CA">
              <w:rPr>
                <w:rFonts w:asciiTheme="minorHAnsi" w:hAnsiTheme="minorHAnsi" w:cstheme="minorHAnsi"/>
                <w:sz w:val="20"/>
                <w:szCs w:val="20"/>
                <w:lang w:val="en-GB" w:eastAsia="en-US"/>
              </w:rPr>
              <w:t xml:space="preserve">inadvertently </w:t>
            </w:r>
            <w:r>
              <w:rPr>
                <w:rFonts w:asciiTheme="minorHAnsi" w:hAnsiTheme="minorHAnsi" w:cstheme="minorHAnsi"/>
                <w:sz w:val="20"/>
                <w:szCs w:val="20"/>
                <w:lang w:val="en-GB" w:eastAsia="en-US"/>
              </w:rPr>
              <w:t xml:space="preserve">included following a transcription error. </w:t>
            </w:r>
          </w:p>
        </w:tc>
      </w:tr>
      <w:tr w:rsidR="00220887" w:rsidRPr="004F6214" w14:paraId="654032A5"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A1"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A2"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11, Table 11.1, item</w:t>
            </w:r>
            <w:r w:rsidR="00306122">
              <w:rPr>
                <w:rFonts w:asciiTheme="minorHAnsi" w:hAnsiTheme="minorHAnsi" w:cstheme="minorHAnsi"/>
                <w:sz w:val="20"/>
                <w:szCs w:val="20"/>
                <w:lang w:val="en-GB" w:eastAsia="en-US"/>
              </w:rPr>
              <w:t>s 10,</w:t>
            </w:r>
            <w:r w:rsidRPr="004F6214">
              <w:rPr>
                <w:rFonts w:asciiTheme="minorHAnsi" w:hAnsiTheme="minorHAnsi" w:cstheme="minorHAnsi"/>
                <w:sz w:val="20"/>
                <w:szCs w:val="20"/>
                <w:lang w:val="en-GB" w:eastAsia="en-US"/>
              </w:rPr>
              <w:t xml:space="preserve"> 32</w:t>
            </w:r>
            <w:r w:rsidR="00306122">
              <w:rPr>
                <w:rFonts w:asciiTheme="minorHAnsi" w:hAnsiTheme="minorHAnsi" w:cstheme="minorHAnsi"/>
                <w:sz w:val="20"/>
                <w:szCs w:val="20"/>
                <w:lang w:val="en-GB" w:eastAsia="en-US"/>
              </w:rPr>
              <w:t>, 43</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54032A3" w14:textId="77777777" w:rsidR="00220887" w:rsidRPr="004F6214" w:rsidRDefault="00306122" w:rsidP="00D5199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New figures for items 10 and 32 of Table 11.1 and new item 43.</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A4"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Correction.</w:t>
            </w:r>
          </w:p>
        </w:tc>
      </w:tr>
      <w:tr w:rsidR="00220887" w:rsidRPr="004F6214" w14:paraId="654032AB"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A6"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A7" w14:textId="77777777" w:rsidR="00220887"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13, cl 1(2)(e)</w:t>
            </w:r>
          </w:p>
          <w:p w14:paraId="654032A8" w14:textId="77777777" w:rsidR="00306122" w:rsidRPr="004F6214" w:rsidRDefault="00306122"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16, cl</w:t>
            </w:r>
            <w:r>
              <w:rPr>
                <w:rFonts w:asciiTheme="minorHAnsi" w:hAnsiTheme="minorHAnsi" w:cstheme="minorHAnsi"/>
                <w:sz w:val="20"/>
                <w:szCs w:val="20"/>
                <w:lang w:val="en-GB" w:eastAsia="en-US"/>
              </w:rPr>
              <w:t> </w:t>
            </w:r>
            <w:r w:rsidRPr="004F6214">
              <w:rPr>
                <w:rFonts w:asciiTheme="minorHAnsi" w:hAnsiTheme="minorHAnsi" w:cstheme="minorHAnsi"/>
                <w:sz w:val="20"/>
                <w:szCs w:val="20"/>
                <w:lang w:val="en-GB" w:eastAsia="en-US"/>
              </w:rPr>
              <w:t>1(1.2)(c), 2(2.3), 2(2.5), 3(3.1) and 3(3.4)</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54032A9" w14:textId="77777777" w:rsidR="00220887" w:rsidRPr="004F6214" w:rsidRDefault="00306122" w:rsidP="00306122">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 xml:space="preserve">Use </w:t>
            </w:r>
            <w:r w:rsidR="00D806B7">
              <w:rPr>
                <w:rFonts w:asciiTheme="minorHAnsi" w:hAnsiTheme="minorHAnsi" w:cstheme="minorHAnsi"/>
                <w:sz w:val="20"/>
                <w:szCs w:val="20"/>
                <w:lang w:val="en-GB" w:eastAsia="en-US"/>
              </w:rPr>
              <w:t xml:space="preserve">the defined </w:t>
            </w:r>
            <w:r>
              <w:rPr>
                <w:rFonts w:asciiTheme="minorHAnsi" w:hAnsiTheme="minorHAnsi" w:cstheme="minorHAnsi"/>
                <w:sz w:val="20"/>
                <w:szCs w:val="20"/>
                <w:lang w:val="en-GB" w:eastAsia="en-US"/>
              </w:rPr>
              <w:t>term</w:t>
            </w:r>
            <w:r w:rsidR="00220887" w:rsidRPr="004F6214">
              <w:rPr>
                <w:rFonts w:asciiTheme="minorHAnsi" w:hAnsiTheme="minorHAnsi" w:cstheme="minorHAnsi"/>
                <w:sz w:val="20"/>
                <w:szCs w:val="20"/>
                <w:lang w:val="en-GB" w:eastAsia="en-US"/>
              </w:rPr>
              <w:t xml:space="preserve"> ‘emergency service organisation’</w:t>
            </w:r>
            <w:r>
              <w:rPr>
                <w:rFonts w:asciiTheme="minorHAnsi" w:hAnsiTheme="minorHAnsi" w:cstheme="minorHAnsi"/>
                <w:sz w:val="20"/>
                <w:szCs w:val="20"/>
                <w:lang w:val="en-GB" w:eastAsia="en-US"/>
              </w:rPr>
              <w:t xml:space="preserve"> rather than variants</w:t>
            </w:r>
            <w:r w:rsidR="00220887" w:rsidRPr="004F6214">
              <w:rPr>
                <w:rFonts w:asciiTheme="minorHAnsi" w:hAnsiTheme="minorHAnsi" w:cstheme="minorHAnsi"/>
                <w:sz w:val="20"/>
                <w:szCs w:val="20"/>
                <w:lang w:val="en-GB" w:eastAsia="en-US"/>
              </w:rPr>
              <w:t>.</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AA" w14:textId="77777777" w:rsidR="00220887" w:rsidRPr="004F6214" w:rsidRDefault="00CC19CA" w:rsidP="00306122">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For c</w:t>
            </w:r>
            <w:r w:rsidR="00220887" w:rsidRPr="004F6214">
              <w:rPr>
                <w:rFonts w:asciiTheme="minorHAnsi" w:hAnsiTheme="minorHAnsi" w:cstheme="minorHAnsi"/>
                <w:sz w:val="20"/>
                <w:szCs w:val="20"/>
                <w:lang w:val="en-GB" w:eastAsia="en-US"/>
              </w:rPr>
              <w:t>onsistency</w:t>
            </w:r>
            <w:r w:rsidR="00306122">
              <w:rPr>
                <w:rFonts w:asciiTheme="minorHAnsi" w:hAnsiTheme="minorHAnsi" w:cstheme="minorHAnsi"/>
                <w:sz w:val="20"/>
                <w:szCs w:val="20"/>
                <w:lang w:val="en-GB" w:eastAsia="en-US"/>
              </w:rPr>
              <w:t xml:space="preserve"> in use of the term across the regulations.</w:t>
            </w:r>
          </w:p>
        </w:tc>
      </w:tr>
      <w:tr w:rsidR="008B57EE" w:rsidRPr="004F6214" w14:paraId="654032B1"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AC" w14:textId="77777777" w:rsidR="008B57EE" w:rsidRPr="004F6214" w:rsidRDefault="008B57EE"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tcPr>
          <w:p w14:paraId="654032AD" w14:textId="77777777" w:rsidR="008B57EE" w:rsidRPr="004F6214" w:rsidRDefault="008B57EE" w:rsidP="00190365">
            <w:pPr>
              <w:spacing w:after="120"/>
              <w:rPr>
                <w:rFonts w:asciiTheme="minorHAnsi" w:hAnsiTheme="minorHAnsi" w:cstheme="minorHAnsi"/>
                <w:sz w:val="20"/>
                <w:szCs w:val="20"/>
                <w:lang w:val="en-GB" w:eastAsia="en-US"/>
              </w:rPr>
            </w:pPr>
            <w:r>
              <w:rPr>
                <w:rFonts w:asciiTheme="minorHAnsi" w:hAnsiTheme="minorHAnsi" w:cstheme="minorHAnsi"/>
                <w:sz w:val="20"/>
                <w:szCs w:val="20"/>
                <w:lang w:val="en-GB" w:eastAsia="en-US"/>
              </w:rPr>
              <w:t>Sch 15, cl 1</w:t>
            </w:r>
          </w:p>
        </w:tc>
        <w:tc>
          <w:tcPr>
            <w:tcW w:w="2819" w:type="dxa"/>
            <w:tcBorders>
              <w:top w:val="single" w:sz="4" w:space="0" w:color="auto"/>
              <w:left w:val="single" w:sz="4" w:space="0" w:color="auto"/>
              <w:bottom w:val="single" w:sz="4" w:space="0" w:color="auto"/>
              <w:right w:val="single" w:sz="4" w:space="0" w:color="auto"/>
            </w:tcBorders>
            <w:shd w:val="clear" w:color="auto" w:fill="auto"/>
          </w:tcPr>
          <w:p w14:paraId="654032AE" w14:textId="77777777" w:rsidR="008B57EE" w:rsidRPr="008B57EE" w:rsidRDefault="008B57EE" w:rsidP="00D51995">
            <w:pPr>
              <w:spacing w:after="120"/>
              <w:rPr>
                <w:rFonts w:asciiTheme="minorHAnsi" w:hAnsiTheme="minorHAnsi" w:cstheme="minorHAnsi"/>
                <w:sz w:val="20"/>
                <w:szCs w:val="20"/>
                <w:lang w:val="en-GB" w:eastAsia="en-US"/>
              </w:rPr>
            </w:pPr>
            <w:r w:rsidRPr="008B57EE">
              <w:rPr>
                <w:rFonts w:asciiTheme="minorHAnsi" w:hAnsiTheme="minorHAnsi" w:cstheme="minorHAnsi"/>
                <w:sz w:val="20"/>
                <w:szCs w:val="20"/>
              </w:rPr>
              <w:t>Omit definitions for LD</w:t>
            </w:r>
            <w:r w:rsidRPr="008B57EE">
              <w:rPr>
                <w:rFonts w:asciiTheme="minorHAnsi" w:hAnsiTheme="minorHAnsi" w:cstheme="minorHAnsi"/>
                <w:sz w:val="20"/>
                <w:szCs w:val="20"/>
                <w:vertAlign w:val="subscript"/>
              </w:rPr>
              <w:t>50</w:t>
            </w:r>
            <w:r w:rsidRPr="008B57EE">
              <w:rPr>
                <w:rFonts w:asciiTheme="minorHAnsi" w:hAnsiTheme="minorHAnsi" w:cstheme="minorHAnsi"/>
                <w:sz w:val="20"/>
                <w:szCs w:val="20"/>
              </w:rPr>
              <w:t xml:space="preserve"> and LC</w:t>
            </w:r>
            <w:r w:rsidRPr="008B57EE">
              <w:rPr>
                <w:rFonts w:asciiTheme="minorHAnsi" w:hAnsiTheme="minorHAnsi" w:cstheme="minorHAnsi"/>
                <w:sz w:val="20"/>
                <w:szCs w:val="20"/>
                <w:vertAlign w:val="subscript"/>
              </w:rPr>
              <w:t>50</w:t>
            </w:r>
            <w:r w:rsidRPr="008B57EE">
              <w:rPr>
                <w:rFonts w:asciiTheme="minorHAnsi" w:hAnsiTheme="minorHAnsi" w:cstheme="minorHAnsi"/>
                <w:sz w:val="20"/>
                <w:szCs w:val="20"/>
              </w:rPr>
              <w:t xml:space="preserve"> in Schedule 15.</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654032AF" w14:textId="77777777" w:rsidR="0080403B" w:rsidRDefault="0080403B" w:rsidP="0080403B">
            <w:pPr>
              <w:pStyle w:val="Paragraph"/>
              <w:numPr>
                <w:ilvl w:val="0"/>
                <w:numId w:val="0"/>
              </w:numPr>
              <w:rPr>
                <w:rFonts w:asciiTheme="minorHAnsi" w:hAnsiTheme="minorHAnsi" w:cstheme="minorHAnsi"/>
                <w:sz w:val="20"/>
                <w:szCs w:val="20"/>
              </w:rPr>
            </w:pPr>
            <w:r>
              <w:rPr>
                <w:rFonts w:asciiTheme="minorHAnsi" w:hAnsiTheme="minorHAnsi" w:cstheme="minorHAnsi"/>
                <w:sz w:val="20"/>
                <w:szCs w:val="20"/>
              </w:rPr>
              <w:t xml:space="preserve">Consequential. </w:t>
            </w:r>
            <w:r w:rsidR="00D806B7">
              <w:rPr>
                <w:rFonts w:asciiTheme="minorHAnsi" w:hAnsiTheme="minorHAnsi" w:cstheme="minorHAnsi"/>
                <w:sz w:val="20"/>
                <w:szCs w:val="20"/>
              </w:rPr>
              <w:t>To better align with</w:t>
            </w:r>
            <w:r w:rsidR="008B57EE" w:rsidRPr="008B57EE">
              <w:rPr>
                <w:rFonts w:asciiTheme="minorHAnsi" w:hAnsiTheme="minorHAnsi" w:cstheme="minorHAnsi"/>
                <w:sz w:val="20"/>
                <w:szCs w:val="20"/>
              </w:rPr>
              <w:t xml:space="preserve"> </w:t>
            </w:r>
            <w:r>
              <w:rPr>
                <w:rFonts w:asciiTheme="minorHAnsi" w:hAnsiTheme="minorHAnsi" w:cstheme="minorHAnsi"/>
                <w:sz w:val="20"/>
                <w:szCs w:val="20"/>
              </w:rPr>
              <w:t>proposed changes to</w:t>
            </w:r>
            <w:r w:rsidR="008B57EE" w:rsidRPr="008B57EE">
              <w:rPr>
                <w:rFonts w:asciiTheme="minorHAnsi" w:hAnsiTheme="minorHAnsi" w:cstheme="minorHAnsi"/>
                <w:sz w:val="20"/>
                <w:szCs w:val="20"/>
              </w:rPr>
              <w:t xml:space="preserve"> Table 15.3 </w:t>
            </w:r>
            <w:r>
              <w:rPr>
                <w:rFonts w:asciiTheme="minorHAnsi" w:hAnsiTheme="minorHAnsi" w:cstheme="minorHAnsi"/>
                <w:sz w:val="20"/>
                <w:szCs w:val="20"/>
              </w:rPr>
              <w:t>of Schedule 15</w:t>
            </w:r>
            <w:r w:rsidR="00D806B7">
              <w:rPr>
                <w:rFonts w:asciiTheme="minorHAnsi" w:hAnsiTheme="minorHAnsi" w:cstheme="minorHAnsi"/>
                <w:sz w:val="20"/>
                <w:szCs w:val="20"/>
              </w:rPr>
              <w:t>, by relying on the widely accepted and understood meanings of these terms</w:t>
            </w:r>
            <w:r w:rsidR="008B57EE" w:rsidRPr="008B57EE">
              <w:rPr>
                <w:rFonts w:asciiTheme="minorHAnsi" w:hAnsiTheme="minorHAnsi" w:cstheme="minorHAnsi"/>
                <w:sz w:val="20"/>
                <w:szCs w:val="20"/>
              </w:rPr>
              <w:t xml:space="preserve">. </w:t>
            </w:r>
          </w:p>
          <w:p w14:paraId="654032B0" w14:textId="77777777" w:rsidR="008B57EE" w:rsidRPr="008B57EE" w:rsidRDefault="0080403B" w:rsidP="0080403B">
            <w:pPr>
              <w:pStyle w:val="Paragraph"/>
              <w:numPr>
                <w:ilvl w:val="0"/>
                <w:numId w:val="0"/>
              </w:numPr>
              <w:rPr>
                <w:rFonts w:asciiTheme="minorHAnsi" w:hAnsiTheme="minorHAnsi" w:cstheme="minorHAnsi"/>
                <w:sz w:val="20"/>
                <w:szCs w:val="20"/>
              </w:rPr>
            </w:pPr>
            <w:r>
              <w:rPr>
                <w:rFonts w:asciiTheme="minorHAnsi" w:hAnsiTheme="minorHAnsi" w:cstheme="minorHAnsi"/>
                <w:sz w:val="20"/>
                <w:szCs w:val="20"/>
              </w:rPr>
              <w:t>For</w:t>
            </w:r>
            <w:r w:rsidR="008B57EE" w:rsidRPr="008B57EE">
              <w:rPr>
                <w:rFonts w:asciiTheme="minorHAnsi" w:hAnsiTheme="minorHAnsi" w:cstheme="minorHAnsi"/>
                <w:sz w:val="20"/>
                <w:szCs w:val="20"/>
              </w:rPr>
              <w:t xml:space="preserve"> scientifically accepted definitions </w:t>
            </w:r>
            <w:r>
              <w:rPr>
                <w:rFonts w:asciiTheme="minorHAnsi" w:hAnsiTheme="minorHAnsi" w:cstheme="minorHAnsi"/>
                <w:sz w:val="20"/>
                <w:szCs w:val="20"/>
              </w:rPr>
              <w:t>of</w:t>
            </w:r>
            <w:r w:rsidR="008B57EE" w:rsidRPr="008B57EE">
              <w:rPr>
                <w:rFonts w:asciiTheme="minorHAnsi" w:hAnsiTheme="minorHAnsi" w:cstheme="minorHAnsi"/>
                <w:sz w:val="20"/>
                <w:szCs w:val="20"/>
              </w:rPr>
              <w:t xml:space="preserve"> LD</w:t>
            </w:r>
            <w:r w:rsidR="008B57EE" w:rsidRPr="0080403B">
              <w:rPr>
                <w:rFonts w:asciiTheme="minorHAnsi" w:hAnsiTheme="minorHAnsi" w:cstheme="minorHAnsi"/>
                <w:sz w:val="20"/>
                <w:szCs w:val="20"/>
              </w:rPr>
              <w:t>50</w:t>
            </w:r>
            <w:r w:rsidR="008B57EE" w:rsidRPr="008B57EE">
              <w:rPr>
                <w:rFonts w:asciiTheme="minorHAnsi" w:hAnsiTheme="minorHAnsi" w:cstheme="minorHAnsi"/>
                <w:sz w:val="20"/>
                <w:szCs w:val="20"/>
              </w:rPr>
              <w:t xml:space="preserve"> and LC</w:t>
            </w:r>
            <w:r w:rsidR="008B57EE" w:rsidRPr="0080403B">
              <w:rPr>
                <w:rFonts w:asciiTheme="minorHAnsi" w:hAnsiTheme="minorHAnsi" w:cstheme="minorHAnsi"/>
                <w:sz w:val="20"/>
                <w:szCs w:val="20"/>
              </w:rPr>
              <w:t>50</w:t>
            </w:r>
            <w:r w:rsidR="008B57EE" w:rsidRPr="008B57EE">
              <w:rPr>
                <w:rFonts w:asciiTheme="minorHAnsi" w:hAnsiTheme="minorHAnsi" w:cstheme="minorHAnsi"/>
                <w:sz w:val="20"/>
                <w:szCs w:val="20"/>
              </w:rPr>
              <w:t xml:space="preserve"> </w:t>
            </w:r>
            <w:r>
              <w:rPr>
                <w:rFonts w:asciiTheme="minorHAnsi" w:hAnsiTheme="minorHAnsi" w:cstheme="minorHAnsi"/>
                <w:sz w:val="20"/>
                <w:szCs w:val="20"/>
              </w:rPr>
              <w:t>see</w:t>
            </w:r>
            <w:r w:rsidR="008B57EE" w:rsidRPr="008B57EE">
              <w:rPr>
                <w:rFonts w:asciiTheme="minorHAnsi" w:hAnsiTheme="minorHAnsi" w:cstheme="minorHAnsi"/>
                <w:sz w:val="20"/>
                <w:szCs w:val="20"/>
              </w:rPr>
              <w:t xml:space="preserve"> for example the </w:t>
            </w:r>
            <w:r w:rsidRPr="0080403B">
              <w:rPr>
                <w:rFonts w:asciiTheme="minorHAnsi" w:hAnsiTheme="minorHAnsi" w:cstheme="minorHAnsi"/>
                <w:i/>
                <w:sz w:val="20"/>
                <w:szCs w:val="20"/>
              </w:rPr>
              <w:t xml:space="preserve">Globally Harmonised System of </w:t>
            </w:r>
            <w:r w:rsidRPr="0080403B">
              <w:rPr>
                <w:rFonts w:asciiTheme="minorHAnsi" w:hAnsiTheme="minorHAnsi" w:cstheme="minorHAnsi"/>
                <w:i/>
                <w:sz w:val="20"/>
                <w:szCs w:val="20"/>
              </w:rPr>
              <w:lastRenderedPageBreak/>
              <w:t>Classification and Labelling of Chemicals</w:t>
            </w:r>
            <w:r>
              <w:rPr>
                <w:rFonts w:asciiTheme="minorHAnsi" w:hAnsiTheme="minorHAnsi" w:cstheme="minorHAnsi"/>
                <w:sz w:val="20"/>
                <w:szCs w:val="20"/>
              </w:rPr>
              <w:t>, Third revised edition,</w:t>
            </w:r>
            <w:r w:rsidR="008B57EE" w:rsidRPr="008B57EE">
              <w:rPr>
                <w:rFonts w:asciiTheme="minorHAnsi" w:hAnsiTheme="minorHAnsi" w:cstheme="minorHAnsi"/>
                <w:sz w:val="20"/>
                <w:szCs w:val="20"/>
              </w:rPr>
              <w:t xml:space="preserve"> and the relevant OECD Test Guidelines.</w:t>
            </w:r>
          </w:p>
        </w:tc>
      </w:tr>
      <w:tr w:rsidR="00220887" w:rsidRPr="004F6214" w14:paraId="654032B6" w14:textId="77777777" w:rsidTr="001642A0">
        <w:tc>
          <w:tcPr>
            <w:tcW w:w="675" w:type="dxa"/>
            <w:tcBorders>
              <w:top w:val="single" w:sz="4" w:space="0" w:color="auto"/>
              <w:left w:val="single" w:sz="4" w:space="0" w:color="auto"/>
              <w:bottom w:val="single" w:sz="4" w:space="0" w:color="auto"/>
              <w:right w:val="single" w:sz="4" w:space="0" w:color="auto"/>
            </w:tcBorders>
            <w:shd w:val="clear" w:color="auto" w:fill="auto"/>
          </w:tcPr>
          <w:p w14:paraId="654032B2" w14:textId="77777777" w:rsidR="00220887" w:rsidRPr="004F6214" w:rsidRDefault="00220887" w:rsidP="00220887">
            <w:pPr>
              <w:pStyle w:val="ListParagraph"/>
              <w:numPr>
                <w:ilvl w:val="0"/>
                <w:numId w:val="11"/>
              </w:numPr>
              <w:spacing w:after="120"/>
              <w:rPr>
                <w:rFonts w:asciiTheme="minorHAnsi" w:hAnsiTheme="minorHAnsi" w:cstheme="minorHAnsi"/>
                <w:sz w:val="20"/>
                <w:szCs w:val="20"/>
                <w:lang w:val="en-GB" w:eastAsia="en-US"/>
              </w:rPr>
            </w:pP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032B3" w14:textId="77777777" w:rsidR="00220887" w:rsidRPr="004F6214" w:rsidRDefault="00220887" w:rsidP="0019036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Sch 15, Table 15.3</w:t>
            </w:r>
          </w:p>
        </w:tc>
        <w:tc>
          <w:tcPr>
            <w:tcW w:w="2819" w:type="dxa"/>
            <w:tcBorders>
              <w:top w:val="single" w:sz="4" w:space="0" w:color="auto"/>
              <w:left w:val="single" w:sz="4" w:space="0" w:color="auto"/>
              <w:bottom w:val="single" w:sz="4" w:space="0" w:color="auto"/>
              <w:right w:val="single" w:sz="4" w:space="0" w:color="auto"/>
            </w:tcBorders>
            <w:shd w:val="clear" w:color="auto" w:fill="auto"/>
            <w:hideMark/>
          </w:tcPr>
          <w:p w14:paraId="654032B4" w14:textId="77777777" w:rsidR="00220887" w:rsidRPr="004F6214" w:rsidRDefault="00220887" w:rsidP="00D51995">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Various amendments to values.</w:t>
            </w:r>
          </w:p>
        </w:tc>
        <w:tc>
          <w:tcPr>
            <w:tcW w:w="5103" w:type="dxa"/>
            <w:tcBorders>
              <w:top w:val="single" w:sz="4" w:space="0" w:color="auto"/>
              <w:left w:val="single" w:sz="4" w:space="0" w:color="auto"/>
              <w:bottom w:val="single" w:sz="4" w:space="0" w:color="auto"/>
              <w:right w:val="single" w:sz="4" w:space="0" w:color="auto"/>
            </w:tcBorders>
            <w:shd w:val="clear" w:color="auto" w:fill="auto"/>
            <w:hideMark/>
          </w:tcPr>
          <w:p w14:paraId="654032B5" w14:textId="77777777" w:rsidR="00220887" w:rsidRPr="004F6214" w:rsidRDefault="00220887" w:rsidP="00D806B7">
            <w:pPr>
              <w:spacing w:after="120"/>
              <w:rPr>
                <w:rFonts w:asciiTheme="minorHAnsi" w:hAnsiTheme="minorHAnsi" w:cstheme="minorHAnsi"/>
                <w:sz w:val="20"/>
                <w:szCs w:val="20"/>
                <w:lang w:val="en-GB" w:eastAsia="en-US"/>
              </w:rPr>
            </w:pPr>
            <w:r w:rsidRPr="004F6214">
              <w:rPr>
                <w:rFonts w:asciiTheme="minorHAnsi" w:hAnsiTheme="minorHAnsi" w:cstheme="minorHAnsi"/>
                <w:sz w:val="20"/>
                <w:szCs w:val="20"/>
                <w:lang w:val="en-GB" w:eastAsia="en-US"/>
              </w:rPr>
              <w:t xml:space="preserve">Correction to align with </w:t>
            </w:r>
            <w:r>
              <w:rPr>
                <w:rFonts w:asciiTheme="minorHAnsi" w:hAnsiTheme="minorHAnsi" w:cstheme="minorHAnsi"/>
                <w:sz w:val="20"/>
                <w:szCs w:val="20"/>
                <w:lang w:val="en-GB" w:eastAsia="en-US"/>
              </w:rPr>
              <w:t xml:space="preserve">relevant </w:t>
            </w:r>
            <w:r w:rsidRPr="004F6214">
              <w:rPr>
                <w:rFonts w:asciiTheme="minorHAnsi" w:hAnsiTheme="minorHAnsi" w:cstheme="minorHAnsi"/>
                <w:sz w:val="20"/>
                <w:szCs w:val="20"/>
                <w:lang w:val="en-GB" w:eastAsia="en-US"/>
              </w:rPr>
              <w:t>dangerous goods code</w:t>
            </w:r>
            <w:r w:rsidR="00D806B7">
              <w:rPr>
                <w:rFonts w:asciiTheme="minorHAnsi" w:hAnsiTheme="minorHAnsi" w:cstheme="minorHAnsi"/>
                <w:sz w:val="20"/>
                <w:szCs w:val="20"/>
                <w:lang w:val="en-GB" w:eastAsia="en-US"/>
              </w:rPr>
              <w:t xml:space="preserve"> and restore the status quo.</w:t>
            </w:r>
          </w:p>
        </w:tc>
      </w:tr>
    </w:tbl>
    <w:p w14:paraId="654032B7" w14:textId="77777777" w:rsidR="00220887" w:rsidRDefault="00220887" w:rsidP="0002626C">
      <w:pPr>
        <w:rPr>
          <w:color w:val="0000FF"/>
          <w:szCs w:val="10"/>
        </w:rPr>
      </w:pPr>
    </w:p>
    <w:sectPr w:rsidR="00220887" w:rsidSect="002D0857">
      <w:headerReference w:type="default" r:id="rId12"/>
      <w:footerReference w:type="default" r:id="rId13"/>
      <w:headerReference w:type="first" r:id="rId14"/>
      <w:footerReference w:type="first" r:id="rId15"/>
      <w:pgSz w:w="11906" w:h="16838" w:code="9"/>
      <w:pgMar w:top="1440" w:right="1106" w:bottom="1440" w:left="1260" w:header="709" w:footer="1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4032BA" w14:textId="77777777" w:rsidR="0080403B" w:rsidRDefault="0080403B">
      <w:r>
        <w:separator/>
      </w:r>
    </w:p>
  </w:endnote>
  <w:endnote w:type="continuationSeparator" w:id="0">
    <w:p w14:paraId="654032BB" w14:textId="77777777" w:rsidR="0080403B" w:rsidRDefault="0080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389337"/>
      <w:docPartObj>
        <w:docPartGallery w:val="Page Numbers (Bottom of Page)"/>
        <w:docPartUnique/>
      </w:docPartObj>
    </w:sdtPr>
    <w:sdtEndPr>
      <w:rPr>
        <w:noProof/>
      </w:rPr>
    </w:sdtEndPr>
    <w:sdtContent>
      <w:p w14:paraId="654032BE" w14:textId="77777777" w:rsidR="0080403B" w:rsidRDefault="0080403B">
        <w:pPr>
          <w:pStyle w:val="Footer"/>
          <w:jc w:val="right"/>
        </w:pPr>
        <w:r>
          <w:fldChar w:fldCharType="begin"/>
        </w:r>
        <w:r>
          <w:instrText xml:space="preserve"> PAGE   \* MERGEFORMAT </w:instrText>
        </w:r>
        <w:r>
          <w:fldChar w:fldCharType="separate"/>
        </w:r>
        <w:r w:rsidR="00FD5040">
          <w:rPr>
            <w:noProof/>
          </w:rPr>
          <w:t>9</w:t>
        </w:r>
        <w:r>
          <w:rPr>
            <w:noProof/>
          </w:rPr>
          <w:fldChar w:fldCharType="end"/>
        </w:r>
      </w:p>
    </w:sdtContent>
  </w:sdt>
  <w:p w14:paraId="654032BF" w14:textId="77777777" w:rsidR="0080403B" w:rsidRPr="00D811BA" w:rsidRDefault="0080403B" w:rsidP="00D811BA">
    <w:pPr>
      <w:pStyle w:val="Footer"/>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032C2" w14:textId="77777777" w:rsidR="0080403B" w:rsidRPr="00634C71" w:rsidRDefault="0080403B" w:rsidP="00B6442E">
    <w:pPr>
      <w:pStyle w:val="Footer"/>
      <w:pBdr>
        <w:bottom w:val="single" w:sz="6" w:space="1" w:color="auto"/>
      </w:pBdr>
      <w:rPr>
        <w:rFonts w:cs="Arial"/>
        <w:sz w:val="18"/>
        <w:szCs w:val="18"/>
      </w:rPr>
    </w:pPr>
  </w:p>
  <w:p w14:paraId="654032C3" w14:textId="77777777" w:rsidR="0080403B" w:rsidRPr="007C5BA8" w:rsidRDefault="0080403B" w:rsidP="00B6442E">
    <w:pPr>
      <w:pStyle w:val="Footer"/>
      <w:rPr>
        <w:rFonts w:cs="Arial"/>
        <w:cap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4032B8" w14:textId="77777777" w:rsidR="0080403B" w:rsidRDefault="0080403B">
      <w:r>
        <w:separator/>
      </w:r>
    </w:p>
  </w:footnote>
  <w:footnote w:type="continuationSeparator" w:id="0">
    <w:p w14:paraId="654032B9" w14:textId="77777777" w:rsidR="0080403B" w:rsidRDefault="008040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032BC" w14:textId="77777777" w:rsidR="0080403B" w:rsidRDefault="0080403B">
    <w:pPr>
      <w:pStyle w:val="Header"/>
      <w:rPr>
        <w:b/>
      </w:rPr>
    </w:pPr>
    <w:r>
      <w:rPr>
        <w:noProof/>
      </w:rPr>
      <w:drawing>
        <wp:inline distT="0" distB="0" distL="0" distR="0" wp14:anchorId="654032C4" wp14:editId="654032C5">
          <wp:extent cx="2524125" cy="514350"/>
          <wp:effectExtent l="19050" t="0" r="9525" b="0"/>
          <wp:docPr id="1" name="Picture 1"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14:paraId="654032BD" w14:textId="77777777" w:rsidR="0080403B" w:rsidRPr="00D142A1" w:rsidRDefault="0080403B">
    <w:pPr>
      <w:pStyle w:val="Head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032C0" w14:textId="77777777" w:rsidR="0080403B" w:rsidRDefault="0080403B">
    <w:pPr>
      <w:pStyle w:val="Header"/>
    </w:pPr>
    <w:r>
      <w:rPr>
        <w:noProof/>
      </w:rPr>
      <w:drawing>
        <wp:inline distT="0" distB="0" distL="0" distR="0" wp14:anchorId="654032C6" wp14:editId="654032C7">
          <wp:extent cx="2524125" cy="514350"/>
          <wp:effectExtent l="19050" t="0" r="9525" b="0"/>
          <wp:docPr id="2" name="Picture 2"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Picture"/>
                  <pic:cNvPicPr>
                    <a:picLocks noChangeAspect="1" noChangeArrowheads="1"/>
                  </pic:cNvPicPr>
                </pic:nvPicPr>
                <pic:blipFill>
                  <a:blip r:embed="rId1"/>
                  <a:srcRect/>
                  <a:stretch>
                    <a:fillRect/>
                  </a:stretch>
                </pic:blipFill>
                <pic:spPr bwMode="auto">
                  <a:xfrm>
                    <a:off x="0" y="0"/>
                    <a:ext cx="2524125" cy="514350"/>
                  </a:xfrm>
                  <a:prstGeom prst="rect">
                    <a:avLst/>
                  </a:prstGeom>
                  <a:noFill/>
                  <a:ln w="9525">
                    <a:noFill/>
                    <a:miter lim="800000"/>
                    <a:headEnd/>
                    <a:tailEnd/>
                  </a:ln>
                </pic:spPr>
              </pic:pic>
            </a:graphicData>
          </a:graphic>
        </wp:inline>
      </w:drawing>
    </w:r>
  </w:p>
  <w:p w14:paraId="654032C1" w14:textId="77777777" w:rsidR="0080403B" w:rsidRPr="004D31C7" w:rsidRDefault="008040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4584"/>
    <w:multiLevelType w:val="hybridMultilevel"/>
    <w:tmpl w:val="4482869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183A2F62"/>
    <w:multiLevelType w:val="multilevel"/>
    <w:tmpl w:val="4F9ED9D2"/>
    <w:numStyleLink w:val="StyleOutlinenumberedVerdana"/>
  </w:abstractNum>
  <w:abstractNum w:abstractNumId="2">
    <w:nsid w:val="2B6630F6"/>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C173532"/>
    <w:multiLevelType w:val="hybridMultilevel"/>
    <w:tmpl w:val="DF766D3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2CAF6F96"/>
    <w:multiLevelType w:val="hybridMultilevel"/>
    <w:tmpl w:val="3778621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3C7D4E4F"/>
    <w:multiLevelType w:val="hybridMultilevel"/>
    <w:tmpl w:val="C876D2B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4260277B"/>
    <w:multiLevelType w:val="multilevel"/>
    <w:tmpl w:val="4F9ED9D2"/>
    <w:styleLink w:val="StyleOutlinenumberedVerdana"/>
    <w:lvl w:ilvl="0">
      <w:start w:val="1"/>
      <w:numFmt w:val="decimal"/>
      <w:pStyle w:val="Paragraph"/>
      <w:lvlText w:val="%1."/>
      <w:lvlJc w:val="left"/>
      <w:pPr>
        <w:tabs>
          <w:tab w:val="num" w:pos="567"/>
        </w:tabs>
        <w:ind w:left="360" w:hanging="360"/>
      </w:pPr>
      <w:rPr>
        <w:rFonts w:ascii="Arial" w:hAnsi="Arial"/>
        <w:color w:val="auto"/>
        <w:spacing w:val="0"/>
        <w:position w:val="0"/>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BE65F0E"/>
    <w:multiLevelType w:val="hybridMultilevel"/>
    <w:tmpl w:val="FF8A0E42"/>
    <w:lvl w:ilvl="0" w:tplc="24B0EA10">
      <w:start w:val="1"/>
      <w:numFmt w:val="lowerLetter"/>
      <w:lvlText w:val="%1)"/>
      <w:lvlJc w:val="left"/>
      <w:pPr>
        <w:tabs>
          <w:tab w:val="num" w:pos="720"/>
        </w:tabs>
        <w:ind w:left="720" w:hanging="360"/>
      </w:pPr>
      <w:rPr>
        <w:rFonts w:hint="default"/>
        <w:color w:val="auto"/>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69583577"/>
    <w:multiLevelType w:val="multilevel"/>
    <w:tmpl w:val="C6E85C8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7387543"/>
    <w:multiLevelType w:val="hybridMultilevel"/>
    <w:tmpl w:val="09AA421C"/>
    <w:lvl w:ilvl="0" w:tplc="90E054AE">
      <w:start w:val="1"/>
      <w:numFmt w:val="decimal"/>
      <w:lvlText w:val="%1."/>
      <w:lvlJc w:val="left"/>
      <w:pPr>
        <w:ind w:left="360" w:hanging="360"/>
      </w:pPr>
      <w:rPr>
        <w:rFonts w:ascii="Arial" w:hAnsi="Arial" w:cs="Arial" w:hint="default"/>
        <w:b w:val="0"/>
        <w:i w:val="0"/>
      </w:r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num w:numId="1">
    <w:abstractNumId w:val="2"/>
  </w:num>
  <w:num w:numId="2">
    <w:abstractNumId w:val="1"/>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
    <w:abstractNumId w:val="8"/>
  </w:num>
  <w:num w:numId="4">
    <w:abstractNumId w:val="6"/>
  </w:num>
  <w:num w:numId="5">
    <w:abstractNumId w:val="5"/>
  </w:num>
  <w:num w:numId="6">
    <w:abstractNumId w:val="7"/>
  </w:num>
  <w:num w:numId="7">
    <w:abstractNumId w:val="4"/>
  </w:num>
  <w:num w:numId="8">
    <w:abstractNumId w:val="1"/>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9">
    <w:abstractNumId w:val="9"/>
  </w:num>
  <w:num w:numId="10">
    <w:abstractNumId w:val="3"/>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lvl w:ilvl="0">
        <w:start w:val="1"/>
        <w:numFmt w:val="decimal"/>
        <w:pStyle w:val="Paragraph"/>
        <w:lvlText w:val="%1."/>
        <w:lvlJc w:val="left"/>
        <w:pPr>
          <w:tabs>
            <w:tab w:val="num" w:pos="567"/>
          </w:tabs>
          <w:ind w:left="360" w:hanging="360"/>
        </w:pPr>
        <w:rPr>
          <w:rFonts w:ascii="Arial" w:hAnsi="Arial"/>
          <w:color w:val="auto"/>
          <w:spacing w:val="0"/>
          <w:position w:val="0"/>
          <w:sz w:val="22"/>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A48"/>
    <w:rsid w:val="000033DD"/>
    <w:rsid w:val="0001285D"/>
    <w:rsid w:val="0002626C"/>
    <w:rsid w:val="00037700"/>
    <w:rsid w:val="000563AA"/>
    <w:rsid w:val="00074B97"/>
    <w:rsid w:val="0008582B"/>
    <w:rsid w:val="0009149A"/>
    <w:rsid w:val="00095814"/>
    <w:rsid w:val="000A0928"/>
    <w:rsid w:val="000A2D3B"/>
    <w:rsid w:val="000E1212"/>
    <w:rsid w:val="000E6C48"/>
    <w:rsid w:val="001207B3"/>
    <w:rsid w:val="0012143E"/>
    <w:rsid w:val="00123EBD"/>
    <w:rsid w:val="00143378"/>
    <w:rsid w:val="00154219"/>
    <w:rsid w:val="00157752"/>
    <w:rsid w:val="00163ED0"/>
    <w:rsid w:val="001642A0"/>
    <w:rsid w:val="00171B33"/>
    <w:rsid w:val="00186D2B"/>
    <w:rsid w:val="00187FC0"/>
    <w:rsid w:val="00190365"/>
    <w:rsid w:val="001C679D"/>
    <w:rsid w:val="001C76C3"/>
    <w:rsid w:val="002001EA"/>
    <w:rsid w:val="00202F12"/>
    <w:rsid w:val="00220887"/>
    <w:rsid w:val="00234BF9"/>
    <w:rsid w:val="00234C35"/>
    <w:rsid w:val="00251949"/>
    <w:rsid w:val="002575CA"/>
    <w:rsid w:val="002833C5"/>
    <w:rsid w:val="0029764D"/>
    <w:rsid w:val="002A14A2"/>
    <w:rsid w:val="002B6A20"/>
    <w:rsid w:val="002D0684"/>
    <w:rsid w:val="002D0857"/>
    <w:rsid w:val="002D43AC"/>
    <w:rsid w:val="002E1CDA"/>
    <w:rsid w:val="002E29BC"/>
    <w:rsid w:val="00306122"/>
    <w:rsid w:val="00307116"/>
    <w:rsid w:val="00326F9B"/>
    <w:rsid w:val="00343C0D"/>
    <w:rsid w:val="003469FC"/>
    <w:rsid w:val="00365930"/>
    <w:rsid w:val="00367444"/>
    <w:rsid w:val="003722C3"/>
    <w:rsid w:val="00384D46"/>
    <w:rsid w:val="003965B8"/>
    <w:rsid w:val="003C21E9"/>
    <w:rsid w:val="003D10A4"/>
    <w:rsid w:val="003D64AC"/>
    <w:rsid w:val="003E1BA6"/>
    <w:rsid w:val="003E521B"/>
    <w:rsid w:val="003F0D76"/>
    <w:rsid w:val="00412664"/>
    <w:rsid w:val="00442230"/>
    <w:rsid w:val="004537E6"/>
    <w:rsid w:val="00485882"/>
    <w:rsid w:val="004868B0"/>
    <w:rsid w:val="00493366"/>
    <w:rsid w:val="00493AF9"/>
    <w:rsid w:val="004A4A2F"/>
    <w:rsid w:val="004D146D"/>
    <w:rsid w:val="004D2651"/>
    <w:rsid w:val="004D31C7"/>
    <w:rsid w:val="004E3F3F"/>
    <w:rsid w:val="004F04B7"/>
    <w:rsid w:val="00510C20"/>
    <w:rsid w:val="005143EE"/>
    <w:rsid w:val="00515F9A"/>
    <w:rsid w:val="00530F00"/>
    <w:rsid w:val="00564426"/>
    <w:rsid w:val="00566BF0"/>
    <w:rsid w:val="0057225F"/>
    <w:rsid w:val="005914F4"/>
    <w:rsid w:val="005975E6"/>
    <w:rsid w:val="005A00FF"/>
    <w:rsid w:val="005A7671"/>
    <w:rsid w:val="005B1F5F"/>
    <w:rsid w:val="005B3579"/>
    <w:rsid w:val="005B6C66"/>
    <w:rsid w:val="005C0995"/>
    <w:rsid w:val="005D0EDA"/>
    <w:rsid w:val="005E2E03"/>
    <w:rsid w:val="005E7D89"/>
    <w:rsid w:val="005F3A31"/>
    <w:rsid w:val="00606A67"/>
    <w:rsid w:val="006101A8"/>
    <w:rsid w:val="00634C71"/>
    <w:rsid w:val="006769E9"/>
    <w:rsid w:val="00684482"/>
    <w:rsid w:val="00687205"/>
    <w:rsid w:val="00687916"/>
    <w:rsid w:val="006A5189"/>
    <w:rsid w:val="006C3042"/>
    <w:rsid w:val="006E5989"/>
    <w:rsid w:val="006F722A"/>
    <w:rsid w:val="00702535"/>
    <w:rsid w:val="0071191E"/>
    <w:rsid w:val="00712CC3"/>
    <w:rsid w:val="00715570"/>
    <w:rsid w:val="007158BF"/>
    <w:rsid w:val="00750DD4"/>
    <w:rsid w:val="00752381"/>
    <w:rsid w:val="00766763"/>
    <w:rsid w:val="007710D6"/>
    <w:rsid w:val="007767C5"/>
    <w:rsid w:val="00790801"/>
    <w:rsid w:val="007966CC"/>
    <w:rsid w:val="007A6E96"/>
    <w:rsid w:val="007B19B1"/>
    <w:rsid w:val="007C105A"/>
    <w:rsid w:val="007C5BA8"/>
    <w:rsid w:val="007C77E8"/>
    <w:rsid w:val="007D2FA7"/>
    <w:rsid w:val="007E1A93"/>
    <w:rsid w:val="0080403B"/>
    <w:rsid w:val="00804F11"/>
    <w:rsid w:val="00831A1D"/>
    <w:rsid w:val="00841B29"/>
    <w:rsid w:val="00851815"/>
    <w:rsid w:val="00854140"/>
    <w:rsid w:val="00855019"/>
    <w:rsid w:val="0086677F"/>
    <w:rsid w:val="008747E7"/>
    <w:rsid w:val="008779B1"/>
    <w:rsid w:val="008923CF"/>
    <w:rsid w:val="008B24AF"/>
    <w:rsid w:val="008B57EE"/>
    <w:rsid w:val="008C268C"/>
    <w:rsid w:val="008D0C98"/>
    <w:rsid w:val="008D16CF"/>
    <w:rsid w:val="008E731B"/>
    <w:rsid w:val="0090314F"/>
    <w:rsid w:val="00921660"/>
    <w:rsid w:val="009324FC"/>
    <w:rsid w:val="009401B8"/>
    <w:rsid w:val="00940BD0"/>
    <w:rsid w:val="00940EC8"/>
    <w:rsid w:val="00946B3F"/>
    <w:rsid w:val="00960CC3"/>
    <w:rsid w:val="00963493"/>
    <w:rsid w:val="009717D9"/>
    <w:rsid w:val="00971B7A"/>
    <w:rsid w:val="00986478"/>
    <w:rsid w:val="00987BF1"/>
    <w:rsid w:val="00996D0D"/>
    <w:rsid w:val="009A4559"/>
    <w:rsid w:val="009B5613"/>
    <w:rsid w:val="009B73EB"/>
    <w:rsid w:val="009C2D1A"/>
    <w:rsid w:val="009D1CF1"/>
    <w:rsid w:val="009E1724"/>
    <w:rsid w:val="00A001B3"/>
    <w:rsid w:val="00A25389"/>
    <w:rsid w:val="00A26FB4"/>
    <w:rsid w:val="00A276CF"/>
    <w:rsid w:val="00A3224B"/>
    <w:rsid w:val="00A33885"/>
    <w:rsid w:val="00A3540E"/>
    <w:rsid w:val="00A42E8B"/>
    <w:rsid w:val="00A501CC"/>
    <w:rsid w:val="00A70B2B"/>
    <w:rsid w:val="00A7665E"/>
    <w:rsid w:val="00A93521"/>
    <w:rsid w:val="00AB0748"/>
    <w:rsid w:val="00AD61EF"/>
    <w:rsid w:val="00AE0220"/>
    <w:rsid w:val="00AF38BD"/>
    <w:rsid w:val="00AF700D"/>
    <w:rsid w:val="00B101B3"/>
    <w:rsid w:val="00B20910"/>
    <w:rsid w:val="00B40223"/>
    <w:rsid w:val="00B63692"/>
    <w:rsid w:val="00B63918"/>
    <w:rsid w:val="00B6442E"/>
    <w:rsid w:val="00BA2033"/>
    <w:rsid w:val="00BC01E5"/>
    <w:rsid w:val="00BF766F"/>
    <w:rsid w:val="00C00F20"/>
    <w:rsid w:val="00C243F0"/>
    <w:rsid w:val="00C4713D"/>
    <w:rsid w:val="00C70543"/>
    <w:rsid w:val="00C76873"/>
    <w:rsid w:val="00CA02B9"/>
    <w:rsid w:val="00CB27A3"/>
    <w:rsid w:val="00CC19CA"/>
    <w:rsid w:val="00CC2450"/>
    <w:rsid w:val="00CC2487"/>
    <w:rsid w:val="00CD0C11"/>
    <w:rsid w:val="00CD481D"/>
    <w:rsid w:val="00CE0B3E"/>
    <w:rsid w:val="00CE306F"/>
    <w:rsid w:val="00D142A1"/>
    <w:rsid w:val="00D144E7"/>
    <w:rsid w:val="00D1724B"/>
    <w:rsid w:val="00D2109B"/>
    <w:rsid w:val="00D24A59"/>
    <w:rsid w:val="00D341CD"/>
    <w:rsid w:val="00D40017"/>
    <w:rsid w:val="00D421D6"/>
    <w:rsid w:val="00D42BBF"/>
    <w:rsid w:val="00D51995"/>
    <w:rsid w:val="00D63E7A"/>
    <w:rsid w:val="00D806B7"/>
    <w:rsid w:val="00D811BA"/>
    <w:rsid w:val="00D87093"/>
    <w:rsid w:val="00DB1880"/>
    <w:rsid w:val="00DB5FE8"/>
    <w:rsid w:val="00DB6FF4"/>
    <w:rsid w:val="00DE535C"/>
    <w:rsid w:val="00DF10A5"/>
    <w:rsid w:val="00DF4A48"/>
    <w:rsid w:val="00DF6FBB"/>
    <w:rsid w:val="00E00624"/>
    <w:rsid w:val="00E16EF8"/>
    <w:rsid w:val="00E267E1"/>
    <w:rsid w:val="00E37339"/>
    <w:rsid w:val="00E417E2"/>
    <w:rsid w:val="00E4739E"/>
    <w:rsid w:val="00E47DF9"/>
    <w:rsid w:val="00E532EA"/>
    <w:rsid w:val="00E61404"/>
    <w:rsid w:val="00E72E2B"/>
    <w:rsid w:val="00E91784"/>
    <w:rsid w:val="00E968D1"/>
    <w:rsid w:val="00E97947"/>
    <w:rsid w:val="00EA1D87"/>
    <w:rsid w:val="00EA3E03"/>
    <w:rsid w:val="00EB43BF"/>
    <w:rsid w:val="00EB5038"/>
    <w:rsid w:val="00F31485"/>
    <w:rsid w:val="00F37765"/>
    <w:rsid w:val="00F6619C"/>
    <w:rsid w:val="00F678DD"/>
    <w:rsid w:val="00F92BEE"/>
    <w:rsid w:val="00FB0DB3"/>
    <w:rsid w:val="00FB2891"/>
    <w:rsid w:val="00FD5040"/>
    <w:rsid w:val="00FE77E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540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219"/>
    <w:rPr>
      <w:rFonts w:ascii="Arial" w:hAnsi="Arial"/>
      <w:sz w:val="22"/>
      <w:szCs w:val="24"/>
    </w:rPr>
  </w:style>
  <w:style w:type="paragraph" w:styleId="Heading1">
    <w:name w:val="heading 1"/>
    <w:basedOn w:val="Normal"/>
    <w:next w:val="Normal"/>
    <w:qFormat/>
    <w:rsid w:val="00154219"/>
    <w:pPr>
      <w:keepNext/>
      <w:spacing w:before="240" w:after="240"/>
      <w:outlineLvl w:val="0"/>
    </w:pPr>
    <w:rPr>
      <w:rFonts w:cs="Arial"/>
      <w:b/>
      <w:bCs/>
      <w:kern w:val="32"/>
      <w:szCs w:val="32"/>
    </w:rPr>
  </w:style>
  <w:style w:type="paragraph" w:styleId="Heading2">
    <w:name w:val="heading 2"/>
    <w:basedOn w:val="Title1"/>
    <w:next w:val="Normal"/>
    <w:qFormat/>
    <w:rsid w:val="001542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left" w:pos="425"/>
      </w:tabs>
      <w:spacing w:after="240"/>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styleId="Hyperlink">
    <w:name w:val="Hyperlink"/>
    <w:basedOn w:val="DefaultParagraphFont"/>
    <w:rsid w:val="002001EA"/>
    <w:rPr>
      <w:color w:val="0000FF"/>
      <w:u w:val="single"/>
    </w:rPr>
  </w:style>
  <w:style w:type="paragraph" w:styleId="BalloonText">
    <w:name w:val="Balloon Text"/>
    <w:basedOn w:val="Normal"/>
    <w:link w:val="BalloonTextChar"/>
    <w:rsid w:val="009B73EB"/>
    <w:rPr>
      <w:rFonts w:ascii="Tahoma" w:hAnsi="Tahoma" w:cs="Tahoma"/>
      <w:sz w:val="16"/>
      <w:szCs w:val="16"/>
    </w:rPr>
  </w:style>
  <w:style w:type="character" w:customStyle="1" w:styleId="BalloonTextChar">
    <w:name w:val="Balloon Text Char"/>
    <w:basedOn w:val="DefaultParagraphFont"/>
    <w:link w:val="BalloonText"/>
    <w:rsid w:val="009B73EB"/>
    <w:rPr>
      <w:rFonts w:ascii="Tahoma" w:hAnsi="Tahoma" w:cs="Tahoma"/>
      <w:sz w:val="16"/>
      <w:szCs w:val="16"/>
    </w:rPr>
  </w:style>
  <w:style w:type="paragraph" w:customStyle="1" w:styleId="Quote-1Dot">
    <w:name w:val="Quote-1 Dot"/>
    <w:basedOn w:val="Normal"/>
    <w:next w:val="Normal"/>
    <w:uiPriority w:val="99"/>
    <w:rsid w:val="00220887"/>
    <w:pPr>
      <w:jc w:val="both"/>
    </w:pPr>
    <w:rPr>
      <w:rFonts w:ascii="Times New Roman" w:hAnsi="Times New Roman"/>
      <w:sz w:val="24"/>
      <w:lang w:val="en-GB" w:eastAsia="en-US"/>
    </w:rPr>
  </w:style>
  <w:style w:type="paragraph" w:styleId="ListParagraph">
    <w:name w:val="List Paragraph"/>
    <w:basedOn w:val="Normal"/>
    <w:uiPriority w:val="34"/>
    <w:qFormat/>
    <w:rsid w:val="00220887"/>
    <w:pPr>
      <w:ind w:left="720"/>
      <w:contextualSpacing/>
    </w:pPr>
    <w:rPr>
      <w:rFonts w:ascii="Times New Roman" w:hAnsi="Times New Roman"/>
      <w:sz w:val="24"/>
    </w:rPr>
  </w:style>
  <w:style w:type="character" w:styleId="CommentReference">
    <w:name w:val="annotation reference"/>
    <w:basedOn w:val="DefaultParagraphFont"/>
    <w:rsid w:val="002D0857"/>
    <w:rPr>
      <w:sz w:val="16"/>
      <w:szCs w:val="16"/>
    </w:rPr>
  </w:style>
  <w:style w:type="paragraph" w:styleId="CommentText">
    <w:name w:val="annotation text"/>
    <w:basedOn w:val="Normal"/>
    <w:link w:val="CommentTextChar"/>
    <w:rsid w:val="002D0857"/>
    <w:rPr>
      <w:sz w:val="20"/>
      <w:szCs w:val="20"/>
    </w:rPr>
  </w:style>
  <w:style w:type="character" w:customStyle="1" w:styleId="CommentTextChar">
    <w:name w:val="Comment Text Char"/>
    <w:basedOn w:val="DefaultParagraphFont"/>
    <w:link w:val="CommentText"/>
    <w:rsid w:val="002D0857"/>
    <w:rPr>
      <w:rFonts w:ascii="Arial" w:hAnsi="Arial"/>
    </w:rPr>
  </w:style>
  <w:style w:type="paragraph" w:styleId="CommentSubject">
    <w:name w:val="annotation subject"/>
    <w:basedOn w:val="CommentText"/>
    <w:next w:val="CommentText"/>
    <w:link w:val="CommentSubjectChar"/>
    <w:rsid w:val="002D0857"/>
    <w:rPr>
      <w:b/>
      <w:bCs/>
    </w:rPr>
  </w:style>
  <w:style w:type="character" w:customStyle="1" w:styleId="CommentSubjectChar">
    <w:name w:val="Comment Subject Char"/>
    <w:basedOn w:val="CommentTextChar"/>
    <w:link w:val="CommentSubject"/>
    <w:rsid w:val="002D0857"/>
    <w:rPr>
      <w:rFonts w:ascii="Arial" w:hAnsi="Arial"/>
      <w:b/>
      <w:bCs/>
    </w:rPr>
  </w:style>
  <w:style w:type="paragraph" w:customStyle="1" w:styleId="Default">
    <w:name w:val="Default"/>
    <w:rsid w:val="00E532EA"/>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0A0928"/>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4219"/>
    <w:rPr>
      <w:rFonts w:ascii="Arial" w:hAnsi="Arial"/>
      <w:sz w:val="22"/>
      <w:szCs w:val="24"/>
    </w:rPr>
  </w:style>
  <w:style w:type="paragraph" w:styleId="Heading1">
    <w:name w:val="heading 1"/>
    <w:basedOn w:val="Normal"/>
    <w:next w:val="Normal"/>
    <w:qFormat/>
    <w:rsid w:val="00154219"/>
    <w:pPr>
      <w:keepNext/>
      <w:spacing w:before="240" w:after="240"/>
      <w:outlineLvl w:val="0"/>
    </w:pPr>
    <w:rPr>
      <w:rFonts w:cs="Arial"/>
      <w:b/>
      <w:bCs/>
      <w:kern w:val="32"/>
      <w:szCs w:val="32"/>
    </w:rPr>
  </w:style>
  <w:style w:type="paragraph" w:styleId="Heading2">
    <w:name w:val="heading 2"/>
    <w:basedOn w:val="Title1"/>
    <w:next w:val="Normal"/>
    <w:qFormat/>
    <w:rsid w:val="0015421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2A1"/>
    <w:pPr>
      <w:tabs>
        <w:tab w:val="center" w:pos="4153"/>
        <w:tab w:val="right" w:pos="8306"/>
      </w:tabs>
    </w:pPr>
  </w:style>
  <w:style w:type="paragraph" w:styleId="Footer">
    <w:name w:val="footer"/>
    <w:basedOn w:val="Normal"/>
    <w:link w:val="FooterChar"/>
    <w:uiPriority w:val="99"/>
    <w:rsid w:val="00D142A1"/>
    <w:pPr>
      <w:tabs>
        <w:tab w:val="center" w:pos="4153"/>
        <w:tab w:val="right" w:pos="8306"/>
      </w:tabs>
    </w:pPr>
  </w:style>
  <w:style w:type="paragraph" w:customStyle="1" w:styleId="Text">
    <w:name w:val="Text"/>
    <w:basedOn w:val="Normal"/>
    <w:rsid w:val="005B3579"/>
    <w:pPr>
      <w:pBdr>
        <w:top w:val="single" w:sz="12" w:space="4" w:color="auto"/>
        <w:left w:val="single" w:sz="12" w:space="4" w:color="auto"/>
        <w:bottom w:val="single" w:sz="12" w:space="4" w:color="auto"/>
        <w:right w:val="single" w:sz="12" w:space="4" w:color="auto"/>
      </w:pBdr>
    </w:pPr>
    <w:rPr>
      <w:rFonts w:ascii="Verdana" w:hAnsi="Verdana"/>
    </w:rPr>
  </w:style>
  <w:style w:type="paragraph" w:customStyle="1" w:styleId="Title1">
    <w:name w:val="Title1"/>
    <w:basedOn w:val="Normal"/>
    <w:rsid w:val="00154219"/>
    <w:pPr>
      <w:jc w:val="center"/>
    </w:pPr>
    <w:rPr>
      <w:rFonts w:ascii="Arial Bold" w:hAnsi="Arial Bold"/>
      <w:b/>
      <w:caps/>
      <w:sz w:val="28"/>
      <w:szCs w:val="28"/>
    </w:rPr>
  </w:style>
  <w:style w:type="paragraph" w:customStyle="1" w:styleId="RECOMMENDATIONBOX">
    <w:name w:val="RECOMMENDATION BOX"/>
    <w:basedOn w:val="Normal"/>
    <w:rsid w:val="005E2E03"/>
    <w:pPr>
      <w:pBdr>
        <w:top w:val="single" w:sz="12" w:space="4" w:color="auto"/>
        <w:left w:val="single" w:sz="12" w:space="4" w:color="auto"/>
        <w:bottom w:val="single" w:sz="12" w:space="4" w:color="auto"/>
        <w:right w:val="single" w:sz="12" w:space="4" w:color="auto"/>
      </w:pBdr>
    </w:pPr>
    <w:rPr>
      <w:rFonts w:ascii="Verdana" w:hAnsi="Verdana"/>
      <w:b/>
    </w:rPr>
  </w:style>
  <w:style w:type="paragraph" w:customStyle="1" w:styleId="Paragraph">
    <w:name w:val="Paragraph"/>
    <w:basedOn w:val="Normal"/>
    <w:rsid w:val="009E1724"/>
    <w:pPr>
      <w:numPr>
        <w:numId w:val="2"/>
      </w:numPr>
      <w:tabs>
        <w:tab w:val="left" w:pos="425"/>
      </w:tabs>
      <w:spacing w:after="240"/>
    </w:pPr>
    <w:rPr>
      <w:rFonts w:cs="Arial"/>
      <w:szCs w:val="22"/>
    </w:rPr>
  </w:style>
  <w:style w:type="numbering" w:customStyle="1" w:styleId="StyleOutlinenumberedVerdana">
    <w:name w:val="Style Outline numbered Verdana"/>
    <w:basedOn w:val="NoList"/>
    <w:rsid w:val="00C76873"/>
    <w:pPr>
      <w:numPr>
        <w:numId w:val="4"/>
      </w:numPr>
    </w:pPr>
  </w:style>
  <w:style w:type="character" w:styleId="PageNumber">
    <w:name w:val="page number"/>
    <w:basedOn w:val="DefaultParagraphFont"/>
    <w:rsid w:val="00BA2033"/>
  </w:style>
  <w:style w:type="table" w:styleId="TableGrid">
    <w:name w:val="Table Grid"/>
    <w:basedOn w:val="TableNormal"/>
    <w:rsid w:val="00BA20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ItalicRed">
    <w:name w:val="Style Italic Red"/>
    <w:basedOn w:val="DefaultParagraphFont"/>
    <w:rsid w:val="005C0995"/>
    <w:rPr>
      <w:i/>
      <w:iCs/>
      <w:color w:val="auto"/>
    </w:rPr>
  </w:style>
  <w:style w:type="paragraph" w:customStyle="1" w:styleId="StyleRedTopSinglesolidlineAuto15ptLinewidthFrom">
    <w:name w:val="Style Red Top: (Single solid line Auto  1.5 pt Line width From ..."/>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1">
    <w:name w:val="Style Red Top: (Single solid line Auto  1.5 pt Line width From ...1"/>
    <w:basedOn w:val="Normal"/>
    <w:rsid w:val="005C0995"/>
    <w:pPr>
      <w:pBdr>
        <w:top w:val="single" w:sz="12" w:space="4" w:color="auto"/>
        <w:left w:val="single" w:sz="12" w:space="4" w:color="auto"/>
        <w:bottom w:val="single" w:sz="12" w:space="4" w:color="auto"/>
        <w:right w:val="single" w:sz="12" w:space="4" w:color="auto"/>
      </w:pBdr>
    </w:pPr>
    <w:rPr>
      <w:szCs w:val="20"/>
    </w:rPr>
  </w:style>
  <w:style w:type="paragraph" w:customStyle="1" w:styleId="StyleRedTopSinglesolidlineAuto15ptLinewidthFrom2">
    <w:name w:val="Style Red Top: (Single solid line Auto  1.5 pt Line width From ...2"/>
    <w:basedOn w:val="Normal"/>
    <w:rsid w:val="005C0995"/>
    <w:pPr>
      <w:pBdr>
        <w:top w:val="single" w:sz="12" w:space="4" w:color="auto"/>
        <w:left w:val="single" w:sz="12" w:space="4" w:color="auto"/>
        <w:bottom w:val="single" w:sz="12" w:space="4" w:color="auto"/>
        <w:right w:val="single" w:sz="12" w:space="4" w:color="auto"/>
      </w:pBdr>
    </w:pPr>
    <w:rPr>
      <w:szCs w:val="20"/>
    </w:rPr>
  </w:style>
  <w:style w:type="character" w:styleId="Hyperlink">
    <w:name w:val="Hyperlink"/>
    <w:basedOn w:val="DefaultParagraphFont"/>
    <w:rsid w:val="002001EA"/>
    <w:rPr>
      <w:color w:val="0000FF"/>
      <w:u w:val="single"/>
    </w:rPr>
  </w:style>
  <w:style w:type="paragraph" w:styleId="BalloonText">
    <w:name w:val="Balloon Text"/>
    <w:basedOn w:val="Normal"/>
    <w:link w:val="BalloonTextChar"/>
    <w:rsid w:val="009B73EB"/>
    <w:rPr>
      <w:rFonts w:ascii="Tahoma" w:hAnsi="Tahoma" w:cs="Tahoma"/>
      <w:sz w:val="16"/>
      <w:szCs w:val="16"/>
    </w:rPr>
  </w:style>
  <w:style w:type="character" w:customStyle="1" w:styleId="BalloonTextChar">
    <w:name w:val="Balloon Text Char"/>
    <w:basedOn w:val="DefaultParagraphFont"/>
    <w:link w:val="BalloonText"/>
    <w:rsid w:val="009B73EB"/>
    <w:rPr>
      <w:rFonts w:ascii="Tahoma" w:hAnsi="Tahoma" w:cs="Tahoma"/>
      <w:sz w:val="16"/>
      <w:szCs w:val="16"/>
    </w:rPr>
  </w:style>
  <w:style w:type="paragraph" w:customStyle="1" w:styleId="Quote-1Dot">
    <w:name w:val="Quote-1 Dot"/>
    <w:basedOn w:val="Normal"/>
    <w:next w:val="Normal"/>
    <w:uiPriority w:val="99"/>
    <w:rsid w:val="00220887"/>
    <w:pPr>
      <w:jc w:val="both"/>
    </w:pPr>
    <w:rPr>
      <w:rFonts w:ascii="Times New Roman" w:hAnsi="Times New Roman"/>
      <w:sz w:val="24"/>
      <w:lang w:val="en-GB" w:eastAsia="en-US"/>
    </w:rPr>
  </w:style>
  <w:style w:type="paragraph" w:styleId="ListParagraph">
    <w:name w:val="List Paragraph"/>
    <w:basedOn w:val="Normal"/>
    <w:uiPriority w:val="34"/>
    <w:qFormat/>
    <w:rsid w:val="00220887"/>
    <w:pPr>
      <w:ind w:left="720"/>
      <w:contextualSpacing/>
    </w:pPr>
    <w:rPr>
      <w:rFonts w:ascii="Times New Roman" w:hAnsi="Times New Roman"/>
      <w:sz w:val="24"/>
    </w:rPr>
  </w:style>
  <w:style w:type="character" w:styleId="CommentReference">
    <w:name w:val="annotation reference"/>
    <w:basedOn w:val="DefaultParagraphFont"/>
    <w:rsid w:val="002D0857"/>
    <w:rPr>
      <w:sz w:val="16"/>
      <w:szCs w:val="16"/>
    </w:rPr>
  </w:style>
  <w:style w:type="paragraph" w:styleId="CommentText">
    <w:name w:val="annotation text"/>
    <w:basedOn w:val="Normal"/>
    <w:link w:val="CommentTextChar"/>
    <w:rsid w:val="002D0857"/>
    <w:rPr>
      <w:sz w:val="20"/>
      <w:szCs w:val="20"/>
    </w:rPr>
  </w:style>
  <w:style w:type="character" w:customStyle="1" w:styleId="CommentTextChar">
    <w:name w:val="Comment Text Char"/>
    <w:basedOn w:val="DefaultParagraphFont"/>
    <w:link w:val="CommentText"/>
    <w:rsid w:val="002D0857"/>
    <w:rPr>
      <w:rFonts w:ascii="Arial" w:hAnsi="Arial"/>
    </w:rPr>
  </w:style>
  <w:style w:type="paragraph" w:styleId="CommentSubject">
    <w:name w:val="annotation subject"/>
    <w:basedOn w:val="CommentText"/>
    <w:next w:val="CommentText"/>
    <w:link w:val="CommentSubjectChar"/>
    <w:rsid w:val="002D0857"/>
    <w:rPr>
      <w:b/>
      <w:bCs/>
    </w:rPr>
  </w:style>
  <w:style w:type="character" w:customStyle="1" w:styleId="CommentSubjectChar">
    <w:name w:val="Comment Subject Char"/>
    <w:basedOn w:val="CommentTextChar"/>
    <w:link w:val="CommentSubject"/>
    <w:rsid w:val="002D0857"/>
    <w:rPr>
      <w:rFonts w:ascii="Arial" w:hAnsi="Arial"/>
      <w:b/>
      <w:bCs/>
    </w:rPr>
  </w:style>
  <w:style w:type="paragraph" w:customStyle="1" w:styleId="Default">
    <w:name w:val="Default"/>
    <w:rsid w:val="00E532EA"/>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0A0928"/>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Profiles\ag0185\Local%20Settings\Temporary%20Internet%20Files\OLK1\Council%20Meeting%20Paper%20(1)%20-%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C9373AF9FC1004C9A7D388B2B61CF6B" ma:contentTypeVersion="0" ma:contentTypeDescription="Create a new document." ma:contentTypeScope="" ma:versionID="12e8141f8fbed384026bc47a24a3a37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8AB635-3EA2-435A-B491-2946BD312DE1}"/>
</file>

<file path=customXml/itemProps2.xml><?xml version="1.0" encoding="utf-8"?>
<ds:datastoreItem xmlns:ds="http://schemas.openxmlformats.org/officeDocument/2006/customXml" ds:itemID="{8C131BAE-14A7-45A2-86C2-FF48636B86E6}"/>
</file>

<file path=customXml/itemProps3.xml><?xml version="1.0" encoding="utf-8"?>
<ds:datastoreItem xmlns:ds="http://schemas.openxmlformats.org/officeDocument/2006/customXml" ds:itemID="{05E5AA95-C850-4047-AD3B-85D32CE5F6CF}"/>
</file>

<file path=customXml/itemProps4.xml><?xml version="1.0" encoding="utf-8"?>
<ds:datastoreItem xmlns:ds="http://schemas.openxmlformats.org/officeDocument/2006/customXml" ds:itemID="{BD4E1731-6210-4981-A1BC-F6AC40DEB084}"/>
</file>

<file path=docProps/app.xml><?xml version="1.0" encoding="utf-8"?>
<Properties xmlns="http://schemas.openxmlformats.org/officeDocument/2006/extended-properties" xmlns:vt="http://schemas.openxmlformats.org/officeDocument/2006/docPropsVTypes">
  <Template>Council Meeting Paper (1) - Template.dot</Template>
  <TotalTime>4</TotalTime>
  <Pages>9</Pages>
  <Words>3145</Words>
  <Characters>17976</Characters>
  <Application>Microsoft Office Word</Application>
  <DocSecurity>0</DocSecurity>
  <Lines>408</Lines>
  <Paragraphs>267</Paragraphs>
  <ScaleCrop>false</ScaleCrop>
  <HeadingPairs>
    <vt:vector size="2" baseType="variant">
      <vt:variant>
        <vt:lpstr>Title</vt:lpstr>
      </vt:variant>
      <vt:variant>
        <vt:i4>1</vt:i4>
      </vt:variant>
    </vt:vector>
  </HeadingPairs>
  <TitlesOfParts>
    <vt:vector size="1" baseType="lpstr">
      <vt:lpstr>Members Meeting Agenda Paper Item Attachment Template 29 July 2011</vt:lpstr>
    </vt:vector>
  </TitlesOfParts>
  <Company>Australian Government</Company>
  <LinksUpToDate>false</LinksUpToDate>
  <CharactersWithSpaces>20854</CharactersWithSpaces>
  <SharedDoc>false</SharedDoc>
  <HLinks>
    <vt:vector size="6" baseType="variant">
      <vt:variant>
        <vt:i4>6684700</vt:i4>
      </vt:variant>
      <vt:variant>
        <vt:i4>0</vt:i4>
      </vt:variant>
      <vt:variant>
        <vt:i4>0</vt:i4>
      </vt:variant>
      <vt:variant>
        <vt:i4>5</vt:i4>
      </vt:variant>
      <vt:variant>
        <vt:lpwstr>mailto:secretariat@safeworkaustralia.gov.au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Technical-amendments-model-WHS-Regulations-9-January-2014</dc:title>
  <dc:creator>SIMPSON,Allison</dc:creator>
  <cp:lastModifiedBy>Ingrid Kimber</cp:lastModifiedBy>
  <cp:revision>4</cp:revision>
  <cp:lastPrinted>2014-01-13T04:23:00Z</cp:lastPrinted>
  <dcterms:created xsi:type="dcterms:W3CDTF">2014-01-31T03:45:00Z</dcterms:created>
  <dcterms:modified xsi:type="dcterms:W3CDTF">2014-05-23T04:57:00Z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Picture">
    <vt:lpwstr/>
  </property>
  <property fmtid="{D5CDD505-2E9C-101B-9397-08002B2CF9AE}" pid="3" name="PublishingRollupImage">
    <vt:lpwstr/>
  </property>
  <property fmtid="{D5CDD505-2E9C-101B-9397-08002B2CF9AE}" pid="4" name="Audience">
    <vt:lpwstr/>
  </property>
  <property fmtid="{D5CDD505-2E9C-101B-9397-08002B2CF9AE}" pid="5" name="PublishingContactName">
    <vt:lpwstr/>
  </property>
  <property fmtid="{D5CDD505-2E9C-101B-9397-08002B2CF9AE}" pid="6" name="ContentType">
    <vt:lpwstr>Document</vt:lpwstr>
  </property>
  <property fmtid="{D5CDD505-2E9C-101B-9397-08002B2CF9AE}" pid="7" name="Comments">
    <vt:lpwstr>SWA2 Agenda Item Template</vt:lpwstr>
  </property>
  <property fmtid="{D5CDD505-2E9C-101B-9397-08002B2CF9AE}" pid="8" name="PublishingContactEmail">
    <vt:lpwstr/>
  </property>
  <property fmtid="{D5CDD505-2E9C-101B-9397-08002B2CF9AE}" pid="9" name="ContentTypeId">
    <vt:lpwstr>0x010100BC9373AF9FC1004C9A7D388B2B61CF6B</vt:lpwstr>
  </property>
</Properties>
</file>