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AC" w:rsidRPr="00617843" w:rsidRDefault="00910AAC" w:rsidP="00A02965">
      <w:pPr>
        <w:pStyle w:val="Heading1"/>
        <w:spacing w:before="0" w:after="0"/>
        <w:jc w:val="center"/>
        <w:rPr>
          <w:color w:val="365F91" w:themeColor="accent1" w:themeShade="BF"/>
          <w:sz w:val="44"/>
          <w:szCs w:val="44"/>
        </w:rPr>
      </w:pPr>
      <w:bookmarkStart w:id="0" w:name="_Toc384308475"/>
      <w:bookmarkStart w:id="1" w:name="_GoBack"/>
      <w:bookmarkEnd w:id="1"/>
      <w:r w:rsidRPr="00617843">
        <w:rPr>
          <w:color w:val="365F91" w:themeColor="accent1" w:themeShade="BF"/>
          <w:sz w:val="44"/>
          <w:szCs w:val="44"/>
        </w:rPr>
        <w:t>INCIDENTS AND SCENARIOS</w:t>
      </w:r>
      <w:bookmarkEnd w:id="0"/>
    </w:p>
    <w:p w:rsidR="00054130" w:rsidRPr="00617843" w:rsidRDefault="00054130" w:rsidP="00617843">
      <w:pPr>
        <w:spacing w:before="0" w:after="240"/>
        <w:jc w:val="center"/>
        <w:rPr>
          <w:color w:val="365F91" w:themeColor="accent1" w:themeShade="BF"/>
          <w:sz w:val="32"/>
          <w:szCs w:val="32"/>
        </w:rPr>
      </w:pPr>
      <w:r w:rsidRPr="00617843">
        <w:rPr>
          <w:color w:val="365F91" w:themeColor="accent1" w:themeShade="BF"/>
          <w:sz w:val="32"/>
          <w:szCs w:val="32"/>
        </w:rPr>
        <w:t>CASE STUDIES</w:t>
      </w:r>
    </w:p>
    <w:p w:rsidR="00910AAC" w:rsidRDefault="009C05DB" w:rsidP="00C52196">
      <w:pPr>
        <w:spacing w:before="240" w:after="120"/>
        <w:rPr>
          <w:i/>
        </w:rPr>
      </w:pPr>
      <w:r>
        <w:t>The following</w:t>
      </w:r>
      <w:r w:rsidR="00910AAC" w:rsidRPr="006376EF">
        <w:t xml:space="preserve"> examples illustrate the risk management process and combine the practical information in th</w:t>
      </w:r>
      <w:r w:rsidR="005C739B" w:rsidRPr="006376EF">
        <w:t>e</w:t>
      </w:r>
      <w:r w:rsidR="00910AAC" w:rsidRPr="006376EF">
        <w:t xml:space="preserve"> </w:t>
      </w:r>
      <w:hyperlink r:id="rId11" w:history="1">
        <w:r w:rsidR="00284888" w:rsidRPr="00CA2BB2">
          <w:rPr>
            <w:rStyle w:val="Hyperlink"/>
            <w:i/>
          </w:rPr>
          <w:t xml:space="preserve">General </w:t>
        </w:r>
        <w:r w:rsidRPr="00CA2BB2">
          <w:rPr>
            <w:rStyle w:val="Hyperlink"/>
            <w:i/>
          </w:rPr>
          <w:t>g</w:t>
        </w:r>
        <w:r w:rsidR="00284888" w:rsidRPr="00CA2BB2">
          <w:rPr>
            <w:rStyle w:val="Hyperlink"/>
            <w:i/>
          </w:rPr>
          <w:t>uide</w:t>
        </w:r>
        <w:r w:rsidR="006376EF" w:rsidRPr="00CA2BB2">
          <w:rPr>
            <w:rStyle w:val="Hyperlink"/>
            <w:i/>
          </w:rPr>
          <w:t xml:space="preserve"> for</w:t>
        </w:r>
        <w:r w:rsidR="005C739B" w:rsidRPr="00CA2BB2">
          <w:rPr>
            <w:rStyle w:val="Hyperlink"/>
          </w:rPr>
          <w:t xml:space="preserve"> </w:t>
        </w:r>
        <w:r w:rsidRPr="00CA2BB2">
          <w:rPr>
            <w:rStyle w:val="Hyperlink"/>
          </w:rPr>
          <w:t>w</w:t>
        </w:r>
        <w:r w:rsidR="005C739B" w:rsidRPr="00CA2BB2">
          <w:rPr>
            <w:rStyle w:val="Hyperlink"/>
            <w:i/>
          </w:rPr>
          <w:t>orking in the vicinity of overhead and underground electric lines</w:t>
        </w:r>
      </w:hyperlink>
      <w:r w:rsidR="00910AAC" w:rsidRPr="006376EF">
        <w:rPr>
          <w:i/>
        </w:rPr>
        <w:t>.</w:t>
      </w:r>
    </w:p>
    <w:tbl>
      <w:tblPr>
        <w:tblStyle w:val="TableGrid"/>
        <w:tblW w:w="0" w:type="auto"/>
        <w:tblLook w:val="04A0" w:firstRow="1" w:lastRow="0" w:firstColumn="1" w:lastColumn="0" w:noHBand="0" w:noVBand="1"/>
        <w:tblCaption w:val="List of case studies"/>
        <w:tblDescription w:val="List of case studies."/>
      </w:tblPr>
      <w:tblGrid>
        <w:gridCol w:w="9570"/>
      </w:tblGrid>
      <w:tr w:rsidR="00C52196" w:rsidTr="00327825">
        <w:trPr>
          <w:trHeight w:val="510"/>
          <w:tblHeader/>
        </w:trPr>
        <w:tc>
          <w:tcPr>
            <w:tcW w:w="9570" w:type="dxa"/>
            <w:shd w:val="clear" w:color="auto" w:fill="00B050"/>
            <w:vAlign w:val="center"/>
          </w:tcPr>
          <w:p w:rsidR="00C52196" w:rsidRPr="00C52196" w:rsidRDefault="004E4394" w:rsidP="00C52196">
            <w:pPr>
              <w:pStyle w:val="Style2"/>
              <w:spacing w:before="0"/>
            </w:pPr>
            <w:r>
              <w:rPr>
                <w:color w:val="FFFFFF" w:themeColor="background1"/>
              </w:rPr>
              <w:t>Case 1. Incident – m</w:t>
            </w:r>
            <w:r w:rsidR="00C52196" w:rsidRPr="00C52196">
              <w:rPr>
                <w:color w:val="FFFFFF" w:themeColor="background1"/>
              </w:rPr>
              <w:t>obile crane operations</w:t>
            </w:r>
          </w:p>
        </w:tc>
      </w:tr>
      <w:tr w:rsidR="00C52196" w:rsidTr="00C52196">
        <w:trPr>
          <w:trHeight w:val="3349"/>
        </w:trPr>
        <w:tc>
          <w:tcPr>
            <w:tcW w:w="9570" w:type="dxa"/>
          </w:tcPr>
          <w:p w:rsidR="00C52196" w:rsidRPr="00617843" w:rsidRDefault="00C52196" w:rsidP="00C52196">
            <w:r w:rsidRPr="00617843">
              <w:t>A mobile crane came into contact with 132,000 volt overhead electric lines adjacent to a workplace. The crane driver had slewed the boom of the crane towards the overhead electric lines resulting in the lifting chains swinging outwards, making contact with the electric line. The crane sustained extensive damage to the tyres, lifting rope and its electrical system.</w:t>
            </w:r>
          </w:p>
          <w:p w:rsidR="00C52196" w:rsidRPr="00C52196" w:rsidRDefault="00C52196" w:rsidP="00C52196">
            <w:pPr>
              <w:pStyle w:val="Heading3"/>
            </w:pPr>
            <w:r w:rsidRPr="00C52196">
              <w:t>Contributing factors included failure to:</w:t>
            </w:r>
          </w:p>
          <w:p w:rsidR="00C52196" w:rsidRPr="00617843" w:rsidRDefault="00C52196" w:rsidP="00C52196">
            <w:pPr>
              <w:pStyle w:val="ListParagraph"/>
            </w:pPr>
            <w:r w:rsidRPr="00617843">
              <w:t>maintain relevant approach distance to the electric lines and consider the possibility of the lifting chains swinging towards the overhead electric lines when the crane was operated</w:t>
            </w:r>
          </w:p>
          <w:p w:rsidR="00C52196" w:rsidRPr="00617843" w:rsidRDefault="00C52196" w:rsidP="00C52196">
            <w:pPr>
              <w:pStyle w:val="ListParagraph"/>
            </w:pPr>
            <w:r w:rsidRPr="00617843">
              <w:t>do a risk assessment of the workplace</w:t>
            </w:r>
          </w:p>
          <w:p w:rsidR="00C52196" w:rsidRPr="00617843" w:rsidRDefault="00C52196" w:rsidP="00C52196">
            <w:pPr>
              <w:pStyle w:val="ListParagraph"/>
            </w:pPr>
            <w:r w:rsidRPr="00617843">
              <w:t>use suitable risk control measures for the work, and</w:t>
            </w:r>
          </w:p>
          <w:p w:rsidR="00C52196" w:rsidRPr="00C52196" w:rsidRDefault="00C52196" w:rsidP="00617843">
            <w:pPr>
              <w:pStyle w:val="ListParagraph"/>
            </w:pPr>
            <w:r w:rsidRPr="00617843">
              <w:t>use a safety observer to observe the crane operations near the electric lines.</w:t>
            </w:r>
          </w:p>
        </w:tc>
      </w:tr>
      <w:tr w:rsidR="00C52196" w:rsidTr="00C52196">
        <w:trPr>
          <w:trHeight w:val="510"/>
        </w:trPr>
        <w:tc>
          <w:tcPr>
            <w:tcW w:w="9570" w:type="dxa"/>
            <w:shd w:val="clear" w:color="auto" w:fill="00B050"/>
            <w:vAlign w:val="center"/>
          </w:tcPr>
          <w:p w:rsidR="00C52196" w:rsidRPr="00C52196" w:rsidRDefault="00C52196" w:rsidP="00C52196">
            <w:pPr>
              <w:pStyle w:val="Style2"/>
              <w:spacing w:before="0"/>
            </w:pPr>
            <w:r w:rsidRPr="00C52196">
              <w:rPr>
                <w:color w:val="FFFFFF" w:themeColor="background1"/>
              </w:rPr>
              <w:t>Case 2. Setting up a mobile concrete pump</w:t>
            </w:r>
          </w:p>
        </w:tc>
      </w:tr>
      <w:tr w:rsidR="00C52196" w:rsidTr="00C52196">
        <w:trPr>
          <w:trHeight w:val="3717"/>
        </w:trPr>
        <w:tc>
          <w:tcPr>
            <w:tcW w:w="9570" w:type="dxa"/>
          </w:tcPr>
          <w:p w:rsidR="00C52196" w:rsidRPr="006376EF" w:rsidRDefault="00C52196" w:rsidP="00C52196">
            <w:r w:rsidRPr="006376EF">
              <w:t>A project manager uses concrete pumps regularly. An important part of setting up concrete pumping equipment is to consider the vicinity of overhead electric lines in the risk management process.</w:t>
            </w:r>
          </w:p>
          <w:p w:rsidR="00C52196" w:rsidRPr="006376EF" w:rsidRDefault="00C52196" w:rsidP="00C52196">
            <w:r w:rsidRPr="006376EF">
              <w:t>To eliminate or minimise risks the project manager:</w:t>
            </w:r>
          </w:p>
          <w:p w:rsidR="00C52196" w:rsidRPr="00617843" w:rsidRDefault="00C52196" w:rsidP="00C52196">
            <w:pPr>
              <w:pStyle w:val="ListParagraph"/>
            </w:pPr>
            <w:r w:rsidRPr="00617843">
              <w:t xml:space="preserve">identified the no go zone minimum clearance distance for the concrete placement boom after talking with his contractors and the </w:t>
            </w:r>
            <w:hyperlink r:id="rId12" w:history="1">
              <w:r w:rsidR="00820995" w:rsidRPr="00820995">
                <w:rPr>
                  <w:rStyle w:val="Hyperlink"/>
                </w:rPr>
                <w:t>Electricity Supply Authority</w:t>
              </w:r>
            </w:hyperlink>
            <w:r w:rsidRPr="00617843">
              <w:t>. He allowed for sway and sag of the lines and documented this in a risk assessment</w:t>
            </w:r>
          </w:p>
          <w:p w:rsidR="00C52196" w:rsidRPr="00617843" w:rsidRDefault="00C52196" w:rsidP="00C52196">
            <w:pPr>
              <w:pStyle w:val="ListParagraph"/>
            </w:pPr>
            <w:r w:rsidRPr="00617843">
              <w:t>ensured the pump could be set up on solid ground to prevent inadvertent movement of booms entering no go zones</w:t>
            </w:r>
          </w:p>
          <w:p w:rsidR="00C52196" w:rsidRPr="00617843" w:rsidRDefault="00C52196" w:rsidP="00C52196">
            <w:pPr>
              <w:pStyle w:val="ListParagraph"/>
            </w:pPr>
            <w:r w:rsidRPr="00617843">
              <w:t>ensured a safety observer watched while pump operators set up and they kept the pipes away from no go zones and parallel to the ground where possible, and</w:t>
            </w:r>
          </w:p>
          <w:p w:rsidR="00C52196" w:rsidRPr="00C52196" w:rsidRDefault="00C52196" w:rsidP="00617843">
            <w:pPr>
              <w:pStyle w:val="ListParagraph"/>
            </w:pPr>
            <w:r w:rsidRPr="00617843">
              <w:t>ensured a safety observer watched to warn the operator if the placement boom approached the no go zone.</w:t>
            </w:r>
          </w:p>
        </w:tc>
      </w:tr>
      <w:tr w:rsidR="00C52196" w:rsidTr="00C52196">
        <w:trPr>
          <w:trHeight w:val="510"/>
        </w:trPr>
        <w:tc>
          <w:tcPr>
            <w:tcW w:w="9570" w:type="dxa"/>
            <w:shd w:val="clear" w:color="auto" w:fill="00B050"/>
            <w:vAlign w:val="center"/>
          </w:tcPr>
          <w:p w:rsidR="00C52196" w:rsidRPr="00C52196" w:rsidRDefault="004E4394" w:rsidP="00C52196">
            <w:pPr>
              <w:pStyle w:val="Style2"/>
              <w:spacing w:before="0"/>
              <w:rPr>
                <w:color w:val="FFFFFF" w:themeColor="background1"/>
              </w:rPr>
            </w:pPr>
            <w:r>
              <w:rPr>
                <w:color w:val="FFFFFF" w:themeColor="background1"/>
              </w:rPr>
              <w:t>Case 3. Incident – s</w:t>
            </w:r>
            <w:r w:rsidR="00C52196" w:rsidRPr="00C52196">
              <w:rPr>
                <w:color w:val="FFFFFF" w:themeColor="background1"/>
              </w:rPr>
              <w:t>caffolding work</w:t>
            </w:r>
          </w:p>
        </w:tc>
      </w:tr>
      <w:tr w:rsidR="00C52196" w:rsidTr="00C52196">
        <w:trPr>
          <w:trHeight w:val="2445"/>
        </w:trPr>
        <w:tc>
          <w:tcPr>
            <w:tcW w:w="9570" w:type="dxa"/>
          </w:tcPr>
          <w:p w:rsidR="00C52196" w:rsidRPr="006376EF" w:rsidRDefault="00C52196" w:rsidP="00C52196">
            <w:r w:rsidRPr="006376EF">
              <w:t>A worker died and three apprentice roof plumbers were injured when attempting to move an 8.9 metre high aluminium scaffold at a construction site. The workers were moving the mobile scaffold over soft sand when the castor wheels located at the base of the scaffold sank into the sand causing it to fall and make contact with 33,000 volt overhead electric</w:t>
            </w:r>
            <w:r w:rsidRPr="006376EF">
              <w:rPr>
                <w:b/>
              </w:rPr>
              <w:t xml:space="preserve"> </w:t>
            </w:r>
            <w:r w:rsidRPr="006376EF">
              <w:t>lines located adjacent to the construction site.</w:t>
            </w:r>
          </w:p>
          <w:p w:rsidR="00C52196" w:rsidRPr="006376EF" w:rsidRDefault="00C52196" w:rsidP="00C52196">
            <w:pPr>
              <w:pStyle w:val="Heading3"/>
            </w:pPr>
            <w:r w:rsidRPr="006376EF">
              <w:t>Contributing factors included failure to:</w:t>
            </w:r>
          </w:p>
          <w:p w:rsidR="00C52196" w:rsidRPr="00617843" w:rsidRDefault="00C52196" w:rsidP="00C52196">
            <w:pPr>
              <w:pStyle w:val="ListParagraph"/>
            </w:pPr>
            <w:r w:rsidRPr="00617843">
              <w:t>do a risk assessment of the site and identify and consider the ground conditions at the site, and</w:t>
            </w:r>
          </w:p>
          <w:p w:rsidR="00C52196" w:rsidRPr="00C52196" w:rsidRDefault="00C52196" w:rsidP="00617843">
            <w:pPr>
              <w:pStyle w:val="ListParagraph"/>
            </w:pPr>
            <w:r w:rsidRPr="00617843">
              <w:t>use suitable control measures for the work.</w:t>
            </w:r>
          </w:p>
        </w:tc>
      </w:tr>
    </w:tbl>
    <w:p w:rsidR="00C52196" w:rsidRDefault="00C52196">
      <w:r>
        <w:rPr>
          <w:b/>
        </w:rPr>
        <w:br w:type="page"/>
      </w:r>
    </w:p>
    <w:tbl>
      <w:tblPr>
        <w:tblStyle w:val="TableGrid"/>
        <w:tblW w:w="0" w:type="auto"/>
        <w:tblLook w:val="04A0" w:firstRow="1" w:lastRow="0" w:firstColumn="1" w:lastColumn="0" w:noHBand="0" w:noVBand="1"/>
        <w:tblCaption w:val="List of case studies"/>
        <w:tblDescription w:val="List of case studies."/>
      </w:tblPr>
      <w:tblGrid>
        <w:gridCol w:w="9570"/>
      </w:tblGrid>
      <w:tr w:rsidR="00C52196" w:rsidTr="00327825">
        <w:trPr>
          <w:trHeight w:val="510"/>
          <w:tblHeader/>
        </w:trPr>
        <w:tc>
          <w:tcPr>
            <w:tcW w:w="9570" w:type="dxa"/>
            <w:shd w:val="clear" w:color="auto" w:fill="00B050"/>
            <w:vAlign w:val="center"/>
          </w:tcPr>
          <w:p w:rsidR="00C52196" w:rsidRPr="00C52196" w:rsidRDefault="004E4394" w:rsidP="00C52196">
            <w:pPr>
              <w:pStyle w:val="Style2"/>
              <w:spacing w:before="0"/>
              <w:rPr>
                <w:color w:val="FFFFFF" w:themeColor="background1"/>
              </w:rPr>
            </w:pPr>
            <w:r>
              <w:rPr>
                <w:color w:val="FFFFFF" w:themeColor="background1"/>
              </w:rPr>
              <w:lastRenderedPageBreak/>
              <w:t>Case 4. Incident – f</w:t>
            </w:r>
            <w:r w:rsidR="00C52196" w:rsidRPr="00C52196">
              <w:rPr>
                <w:color w:val="FFFFFF" w:themeColor="background1"/>
              </w:rPr>
              <w:t>arm machinery</w:t>
            </w:r>
          </w:p>
        </w:tc>
      </w:tr>
      <w:tr w:rsidR="00C52196" w:rsidTr="00C52196">
        <w:trPr>
          <w:trHeight w:val="2161"/>
        </w:trPr>
        <w:tc>
          <w:tcPr>
            <w:tcW w:w="9570" w:type="dxa"/>
          </w:tcPr>
          <w:p w:rsidR="00C52196" w:rsidRPr="006376EF" w:rsidRDefault="00C52196" w:rsidP="00C52196">
            <w:r w:rsidRPr="006376EF">
              <w:t>A farmer operating a harvester on his own property was fatally electrocuted when the raised delivery chute contacted 11,000 volt overhead electric lines. The farmer was aware of the electric lines and had previously warned others to stay clear.</w:t>
            </w:r>
          </w:p>
          <w:p w:rsidR="00C52196" w:rsidRPr="006376EF" w:rsidRDefault="00C52196" w:rsidP="00C52196">
            <w:pPr>
              <w:pStyle w:val="Heading3"/>
            </w:pPr>
            <w:r w:rsidRPr="006376EF">
              <w:t>Contributing factors included failure to:</w:t>
            </w:r>
          </w:p>
          <w:p w:rsidR="00C52196" w:rsidRPr="00625E59" w:rsidRDefault="00C52196" w:rsidP="00625E59">
            <w:pPr>
              <w:pStyle w:val="ListParagraph"/>
            </w:pPr>
            <w:r w:rsidRPr="00625E59">
              <w:t>maintain relevant approach distance to the electric lines, and</w:t>
            </w:r>
          </w:p>
          <w:p w:rsidR="00C52196" w:rsidRPr="00C52196" w:rsidRDefault="00C52196" w:rsidP="00625E59">
            <w:pPr>
              <w:pStyle w:val="ListParagraph"/>
            </w:pPr>
            <w:r w:rsidRPr="00625E59">
              <w:t>do a risk assessment and use suitable control measures to ensure no go zones were enforced.</w:t>
            </w:r>
          </w:p>
        </w:tc>
      </w:tr>
      <w:tr w:rsidR="00C52196" w:rsidRPr="00C52196" w:rsidTr="00C52196">
        <w:trPr>
          <w:trHeight w:val="510"/>
        </w:trPr>
        <w:tc>
          <w:tcPr>
            <w:tcW w:w="9570" w:type="dxa"/>
            <w:shd w:val="clear" w:color="auto" w:fill="00B050"/>
            <w:vAlign w:val="center"/>
          </w:tcPr>
          <w:p w:rsidR="00C52196" w:rsidRPr="00C52196" w:rsidRDefault="004E4394" w:rsidP="00C52196">
            <w:pPr>
              <w:pStyle w:val="Style2"/>
              <w:spacing w:before="0"/>
              <w:rPr>
                <w:color w:val="FFFFFF" w:themeColor="background1"/>
              </w:rPr>
            </w:pPr>
            <w:r>
              <w:rPr>
                <w:color w:val="FFFFFF" w:themeColor="background1"/>
              </w:rPr>
              <w:t>Case 5. Incident – i</w:t>
            </w:r>
            <w:r w:rsidR="00C52196" w:rsidRPr="00C52196">
              <w:rPr>
                <w:color w:val="FFFFFF" w:themeColor="background1"/>
              </w:rPr>
              <w:t>rrigation pipes on a rural property</w:t>
            </w:r>
          </w:p>
        </w:tc>
      </w:tr>
      <w:tr w:rsidR="00C52196" w:rsidTr="00C52196">
        <w:trPr>
          <w:trHeight w:val="1872"/>
        </w:trPr>
        <w:tc>
          <w:tcPr>
            <w:tcW w:w="9570" w:type="dxa"/>
          </w:tcPr>
          <w:p w:rsidR="00C52196" w:rsidRPr="006376EF" w:rsidRDefault="00C52196" w:rsidP="00C52196">
            <w:r w:rsidRPr="006376EF">
              <w:t>A farmer working in a field was fatally electrocuted when he raised a metal irrigation pipe into 22,000 volt overhead electric lines while trying to shake out the vermin blocking the pipe.</w:t>
            </w:r>
          </w:p>
          <w:p w:rsidR="00C52196" w:rsidRPr="006376EF" w:rsidRDefault="00C52196" w:rsidP="00C52196">
            <w:pPr>
              <w:pStyle w:val="Heading3"/>
            </w:pPr>
            <w:r w:rsidRPr="006376EF">
              <w:t>Contributing factors included failure to:</w:t>
            </w:r>
          </w:p>
          <w:p w:rsidR="00C52196" w:rsidRPr="00617843" w:rsidRDefault="00C52196" w:rsidP="00C52196">
            <w:pPr>
              <w:pStyle w:val="ListParagraph"/>
            </w:pPr>
            <w:r w:rsidRPr="00617843">
              <w:t>identify the risk of raising objects into the overhead electric lines when the height was known, and</w:t>
            </w:r>
          </w:p>
          <w:p w:rsidR="00C52196" w:rsidRPr="00C52196" w:rsidRDefault="00C52196" w:rsidP="00617843">
            <w:pPr>
              <w:pStyle w:val="ListParagraph"/>
            </w:pPr>
            <w:r w:rsidRPr="00617843">
              <w:t>do a risk assessment of the site and use suitable control measures.</w:t>
            </w:r>
          </w:p>
        </w:tc>
      </w:tr>
      <w:tr w:rsidR="00C52196" w:rsidTr="00C52196">
        <w:trPr>
          <w:trHeight w:val="510"/>
        </w:trPr>
        <w:tc>
          <w:tcPr>
            <w:tcW w:w="9570" w:type="dxa"/>
            <w:shd w:val="clear" w:color="auto" w:fill="00B050"/>
            <w:vAlign w:val="center"/>
          </w:tcPr>
          <w:p w:rsidR="00C52196" w:rsidRPr="00C52196" w:rsidRDefault="004E4394" w:rsidP="00C52196">
            <w:pPr>
              <w:pStyle w:val="Style2"/>
              <w:spacing w:before="0"/>
              <w:rPr>
                <w:color w:val="FFFFFF" w:themeColor="background1"/>
              </w:rPr>
            </w:pPr>
            <w:r>
              <w:rPr>
                <w:color w:val="FFFFFF" w:themeColor="background1"/>
              </w:rPr>
              <w:t>Case 6. Rural workplace – c</w:t>
            </w:r>
            <w:r w:rsidR="00C52196" w:rsidRPr="00C52196">
              <w:rPr>
                <w:color w:val="FFFFFF" w:themeColor="background1"/>
              </w:rPr>
              <w:t>ane haulage</w:t>
            </w:r>
          </w:p>
        </w:tc>
      </w:tr>
      <w:tr w:rsidR="00C52196" w:rsidTr="00C52196">
        <w:trPr>
          <w:trHeight w:val="3310"/>
        </w:trPr>
        <w:tc>
          <w:tcPr>
            <w:tcW w:w="9570" w:type="dxa"/>
          </w:tcPr>
          <w:p w:rsidR="00C52196" w:rsidRPr="006376EF" w:rsidRDefault="00C52196" w:rsidP="00C52196">
            <w:r w:rsidRPr="006376EF">
              <w:t>A cane farmer attended a safety conference and heard about electric line safety. The need for cane haul out and harvesting contractors to manage the risks around overhead electric lines was emphasised. The farmer had also attended a training program that provided him with the knowledge to manage the risk by introducing control</w:t>
            </w:r>
            <w:r w:rsidRPr="006376EF">
              <w:rPr>
                <w:b/>
              </w:rPr>
              <w:t xml:space="preserve"> </w:t>
            </w:r>
            <w:r w:rsidRPr="006376EF">
              <w:t>measures for crane haulage activities at their designated rail siding delivery point.</w:t>
            </w:r>
          </w:p>
          <w:p w:rsidR="00C52196" w:rsidRPr="006376EF" w:rsidRDefault="00C52196" w:rsidP="00C52196">
            <w:r w:rsidRPr="006376EF">
              <w:t xml:space="preserve">To eliminate or minimise risks the farmer: </w:t>
            </w:r>
          </w:p>
          <w:p w:rsidR="00C52196" w:rsidRPr="00617843" w:rsidRDefault="00C52196" w:rsidP="00C52196">
            <w:pPr>
              <w:pStyle w:val="ListParagraph"/>
            </w:pPr>
            <w:r w:rsidRPr="00617843">
              <w:t>did a risk assessment and identified electric lines near the delivery point and the possibility of cane haulers entering the no go zone when lifting their bins</w:t>
            </w:r>
          </w:p>
          <w:p w:rsidR="00C52196" w:rsidRPr="00617843" w:rsidRDefault="00C52196" w:rsidP="00C52196">
            <w:pPr>
              <w:pStyle w:val="ListParagraph"/>
            </w:pPr>
            <w:r w:rsidRPr="00617843">
              <w:t>implemented a designated bin lift and tip point and erected a sign instructing ‘Bins not to be lifted before this point’, and</w:t>
            </w:r>
          </w:p>
          <w:p w:rsidR="00C52196" w:rsidRPr="00C52196" w:rsidRDefault="00C52196" w:rsidP="00617843">
            <w:pPr>
              <w:pStyle w:val="ListParagraph"/>
            </w:pPr>
            <w:r w:rsidRPr="00617843">
              <w:t xml:space="preserve">contacted the </w:t>
            </w:r>
            <w:hyperlink r:id="rId13" w:history="1">
              <w:r w:rsidR="00820995" w:rsidRPr="00820995">
                <w:rPr>
                  <w:rStyle w:val="Hyperlink"/>
                </w:rPr>
                <w:t>Electricity Supply Authority</w:t>
              </w:r>
            </w:hyperlink>
            <w:r w:rsidRPr="00617843">
              <w:t xml:space="preserve"> who installed flag markers on the electric lines crossing near the cane delivery point to make them more visible to operators.</w:t>
            </w:r>
          </w:p>
        </w:tc>
      </w:tr>
      <w:tr w:rsidR="00C52196" w:rsidTr="00C52196">
        <w:trPr>
          <w:trHeight w:val="510"/>
        </w:trPr>
        <w:tc>
          <w:tcPr>
            <w:tcW w:w="9570" w:type="dxa"/>
            <w:shd w:val="clear" w:color="auto" w:fill="00B050"/>
            <w:vAlign w:val="center"/>
          </w:tcPr>
          <w:p w:rsidR="00C52196" w:rsidRPr="00C52196" w:rsidRDefault="004E4394" w:rsidP="00C52196">
            <w:pPr>
              <w:pStyle w:val="Style2"/>
              <w:spacing w:before="0"/>
              <w:rPr>
                <w:color w:val="FFFFFF" w:themeColor="background1"/>
              </w:rPr>
            </w:pPr>
            <w:r>
              <w:rPr>
                <w:color w:val="FFFFFF" w:themeColor="background1"/>
              </w:rPr>
              <w:t>Case 7. Incident – t</w:t>
            </w:r>
            <w:r w:rsidR="00C52196" w:rsidRPr="00C52196">
              <w:rPr>
                <w:color w:val="FFFFFF" w:themeColor="background1"/>
              </w:rPr>
              <w:t>ip truck operation</w:t>
            </w:r>
          </w:p>
        </w:tc>
      </w:tr>
      <w:tr w:rsidR="00C52196" w:rsidTr="00621360">
        <w:trPr>
          <w:trHeight w:val="3152"/>
        </w:trPr>
        <w:tc>
          <w:tcPr>
            <w:tcW w:w="9570" w:type="dxa"/>
          </w:tcPr>
          <w:p w:rsidR="00C52196" w:rsidRPr="006376EF" w:rsidRDefault="00C52196" w:rsidP="00C52196">
            <w:r w:rsidRPr="006376EF">
              <w:t>A tip truck contacted an 11,000 volt overhead electric line causing it to break and fall to the ground hitting a worker. The tip truck was delivering a load of granulated bitumen to the workplace when the tip tray of the truck was raised upwards into the overhead electric lines.</w:t>
            </w:r>
          </w:p>
          <w:p w:rsidR="00C52196" w:rsidRPr="006376EF" w:rsidRDefault="00C52196" w:rsidP="00C52196">
            <w:pPr>
              <w:pStyle w:val="Heading3"/>
            </w:pPr>
            <w:r w:rsidRPr="006376EF">
              <w:t>Contributing factors included failure to:</w:t>
            </w:r>
          </w:p>
          <w:p w:rsidR="00C52196" w:rsidRPr="00617843" w:rsidRDefault="00C52196" w:rsidP="00C52196">
            <w:pPr>
              <w:pStyle w:val="ListParagraph"/>
            </w:pPr>
            <w:r w:rsidRPr="00617843">
              <w:t>plan the work and identify the overhead electric lines</w:t>
            </w:r>
          </w:p>
          <w:p w:rsidR="00C52196" w:rsidRPr="00617843" w:rsidRDefault="00C52196" w:rsidP="00C52196">
            <w:pPr>
              <w:pStyle w:val="ListParagraph"/>
            </w:pPr>
            <w:r w:rsidRPr="00617843">
              <w:t>maintain the relevant approach distance to the overhead electric lines and consider the height of the raised tray when the load was dumped at the workplace</w:t>
            </w:r>
          </w:p>
          <w:p w:rsidR="00C52196" w:rsidRPr="00617843" w:rsidRDefault="00C52196" w:rsidP="00C52196">
            <w:pPr>
              <w:pStyle w:val="ListParagraph"/>
            </w:pPr>
            <w:r w:rsidRPr="00617843">
              <w:t>do a risk assessment of the workplace and use suitable control measures for the work, and</w:t>
            </w:r>
          </w:p>
          <w:p w:rsidR="00C52196" w:rsidRPr="00C52196" w:rsidRDefault="00C52196" w:rsidP="00617843">
            <w:pPr>
              <w:pStyle w:val="ListParagraph"/>
            </w:pPr>
            <w:r w:rsidRPr="00617843">
              <w:t>use a safety observer to watch the truck operations near the overhead electric lines.</w:t>
            </w:r>
          </w:p>
        </w:tc>
      </w:tr>
    </w:tbl>
    <w:p w:rsidR="00621360" w:rsidRDefault="00621360">
      <w:r>
        <w:rPr>
          <w:b/>
        </w:rPr>
        <w:br w:type="page"/>
      </w:r>
    </w:p>
    <w:tbl>
      <w:tblPr>
        <w:tblStyle w:val="TableGrid"/>
        <w:tblW w:w="0" w:type="auto"/>
        <w:tblLook w:val="04A0" w:firstRow="1" w:lastRow="0" w:firstColumn="1" w:lastColumn="0" w:noHBand="0" w:noVBand="1"/>
        <w:tblCaption w:val="List of case studies"/>
        <w:tblDescription w:val="List of case studies."/>
      </w:tblPr>
      <w:tblGrid>
        <w:gridCol w:w="9570"/>
      </w:tblGrid>
      <w:tr w:rsidR="00C52196" w:rsidTr="00327825">
        <w:trPr>
          <w:trHeight w:val="510"/>
          <w:tblHeader/>
        </w:trPr>
        <w:tc>
          <w:tcPr>
            <w:tcW w:w="9570" w:type="dxa"/>
            <w:shd w:val="clear" w:color="auto" w:fill="00B050"/>
            <w:vAlign w:val="center"/>
          </w:tcPr>
          <w:p w:rsidR="00C52196" w:rsidRPr="00C52196" w:rsidRDefault="00C52196" w:rsidP="00C52196">
            <w:pPr>
              <w:pStyle w:val="Style2"/>
              <w:spacing w:before="0"/>
              <w:rPr>
                <w:color w:val="FFFFFF" w:themeColor="background1"/>
              </w:rPr>
            </w:pPr>
            <w:r w:rsidRPr="00C52196">
              <w:rPr>
                <w:color w:val="FFFFFF" w:themeColor="background1"/>
              </w:rPr>
              <w:lastRenderedPageBreak/>
              <w:t>Case 8. Safety observer for a crane working near electric lines</w:t>
            </w:r>
          </w:p>
        </w:tc>
      </w:tr>
      <w:tr w:rsidR="00C52196" w:rsidTr="00FA4C12">
        <w:trPr>
          <w:trHeight w:val="4996"/>
        </w:trPr>
        <w:tc>
          <w:tcPr>
            <w:tcW w:w="9570" w:type="dxa"/>
          </w:tcPr>
          <w:p w:rsidR="00C52196" w:rsidRPr="006376EF" w:rsidRDefault="00C52196" w:rsidP="00C52196">
            <w:r w:rsidRPr="006376EF">
              <w:t>Kevin’s sign company occasionally manufacturers and installs tall advertising signs by the roadside near overhead electric lines. Kevin is aware of managing the risk of overhead electric lines and he had a consultant assist in preparing and documenting a risk management manual. In Kevin’s workshop, work is about to start on the design and construction of a new sign for a shopping centre. The company’s safe work procedures are applied at the start of each new job. Kevin needs to visit the site to check some dimensions and carry out a risk assessment.</w:t>
            </w:r>
          </w:p>
          <w:p w:rsidR="00C52196" w:rsidRPr="006376EF" w:rsidRDefault="00C52196" w:rsidP="00C52196">
            <w:r w:rsidRPr="006376EF">
              <w:t>As part of the company’s written safe work procedures Kevin:</w:t>
            </w:r>
          </w:p>
          <w:p w:rsidR="00C52196" w:rsidRPr="00617843" w:rsidRDefault="00C52196" w:rsidP="00C52196">
            <w:pPr>
              <w:pStyle w:val="ListParagraph"/>
            </w:pPr>
            <w:r w:rsidRPr="00617843">
              <w:t xml:space="preserve">visited the site and identified the overhead electric lines </w:t>
            </w:r>
          </w:p>
          <w:p w:rsidR="00C52196" w:rsidRPr="00617843" w:rsidRDefault="00C52196" w:rsidP="00C52196">
            <w:pPr>
              <w:pStyle w:val="ListParagraph"/>
            </w:pPr>
            <w:r w:rsidRPr="00617843">
              <w:t xml:space="preserve">contacted the </w:t>
            </w:r>
            <w:hyperlink r:id="rId14" w:history="1">
              <w:r w:rsidR="00820995" w:rsidRPr="00820995">
                <w:rPr>
                  <w:rStyle w:val="Hyperlink"/>
                </w:rPr>
                <w:t>Electricity Supply Authority</w:t>
              </w:r>
            </w:hyperlink>
            <w:r w:rsidRPr="00617843">
              <w:t xml:space="preserve"> who gave him information about the electric lines to allow him to assess no go zone distances and when to use a safety observer</w:t>
            </w:r>
          </w:p>
          <w:p w:rsidR="00C52196" w:rsidRPr="00617843" w:rsidRDefault="00C52196" w:rsidP="00C52196">
            <w:pPr>
              <w:pStyle w:val="ListParagraph"/>
            </w:pPr>
            <w:r w:rsidRPr="00617843">
              <w:t>discussed his requirements with his crane contractor who also visited the workplace. Kevin used this crane operator as he had their safe work procedures and he can check each operator’s qualifications</w:t>
            </w:r>
          </w:p>
          <w:p w:rsidR="00C52196" w:rsidRPr="00617843" w:rsidRDefault="00C52196" w:rsidP="00C52196">
            <w:pPr>
              <w:pStyle w:val="ListParagraph"/>
            </w:pPr>
            <w:r w:rsidRPr="00617843">
              <w:t>gave clear instructions on the day of the sign’s installation to the crane operator and safety observer, and</w:t>
            </w:r>
          </w:p>
          <w:p w:rsidR="00C52196" w:rsidRPr="00C52196" w:rsidRDefault="00C52196" w:rsidP="00617843">
            <w:pPr>
              <w:pStyle w:val="ListParagraph"/>
            </w:pPr>
            <w:r w:rsidRPr="00617843">
              <w:t>ensured the dogger who assisted on the day was trained and knew his responsibilities. He took on the safety observer role, had radio communication with the crane operator, and was in a position to clearly see the job and stop it at any time.</w:t>
            </w:r>
          </w:p>
        </w:tc>
      </w:tr>
      <w:tr w:rsidR="00C52196" w:rsidTr="00C52196">
        <w:trPr>
          <w:trHeight w:val="510"/>
        </w:trPr>
        <w:tc>
          <w:tcPr>
            <w:tcW w:w="9570" w:type="dxa"/>
            <w:shd w:val="clear" w:color="auto" w:fill="00B050"/>
            <w:vAlign w:val="center"/>
          </w:tcPr>
          <w:p w:rsidR="00C52196" w:rsidRPr="00C52196" w:rsidRDefault="00C52196" w:rsidP="00C52196">
            <w:pPr>
              <w:pStyle w:val="Style2"/>
              <w:spacing w:before="0"/>
              <w:rPr>
                <w:color w:val="FFFFFF" w:themeColor="background1"/>
              </w:rPr>
            </w:pPr>
            <w:r w:rsidRPr="00C52196">
              <w:rPr>
                <w:color w:val="FFFFFF" w:themeColor="background1"/>
              </w:rPr>
              <w:t>Case</w:t>
            </w:r>
            <w:r w:rsidR="004E4394">
              <w:rPr>
                <w:color w:val="FFFFFF" w:themeColor="background1"/>
              </w:rPr>
              <w:t xml:space="preserve"> 9. Work on a rural property - f</w:t>
            </w:r>
            <w:r w:rsidRPr="00C52196">
              <w:rPr>
                <w:color w:val="FFFFFF" w:themeColor="background1"/>
              </w:rPr>
              <w:t>lashover</w:t>
            </w:r>
          </w:p>
        </w:tc>
      </w:tr>
      <w:tr w:rsidR="00C52196" w:rsidTr="00FA4C12">
        <w:trPr>
          <w:trHeight w:val="2154"/>
        </w:trPr>
        <w:tc>
          <w:tcPr>
            <w:tcW w:w="9570" w:type="dxa"/>
          </w:tcPr>
          <w:p w:rsidR="00C52196" w:rsidRPr="006376EF" w:rsidRDefault="00C52196" w:rsidP="00C52196">
            <w:r w:rsidRPr="006376EF">
              <w:t>A 17 year old rural worker was fatally electrocuted due to a flashover when a steel flagpole came into close proximity with an 11 kV overhead electric line above the entrance to a rural property. The worker was attempting to erect the 5.2 m flagpole at the main entrance gate to the property.</w:t>
            </w:r>
          </w:p>
          <w:p w:rsidR="00C52196" w:rsidRPr="006376EF" w:rsidRDefault="00C52196" w:rsidP="00C52196">
            <w:pPr>
              <w:pStyle w:val="Heading3"/>
            </w:pPr>
            <w:r w:rsidRPr="006376EF">
              <w:t>Contributing factors included failure to:</w:t>
            </w:r>
          </w:p>
          <w:p w:rsidR="00C52196" w:rsidRPr="006376EF" w:rsidRDefault="00C52196" w:rsidP="00C52196">
            <w:pPr>
              <w:pStyle w:val="ListParagraph"/>
            </w:pPr>
            <w:r w:rsidRPr="006376EF">
              <w:t>identify the overhead electric lines, and</w:t>
            </w:r>
          </w:p>
          <w:p w:rsidR="00C52196" w:rsidRPr="00C52196" w:rsidRDefault="00C52196" w:rsidP="00617843">
            <w:pPr>
              <w:pStyle w:val="ListParagraph"/>
            </w:pPr>
            <w:r w:rsidRPr="006376EF">
              <w:t>use suitable control measures.</w:t>
            </w:r>
          </w:p>
        </w:tc>
      </w:tr>
    </w:tbl>
    <w:p w:rsidR="00C52196" w:rsidRPr="006376EF" w:rsidRDefault="00C52196" w:rsidP="00617843">
      <w:pPr>
        <w:rPr>
          <w:i/>
        </w:rPr>
      </w:pPr>
    </w:p>
    <w:sectPr w:rsidR="00C52196" w:rsidRPr="006376EF" w:rsidSect="00E85921">
      <w:headerReference w:type="default" r:id="rId15"/>
      <w:footerReference w:type="default" r:id="rId16"/>
      <w:headerReference w:type="first" r:id="rId17"/>
      <w:footerReference w:type="first" r:id="rId18"/>
      <w:pgSz w:w="11906" w:h="16838" w:code="9"/>
      <w:pgMar w:top="1418" w:right="1134" w:bottom="1418" w:left="1418" w:header="454"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60" w:rsidRDefault="00CF7960" w:rsidP="00617843">
      <w:r>
        <w:separator/>
      </w:r>
    </w:p>
  </w:endnote>
  <w:endnote w:type="continuationSeparator" w:id="0">
    <w:p w:rsidR="00CF7960" w:rsidRDefault="00CF7960" w:rsidP="0061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60" w:rsidRPr="003F266C" w:rsidRDefault="00CF7960" w:rsidP="00617843">
    <w:pPr>
      <w:pStyle w:val="Footer"/>
      <w:rPr>
        <w:sz w:val="18"/>
        <w:szCs w:val="18"/>
      </w:rPr>
    </w:pPr>
  </w:p>
  <w:p w:rsidR="00CF7960" w:rsidRPr="003F266C" w:rsidRDefault="00DC15DE" w:rsidP="003F266C">
    <w:pPr>
      <w:pStyle w:val="Footer"/>
      <w:tabs>
        <w:tab w:val="clear" w:pos="4513"/>
        <w:tab w:val="left" w:pos="7088"/>
      </w:tabs>
      <w:rPr>
        <w:caps/>
        <w:sz w:val="18"/>
        <w:szCs w:val="18"/>
      </w:rPr>
    </w:pPr>
    <w:r w:rsidRPr="00B7339E">
      <w:rPr>
        <w:sz w:val="18"/>
        <w:szCs w:val="18"/>
      </w:rPr>
      <w:t>Incidents and Scenarios</w:t>
    </w:r>
    <w:r w:rsidR="00692DDD">
      <w:rPr>
        <w:sz w:val="18"/>
        <w:szCs w:val="18"/>
      </w:rPr>
      <w:t>:</w:t>
    </w:r>
    <w:r w:rsidR="003F266C" w:rsidRPr="00B7339E">
      <w:rPr>
        <w:sz w:val="18"/>
        <w:szCs w:val="18"/>
      </w:rPr>
      <w:t xml:space="preserve"> </w:t>
    </w:r>
    <w:r w:rsidR="00B7339E">
      <w:rPr>
        <w:i/>
        <w:sz w:val="18"/>
        <w:szCs w:val="18"/>
      </w:rPr>
      <w:t>Case s</w:t>
    </w:r>
    <w:r w:rsidR="003F266C" w:rsidRPr="003F266C">
      <w:rPr>
        <w:i/>
        <w:sz w:val="18"/>
        <w:szCs w:val="18"/>
      </w:rPr>
      <w:t>tudies</w:t>
    </w:r>
    <w:r w:rsidRPr="003F266C">
      <w:rPr>
        <w:sz w:val="18"/>
        <w:szCs w:val="18"/>
      </w:rPr>
      <w:tab/>
    </w:r>
    <w:r w:rsidR="00CA2BB2">
      <w:rPr>
        <w:sz w:val="18"/>
        <w:szCs w:val="18"/>
      </w:rPr>
      <w:t>July</w:t>
    </w:r>
    <w:r w:rsidR="003F266C">
      <w:rPr>
        <w:sz w:val="18"/>
        <w:szCs w:val="18"/>
      </w:rPr>
      <w:t xml:space="preserve"> 2014</w:t>
    </w:r>
    <w:r w:rsidR="003F266C">
      <w:rPr>
        <w:sz w:val="18"/>
        <w:szCs w:val="18"/>
      </w:rPr>
      <w:tab/>
    </w:r>
    <w:r w:rsidRPr="003F266C">
      <w:rPr>
        <w:sz w:val="18"/>
        <w:szCs w:val="18"/>
      </w:rPr>
      <w:t xml:space="preserve">Page </w:t>
    </w:r>
    <w:r w:rsidRPr="003F266C">
      <w:rPr>
        <w:caps/>
        <w:sz w:val="18"/>
        <w:szCs w:val="18"/>
      </w:rPr>
      <w:fldChar w:fldCharType="begin"/>
    </w:r>
    <w:r w:rsidRPr="003F266C">
      <w:rPr>
        <w:caps/>
        <w:sz w:val="18"/>
        <w:szCs w:val="18"/>
      </w:rPr>
      <w:instrText xml:space="preserve"> PAGE </w:instrText>
    </w:r>
    <w:r w:rsidRPr="003F266C">
      <w:rPr>
        <w:caps/>
        <w:sz w:val="18"/>
        <w:szCs w:val="18"/>
      </w:rPr>
      <w:fldChar w:fldCharType="separate"/>
    </w:r>
    <w:r w:rsidR="002431B4">
      <w:rPr>
        <w:caps/>
        <w:noProof/>
        <w:sz w:val="18"/>
        <w:szCs w:val="18"/>
      </w:rPr>
      <w:t>3</w:t>
    </w:r>
    <w:r w:rsidRPr="003F266C">
      <w:rPr>
        <w:caps/>
        <w:sz w:val="18"/>
        <w:szCs w:val="18"/>
      </w:rPr>
      <w:fldChar w:fldCharType="end"/>
    </w:r>
    <w:r w:rsidRPr="003F266C">
      <w:rPr>
        <w:sz w:val="18"/>
        <w:szCs w:val="18"/>
      </w:rPr>
      <w:t xml:space="preserve"> of </w:t>
    </w:r>
    <w:r w:rsidRPr="003F266C">
      <w:rPr>
        <w:caps/>
        <w:sz w:val="18"/>
        <w:szCs w:val="18"/>
      </w:rPr>
      <w:fldChar w:fldCharType="begin"/>
    </w:r>
    <w:r w:rsidRPr="003F266C">
      <w:rPr>
        <w:caps/>
        <w:sz w:val="18"/>
        <w:szCs w:val="18"/>
      </w:rPr>
      <w:instrText xml:space="preserve"> NUMPAGES </w:instrText>
    </w:r>
    <w:r w:rsidRPr="003F266C">
      <w:rPr>
        <w:caps/>
        <w:sz w:val="18"/>
        <w:szCs w:val="18"/>
      </w:rPr>
      <w:fldChar w:fldCharType="separate"/>
    </w:r>
    <w:r w:rsidR="002431B4">
      <w:rPr>
        <w:caps/>
        <w:noProof/>
        <w:sz w:val="18"/>
        <w:szCs w:val="18"/>
      </w:rPr>
      <w:t>3</w:t>
    </w:r>
    <w:r w:rsidRPr="003F266C">
      <w:rPr>
        <w:caps/>
        <w:sz w:val="18"/>
        <w:szCs w:val="18"/>
      </w:rPr>
      <w:fldChar w:fldCharType="end"/>
    </w:r>
  </w:p>
  <w:p w:rsidR="00E85921" w:rsidRDefault="00E85921" w:rsidP="00617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DE" w:rsidRDefault="00DC15DE" w:rsidP="003F266C">
    <w:pPr>
      <w:pStyle w:val="Footer"/>
      <w:tabs>
        <w:tab w:val="left" w:pos="7088"/>
      </w:tabs>
      <w:rPr>
        <w:caps/>
      </w:rPr>
    </w:pPr>
    <w:r>
      <w:rPr>
        <w:noProof/>
      </w:rPr>
      <w:drawing>
        <wp:inline distT="0" distB="0" distL="0" distR="0" wp14:anchorId="34210E02" wp14:editId="732320EA">
          <wp:extent cx="1234286" cy="432000"/>
          <wp:effectExtent l="0" t="0" r="4445" b="6350"/>
          <wp:docPr id="2" name="Picture 2" descr="Creative Commons icon"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286" cy="432000"/>
                  </a:xfrm>
                  <a:prstGeom prst="rect">
                    <a:avLst/>
                  </a:prstGeom>
                </pic:spPr>
              </pic:pic>
            </a:graphicData>
          </a:graphic>
        </wp:inline>
      </w:drawing>
    </w:r>
    <w:r w:rsidRPr="001747E4">
      <w:t xml:space="preserve"> </w:t>
    </w:r>
    <w:r w:rsidR="003F266C" w:rsidRPr="003F266C">
      <w:rPr>
        <w:sz w:val="18"/>
        <w:szCs w:val="18"/>
      </w:rPr>
      <w:ptab w:relativeTo="margin" w:alignment="center" w:leader="none"/>
    </w:r>
    <w:r w:rsidR="003F266C" w:rsidRPr="003F266C">
      <w:rPr>
        <w:rFonts w:eastAsia="Calibri"/>
        <w:sz w:val="18"/>
        <w:szCs w:val="18"/>
      </w:rPr>
      <w:t>978-1-74361-</w:t>
    </w:r>
    <w:r w:rsidR="009A7133">
      <w:rPr>
        <w:rFonts w:eastAsia="Calibri"/>
        <w:sz w:val="18"/>
        <w:szCs w:val="18"/>
      </w:rPr>
      <w:t>768</w:t>
    </w:r>
    <w:r w:rsidR="003F266C" w:rsidRPr="003F266C">
      <w:rPr>
        <w:rFonts w:eastAsia="Calibri"/>
        <w:sz w:val="18"/>
        <w:szCs w:val="18"/>
      </w:rPr>
      <w:t>-</w:t>
    </w:r>
    <w:r w:rsidR="009A7133">
      <w:rPr>
        <w:rFonts w:eastAsia="Calibri"/>
        <w:sz w:val="18"/>
        <w:szCs w:val="18"/>
      </w:rPr>
      <w:t>7</w:t>
    </w:r>
    <w:r w:rsidR="003F266C" w:rsidRPr="003F266C">
      <w:rPr>
        <w:rFonts w:eastAsia="Calibri"/>
        <w:sz w:val="18"/>
        <w:szCs w:val="18"/>
      </w:rPr>
      <w:t xml:space="preserve"> [Multi-Vol. Set]</w:t>
    </w:r>
    <w:r w:rsidR="003F266C">
      <w:rPr>
        <w:rFonts w:eastAsia="Calibri"/>
        <w:sz w:val="18"/>
        <w:szCs w:val="18"/>
      </w:rPr>
      <w:tab/>
    </w:r>
    <w:r w:rsidR="003F266C" w:rsidRPr="003F266C">
      <w:rPr>
        <w:sz w:val="18"/>
        <w:szCs w:val="18"/>
      </w:rPr>
      <w:t xml:space="preserve"> </w:t>
    </w:r>
    <w:sdt>
      <w:sdtPr>
        <w:rPr>
          <w:sz w:val="18"/>
          <w:szCs w:val="18"/>
        </w:rPr>
        <w:id w:val="-650285256"/>
        <w:docPartObj>
          <w:docPartGallery w:val="Page Numbers (Top of Page)"/>
          <w:docPartUnique/>
        </w:docPartObj>
      </w:sdtPr>
      <w:sdtEndPr/>
      <w:sdtContent>
        <w:r w:rsidR="003F266C" w:rsidRPr="003F266C">
          <w:rPr>
            <w:caps/>
            <w:sz w:val="18"/>
            <w:szCs w:val="18"/>
          </w:rPr>
          <w:t>J</w:t>
        </w:r>
        <w:r w:rsidR="003F266C" w:rsidRPr="003F266C">
          <w:rPr>
            <w:sz w:val="18"/>
            <w:szCs w:val="18"/>
          </w:rPr>
          <w:t>u</w:t>
        </w:r>
        <w:r w:rsidR="002454F7">
          <w:rPr>
            <w:sz w:val="18"/>
            <w:szCs w:val="18"/>
          </w:rPr>
          <w:t>ly</w:t>
        </w:r>
        <w:r w:rsidR="003F266C" w:rsidRPr="003F266C">
          <w:rPr>
            <w:caps/>
            <w:sz w:val="18"/>
            <w:szCs w:val="18"/>
          </w:rPr>
          <w:t xml:space="preserve"> 2014</w:t>
        </w:r>
        <w:r w:rsidR="003F266C">
          <w:rPr>
            <w:caps/>
            <w:sz w:val="18"/>
            <w:szCs w:val="18"/>
          </w:rPr>
          <w:tab/>
        </w:r>
        <w:r w:rsidR="003F266C" w:rsidRPr="003F266C">
          <w:rPr>
            <w:sz w:val="18"/>
            <w:szCs w:val="18"/>
          </w:rPr>
          <w:t xml:space="preserve">Page </w:t>
        </w:r>
        <w:r w:rsidR="003F266C" w:rsidRPr="003F266C">
          <w:rPr>
            <w:caps/>
            <w:sz w:val="18"/>
            <w:szCs w:val="18"/>
          </w:rPr>
          <w:fldChar w:fldCharType="begin"/>
        </w:r>
        <w:r w:rsidR="003F266C" w:rsidRPr="003F266C">
          <w:rPr>
            <w:caps/>
            <w:sz w:val="18"/>
            <w:szCs w:val="18"/>
          </w:rPr>
          <w:instrText xml:space="preserve"> PAGE </w:instrText>
        </w:r>
        <w:r w:rsidR="003F266C" w:rsidRPr="003F266C">
          <w:rPr>
            <w:caps/>
            <w:sz w:val="18"/>
            <w:szCs w:val="18"/>
          </w:rPr>
          <w:fldChar w:fldCharType="separate"/>
        </w:r>
        <w:r w:rsidR="002431B4">
          <w:rPr>
            <w:caps/>
            <w:noProof/>
            <w:sz w:val="18"/>
            <w:szCs w:val="18"/>
          </w:rPr>
          <w:t>1</w:t>
        </w:r>
        <w:r w:rsidR="003F266C" w:rsidRPr="003F266C">
          <w:rPr>
            <w:caps/>
            <w:sz w:val="18"/>
            <w:szCs w:val="18"/>
          </w:rPr>
          <w:fldChar w:fldCharType="end"/>
        </w:r>
        <w:r w:rsidR="003F266C" w:rsidRPr="003F266C">
          <w:rPr>
            <w:sz w:val="18"/>
            <w:szCs w:val="18"/>
          </w:rPr>
          <w:t xml:space="preserve"> of </w:t>
        </w:r>
        <w:r w:rsidR="003F266C" w:rsidRPr="003F266C">
          <w:rPr>
            <w:caps/>
            <w:sz w:val="18"/>
            <w:szCs w:val="18"/>
          </w:rPr>
          <w:fldChar w:fldCharType="begin"/>
        </w:r>
        <w:r w:rsidR="003F266C" w:rsidRPr="003F266C">
          <w:rPr>
            <w:caps/>
            <w:sz w:val="18"/>
            <w:szCs w:val="18"/>
          </w:rPr>
          <w:instrText xml:space="preserve"> NUMPAGES </w:instrText>
        </w:r>
        <w:r w:rsidR="003F266C" w:rsidRPr="003F266C">
          <w:rPr>
            <w:caps/>
            <w:sz w:val="18"/>
            <w:szCs w:val="18"/>
          </w:rPr>
          <w:fldChar w:fldCharType="separate"/>
        </w:r>
        <w:r w:rsidR="002431B4">
          <w:rPr>
            <w:caps/>
            <w:noProof/>
            <w:sz w:val="18"/>
            <w:szCs w:val="18"/>
          </w:rPr>
          <w:t>3</w:t>
        </w:r>
        <w:r w:rsidR="003F266C" w:rsidRPr="003F266C">
          <w:rPr>
            <w:caps/>
            <w:sz w:val="18"/>
            <w:szCs w:val="18"/>
          </w:rPr>
          <w:fldChar w:fldCharType="end"/>
        </w:r>
      </w:sdtContent>
    </w:sdt>
  </w:p>
  <w:p w:rsidR="00E85921" w:rsidRDefault="00E85921" w:rsidP="00617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60" w:rsidRDefault="00CF7960" w:rsidP="00617843">
      <w:r>
        <w:separator/>
      </w:r>
    </w:p>
  </w:footnote>
  <w:footnote w:type="continuationSeparator" w:id="0">
    <w:p w:rsidR="00CF7960" w:rsidRDefault="00CF7960" w:rsidP="0061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DE" w:rsidRDefault="00DC15DE" w:rsidP="00617843">
    <w:pPr>
      <w:pStyle w:val="Header"/>
    </w:pPr>
    <w:r>
      <w:rPr>
        <w:noProof/>
      </w:rPr>
      <w:drawing>
        <wp:inline distT="0" distB="0" distL="0" distR="0" wp14:anchorId="6F3425AE" wp14:editId="3E967BB9">
          <wp:extent cx="2081455" cy="432000"/>
          <wp:effectExtent l="0" t="0" r="0" b="6350"/>
          <wp:docPr id="3" name="Picture 3" descr="Safe Work Australia logo" title="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2081455" cy="432000"/>
                  </a:xfrm>
                  <a:prstGeom prst="rect">
                    <a:avLst/>
                  </a:prstGeom>
                  <a:noFill/>
                  <a:ln w="9525">
                    <a:noFill/>
                    <a:miter lim="800000"/>
                    <a:headEnd/>
                    <a:tailEnd/>
                  </a:ln>
                </pic:spPr>
              </pic:pic>
            </a:graphicData>
          </a:graphic>
        </wp:inline>
      </w:drawing>
    </w:r>
  </w:p>
  <w:p w:rsidR="004416D2" w:rsidRDefault="004416D2" w:rsidP="006178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DE" w:rsidRDefault="00DC15DE" w:rsidP="00617843">
    <w:pPr>
      <w:pStyle w:val="Header"/>
    </w:pPr>
    <w:r>
      <w:rPr>
        <w:noProof/>
      </w:rPr>
      <w:drawing>
        <wp:inline distT="0" distB="0" distL="0" distR="0" wp14:anchorId="3D622E18" wp14:editId="7A8F28DB">
          <wp:extent cx="2081455" cy="432000"/>
          <wp:effectExtent l="0" t="0" r="0" b="6350"/>
          <wp:docPr id="1" name="Picture 1" descr="Safe Work Australia logo" title="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2081455" cy="43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2B08"/>
    <w:multiLevelType w:val="hybridMultilevel"/>
    <w:tmpl w:val="D55E27D8"/>
    <w:lvl w:ilvl="0" w:tplc="EEF24E44">
      <w:start w:val="1"/>
      <w:numFmt w:val="bullet"/>
      <w:pStyle w:val="ListParagraph"/>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39D01C15"/>
    <w:multiLevelType w:val="hybridMultilevel"/>
    <w:tmpl w:val="0A7C7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94C3BC5"/>
    <w:multiLevelType w:val="hybridMultilevel"/>
    <w:tmpl w:val="53A67F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27C2EAC"/>
    <w:multiLevelType w:val="hybridMultilevel"/>
    <w:tmpl w:val="845E8E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B05154A"/>
    <w:multiLevelType w:val="hybridMultilevel"/>
    <w:tmpl w:val="F42AB9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DA96C5D"/>
    <w:multiLevelType w:val="hybridMultilevel"/>
    <w:tmpl w:val="FB069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F293911"/>
    <w:multiLevelType w:val="hybridMultilevel"/>
    <w:tmpl w:val="F672FE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97E355C"/>
    <w:multiLevelType w:val="hybridMultilevel"/>
    <w:tmpl w:val="9F5054B0"/>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B455D7E"/>
    <w:multiLevelType w:val="hybridMultilevel"/>
    <w:tmpl w:val="CC16E5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5"/>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AC"/>
    <w:rsid w:val="00025664"/>
    <w:rsid w:val="000412C6"/>
    <w:rsid w:val="00054130"/>
    <w:rsid w:val="00067322"/>
    <w:rsid w:val="00071105"/>
    <w:rsid w:val="000A5AA2"/>
    <w:rsid w:val="000B2BD6"/>
    <w:rsid w:val="000D10BB"/>
    <w:rsid w:val="000E2C8A"/>
    <w:rsid w:val="00104906"/>
    <w:rsid w:val="00107181"/>
    <w:rsid w:val="00122C25"/>
    <w:rsid w:val="00133053"/>
    <w:rsid w:val="00136566"/>
    <w:rsid w:val="0013697E"/>
    <w:rsid w:val="001608A5"/>
    <w:rsid w:val="00182CE8"/>
    <w:rsid w:val="00182D59"/>
    <w:rsid w:val="00183706"/>
    <w:rsid w:val="00186136"/>
    <w:rsid w:val="001A46ED"/>
    <w:rsid w:val="001C0FFA"/>
    <w:rsid w:val="001E3938"/>
    <w:rsid w:val="001F22D7"/>
    <w:rsid w:val="001F79B6"/>
    <w:rsid w:val="00200378"/>
    <w:rsid w:val="002043C0"/>
    <w:rsid w:val="00215ABD"/>
    <w:rsid w:val="002431B4"/>
    <w:rsid w:val="002454F7"/>
    <w:rsid w:val="00277B67"/>
    <w:rsid w:val="00284888"/>
    <w:rsid w:val="00290510"/>
    <w:rsid w:val="002A0DAF"/>
    <w:rsid w:val="002A734D"/>
    <w:rsid w:val="002E32FA"/>
    <w:rsid w:val="002E38DA"/>
    <w:rsid w:val="00313A61"/>
    <w:rsid w:val="00327825"/>
    <w:rsid w:val="0033130E"/>
    <w:rsid w:val="00343BD1"/>
    <w:rsid w:val="003457B4"/>
    <w:rsid w:val="00362387"/>
    <w:rsid w:val="00363349"/>
    <w:rsid w:val="00372502"/>
    <w:rsid w:val="00377B64"/>
    <w:rsid w:val="00381884"/>
    <w:rsid w:val="00397DB6"/>
    <w:rsid w:val="003A7829"/>
    <w:rsid w:val="003E380B"/>
    <w:rsid w:val="003E766D"/>
    <w:rsid w:val="003F266C"/>
    <w:rsid w:val="004040D3"/>
    <w:rsid w:val="004129C7"/>
    <w:rsid w:val="00421B2A"/>
    <w:rsid w:val="0043608F"/>
    <w:rsid w:val="004416D2"/>
    <w:rsid w:val="0044203F"/>
    <w:rsid w:val="004648B3"/>
    <w:rsid w:val="004654EC"/>
    <w:rsid w:val="00472E1E"/>
    <w:rsid w:val="004A1687"/>
    <w:rsid w:val="004A5396"/>
    <w:rsid w:val="004D2F4F"/>
    <w:rsid w:val="004D674B"/>
    <w:rsid w:val="004E4394"/>
    <w:rsid w:val="004F2F3D"/>
    <w:rsid w:val="00500FD4"/>
    <w:rsid w:val="00511B4E"/>
    <w:rsid w:val="005432A3"/>
    <w:rsid w:val="005509AA"/>
    <w:rsid w:val="00552B48"/>
    <w:rsid w:val="005C739B"/>
    <w:rsid w:val="005D1830"/>
    <w:rsid w:val="005F4D98"/>
    <w:rsid w:val="00617843"/>
    <w:rsid w:val="00620164"/>
    <w:rsid w:val="00621360"/>
    <w:rsid w:val="00625E59"/>
    <w:rsid w:val="006376EF"/>
    <w:rsid w:val="00640E5F"/>
    <w:rsid w:val="006626A6"/>
    <w:rsid w:val="00664E81"/>
    <w:rsid w:val="0067481A"/>
    <w:rsid w:val="00692DDD"/>
    <w:rsid w:val="006B7C63"/>
    <w:rsid w:val="006E48FA"/>
    <w:rsid w:val="006F2A10"/>
    <w:rsid w:val="006F6E66"/>
    <w:rsid w:val="006F7F2A"/>
    <w:rsid w:val="007200EF"/>
    <w:rsid w:val="00725C00"/>
    <w:rsid w:val="0072727D"/>
    <w:rsid w:val="007357E3"/>
    <w:rsid w:val="007374E7"/>
    <w:rsid w:val="00770C32"/>
    <w:rsid w:val="0078348B"/>
    <w:rsid w:val="0078405A"/>
    <w:rsid w:val="0078608E"/>
    <w:rsid w:val="007B0A5F"/>
    <w:rsid w:val="007B5911"/>
    <w:rsid w:val="00820995"/>
    <w:rsid w:val="00847DD5"/>
    <w:rsid w:val="00850866"/>
    <w:rsid w:val="008747A2"/>
    <w:rsid w:val="00880F0C"/>
    <w:rsid w:val="008A720F"/>
    <w:rsid w:val="008E78AF"/>
    <w:rsid w:val="008F33FA"/>
    <w:rsid w:val="00907767"/>
    <w:rsid w:val="00910AAC"/>
    <w:rsid w:val="009162F2"/>
    <w:rsid w:val="00923368"/>
    <w:rsid w:val="00926FED"/>
    <w:rsid w:val="009329FA"/>
    <w:rsid w:val="00934590"/>
    <w:rsid w:val="00936149"/>
    <w:rsid w:val="00941B80"/>
    <w:rsid w:val="00951941"/>
    <w:rsid w:val="00954A88"/>
    <w:rsid w:val="009664AD"/>
    <w:rsid w:val="00970D60"/>
    <w:rsid w:val="0097311A"/>
    <w:rsid w:val="00974825"/>
    <w:rsid w:val="00987436"/>
    <w:rsid w:val="009A3185"/>
    <w:rsid w:val="009A7133"/>
    <w:rsid w:val="009C05DB"/>
    <w:rsid w:val="009C7B86"/>
    <w:rsid w:val="009D4E9F"/>
    <w:rsid w:val="009D7BF0"/>
    <w:rsid w:val="009E0902"/>
    <w:rsid w:val="009E42F8"/>
    <w:rsid w:val="009F1470"/>
    <w:rsid w:val="009F67DF"/>
    <w:rsid w:val="00A005B9"/>
    <w:rsid w:val="00A02965"/>
    <w:rsid w:val="00A03AB4"/>
    <w:rsid w:val="00A2285E"/>
    <w:rsid w:val="00A23823"/>
    <w:rsid w:val="00A34106"/>
    <w:rsid w:val="00A56C3D"/>
    <w:rsid w:val="00A70A17"/>
    <w:rsid w:val="00A74ECB"/>
    <w:rsid w:val="00A80D39"/>
    <w:rsid w:val="00A82E49"/>
    <w:rsid w:val="00A85F78"/>
    <w:rsid w:val="00A860CA"/>
    <w:rsid w:val="00A96669"/>
    <w:rsid w:val="00AA0AB3"/>
    <w:rsid w:val="00AA0B13"/>
    <w:rsid w:val="00AA263E"/>
    <w:rsid w:val="00AA310B"/>
    <w:rsid w:val="00AA4FDD"/>
    <w:rsid w:val="00AB369E"/>
    <w:rsid w:val="00AB3DF7"/>
    <w:rsid w:val="00AC265C"/>
    <w:rsid w:val="00AD34EC"/>
    <w:rsid w:val="00AE2460"/>
    <w:rsid w:val="00B2789D"/>
    <w:rsid w:val="00B46562"/>
    <w:rsid w:val="00B7339E"/>
    <w:rsid w:val="00B90381"/>
    <w:rsid w:val="00B95A16"/>
    <w:rsid w:val="00BB0759"/>
    <w:rsid w:val="00BB462F"/>
    <w:rsid w:val="00BC1DF2"/>
    <w:rsid w:val="00BD3417"/>
    <w:rsid w:val="00C03315"/>
    <w:rsid w:val="00C15E4B"/>
    <w:rsid w:val="00C4071E"/>
    <w:rsid w:val="00C40F1A"/>
    <w:rsid w:val="00C45B07"/>
    <w:rsid w:val="00C46F8D"/>
    <w:rsid w:val="00C51143"/>
    <w:rsid w:val="00C52196"/>
    <w:rsid w:val="00C7796D"/>
    <w:rsid w:val="00C81350"/>
    <w:rsid w:val="00C9071B"/>
    <w:rsid w:val="00CA2BB2"/>
    <w:rsid w:val="00CC02E8"/>
    <w:rsid w:val="00CD7E52"/>
    <w:rsid w:val="00CE3A8C"/>
    <w:rsid w:val="00CF7960"/>
    <w:rsid w:val="00D00388"/>
    <w:rsid w:val="00D05390"/>
    <w:rsid w:val="00D16FCF"/>
    <w:rsid w:val="00D3157B"/>
    <w:rsid w:val="00D337E9"/>
    <w:rsid w:val="00D44BBD"/>
    <w:rsid w:val="00D558C8"/>
    <w:rsid w:val="00D62946"/>
    <w:rsid w:val="00D73986"/>
    <w:rsid w:val="00DC15DE"/>
    <w:rsid w:val="00DC5922"/>
    <w:rsid w:val="00DD5E40"/>
    <w:rsid w:val="00DF1A93"/>
    <w:rsid w:val="00DF649F"/>
    <w:rsid w:val="00E05EC0"/>
    <w:rsid w:val="00E07C6C"/>
    <w:rsid w:val="00E2441A"/>
    <w:rsid w:val="00E25BAC"/>
    <w:rsid w:val="00E40046"/>
    <w:rsid w:val="00E4042D"/>
    <w:rsid w:val="00E45E18"/>
    <w:rsid w:val="00E53630"/>
    <w:rsid w:val="00E62C3E"/>
    <w:rsid w:val="00E85921"/>
    <w:rsid w:val="00E92485"/>
    <w:rsid w:val="00EA15F3"/>
    <w:rsid w:val="00EA2C66"/>
    <w:rsid w:val="00EA5F59"/>
    <w:rsid w:val="00EC3E7F"/>
    <w:rsid w:val="00EF5BF6"/>
    <w:rsid w:val="00EF7B30"/>
    <w:rsid w:val="00F01F54"/>
    <w:rsid w:val="00F078B2"/>
    <w:rsid w:val="00F149BC"/>
    <w:rsid w:val="00F17066"/>
    <w:rsid w:val="00F17C27"/>
    <w:rsid w:val="00F21414"/>
    <w:rsid w:val="00F62131"/>
    <w:rsid w:val="00F66B62"/>
    <w:rsid w:val="00F941EF"/>
    <w:rsid w:val="00FA4C12"/>
    <w:rsid w:val="00FC4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43"/>
    <w:pPr>
      <w:autoSpaceDE w:val="0"/>
      <w:autoSpaceDN w:val="0"/>
      <w:adjustRightInd w:val="0"/>
      <w:spacing w:before="120"/>
    </w:pPr>
    <w:rPr>
      <w:rFonts w:ascii="Arial" w:hAnsi="Arial" w:cs="Arial"/>
    </w:rPr>
  </w:style>
  <w:style w:type="paragraph" w:styleId="Heading1">
    <w:name w:val="heading 1"/>
    <w:basedOn w:val="Normal"/>
    <w:next w:val="Normal"/>
    <w:link w:val="Heading1Char"/>
    <w:qFormat/>
    <w:rsid w:val="00910AAC"/>
    <w:pPr>
      <w:keepNext/>
      <w:spacing w:before="240" w:after="60"/>
      <w:outlineLvl w:val="0"/>
    </w:pPr>
    <w:rPr>
      <w:b/>
      <w:bCs/>
      <w:kern w:val="32"/>
      <w:szCs w:val="32"/>
    </w:rPr>
  </w:style>
  <w:style w:type="paragraph" w:styleId="Heading3">
    <w:name w:val="heading 3"/>
    <w:basedOn w:val="Normal"/>
    <w:next w:val="Normal"/>
    <w:link w:val="Heading3Char"/>
    <w:qFormat/>
    <w:rsid w:val="00C52196"/>
    <w:pPr>
      <w:keepNext/>
      <w:spacing w:before="240"/>
      <w:outlineLvl w:val="2"/>
    </w:pPr>
    <w:rPr>
      <w:b/>
      <w:bCs/>
      <w: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AAC"/>
    <w:rPr>
      <w:rFonts w:ascii="Arial" w:hAnsi="Arial" w:cs="Arial"/>
      <w:b/>
      <w:bCs/>
      <w:kern w:val="32"/>
      <w:sz w:val="22"/>
      <w:szCs w:val="32"/>
    </w:rPr>
  </w:style>
  <w:style w:type="character" w:customStyle="1" w:styleId="Heading3Char">
    <w:name w:val="Heading 3 Char"/>
    <w:basedOn w:val="DefaultParagraphFont"/>
    <w:link w:val="Heading3"/>
    <w:rsid w:val="00C52196"/>
    <w:rPr>
      <w:rFonts w:ascii="Arial" w:hAnsi="Arial" w:cs="Arial"/>
      <w:b/>
      <w:bCs/>
      <w:i/>
      <w:color w:val="365F91" w:themeColor="accent1" w:themeShade="BF"/>
      <w:sz w:val="22"/>
      <w:szCs w:val="22"/>
    </w:rPr>
  </w:style>
  <w:style w:type="paragraph" w:styleId="ListParagraph">
    <w:name w:val="List Paragraph"/>
    <w:basedOn w:val="Normal"/>
    <w:uiPriority w:val="34"/>
    <w:qFormat/>
    <w:rsid w:val="00617843"/>
    <w:pPr>
      <w:numPr>
        <w:numId w:val="1"/>
      </w:numPr>
      <w:ind w:left="360"/>
    </w:pPr>
    <w:rPr>
      <w:rFonts w:eastAsia="Calibri"/>
      <w:szCs w:val="22"/>
      <w:lang w:eastAsia="en-US"/>
    </w:rPr>
  </w:style>
  <w:style w:type="paragraph" w:styleId="Header">
    <w:name w:val="header"/>
    <w:basedOn w:val="Normal"/>
    <w:link w:val="HeaderChar"/>
    <w:rsid w:val="00CF7960"/>
    <w:pPr>
      <w:tabs>
        <w:tab w:val="center" w:pos="4513"/>
        <w:tab w:val="right" w:pos="9026"/>
      </w:tabs>
      <w:spacing w:before="0"/>
    </w:pPr>
  </w:style>
  <w:style w:type="character" w:customStyle="1" w:styleId="HeaderChar">
    <w:name w:val="Header Char"/>
    <w:basedOn w:val="DefaultParagraphFont"/>
    <w:link w:val="Header"/>
    <w:rsid w:val="00CF7960"/>
    <w:rPr>
      <w:rFonts w:ascii="Arial" w:hAnsi="Arial"/>
      <w:sz w:val="22"/>
      <w:szCs w:val="24"/>
    </w:rPr>
  </w:style>
  <w:style w:type="paragraph" w:styleId="Footer">
    <w:name w:val="footer"/>
    <w:basedOn w:val="Normal"/>
    <w:link w:val="FooterChar"/>
    <w:uiPriority w:val="99"/>
    <w:rsid w:val="00CF7960"/>
    <w:pPr>
      <w:tabs>
        <w:tab w:val="center" w:pos="4513"/>
        <w:tab w:val="right" w:pos="9026"/>
      </w:tabs>
      <w:spacing w:before="0"/>
    </w:pPr>
  </w:style>
  <w:style w:type="character" w:customStyle="1" w:styleId="FooterChar">
    <w:name w:val="Footer Char"/>
    <w:basedOn w:val="DefaultParagraphFont"/>
    <w:link w:val="Footer"/>
    <w:uiPriority w:val="99"/>
    <w:rsid w:val="00CF7960"/>
    <w:rPr>
      <w:rFonts w:ascii="Arial" w:hAnsi="Arial"/>
      <w:sz w:val="22"/>
      <w:szCs w:val="24"/>
    </w:rPr>
  </w:style>
  <w:style w:type="paragraph" w:styleId="BalloonText">
    <w:name w:val="Balloon Text"/>
    <w:basedOn w:val="Normal"/>
    <w:link w:val="BalloonTextChar"/>
    <w:rsid w:val="00DC15DE"/>
    <w:pPr>
      <w:spacing w:before="0"/>
    </w:pPr>
    <w:rPr>
      <w:rFonts w:ascii="Tahoma" w:hAnsi="Tahoma" w:cs="Tahoma"/>
      <w:sz w:val="16"/>
      <w:szCs w:val="16"/>
    </w:rPr>
  </w:style>
  <w:style w:type="character" w:customStyle="1" w:styleId="BalloonTextChar">
    <w:name w:val="Balloon Text Char"/>
    <w:basedOn w:val="DefaultParagraphFont"/>
    <w:link w:val="BalloonText"/>
    <w:rsid w:val="00DC15DE"/>
    <w:rPr>
      <w:rFonts w:ascii="Tahoma" w:hAnsi="Tahoma" w:cs="Tahoma"/>
      <w:sz w:val="16"/>
      <w:szCs w:val="16"/>
    </w:rPr>
  </w:style>
  <w:style w:type="paragraph" w:customStyle="1" w:styleId="Style2">
    <w:name w:val="Style 2"/>
    <w:basedOn w:val="Normal"/>
    <w:qFormat/>
    <w:rsid w:val="00617843"/>
    <w:pPr>
      <w:spacing w:before="240"/>
    </w:pPr>
    <w:rPr>
      <w:b/>
      <w:color w:val="C00000"/>
      <w:sz w:val="22"/>
      <w:szCs w:val="22"/>
    </w:rPr>
  </w:style>
  <w:style w:type="table" w:styleId="TableGrid">
    <w:name w:val="Table Grid"/>
    <w:basedOn w:val="TableNormal"/>
    <w:rsid w:val="00C5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2B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43"/>
    <w:pPr>
      <w:autoSpaceDE w:val="0"/>
      <w:autoSpaceDN w:val="0"/>
      <w:adjustRightInd w:val="0"/>
      <w:spacing w:before="120"/>
    </w:pPr>
    <w:rPr>
      <w:rFonts w:ascii="Arial" w:hAnsi="Arial" w:cs="Arial"/>
    </w:rPr>
  </w:style>
  <w:style w:type="paragraph" w:styleId="Heading1">
    <w:name w:val="heading 1"/>
    <w:basedOn w:val="Normal"/>
    <w:next w:val="Normal"/>
    <w:link w:val="Heading1Char"/>
    <w:qFormat/>
    <w:rsid w:val="00910AAC"/>
    <w:pPr>
      <w:keepNext/>
      <w:spacing w:before="240" w:after="60"/>
      <w:outlineLvl w:val="0"/>
    </w:pPr>
    <w:rPr>
      <w:b/>
      <w:bCs/>
      <w:kern w:val="32"/>
      <w:szCs w:val="32"/>
    </w:rPr>
  </w:style>
  <w:style w:type="paragraph" w:styleId="Heading3">
    <w:name w:val="heading 3"/>
    <w:basedOn w:val="Normal"/>
    <w:next w:val="Normal"/>
    <w:link w:val="Heading3Char"/>
    <w:qFormat/>
    <w:rsid w:val="00C52196"/>
    <w:pPr>
      <w:keepNext/>
      <w:spacing w:before="240"/>
      <w:outlineLvl w:val="2"/>
    </w:pPr>
    <w:rPr>
      <w:b/>
      <w:bCs/>
      <w: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AAC"/>
    <w:rPr>
      <w:rFonts w:ascii="Arial" w:hAnsi="Arial" w:cs="Arial"/>
      <w:b/>
      <w:bCs/>
      <w:kern w:val="32"/>
      <w:sz w:val="22"/>
      <w:szCs w:val="32"/>
    </w:rPr>
  </w:style>
  <w:style w:type="character" w:customStyle="1" w:styleId="Heading3Char">
    <w:name w:val="Heading 3 Char"/>
    <w:basedOn w:val="DefaultParagraphFont"/>
    <w:link w:val="Heading3"/>
    <w:rsid w:val="00C52196"/>
    <w:rPr>
      <w:rFonts w:ascii="Arial" w:hAnsi="Arial" w:cs="Arial"/>
      <w:b/>
      <w:bCs/>
      <w:i/>
      <w:color w:val="365F91" w:themeColor="accent1" w:themeShade="BF"/>
      <w:sz w:val="22"/>
      <w:szCs w:val="22"/>
    </w:rPr>
  </w:style>
  <w:style w:type="paragraph" w:styleId="ListParagraph">
    <w:name w:val="List Paragraph"/>
    <w:basedOn w:val="Normal"/>
    <w:uiPriority w:val="34"/>
    <w:qFormat/>
    <w:rsid w:val="00617843"/>
    <w:pPr>
      <w:numPr>
        <w:numId w:val="1"/>
      </w:numPr>
      <w:ind w:left="360"/>
    </w:pPr>
    <w:rPr>
      <w:rFonts w:eastAsia="Calibri"/>
      <w:szCs w:val="22"/>
      <w:lang w:eastAsia="en-US"/>
    </w:rPr>
  </w:style>
  <w:style w:type="paragraph" w:styleId="Header">
    <w:name w:val="header"/>
    <w:basedOn w:val="Normal"/>
    <w:link w:val="HeaderChar"/>
    <w:rsid w:val="00CF7960"/>
    <w:pPr>
      <w:tabs>
        <w:tab w:val="center" w:pos="4513"/>
        <w:tab w:val="right" w:pos="9026"/>
      </w:tabs>
      <w:spacing w:before="0"/>
    </w:pPr>
  </w:style>
  <w:style w:type="character" w:customStyle="1" w:styleId="HeaderChar">
    <w:name w:val="Header Char"/>
    <w:basedOn w:val="DefaultParagraphFont"/>
    <w:link w:val="Header"/>
    <w:rsid w:val="00CF7960"/>
    <w:rPr>
      <w:rFonts w:ascii="Arial" w:hAnsi="Arial"/>
      <w:sz w:val="22"/>
      <w:szCs w:val="24"/>
    </w:rPr>
  </w:style>
  <w:style w:type="paragraph" w:styleId="Footer">
    <w:name w:val="footer"/>
    <w:basedOn w:val="Normal"/>
    <w:link w:val="FooterChar"/>
    <w:uiPriority w:val="99"/>
    <w:rsid w:val="00CF7960"/>
    <w:pPr>
      <w:tabs>
        <w:tab w:val="center" w:pos="4513"/>
        <w:tab w:val="right" w:pos="9026"/>
      </w:tabs>
      <w:spacing w:before="0"/>
    </w:pPr>
  </w:style>
  <w:style w:type="character" w:customStyle="1" w:styleId="FooterChar">
    <w:name w:val="Footer Char"/>
    <w:basedOn w:val="DefaultParagraphFont"/>
    <w:link w:val="Footer"/>
    <w:uiPriority w:val="99"/>
    <w:rsid w:val="00CF7960"/>
    <w:rPr>
      <w:rFonts w:ascii="Arial" w:hAnsi="Arial"/>
      <w:sz w:val="22"/>
      <w:szCs w:val="24"/>
    </w:rPr>
  </w:style>
  <w:style w:type="paragraph" w:styleId="BalloonText">
    <w:name w:val="Balloon Text"/>
    <w:basedOn w:val="Normal"/>
    <w:link w:val="BalloonTextChar"/>
    <w:rsid w:val="00DC15DE"/>
    <w:pPr>
      <w:spacing w:before="0"/>
    </w:pPr>
    <w:rPr>
      <w:rFonts w:ascii="Tahoma" w:hAnsi="Tahoma" w:cs="Tahoma"/>
      <w:sz w:val="16"/>
      <w:szCs w:val="16"/>
    </w:rPr>
  </w:style>
  <w:style w:type="character" w:customStyle="1" w:styleId="BalloonTextChar">
    <w:name w:val="Balloon Text Char"/>
    <w:basedOn w:val="DefaultParagraphFont"/>
    <w:link w:val="BalloonText"/>
    <w:rsid w:val="00DC15DE"/>
    <w:rPr>
      <w:rFonts w:ascii="Tahoma" w:hAnsi="Tahoma" w:cs="Tahoma"/>
      <w:sz w:val="16"/>
      <w:szCs w:val="16"/>
    </w:rPr>
  </w:style>
  <w:style w:type="paragraph" w:customStyle="1" w:styleId="Style2">
    <w:name w:val="Style 2"/>
    <w:basedOn w:val="Normal"/>
    <w:qFormat/>
    <w:rsid w:val="00617843"/>
    <w:pPr>
      <w:spacing w:before="240"/>
    </w:pPr>
    <w:rPr>
      <w:b/>
      <w:color w:val="C00000"/>
      <w:sz w:val="22"/>
      <w:szCs w:val="22"/>
    </w:rPr>
  </w:style>
  <w:style w:type="table" w:styleId="TableGrid">
    <w:name w:val="Table Grid"/>
    <w:basedOn w:val="TableNormal"/>
    <w:rsid w:val="00C5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2B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workaustralia.gov.au/sites/SWA/about/Publications/Documents/859/Electricity-Supply-Authorities.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feworkaustralia.gov.au/sites/SWA/about/Publications/Documents/859/Electricity-Supply-Authorities.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feworkaustralia.gov.au/sites/SWA/about/Publications/Documents/859/Overhead-Underground-Electric-Lines-General-Guide.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afeworkaustralia.gov.au/sites/SWA/about/Publications/Documents/859/Electricity-Supply-Authorities.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978-1-74361-768-7</PublicationIdentifier>
    <ParentFolderID xmlns="http://schemas.microsoft.com/sharepoint/v3/fields">859</ParentFolderID>
  </documentManagement>
</p:properties>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E6C6-8CA3-44A0-B6D3-2F328C4E74B6}">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sharepoint/v3/field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C403105-242A-4524-B092-52985937B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2885D-21C6-490E-A5E1-F6D61926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DFF544EF.dotm</Template>
  <TotalTime>0</TotalTime>
  <Pages>3</Pages>
  <Words>1162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05. Incidents and scenarios case studies</vt:lpstr>
    </vt:vector>
  </TitlesOfParts>
  <Company>Australian Government</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Incidents and scenarios case studies</dc:title>
  <dc:creator>Suzanne Cooper</dc:creator>
  <cp:lastModifiedBy>Suzanne Cooper</cp:lastModifiedBy>
  <cp:revision>2</cp:revision>
  <cp:lastPrinted>2014-06-16T06:56:00Z</cp:lastPrinted>
  <dcterms:created xsi:type="dcterms:W3CDTF">2017-03-22T04:09:00Z</dcterms:created>
  <dcterms:modified xsi:type="dcterms:W3CDTF">2017-03-22T04:09:00Z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0x010100A3147459CEFB4138ACF45C1B93E95121001AC9209C673FD1488F9C0FD06E69F9BE</vt:lpwstr>
  </property>
</Properties>
</file>